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0F9F" w14:textId="77777777" w:rsidR="00916857" w:rsidRPr="00916857" w:rsidRDefault="00916857" w:rsidP="00916857">
      <w:pPr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16857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עבודה מסכמת בקורס מיומנויות כתיבה</w:t>
      </w:r>
      <w:r w:rsidR="00910B1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(נייר עמדה על המאמר: "פורנוגרפיית נקם")</w:t>
      </w:r>
      <w:r w:rsidRPr="00916857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</w:p>
    <w:p w14:paraId="5E15FD02" w14:textId="77777777" w:rsidR="00916857" w:rsidRDefault="00910B1E" w:rsidP="00916857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מרצה: </w:t>
      </w:r>
      <w:r>
        <w:rPr>
          <w:rFonts w:ascii="David" w:hAnsi="David" w:cs="David" w:hint="cs"/>
          <w:sz w:val="24"/>
          <w:szCs w:val="24"/>
          <w:rtl/>
        </w:rPr>
        <w:t xml:space="preserve">יפעת נחמיאס </w:t>
      </w:r>
      <w:r w:rsidR="00916857" w:rsidRPr="00916857">
        <w:rPr>
          <w:rFonts w:ascii="David" w:hAnsi="David" w:cs="David" w:hint="cs"/>
          <w:b/>
          <w:bCs/>
          <w:sz w:val="24"/>
          <w:szCs w:val="24"/>
          <w:rtl/>
        </w:rPr>
        <w:t>מגישה:</w:t>
      </w:r>
      <w:r w:rsidR="00916857">
        <w:rPr>
          <w:rFonts w:ascii="David" w:hAnsi="David" w:cs="David" w:hint="cs"/>
          <w:sz w:val="24"/>
          <w:szCs w:val="24"/>
          <w:rtl/>
        </w:rPr>
        <w:t xml:space="preserve"> אילנה </w:t>
      </w:r>
      <w:proofErr w:type="spellStart"/>
      <w:r w:rsidR="00916857">
        <w:rPr>
          <w:rFonts w:ascii="David" w:hAnsi="David" w:cs="David" w:hint="cs"/>
          <w:sz w:val="24"/>
          <w:szCs w:val="24"/>
          <w:rtl/>
        </w:rPr>
        <w:t>טולדנו</w:t>
      </w:r>
      <w:proofErr w:type="spellEnd"/>
      <w:r w:rsidR="00916857">
        <w:rPr>
          <w:rFonts w:ascii="David" w:hAnsi="David" w:cs="David" w:hint="cs"/>
          <w:sz w:val="24"/>
          <w:szCs w:val="24"/>
          <w:rtl/>
        </w:rPr>
        <w:t xml:space="preserve"> </w:t>
      </w:r>
      <w:r w:rsidR="00916857" w:rsidRPr="00916857">
        <w:rPr>
          <w:rFonts w:ascii="David" w:hAnsi="David" w:cs="David" w:hint="cs"/>
          <w:b/>
          <w:bCs/>
          <w:sz w:val="24"/>
          <w:szCs w:val="24"/>
          <w:rtl/>
        </w:rPr>
        <w:t>ת.ז:</w:t>
      </w:r>
      <w:r w:rsidR="00916857">
        <w:rPr>
          <w:rFonts w:ascii="David" w:hAnsi="David" w:cs="David" w:hint="cs"/>
          <w:sz w:val="24"/>
          <w:szCs w:val="24"/>
          <w:rtl/>
        </w:rPr>
        <w:t xml:space="preserve"> 207485442.</w:t>
      </w:r>
    </w:p>
    <w:p w14:paraId="0C98230D" w14:textId="77777777" w:rsidR="00916857" w:rsidRDefault="00916857" w:rsidP="00916857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43855DB9" w14:textId="77777777" w:rsidR="005C5991" w:rsidRPr="00C73290" w:rsidRDefault="005C5991" w:rsidP="00BF5E01">
      <w:pPr>
        <w:spacing w:line="348" w:lineRule="auto"/>
        <w:jc w:val="both"/>
        <w:rPr>
          <w:rFonts w:ascii="David" w:hAnsi="David" w:cs="David"/>
          <w:sz w:val="24"/>
          <w:szCs w:val="24"/>
          <w:rtl/>
        </w:rPr>
      </w:pPr>
      <w:commentRangeStart w:id="0"/>
      <w:r w:rsidRPr="00C73290">
        <w:rPr>
          <w:rFonts w:ascii="David" w:hAnsi="David" w:cs="David"/>
          <w:sz w:val="24"/>
          <w:szCs w:val="24"/>
          <w:rtl/>
        </w:rPr>
        <w:t>המאמר מ</w:t>
      </w:r>
      <w:r w:rsidR="00317878">
        <w:rPr>
          <w:rFonts w:ascii="David" w:hAnsi="David" w:cs="David" w:hint="cs"/>
          <w:sz w:val="24"/>
          <w:szCs w:val="24"/>
          <w:rtl/>
        </w:rPr>
        <w:t xml:space="preserve">ציג את </w:t>
      </w:r>
      <w:r w:rsidRPr="00C73290">
        <w:rPr>
          <w:rFonts w:ascii="David" w:hAnsi="David" w:cs="David"/>
          <w:sz w:val="24"/>
          <w:szCs w:val="24"/>
          <w:rtl/>
        </w:rPr>
        <w:t xml:space="preserve">תיקון 10 לחוק </w:t>
      </w:r>
      <w:r w:rsidR="00317878">
        <w:rPr>
          <w:rFonts w:ascii="David" w:hAnsi="David" w:cs="David" w:hint="cs"/>
          <w:sz w:val="24"/>
          <w:szCs w:val="24"/>
          <w:rtl/>
        </w:rPr>
        <w:t xml:space="preserve">למניעת הטרדה מינית (להלן: </w:t>
      </w:r>
      <w:proofErr w:type="spellStart"/>
      <w:r w:rsidR="00317878">
        <w:rPr>
          <w:rFonts w:ascii="David" w:hAnsi="David" w:cs="David" w:hint="cs"/>
          <w:sz w:val="24"/>
          <w:szCs w:val="24"/>
          <w:rtl/>
        </w:rPr>
        <w:t>חלה"מ</w:t>
      </w:r>
      <w:proofErr w:type="spellEnd"/>
      <w:r w:rsidR="00317878">
        <w:rPr>
          <w:rFonts w:ascii="David" w:hAnsi="David" w:cs="David" w:hint="cs"/>
          <w:sz w:val="24"/>
          <w:szCs w:val="24"/>
          <w:rtl/>
        </w:rPr>
        <w:t xml:space="preserve">) </w:t>
      </w:r>
      <w:r w:rsidRPr="00C73290">
        <w:rPr>
          <w:rFonts w:ascii="David" w:hAnsi="David" w:cs="David"/>
          <w:sz w:val="24"/>
          <w:szCs w:val="24"/>
          <w:rtl/>
        </w:rPr>
        <w:t>ש</w:t>
      </w:r>
      <w:r w:rsidR="00E502C0" w:rsidRPr="00C73290">
        <w:rPr>
          <w:rFonts w:ascii="David" w:hAnsi="David" w:cs="David"/>
          <w:sz w:val="24"/>
          <w:szCs w:val="24"/>
          <w:rtl/>
        </w:rPr>
        <w:t>מרחיב את הגדרת ההטרדה המינית ע"י כך שכולל ב</w:t>
      </w:r>
      <w:r w:rsidR="00317878">
        <w:rPr>
          <w:rFonts w:ascii="David" w:hAnsi="David" w:cs="David" w:hint="cs"/>
          <w:sz w:val="24"/>
          <w:szCs w:val="24"/>
          <w:rtl/>
        </w:rPr>
        <w:t>תוכה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גם מקרים של צילום/ סרט</w:t>
      </w:r>
      <w:r w:rsidR="00D54739" w:rsidRPr="00C73290">
        <w:rPr>
          <w:rFonts w:ascii="David" w:hAnsi="David" w:cs="David"/>
          <w:sz w:val="24"/>
          <w:szCs w:val="24"/>
          <w:rtl/>
        </w:rPr>
        <w:t>/ הקלטה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בעלי אופי מיני ושלא בהסכמה</w:t>
      </w:r>
      <w:r w:rsidR="00D54739" w:rsidRPr="00C73290">
        <w:rPr>
          <w:rFonts w:ascii="David" w:hAnsi="David" w:cs="David"/>
          <w:sz w:val="24"/>
          <w:szCs w:val="24"/>
          <w:rtl/>
        </w:rPr>
        <w:t xml:space="preserve"> וקובע עונש מרבי של עד 5 שנות מאסר</w:t>
      </w:r>
      <w:r w:rsidR="00E502C0" w:rsidRPr="00C73290">
        <w:rPr>
          <w:rFonts w:ascii="David" w:hAnsi="David" w:cs="David"/>
          <w:sz w:val="24"/>
          <w:szCs w:val="24"/>
          <w:rtl/>
        </w:rPr>
        <w:t>.</w:t>
      </w:r>
      <w:commentRangeEnd w:id="0"/>
      <w:r w:rsidR="00F03581">
        <w:rPr>
          <w:rStyle w:val="ab"/>
          <w:rtl/>
        </w:rPr>
        <w:commentReference w:id="0"/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המאמר מציג </w:t>
      </w:r>
      <w:r w:rsidR="00D54739" w:rsidRPr="00C73290">
        <w:rPr>
          <w:rFonts w:ascii="David" w:hAnsi="David" w:cs="David"/>
          <w:sz w:val="24"/>
          <w:szCs w:val="24"/>
          <w:rtl/>
        </w:rPr>
        <w:t>לקונות ו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קשיים </w:t>
      </w:r>
      <w:r w:rsidR="00D54739" w:rsidRPr="00C73290">
        <w:rPr>
          <w:rFonts w:ascii="David" w:hAnsi="David" w:cs="David"/>
          <w:sz w:val="24"/>
          <w:szCs w:val="24"/>
          <w:rtl/>
        </w:rPr>
        <w:t>חוקתיים ופרשניים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העולים מניסוח העבירה</w:t>
      </w:r>
      <w:r w:rsidR="00753894">
        <w:rPr>
          <w:rFonts w:ascii="David" w:hAnsi="David" w:cs="David" w:hint="cs"/>
          <w:sz w:val="24"/>
          <w:szCs w:val="24"/>
          <w:rtl/>
        </w:rPr>
        <w:t xml:space="preserve">, </w:t>
      </w:r>
      <w:r w:rsidR="00E502C0" w:rsidRPr="00C73290">
        <w:rPr>
          <w:rFonts w:ascii="David" w:hAnsi="David" w:cs="David"/>
          <w:sz w:val="24"/>
          <w:szCs w:val="24"/>
          <w:rtl/>
        </w:rPr>
        <w:t>רכיביה</w:t>
      </w:r>
      <w:r w:rsidR="00753894">
        <w:rPr>
          <w:rFonts w:ascii="David" w:hAnsi="David" w:cs="David" w:hint="cs"/>
          <w:sz w:val="24"/>
          <w:szCs w:val="24"/>
          <w:rtl/>
        </w:rPr>
        <w:t xml:space="preserve"> והגנותיה. בנוסף,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סוקר את הקשיים המשפטיים המתעוררים בעקבות התיקון ומציע פתרונות ראויים לקשיים אלו</w:t>
      </w:r>
      <w:r w:rsidR="000353CE">
        <w:rPr>
          <w:rFonts w:ascii="David" w:hAnsi="David" w:cs="David" w:hint="cs"/>
          <w:sz w:val="24"/>
          <w:szCs w:val="24"/>
          <w:rtl/>
        </w:rPr>
        <w:t>. מתוך שלל הסוגיות,</w:t>
      </w:r>
      <w:r w:rsidR="00E502C0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D54739" w:rsidRPr="00C73290">
        <w:rPr>
          <w:rFonts w:ascii="David" w:hAnsi="David" w:cs="David"/>
          <w:sz w:val="24"/>
          <w:szCs w:val="24"/>
          <w:rtl/>
        </w:rPr>
        <w:t>אפרט על 2</w:t>
      </w:r>
      <w:r w:rsidR="000353CE">
        <w:rPr>
          <w:rFonts w:ascii="David" w:hAnsi="David" w:cs="David" w:hint="cs"/>
          <w:sz w:val="24"/>
          <w:szCs w:val="24"/>
          <w:rtl/>
        </w:rPr>
        <w:t xml:space="preserve">, אשר בנוגע אליהן דעתי חולקת על הנאמר </w:t>
      </w:r>
      <w:r w:rsidR="00317878">
        <w:rPr>
          <w:rFonts w:ascii="David" w:hAnsi="David" w:cs="David" w:hint="cs"/>
          <w:sz w:val="24"/>
          <w:szCs w:val="24"/>
          <w:rtl/>
        </w:rPr>
        <w:t>ב</w:t>
      </w:r>
      <w:r w:rsidR="000353CE">
        <w:rPr>
          <w:rFonts w:ascii="David" w:hAnsi="David" w:cs="David" w:hint="cs"/>
          <w:sz w:val="24"/>
          <w:szCs w:val="24"/>
          <w:rtl/>
        </w:rPr>
        <w:t>מאמר</w:t>
      </w:r>
      <w:r w:rsidR="00D54739" w:rsidRPr="00C73290">
        <w:rPr>
          <w:rFonts w:ascii="David" w:hAnsi="David" w:cs="David"/>
          <w:sz w:val="24"/>
          <w:szCs w:val="24"/>
          <w:rtl/>
        </w:rPr>
        <w:t>:</w:t>
      </w:r>
    </w:p>
    <w:p w14:paraId="6E695E4B" w14:textId="77777777" w:rsidR="00B36F6F" w:rsidRDefault="00134EBD" w:rsidP="00DB5BE6">
      <w:pPr>
        <w:spacing w:after="0" w:line="348" w:lineRule="auto"/>
        <w:jc w:val="both"/>
        <w:rPr>
          <w:rFonts w:ascii="David" w:hAnsi="David" w:cs="David"/>
          <w:sz w:val="24"/>
          <w:szCs w:val="24"/>
          <w:rtl/>
        </w:rPr>
      </w:pPr>
      <w:r w:rsidRPr="00134EB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סוגיה 1: </w:t>
      </w:r>
      <w:r w:rsidR="00265B9A" w:rsidRPr="00100422">
        <w:rPr>
          <w:rFonts w:ascii="David" w:hAnsi="David" w:cs="David"/>
          <w:b/>
          <w:bCs/>
          <w:sz w:val="24"/>
          <w:szCs w:val="24"/>
          <w:u w:val="single"/>
          <w:rtl/>
        </w:rPr>
        <w:t>שאלת נחיצות התיקון לאור חוק הגנת הפרטיות</w:t>
      </w:r>
      <w:r w:rsidR="0010042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(להלן: "</w:t>
      </w:r>
      <w:proofErr w:type="spellStart"/>
      <w:r w:rsidR="00100422">
        <w:rPr>
          <w:rFonts w:ascii="David" w:hAnsi="David" w:cs="David" w:hint="cs"/>
          <w:b/>
          <w:bCs/>
          <w:sz w:val="24"/>
          <w:szCs w:val="24"/>
          <w:u w:val="single"/>
          <w:rtl/>
        </w:rPr>
        <w:t>חהה"פ</w:t>
      </w:r>
      <w:proofErr w:type="spellEnd"/>
      <w:r w:rsidR="00100422">
        <w:rPr>
          <w:rFonts w:ascii="David" w:hAnsi="David" w:cs="David" w:hint="cs"/>
          <w:b/>
          <w:bCs/>
          <w:sz w:val="24"/>
          <w:szCs w:val="24"/>
          <w:u w:val="single"/>
          <w:rtl/>
        </w:rPr>
        <w:t>")</w:t>
      </w:r>
      <w:r w:rsidR="00265B9A" w:rsidRPr="00100422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="000353CE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1"/>
      <w:r w:rsidR="000353CE" w:rsidRPr="00C73290">
        <w:rPr>
          <w:rFonts w:ascii="David" w:hAnsi="David" w:cs="David"/>
          <w:sz w:val="24"/>
          <w:szCs w:val="24"/>
          <w:rtl/>
        </w:rPr>
        <w:t>נראה כי</w:t>
      </w:r>
      <w:r w:rsidR="00100422">
        <w:rPr>
          <w:rFonts w:ascii="David" w:hAnsi="David" w:cs="David" w:hint="cs"/>
          <w:sz w:val="24"/>
          <w:szCs w:val="24"/>
          <w:rtl/>
        </w:rPr>
        <w:t xml:space="preserve"> האיסור העומד בבסיס ס' 2(4),2(11) </w:t>
      </w:r>
      <w:proofErr w:type="spellStart"/>
      <w:r w:rsidR="00100422">
        <w:rPr>
          <w:rFonts w:ascii="David" w:hAnsi="David" w:cs="David" w:hint="cs"/>
          <w:sz w:val="24"/>
          <w:szCs w:val="24"/>
          <w:rtl/>
        </w:rPr>
        <w:t>לחהה"פ</w:t>
      </w:r>
      <w:proofErr w:type="spellEnd"/>
      <w:r w:rsidR="00100422">
        <w:rPr>
          <w:rFonts w:ascii="David" w:hAnsi="David" w:cs="David" w:hint="cs"/>
          <w:sz w:val="24"/>
          <w:szCs w:val="24"/>
          <w:rtl/>
        </w:rPr>
        <w:t xml:space="preserve"> זהה לאיסור העומד בבסיס תיקון 10 </w:t>
      </w:r>
      <w:proofErr w:type="spellStart"/>
      <w:r w:rsidR="00100422">
        <w:rPr>
          <w:rFonts w:ascii="David" w:hAnsi="David" w:cs="David" w:hint="cs"/>
          <w:sz w:val="24"/>
          <w:szCs w:val="24"/>
          <w:rtl/>
        </w:rPr>
        <w:t>ל</w:t>
      </w:r>
      <w:r w:rsidR="00317878">
        <w:rPr>
          <w:rFonts w:ascii="David" w:hAnsi="David" w:cs="David" w:hint="cs"/>
          <w:sz w:val="24"/>
          <w:szCs w:val="24"/>
          <w:rtl/>
        </w:rPr>
        <w:t>חלה"מ</w:t>
      </w:r>
      <w:proofErr w:type="spellEnd"/>
      <w:r w:rsidR="002306EF">
        <w:rPr>
          <w:rFonts w:ascii="David" w:hAnsi="David" w:cs="David" w:hint="cs"/>
          <w:sz w:val="24"/>
          <w:szCs w:val="24"/>
          <w:rtl/>
        </w:rPr>
        <w:t xml:space="preserve"> (להלן: "התיקון")</w:t>
      </w:r>
      <w:r w:rsidR="00100422">
        <w:rPr>
          <w:rFonts w:ascii="David" w:hAnsi="David" w:cs="David" w:hint="cs"/>
          <w:sz w:val="24"/>
          <w:szCs w:val="24"/>
          <w:rtl/>
        </w:rPr>
        <w:t>.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commentRangeEnd w:id="1"/>
      <w:r w:rsidR="00F03581">
        <w:rPr>
          <w:rStyle w:val="ab"/>
          <w:rtl/>
        </w:rPr>
        <w:commentReference w:id="1"/>
      </w:r>
      <w:r w:rsidR="000353CE" w:rsidRPr="00C73290">
        <w:rPr>
          <w:rFonts w:ascii="David" w:hAnsi="David" w:cs="David"/>
          <w:sz w:val="24"/>
          <w:szCs w:val="24"/>
          <w:rtl/>
        </w:rPr>
        <w:t>בנוסף, גם העונש המוגדר בעבירות זהה. לאור כך, א</w:t>
      </w:r>
      <w:r w:rsidR="00100422">
        <w:rPr>
          <w:rFonts w:ascii="David" w:hAnsi="David" w:cs="David" w:hint="cs"/>
          <w:sz w:val="24"/>
          <w:szCs w:val="24"/>
          <w:rtl/>
        </w:rPr>
        <w:t>י</w:t>
      </w:r>
      <w:r w:rsidR="000353CE" w:rsidRPr="00C73290">
        <w:rPr>
          <w:rFonts w:ascii="David" w:hAnsi="David" w:cs="David"/>
          <w:sz w:val="24"/>
          <w:szCs w:val="24"/>
          <w:rtl/>
        </w:rPr>
        <w:t>ני סבורה כי התיקון נחוץ.</w:t>
      </w:r>
      <w:r w:rsidR="008F3F18">
        <w:rPr>
          <w:rFonts w:ascii="David" w:hAnsi="David" w:cs="David" w:hint="cs"/>
          <w:sz w:val="24"/>
          <w:szCs w:val="24"/>
          <w:rtl/>
        </w:rPr>
        <w:t xml:space="preserve"> זאת</w:t>
      </w:r>
      <w:r w:rsidR="00753894">
        <w:rPr>
          <w:rFonts w:ascii="David" w:hAnsi="David" w:cs="David" w:hint="cs"/>
          <w:sz w:val="24"/>
          <w:szCs w:val="24"/>
          <w:rtl/>
        </w:rPr>
        <w:t>,</w:t>
      </w:r>
      <w:r w:rsidR="008F3F18">
        <w:rPr>
          <w:rFonts w:ascii="David" w:hAnsi="David" w:cs="David" w:hint="cs"/>
          <w:sz w:val="24"/>
          <w:szCs w:val="24"/>
          <w:rtl/>
        </w:rPr>
        <w:t xml:space="preserve"> גם בשל כך </w:t>
      </w:r>
      <w:commentRangeStart w:id="2"/>
      <w:r w:rsidR="008F3F18">
        <w:rPr>
          <w:rFonts w:ascii="David" w:hAnsi="David" w:cs="David" w:hint="cs"/>
          <w:sz w:val="24"/>
          <w:szCs w:val="24"/>
          <w:rtl/>
        </w:rPr>
        <w:t>שהתיקון מכיל מושגים רחבים כמו "המתמקד במיניותו"</w:t>
      </w:r>
      <w:r w:rsidR="004262C5">
        <w:rPr>
          <w:rFonts w:ascii="David" w:hAnsi="David" w:cs="David" w:hint="cs"/>
          <w:sz w:val="24"/>
          <w:szCs w:val="24"/>
          <w:rtl/>
        </w:rPr>
        <w:t>,</w:t>
      </w:r>
      <w:r w:rsidR="008F3F18">
        <w:rPr>
          <w:rFonts w:ascii="David" w:hAnsi="David" w:cs="David" w:hint="cs"/>
          <w:sz w:val="24"/>
          <w:szCs w:val="24"/>
          <w:rtl/>
        </w:rPr>
        <w:t xml:space="preserve"> דבר שפוגם בעקרון החוקיות</w:t>
      </w:r>
      <w:r w:rsidR="001B330A">
        <w:rPr>
          <w:rFonts w:ascii="David" w:hAnsi="David" w:cs="David" w:hint="cs"/>
          <w:sz w:val="24"/>
          <w:szCs w:val="24"/>
          <w:rtl/>
        </w:rPr>
        <w:t xml:space="preserve"> שהינו עקרון יסוד בדיני העונשין</w:t>
      </w:r>
      <w:r w:rsidR="001B330A">
        <w:rPr>
          <w:rStyle w:val="aa"/>
          <w:rFonts w:ascii="David" w:hAnsi="David" w:cs="David"/>
          <w:sz w:val="24"/>
          <w:szCs w:val="24"/>
          <w:rtl/>
        </w:rPr>
        <w:footnoteReference w:id="1"/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916857">
        <w:rPr>
          <w:rFonts w:ascii="David" w:hAnsi="David" w:cs="David" w:hint="cs"/>
          <w:sz w:val="24"/>
          <w:szCs w:val="24"/>
          <w:rtl/>
        </w:rPr>
        <w:t>ו</w:t>
      </w:r>
      <w:r w:rsidR="00753894">
        <w:rPr>
          <w:rFonts w:ascii="David" w:hAnsi="David" w:cs="David" w:hint="cs"/>
          <w:sz w:val="24"/>
          <w:szCs w:val="24"/>
          <w:rtl/>
        </w:rPr>
        <w:t>ש</w:t>
      </w:r>
      <w:r w:rsidR="00916857">
        <w:rPr>
          <w:rFonts w:ascii="David" w:hAnsi="David" w:cs="David" w:hint="cs"/>
          <w:sz w:val="24"/>
          <w:szCs w:val="24"/>
          <w:rtl/>
        </w:rPr>
        <w:t xml:space="preserve">יכול לגרום קושי רב </w:t>
      </w:r>
      <w:r w:rsidR="00753894">
        <w:rPr>
          <w:rFonts w:ascii="David" w:hAnsi="David" w:cs="David" w:hint="cs"/>
          <w:sz w:val="24"/>
          <w:szCs w:val="24"/>
          <w:rtl/>
        </w:rPr>
        <w:t>יותר</w:t>
      </w:r>
      <w:r w:rsidR="004262C5">
        <w:rPr>
          <w:rFonts w:ascii="David" w:hAnsi="David" w:cs="David" w:hint="cs"/>
          <w:sz w:val="24"/>
          <w:szCs w:val="24"/>
          <w:rtl/>
        </w:rPr>
        <w:t xml:space="preserve"> בשקלול העבירה</w:t>
      </w:r>
      <w:r w:rsidR="00753894">
        <w:rPr>
          <w:rFonts w:ascii="David" w:hAnsi="David" w:cs="David" w:hint="cs"/>
          <w:sz w:val="24"/>
          <w:szCs w:val="24"/>
          <w:rtl/>
        </w:rPr>
        <w:t xml:space="preserve"> </w:t>
      </w:r>
      <w:r w:rsidR="004262C5">
        <w:rPr>
          <w:rFonts w:ascii="David" w:hAnsi="David" w:cs="David" w:hint="cs"/>
          <w:sz w:val="24"/>
          <w:szCs w:val="24"/>
          <w:rtl/>
        </w:rPr>
        <w:t>ו</w:t>
      </w:r>
      <w:r w:rsidR="00753894">
        <w:rPr>
          <w:rFonts w:ascii="David" w:hAnsi="David" w:cs="David" w:hint="cs"/>
          <w:sz w:val="24"/>
          <w:szCs w:val="24"/>
          <w:rtl/>
        </w:rPr>
        <w:t>בהרשעת מפרסמי</w:t>
      </w:r>
      <w:r w:rsidR="00916857">
        <w:rPr>
          <w:rFonts w:ascii="David" w:hAnsi="David" w:cs="David" w:hint="cs"/>
          <w:sz w:val="24"/>
          <w:szCs w:val="24"/>
          <w:rtl/>
        </w:rPr>
        <w:t xml:space="preserve"> פרסום </w:t>
      </w:r>
      <w:r w:rsidR="00753894">
        <w:rPr>
          <w:rFonts w:ascii="David" w:hAnsi="David" w:cs="David" w:hint="cs"/>
          <w:sz w:val="24"/>
          <w:szCs w:val="24"/>
          <w:rtl/>
        </w:rPr>
        <w:t xml:space="preserve">מיני </w:t>
      </w:r>
      <w:r w:rsidR="00916857">
        <w:rPr>
          <w:rFonts w:ascii="David" w:hAnsi="David" w:cs="David" w:hint="cs"/>
          <w:sz w:val="24"/>
          <w:szCs w:val="24"/>
          <w:rtl/>
        </w:rPr>
        <w:t>פוגעני</w:t>
      </w:r>
      <w:commentRangeEnd w:id="2"/>
      <w:r w:rsidR="00F03581">
        <w:rPr>
          <w:rStyle w:val="ab"/>
          <w:rtl/>
        </w:rPr>
        <w:commentReference w:id="2"/>
      </w:r>
      <w:r w:rsidR="00916857">
        <w:rPr>
          <w:rFonts w:ascii="David" w:hAnsi="David" w:cs="David" w:hint="cs"/>
          <w:sz w:val="24"/>
          <w:szCs w:val="24"/>
          <w:rtl/>
        </w:rPr>
        <w:t xml:space="preserve">.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המאמר </w:t>
      </w:r>
      <w:r w:rsidR="008F3F18">
        <w:rPr>
          <w:rFonts w:ascii="David" w:hAnsi="David" w:cs="David" w:hint="cs"/>
          <w:sz w:val="24"/>
          <w:szCs w:val="24"/>
          <w:rtl/>
        </w:rPr>
        <w:t xml:space="preserve">תומך </w:t>
      </w:r>
      <w:r w:rsidR="00753894">
        <w:rPr>
          <w:rFonts w:ascii="David" w:hAnsi="David" w:cs="David" w:hint="cs"/>
          <w:sz w:val="24"/>
          <w:szCs w:val="24"/>
          <w:rtl/>
        </w:rPr>
        <w:t>בנחיצות ה</w:t>
      </w:r>
      <w:r w:rsidR="008F3F18">
        <w:rPr>
          <w:rFonts w:ascii="David" w:hAnsi="David" w:cs="David" w:hint="cs"/>
          <w:sz w:val="24"/>
          <w:szCs w:val="24"/>
          <w:rtl/>
        </w:rPr>
        <w:t>תיקון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וזאת מ</w:t>
      </w:r>
      <w:r w:rsidR="00AA6F93">
        <w:rPr>
          <w:rFonts w:ascii="David" w:hAnsi="David" w:cs="David" w:hint="cs"/>
          <w:sz w:val="24"/>
          <w:szCs w:val="24"/>
          <w:rtl/>
        </w:rPr>
        <w:t>-3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ה</w:t>
      </w:r>
      <w:r w:rsidR="00100422">
        <w:rPr>
          <w:rFonts w:ascii="David" w:hAnsi="David" w:cs="David" w:hint="cs"/>
          <w:sz w:val="24"/>
          <w:szCs w:val="24"/>
          <w:rtl/>
        </w:rPr>
        <w:t>נימוקים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הבא</w:t>
      </w:r>
      <w:r w:rsidR="00100422">
        <w:rPr>
          <w:rFonts w:ascii="David" w:hAnsi="David" w:cs="David" w:hint="cs"/>
          <w:sz w:val="24"/>
          <w:szCs w:val="24"/>
          <w:rtl/>
        </w:rPr>
        <w:t>ים</w:t>
      </w:r>
      <w:r w:rsidR="000353CE" w:rsidRPr="00C73290">
        <w:rPr>
          <w:rFonts w:ascii="David" w:hAnsi="David" w:cs="David"/>
          <w:sz w:val="24"/>
          <w:szCs w:val="24"/>
          <w:rtl/>
        </w:rPr>
        <w:t>:</w:t>
      </w:r>
      <w:r w:rsidR="00100422">
        <w:rPr>
          <w:rFonts w:ascii="David" w:hAnsi="David" w:cs="David" w:hint="cs"/>
          <w:sz w:val="24"/>
          <w:szCs w:val="24"/>
          <w:rtl/>
        </w:rPr>
        <w:t xml:space="preserve"> </w:t>
      </w:r>
      <w:r w:rsidR="00100422" w:rsidRPr="00100422">
        <w:rPr>
          <w:rFonts w:ascii="David" w:hAnsi="David" w:cs="David" w:hint="cs"/>
          <w:b/>
          <w:bCs/>
          <w:sz w:val="24"/>
          <w:szCs w:val="24"/>
          <w:rtl/>
        </w:rPr>
        <w:t>1.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0353CE" w:rsidRPr="00AA6F93">
        <w:rPr>
          <w:rFonts w:ascii="David" w:hAnsi="David" w:cs="David"/>
          <w:b/>
          <w:bCs/>
          <w:sz w:val="24"/>
          <w:szCs w:val="24"/>
          <w:u w:val="single"/>
          <w:rtl/>
        </w:rPr>
        <w:t>ערך מוגן שונה עומד בבסיס כל עבירה: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בע</w:t>
      </w:r>
      <w:commentRangeStart w:id="3"/>
      <w:r w:rsidR="000353CE" w:rsidRPr="00C73290">
        <w:rPr>
          <w:rFonts w:ascii="David" w:hAnsi="David" w:cs="David"/>
          <w:sz w:val="24"/>
          <w:szCs w:val="24"/>
          <w:rtl/>
        </w:rPr>
        <w:t xml:space="preserve">וד </w:t>
      </w:r>
      <w:proofErr w:type="spellStart"/>
      <w:r w:rsidR="00100422">
        <w:rPr>
          <w:rFonts w:ascii="David" w:hAnsi="David" w:cs="David" w:hint="cs"/>
          <w:sz w:val="24"/>
          <w:szCs w:val="24"/>
          <w:rtl/>
        </w:rPr>
        <w:t>חהה"פ</w:t>
      </w:r>
      <w:proofErr w:type="spellEnd"/>
      <w:r w:rsidR="000353CE" w:rsidRPr="00C73290">
        <w:rPr>
          <w:rFonts w:ascii="David" w:hAnsi="David" w:cs="David"/>
          <w:sz w:val="24"/>
          <w:szCs w:val="24"/>
          <w:rtl/>
        </w:rPr>
        <w:t xml:space="preserve"> בא להגן על פרטיות</w:t>
      </w:r>
      <w:r w:rsidR="00100422">
        <w:rPr>
          <w:rFonts w:ascii="David" w:hAnsi="David" w:cs="David" w:hint="cs"/>
          <w:sz w:val="24"/>
          <w:szCs w:val="24"/>
          <w:rtl/>
        </w:rPr>
        <w:t xml:space="preserve">, </w:t>
      </w:r>
      <w:r w:rsidR="000353CE" w:rsidRPr="00C73290">
        <w:rPr>
          <w:rFonts w:ascii="David" w:hAnsi="David" w:cs="David"/>
          <w:sz w:val="24"/>
          <w:szCs w:val="24"/>
          <w:rtl/>
        </w:rPr>
        <w:t>התיקון בא להגן גם על כבוד</w:t>
      </w:r>
      <w:r w:rsidR="00100422">
        <w:rPr>
          <w:rFonts w:ascii="David" w:hAnsi="David" w:cs="David" w:hint="cs"/>
          <w:sz w:val="24"/>
          <w:szCs w:val="24"/>
          <w:rtl/>
        </w:rPr>
        <w:t>,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חירות ושוויון בין המינים בנוסף על פרטיות. </w:t>
      </w:r>
      <w:commentRangeEnd w:id="3"/>
      <w:r w:rsidR="00F03581">
        <w:rPr>
          <w:rStyle w:val="ab"/>
          <w:rtl/>
        </w:rPr>
        <w:commentReference w:id="3"/>
      </w:r>
      <w:r w:rsidR="00100422">
        <w:rPr>
          <w:rFonts w:ascii="David" w:hAnsi="David" w:cs="David" w:hint="cs"/>
          <w:sz w:val="24"/>
          <w:szCs w:val="24"/>
          <w:rtl/>
        </w:rPr>
        <w:t xml:space="preserve">לדעתי, </w:t>
      </w:r>
      <w:r w:rsidR="000353CE" w:rsidRPr="00C73290">
        <w:rPr>
          <w:rFonts w:ascii="David" w:hAnsi="David" w:cs="David"/>
          <w:sz w:val="24"/>
          <w:szCs w:val="24"/>
          <w:rtl/>
        </w:rPr>
        <w:t>בשל היות</w:t>
      </w:r>
      <w:r w:rsidR="00100422">
        <w:rPr>
          <w:rFonts w:ascii="David" w:hAnsi="David" w:cs="David" w:hint="cs"/>
          <w:sz w:val="24"/>
          <w:szCs w:val="24"/>
          <w:rtl/>
        </w:rPr>
        <w:t>ה של הפ</w:t>
      </w:r>
      <w:r w:rsidR="000353CE" w:rsidRPr="00C73290">
        <w:rPr>
          <w:rFonts w:ascii="David" w:hAnsi="David" w:cs="David"/>
          <w:sz w:val="24"/>
          <w:szCs w:val="24"/>
          <w:rtl/>
        </w:rPr>
        <w:t>רטיות נגזרת מ</w:t>
      </w:r>
      <w:r w:rsidR="008A4311">
        <w:rPr>
          <w:rFonts w:ascii="David" w:hAnsi="David" w:cs="David" w:hint="cs"/>
          <w:sz w:val="24"/>
          <w:szCs w:val="24"/>
          <w:rtl/>
        </w:rPr>
        <w:t xml:space="preserve">זכות </w:t>
      </w:r>
      <w:r w:rsidR="000353CE" w:rsidRPr="00C73290">
        <w:rPr>
          <w:rFonts w:ascii="David" w:hAnsi="David" w:cs="David"/>
          <w:sz w:val="24"/>
          <w:szCs w:val="24"/>
          <w:rtl/>
        </w:rPr>
        <w:t>כבוד האדם</w:t>
      </w:r>
      <w:r w:rsidR="008A4311">
        <w:rPr>
          <w:rStyle w:val="aa"/>
          <w:rFonts w:ascii="David" w:hAnsi="David" w:cs="David"/>
          <w:sz w:val="24"/>
          <w:szCs w:val="24"/>
          <w:rtl/>
        </w:rPr>
        <w:footnoteReference w:id="2"/>
      </w:r>
      <w:r w:rsidR="008A4311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>ובשל היות ה"פרטיות" מושג רחב</w:t>
      </w:r>
      <w:r w:rsidR="002F62A6">
        <w:rPr>
          <w:rFonts w:ascii="David" w:hAnsi="David" w:cs="David" w:hint="cs"/>
          <w:sz w:val="24"/>
          <w:szCs w:val="24"/>
          <w:rtl/>
        </w:rPr>
        <w:t>-</w:t>
      </w:r>
      <w:r w:rsidR="00100422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4"/>
      <w:r w:rsidR="00100422">
        <w:rPr>
          <w:rFonts w:ascii="David" w:hAnsi="David" w:cs="David" w:hint="cs"/>
          <w:sz w:val="24"/>
          <w:szCs w:val="24"/>
          <w:rtl/>
        </w:rPr>
        <w:t>נראה כי הוא גולם בתוכו</w:t>
      </w:r>
      <w:r w:rsidR="001846CA">
        <w:rPr>
          <w:rFonts w:ascii="David" w:hAnsi="David" w:cs="David" w:hint="cs"/>
          <w:sz w:val="24"/>
          <w:szCs w:val="24"/>
          <w:rtl/>
        </w:rPr>
        <w:t xml:space="preserve"> גם</w:t>
      </w:r>
      <w:r w:rsidR="00100422">
        <w:rPr>
          <w:rFonts w:ascii="David" w:hAnsi="David" w:cs="David" w:hint="cs"/>
          <w:sz w:val="24"/>
          <w:szCs w:val="24"/>
          <w:rtl/>
        </w:rPr>
        <w:t xml:space="preserve"> כבוד, חירות ושיווין</w:t>
      </w:r>
      <w:commentRangeEnd w:id="4"/>
      <w:r w:rsidR="00F03581">
        <w:rPr>
          <w:rStyle w:val="ab"/>
          <w:rtl/>
        </w:rPr>
        <w:commentReference w:id="4"/>
      </w:r>
      <w:r w:rsidR="000353CE" w:rsidRPr="00C73290">
        <w:rPr>
          <w:rFonts w:ascii="David" w:hAnsi="David" w:cs="David"/>
          <w:sz w:val="24"/>
          <w:szCs w:val="24"/>
          <w:rtl/>
        </w:rPr>
        <w:t>. אסביר: שמירה על פרטיותו של אדם</w:t>
      </w:r>
      <w:r w:rsidR="002F62A6">
        <w:rPr>
          <w:rFonts w:ascii="David" w:hAnsi="David" w:cs="David" w:hint="cs"/>
          <w:sz w:val="24"/>
          <w:szCs w:val="24"/>
          <w:rtl/>
        </w:rPr>
        <w:t xml:space="preserve"> וגופו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ואי התערבות</w:t>
      </w:r>
      <w:r w:rsidR="00100422">
        <w:rPr>
          <w:rFonts w:ascii="David" w:hAnsi="David" w:cs="David" w:hint="cs"/>
          <w:sz w:val="24"/>
          <w:szCs w:val="24"/>
          <w:rtl/>
        </w:rPr>
        <w:t xml:space="preserve"> במעשיו (</w:t>
      </w:r>
      <w:r w:rsidR="002306EF">
        <w:rPr>
          <w:rFonts w:ascii="David" w:hAnsi="David" w:cs="David" w:hint="cs"/>
          <w:sz w:val="24"/>
          <w:szCs w:val="24"/>
          <w:rtl/>
        </w:rPr>
        <w:t>כל עוד הם במסגרת החוק כמובן</w:t>
      </w:r>
      <w:r w:rsidR="00100422">
        <w:rPr>
          <w:rFonts w:ascii="David" w:hAnsi="David" w:cs="David" w:hint="cs"/>
          <w:sz w:val="24"/>
          <w:szCs w:val="24"/>
          <w:rtl/>
        </w:rPr>
        <w:t>)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מעניקה</w:t>
      </w:r>
      <w:r w:rsidR="00100422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>לו חירות לעשות כרצונו</w:t>
      </w:r>
      <w:r w:rsidR="002306EF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>(במ</w:t>
      </w:r>
      <w:r w:rsidR="00100422">
        <w:rPr>
          <w:rFonts w:ascii="David" w:hAnsi="David" w:cs="David" w:hint="cs"/>
          <w:sz w:val="24"/>
          <w:szCs w:val="24"/>
          <w:rtl/>
        </w:rPr>
        <w:t>סגרת החוק</w:t>
      </w:r>
      <w:r w:rsidR="000353CE" w:rsidRPr="00C73290">
        <w:rPr>
          <w:rFonts w:ascii="David" w:hAnsi="David" w:cs="David"/>
          <w:sz w:val="24"/>
          <w:szCs w:val="24"/>
          <w:rtl/>
        </w:rPr>
        <w:t>)</w:t>
      </w:r>
      <w:r w:rsidR="002306EF">
        <w:rPr>
          <w:rFonts w:ascii="David" w:hAnsi="David" w:cs="David" w:hint="cs"/>
          <w:sz w:val="24"/>
          <w:szCs w:val="24"/>
          <w:rtl/>
        </w:rPr>
        <w:t>, חירות על גופו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וכבוד כ</w:t>
      </w:r>
      <w:r w:rsidR="002F62A6">
        <w:rPr>
          <w:rFonts w:ascii="David" w:hAnsi="David" w:cs="David" w:hint="cs"/>
          <w:sz w:val="24"/>
          <w:szCs w:val="24"/>
          <w:rtl/>
        </w:rPr>
        <w:t xml:space="preserve">אדם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תבוני וחושב. </w:t>
      </w:r>
      <w:commentRangeStart w:id="5"/>
      <w:r w:rsidR="000353CE" w:rsidRPr="00C73290">
        <w:rPr>
          <w:rFonts w:ascii="David" w:hAnsi="David" w:cs="David"/>
          <w:sz w:val="24"/>
          <w:szCs w:val="24"/>
          <w:rtl/>
        </w:rPr>
        <w:t xml:space="preserve">בנוסף, הזכות לפרטיות </w:t>
      </w:r>
      <w:r w:rsidR="002F62A6">
        <w:rPr>
          <w:rFonts w:ascii="David" w:hAnsi="David" w:cs="David" w:hint="cs"/>
          <w:sz w:val="24"/>
          <w:szCs w:val="24"/>
          <w:rtl/>
        </w:rPr>
        <w:t xml:space="preserve">מגינה </w:t>
      </w:r>
      <w:r w:rsidR="003E0224">
        <w:rPr>
          <w:rFonts w:ascii="David" w:hAnsi="David" w:cs="David" w:hint="cs"/>
          <w:sz w:val="24"/>
          <w:szCs w:val="24"/>
          <w:rtl/>
        </w:rPr>
        <w:t>גם</w:t>
      </w:r>
      <w:r w:rsidR="002306EF">
        <w:rPr>
          <w:rFonts w:ascii="David" w:hAnsi="David" w:cs="David" w:hint="cs"/>
          <w:sz w:val="24"/>
          <w:szCs w:val="24"/>
          <w:rtl/>
        </w:rPr>
        <w:t xml:space="preserve"> היא</w:t>
      </w:r>
      <w:r w:rsidR="003E0224">
        <w:rPr>
          <w:rFonts w:ascii="David" w:hAnsi="David" w:cs="David" w:hint="cs"/>
          <w:sz w:val="24"/>
          <w:szCs w:val="24"/>
          <w:rtl/>
        </w:rPr>
        <w:t xml:space="preserve"> על שיווין בשל כך שאוסרת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2306EF">
        <w:rPr>
          <w:rFonts w:ascii="David" w:hAnsi="David" w:cs="David" w:hint="cs"/>
          <w:sz w:val="24"/>
          <w:szCs w:val="24"/>
          <w:rtl/>
        </w:rPr>
        <w:t>פרסום מיני פוגעני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3E0224">
        <w:rPr>
          <w:rFonts w:ascii="David" w:hAnsi="David" w:cs="David" w:hint="cs"/>
          <w:sz w:val="24"/>
          <w:szCs w:val="24"/>
          <w:rtl/>
        </w:rPr>
        <w:t>(שנגר</w:t>
      </w:r>
      <w:r w:rsidR="004262C5">
        <w:rPr>
          <w:rFonts w:ascii="David" w:hAnsi="David" w:cs="David" w:hint="cs"/>
          <w:sz w:val="24"/>
          <w:szCs w:val="24"/>
          <w:rtl/>
        </w:rPr>
        <w:t>ם</w:t>
      </w:r>
      <w:r w:rsidR="003E0224">
        <w:rPr>
          <w:rFonts w:ascii="David" w:hAnsi="David" w:cs="David" w:hint="cs"/>
          <w:sz w:val="24"/>
          <w:szCs w:val="24"/>
          <w:rtl/>
        </w:rPr>
        <w:t xml:space="preserve"> לנשים בד"כ)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ובכך </w:t>
      </w:r>
      <w:r w:rsidR="00753894">
        <w:rPr>
          <w:rFonts w:ascii="David" w:hAnsi="David" w:cs="David" w:hint="cs"/>
          <w:sz w:val="24"/>
          <w:szCs w:val="24"/>
          <w:rtl/>
        </w:rPr>
        <w:t>מובילה לשוויון כפי שמוביל אליו התיקון</w:t>
      </w:r>
      <w:commentRangeEnd w:id="5"/>
      <w:r w:rsidR="00F03581">
        <w:rPr>
          <w:rStyle w:val="ab"/>
          <w:rtl/>
        </w:rPr>
        <w:commentReference w:id="5"/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. </w:t>
      </w:r>
      <w:r w:rsidR="003E0224">
        <w:rPr>
          <w:rFonts w:ascii="David" w:hAnsi="David" w:cs="David" w:hint="cs"/>
          <w:b/>
          <w:bCs/>
          <w:sz w:val="24"/>
          <w:szCs w:val="24"/>
          <w:rtl/>
        </w:rPr>
        <w:t>2.</w:t>
      </w:r>
      <w:r w:rsidR="003E0224">
        <w:rPr>
          <w:rFonts w:ascii="David" w:hAnsi="David" w:cs="David" w:hint="cs"/>
          <w:sz w:val="24"/>
          <w:szCs w:val="24"/>
          <w:rtl/>
        </w:rPr>
        <w:t xml:space="preserve"> </w:t>
      </w:r>
      <w:r w:rsidR="003E0224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התיוג הנובע מן העבירה: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commentRangeStart w:id="6"/>
      <w:r w:rsidR="003E0224">
        <w:rPr>
          <w:rFonts w:ascii="David" w:hAnsi="David" w:cs="David" w:hint="cs"/>
          <w:sz w:val="24"/>
          <w:szCs w:val="24"/>
          <w:rtl/>
        </w:rPr>
        <w:t xml:space="preserve">עפ"י </w:t>
      </w:r>
      <w:r w:rsidR="000353CE" w:rsidRPr="00C73290">
        <w:rPr>
          <w:rFonts w:ascii="David" w:hAnsi="David" w:cs="David"/>
          <w:sz w:val="24"/>
          <w:szCs w:val="24"/>
          <w:rtl/>
        </w:rPr>
        <w:t>המאמר</w:t>
      </w:r>
      <w:r w:rsidR="003E0224">
        <w:rPr>
          <w:rFonts w:ascii="David" w:hAnsi="David" w:cs="David" w:hint="cs"/>
          <w:sz w:val="24"/>
          <w:szCs w:val="24"/>
          <w:rtl/>
        </w:rPr>
        <w:t xml:space="preserve">, </w:t>
      </w:r>
      <w:r w:rsidR="000353CE" w:rsidRPr="00C73290">
        <w:rPr>
          <w:rFonts w:ascii="David" w:hAnsi="David" w:cs="David"/>
          <w:sz w:val="24"/>
          <w:szCs w:val="24"/>
          <w:rtl/>
        </w:rPr>
        <w:t>על אף העונש הזהה</w:t>
      </w:r>
      <w:r w:rsidR="003E0224">
        <w:rPr>
          <w:rFonts w:ascii="David" w:hAnsi="David" w:cs="David" w:hint="cs"/>
          <w:sz w:val="24"/>
          <w:szCs w:val="24"/>
          <w:rtl/>
        </w:rPr>
        <w:t xml:space="preserve"> בין העבירות,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3E0224">
        <w:rPr>
          <w:rFonts w:ascii="David" w:hAnsi="David" w:cs="David" w:hint="cs"/>
          <w:sz w:val="24"/>
          <w:szCs w:val="24"/>
          <w:rtl/>
        </w:rPr>
        <w:t xml:space="preserve">עוצמת </w:t>
      </w:r>
      <w:r w:rsidR="000353CE" w:rsidRPr="00C73290">
        <w:rPr>
          <w:rFonts w:ascii="David" w:hAnsi="David" w:cs="David"/>
          <w:sz w:val="24"/>
          <w:szCs w:val="24"/>
          <w:rtl/>
        </w:rPr>
        <w:t>התיוג</w:t>
      </w:r>
      <w:r w:rsidR="003E0224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שונה- </w:t>
      </w:r>
      <w:r w:rsidR="003E0224">
        <w:rPr>
          <w:rFonts w:ascii="David" w:hAnsi="David" w:cs="David" w:hint="cs"/>
          <w:sz w:val="24"/>
          <w:szCs w:val="24"/>
          <w:rtl/>
        </w:rPr>
        <w:t xml:space="preserve">התיוג הנובע </w:t>
      </w:r>
      <w:r w:rsidR="002306EF">
        <w:rPr>
          <w:rFonts w:ascii="David" w:hAnsi="David" w:cs="David" w:hint="cs"/>
          <w:sz w:val="24"/>
          <w:szCs w:val="24"/>
          <w:rtl/>
        </w:rPr>
        <w:t xml:space="preserve">מהרשעה בגין התיקון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משקף את טיב הפגיעה </w:t>
      </w:r>
      <w:r w:rsidR="003E0224">
        <w:rPr>
          <w:rFonts w:ascii="David" w:hAnsi="David" w:cs="David" w:hint="cs"/>
          <w:sz w:val="24"/>
          <w:szCs w:val="24"/>
          <w:rtl/>
        </w:rPr>
        <w:t>בצורה טובה יותר</w:t>
      </w:r>
      <w:commentRangeEnd w:id="6"/>
      <w:r w:rsidR="00F03581">
        <w:rPr>
          <w:rStyle w:val="ab"/>
          <w:rtl/>
        </w:rPr>
        <w:commentReference w:id="6"/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. </w:t>
      </w:r>
      <w:r w:rsidR="003E0224">
        <w:rPr>
          <w:rFonts w:ascii="David" w:hAnsi="David" w:cs="David" w:hint="cs"/>
          <w:sz w:val="24"/>
          <w:szCs w:val="24"/>
          <w:rtl/>
        </w:rPr>
        <w:t xml:space="preserve">לדעתי,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ברור </w:t>
      </w:r>
      <w:r w:rsidR="003E0224">
        <w:rPr>
          <w:rFonts w:ascii="David" w:hAnsi="David" w:cs="David" w:hint="cs"/>
          <w:sz w:val="24"/>
          <w:szCs w:val="24"/>
          <w:rtl/>
        </w:rPr>
        <w:t xml:space="preserve">לחלוטין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כי </w:t>
      </w:r>
      <w:r w:rsidR="002306EF">
        <w:rPr>
          <w:rFonts w:ascii="David" w:hAnsi="David" w:cs="David" w:hint="cs"/>
          <w:sz w:val="24"/>
          <w:szCs w:val="24"/>
          <w:rtl/>
        </w:rPr>
        <w:t xml:space="preserve">התיקון </w:t>
      </w:r>
      <w:r w:rsidR="002F62A6">
        <w:rPr>
          <w:rFonts w:ascii="David" w:hAnsi="David" w:cs="David" w:hint="cs"/>
          <w:sz w:val="24"/>
          <w:szCs w:val="24"/>
          <w:rtl/>
        </w:rPr>
        <w:t>מתייג את הנאשם ו</w:t>
      </w:r>
      <w:r w:rsidR="000353CE" w:rsidRPr="00C73290">
        <w:rPr>
          <w:rFonts w:ascii="David" w:hAnsi="David" w:cs="David"/>
          <w:sz w:val="24"/>
          <w:szCs w:val="24"/>
          <w:rtl/>
        </w:rPr>
        <w:t>משקף את טיב מעש</w:t>
      </w:r>
      <w:r w:rsidR="002F62A6">
        <w:rPr>
          <w:rFonts w:ascii="David" w:hAnsi="David" w:cs="David" w:hint="cs"/>
          <w:sz w:val="24"/>
          <w:szCs w:val="24"/>
          <w:rtl/>
        </w:rPr>
        <w:t>יו בצורה טובה ומתאימה יותר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אך</w:t>
      </w:r>
      <w:r w:rsidR="003E0224">
        <w:rPr>
          <w:rFonts w:ascii="David" w:hAnsi="David" w:cs="David" w:hint="cs"/>
          <w:sz w:val="24"/>
          <w:szCs w:val="24"/>
          <w:rtl/>
        </w:rPr>
        <w:t xml:space="preserve"> עולה השאלה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האם התיוג הינו מטרה</w:t>
      </w:r>
      <w:r w:rsidR="00636767">
        <w:rPr>
          <w:rFonts w:ascii="David" w:hAnsi="David" w:cs="David" w:hint="cs"/>
          <w:sz w:val="24"/>
          <w:szCs w:val="24"/>
          <w:rtl/>
        </w:rPr>
        <w:t xml:space="preserve"> טובה</w:t>
      </w:r>
      <w:r w:rsidR="00055EFD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>א</w:t>
      </w:r>
      <w:r w:rsidR="00636767">
        <w:rPr>
          <w:rFonts w:ascii="David" w:hAnsi="David" w:cs="David" w:hint="cs"/>
          <w:sz w:val="24"/>
          <w:szCs w:val="24"/>
          <w:rtl/>
        </w:rPr>
        <w:t>שר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אנו רוצים לשמר ולהגבי</w:t>
      </w:r>
      <w:r w:rsidR="00753894">
        <w:rPr>
          <w:rFonts w:ascii="David" w:hAnsi="David" w:cs="David" w:hint="cs"/>
          <w:sz w:val="24"/>
          <w:szCs w:val="24"/>
          <w:rtl/>
        </w:rPr>
        <w:t>ר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? </w:t>
      </w:r>
      <w:r w:rsidR="003E0224">
        <w:rPr>
          <w:rFonts w:ascii="David" w:hAnsi="David" w:cs="David" w:hint="cs"/>
          <w:sz w:val="24"/>
          <w:szCs w:val="24"/>
          <w:rtl/>
        </w:rPr>
        <w:t xml:space="preserve">אני </w:t>
      </w:r>
      <w:r w:rsidR="00055EFD">
        <w:rPr>
          <w:rFonts w:ascii="David" w:hAnsi="David" w:cs="David" w:hint="cs"/>
          <w:sz w:val="24"/>
          <w:szCs w:val="24"/>
          <w:rtl/>
        </w:rPr>
        <w:t>סבורה</w:t>
      </w:r>
      <w:r w:rsidR="003E0224">
        <w:rPr>
          <w:rFonts w:ascii="David" w:hAnsi="David" w:cs="David" w:hint="cs"/>
          <w:sz w:val="24"/>
          <w:szCs w:val="24"/>
          <w:rtl/>
        </w:rPr>
        <w:t xml:space="preserve"> שלא. </w:t>
      </w:r>
      <w:r w:rsidR="000353CE" w:rsidRPr="00C73290">
        <w:rPr>
          <w:rFonts w:ascii="David" w:hAnsi="David" w:cs="David"/>
          <w:sz w:val="24"/>
          <w:szCs w:val="24"/>
          <w:rtl/>
        </w:rPr>
        <w:t>התיוג הינו תוצר לוואי של הענישה הפלילית</w:t>
      </w:r>
      <w:r w:rsidR="00636767">
        <w:rPr>
          <w:rStyle w:val="aa"/>
          <w:rFonts w:ascii="David" w:hAnsi="David" w:cs="David"/>
          <w:sz w:val="24"/>
          <w:szCs w:val="24"/>
          <w:rtl/>
        </w:rPr>
        <w:footnoteReference w:id="3"/>
      </w:r>
      <w:r w:rsidR="003E0224">
        <w:rPr>
          <w:rFonts w:ascii="David" w:hAnsi="David" w:cs="David" w:hint="cs"/>
          <w:sz w:val="24"/>
          <w:szCs w:val="24"/>
          <w:rtl/>
        </w:rPr>
        <w:t xml:space="preserve">. </w:t>
      </w:r>
      <w:r w:rsidR="000353CE" w:rsidRPr="00C73290">
        <w:rPr>
          <w:rFonts w:ascii="David" w:hAnsi="David" w:cs="David"/>
          <w:sz w:val="24"/>
          <w:szCs w:val="24"/>
          <w:rtl/>
        </w:rPr>
        <w:t>עצם הגעת אדם להליך פלילי</w:t>
      </w:r>
      <w:r w:rsidR="003E0224">
        <w:rPr>
          <w:rFonts w:ascii="David" w:hAnsi="David" w:cs="David" w:hint="cs"/>
          <w:sz w:val="24"/>
          <w:szCs w:val="24"/>
          <w:rtl/>
        </w:rPr>
        <w:t xml:space="preserve"> מדביקה עליו תג</w:t>
      </w:r>
      <w:r w:rsidR="002C0BA1">
        <w:rPr>
          <w:rFonts w:ascii="David" w:hAnsi="David" w:cs="David" w:hint="cs"/>
          <w:sz w:val="24"/>
          <w:szCs w:val="24"/>
          <w:rtl/>
        </w:rPr>
        <w:t xml:space="preserve"> ומביישת אותו</w:t>
      </w:r>
      <w:commentRangeStart w:id="7"/>
      <w:r w:rsidR="002C0BA1">
        <w:rPr>
          <w:rStyle w:val="aa"/>
          <w:rFonts w:ascii="David" w:hAnsi="David" w:cs="David"/>
          <w:sz w:val="24"/>
          <w:szCs w:val="24"/>
          <w:rtl/>
        </w:rPr>
        <w:footnoteReference w:id="4"/>
      </w:r>
      <w:r w:rsidR="003E0224">
        <w:rPr>
          <w:rFonts w:ascii="David" w:hAnsi="David" w:cs="David" w:hint="cs"/>
          <w:sz w:val="24"/>
          <w:szCs w:val="24"/>
          <w:rtl/>
        </w:rPr>
        <w:t>.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commentRangeEnd w:id="7"/>
      <w:r w:rsidR="00F03581">
        <w:rPr>
          <w:rStyle w:val="ab"/>
          <w:rtl/>
        </w:rPr>
        <w:commentReference w:id="7"/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לדעתי, </w:t>
      </w:r>
      <w:commentRangeStart w:id="8"/>
      <w:r w:rsidR="000353CE" w:rsidRPr="00C73290">
        <w:rPr>
          <w:rFonts w:ascii="David" w:hAnsi="David" w:cs="David"/>
          <w:sz w:val="24"/>
          <w:szCs w:val="24"/>
          <w:rtl/>
        </w:rPr>
        <w:t xml:space="preserve">אין להפוך את התג הזה לבולט עוד יותר שהרי </w:t>
      </w:r>
      <w:r w:rsidR="003E0224">
        <w:rPr>
          <w:rFonts w:ascii="David" w:hAnsi="David" w:cs="David" w:hint="cs"/>
          <w:sz w:val="24"/>
          <w:szCs w:val="24"/>
          <w:rtl/>
        </w:rPr>
        <w:t>העונש הקבוע בעבירה הינו העונש המגיע לנאשם ולא תוצר הלוואי (הגינוי) הנובע מעונש זה ומההליכים המובילים אלי</w:t>
      </w:r>
      <w:commentRangeEnd w:id="8"/>
      <w:r w:rsidR="00F03581">
        <w:rPr>
          <w:rStyle w:val="ab"/>
          <w:rtl/>
        </w:rPr>
        <w:commentReference w:id="8"/>
      </w:r>
      <w:r w:rsidR="003E0224">
        <w:rPr>
          <w:rFonts w:ascii="David" w:hAnsi="David" w:cs="David" w:hint="cs"/>
          <w:sz w:val="24"/>
          <w:szCs w:val="24"/>
          <w:rtl/>
        </w:rPr>
        <w:t xml:space="preserve">ו. </w:t>
      </w:r>
      <w:r w:rsidR="002306EF">
        <w:rPr>
          <w:rFonts w:ascii="David" w:hAnsi="David" w:cs="David" w:hint="cs"/>
          <w:sz w:val="24"/>
          <w:szCs w:val="24"/>
          <w:rtl/>
        </w:rPr>
        <w:t xml:space="preserve">כל זאת בשל סברתי </w:t>
      </w:r>
      <w:r w:rsidR="003E0224">
        <w:rPr>
          <w:rFonts w:ascii="David" w:hAnsi="David" w:cs="David" w:hint="cs"/>
          <w:sz w:val="24"/>
          <w:szCs w:val="24"/>
          <w:rtl/>
        </w:rPr>
        <w:t xml:space="preserve">כי </w:t>
      </w:r>
      <w:r w:rsidR="000353CE" w:rsidRPr="00C73290">
        <w:rPr>
          <w:rFonts w:ascii="David" w:hAnsi="David" w:cs="David"/>
          <w:sz w:val="24"/>
          <w:szCs w:val="24"/>
          <w:rtl/>
        </w:rPr>
        <w:t>הרשעה על פגיעה בפרטיות חמורה פחות או לפחות נ</w:t>
      </w:r>
      <w:r w:rsidR="002C0BA1">
        <w:rPr>
          <w:rFonts w:ascii="David" w:hAnsi="David" w:cs="David" w:hint="cs"/>
          <w:sz w:val="24"/>
          <w:szCs w:val="24"/>
          <w:rtl/>
        </w:rPr>
        <w:t>תפסת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2C0BA1">
        <w:rPr>
          <w:rFonts w:ascii="David" w:hAnsi="David" w:cs="David" w:hint="cs"/>
          <w:sz w:val="24"/>
          <w:szCs w:val="24"/>
          <w:rtl/>
        </w:rPr>
        <w:t>כ</w:t>
      </w:r>
      <w:r w:rsidR="003E0224">
        <w:rPr>
          <w:rFonts w:ascii="David" w:hAnsi="David" w:cs="David" w:hint="cs"/>
          <w:sz w:val="24"/>
          <w:szCs w:val="24"/>
          <w:rtl/>
        </w:rPr>
        <w:t>חמורה פחות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636767">
        <w:rPr>
          <w:rFonts w:ascii="David" w:hAnsi="David" w:cs="David" w:hint="cs"/>
          <w:sz w:val="24"/>
          <w:szCs w:val="24"/>
          <w:rtl/>
        </w:rPr>
        <w:t>(</w:t>
      </w:r>
      <w:r w:rsidR="003E0224">
        <w:rPr>
          <w:rFonts w:ascii="David" w:hAnsi="David" w:cs="David" w:hint="cs"/>
          <w:sz w:val="24"/>
          <w:szCs w:val="24"/>
          <w:rtl/>
        </w:rPr>
        <w:t>ב</w:t>
      </w:r>
      <w:r w:rsidR="00636767">
        <w:rPr>
          <w:rFonts w:ascii="David" w:hAnsi="David" w:cs="David" w:hint="cs"/>
          <w:sz w:val="24"/>
          <w:szCs w:val="24"/>
          <w:rtl/>
        </w:rPr>
        <w:t>עיני ה</w:t>
      </w:r>
      <w:r w:rsidR="000353CE" w:rsidRPr="00C73290">
        <w:rPr>
          <w:rFonts w:ascii="David" w:hAnsi="David" w:cs="David"/>
          <w:sz w:val="24"/>
          <w:szCs w:val="24"/>
          <w:rtl/>
        </w:rPr>
        <w:t>ציבור</w:t>
      </w:r>
      <w:r w:rsidR="00636767">
        <w:rPr>
          <w:rFonts w:ascii="David" w:hAnsi="David" w:cs="David" w:hint="cs"/>
          <w:sz w:val="24"/>
          <w:szCs w:val="24"/>
          <w:rtl/>
        </w:rPr>
        <w:t>)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מאשר </w:t>
      </w:r>
      <w:r w:rsidR="003E0224">
        <w:rPr>
          <w:rFonts w:ascii="David" w:hAnsi="David" w:cs="David" w:hint="cs"/>
          <w:sz w:val="24"/>
          <w:szCs w:val="24"/>
          <w:rtl/>
        </w:rPr>
        <w:t xml:space="preserve">הרשעה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על פגיעה מינית </w:t>
      </w:r>
      <w:r w:rsidR="003E0224">
        <w:rPr>
          <w:rFonts w:ascii="David" w:hAnsi="David" w:cs="David" w:hint="cs"/>
          <w:sz w:val="24"/>
          <w:szCs w:val="24"/>
          <w:rtl/>
        </w:rPr>
        <w:t xml:space="preserve">שמתייגת את הנאשם </w:t>
      </w:r>
      <w:r w:rsidR="000353CE" w:rsidRPr="00C73290">
        <w:rPr>
          <w:rFonts w:ascii="David" w:hAnsi="David" w:cs="David"/>
          <w:sz w:val="24"/>
          <w:szCs w:val="24"/>
          <w:rtl/>
        </w:rPr>
        <w:t>כעבריין מין. אדם כזה, גם אם יתחרט בכל ליבו על מעשיו</w:t>
      </w:r>
      <w:r w:rsidR="00636767">
        <w:rPr>
          <w:rFonts w:ascii="David" w:hAnsi="David" w:cs="David" w:hint="cs"/>
          <w:sz w:val="24"/>
          <w:szCs w:val="24"/>
          <w:rtl/>
        </w:rPr>
        <w:t xml:space="preserve">-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יאבד את המוניטין שלו וסביר להניח שיאבד </w:t>
      </w:r>
      <w:r w:rsidR="00F7612D">
        <w:rPr>
          <w:rFonts w:ascii="David" w:hAnsi="David" w:cs="David" w:hint="cs"/>
          <w:sz w:val="24"/>
          <w:szCs w:val="24"/>
          <w:rtl/>
        </w:rPr>
        <w:t xml:space="preserve">גם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אופציות </w:t>
      </w:r>
      <w:r w:rsidR="00F7612D">
        <w:rPr>
          <w:rFonts w:ascii="David" w:hAnsi="David" w:cs="David" w:hint="cs"/>
          <w:sz w:val="24"/>
          <w:szCs w:val="24"/>
          <w:rtl/>
        </w:rPr>
        <w:t xml:space="preserve">רבות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לפרנסה לאחר שחרורו. בנוסף, </w:t>
      </w:r>
      <w:r w:rsidR="00F7612D">
        <w:rPr>
          <w:rFonts w:ascii="David" w:hAnsi="David" w:cs="David" w:hint="cs"/>
          <w:sz w:val="24"/>
          <w:szCs w:val="24"/>
          <w:rtl/>
        </w:rPr>
        <w:t xml:space="preserve">תיוג </w:t>
      </w:r>
      <w:r w:rsidR="000353CE" w:rsidRPr="00C73290">
        <w:rPr>
          <w:rFonts w:ascii="David" w:hAnsi="David" w:cs="David"/>
          <w:sz w:val="24"/>
          <w:szCs w:val="24"/>
          <w:rtl/>
        </w:rPr>
        <w:t>זה</w:t>
      </w:r>
      <w:r w:rsidR="00F7612D">
        <w:rPr>
          <w:rFonts w:ascii="David" w:hAnsi="David" w:cs="David" w:hint="cs"/>
          <w:sz w:val="24"/>
          <w:szCs w:val="24"/>
          <w:rtl/>
        </w:rPr>
        <w:t>, סביר ש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יוקיע </w:t>
      </w:r>
      <w:r w:rsidR="00636767">
        <w:rPr>
          <w:rFonts w:ascii="David" w:hAnsi="David" w:cs="David" w:hint="cs"/>
          <w:sz w:val="24"/>
          <w:szCs w:val="24"/>
          <w:rtl/>
        </w:rPr>
        <w:t>את הנאשם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מהציבור ו</w:t>
      </w:r>
      <w:r w:rsidR="00F7612D">
        <w:rPr>
          <w:rFonts w:ascii="David" w:hAnsi="David" w:cs="David" w:hint="cs"/>
          <w:sz w:val="24"/>
          <w:szCs w:val="24"/>
          <w:rtl/>
        </w:rPr>
        <w:t>ממעגל חבריו וקרוביו</w:t>
      </w:r>
      <w:r w:rsidR="000353CE" w:rsidRPr="00C73290">
        <w:rPr>
          <w:rFonts w:ascii="David" w:hAnsi="David" w:cs="David"/>
          <w:sz w:val="24"/>
          <w:szCs w:val="24"/>
          <w:rtl/>
        </w:rPr>
        <w:t>.</w:t>
      </w:r>
      <w:r w:rsidR="00285F89">
        <w:rPr>
          <w:rFonts w:ascii="David" w:hAnsi="David" w:cs="David" w:hint="cs"/>
          <w:sz w:val="24"/>
          <w:szCs w:val="24"/>
          <w:rtl/>
        </w:rPr>
        <w:t xml:space="preserve"> כל אלו, נראים כהרתעה יתרה וכמניעת אופציה לשיקום שהינו מטרה חשובה יותר מן הרתעה (שיקום מאפשר לחרוג מתחומי הענישה</w:t>
      </w:r>
      <w:r w:rsidR="00953840">
        <w:rPr>
          <w:rStyle w:val="aa"/>
          <w:rFonts w:ascii="David" w:hAnsi="David" w:cs="David"/>
          <w:sz w:val="24"/>
          <w:szCs w:val="24"/>
          <w:rtl/>
        </w:rPr>
        <w:footnoteReference w:id="5"/>
      </w:r>
      <w:r w:rsidR="00771AF4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285F89">
        <w:rPr>
          <w:rFonts w:ascii="David" w:hAnsi="David" w:cs="David" w:hint="cs"/>
          <w:sz w:val="24"/>
          <w:szCs w:val="24"/>
          <w:rtl/>
        </w:rPr>
        <w:t>בניגוד להרתעה</w:t>
      </w:r>
      <w:r w:rsidR="00953840">
        <w:rPr>
          <w:rStyle w:val="aa"/>
          <w:rFonts w:ascii="David" w:hAnsi="David" w:cs="David"/>
          <w:sz w:val="24"/>
          <w:szCs w:val="24"/>
          <w:rtl/>
        </w:rPr>
        <w:footnoteReference w:id="6"/>
      </w:r>
      <w:r w:rsidR="00953840">
        <w:rPr>
          <w:rFonts w:ascii="David" w:hAnsi="David" w:cs="David" w:hint="cs"/>
          <w:sz w:val="24"/>
          <w:szCs w:val="24"/>
          <w:rtl/>
        </w:rPr>
        <w:t xml:space="preserve">, </w:t>
      </w:r>
      <w:r w:rsidR="00285F89">
        <w:rPr>
          <w:rFonts w:ascii="David" w:hAnsi="David" w:cs="David" w:hint="cs"/>
          <w:sz w:val="24"/>
          <w:szCs w:val="24"/>
          <w:rtl/>
        </w:rPr>
        <w:t>דבר שמראה על חשיבותו הגבוהה יותר).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לכן, אני סבורה כי</w:t>
      </w:r>
      <w:r w:rsidR="00F7612D">
        <w:rPr>
          <w:rFonts w:ascii="David" w:hAnsi="David" w:cs="David" w:hint="cs"/>
          <w:sz w:val="24"/>
          <w:szCs w:val="24"/>
          <w:rtl/>
        </w:rPr>
        <w:t xml:space="preserve"> </w:t>
      </w:r>
      <w:r w:rsidR="0043363C">
        <w:rPr>
          <w:rFonts w:ascii="David" w:hAnsi="David" w:cs="David" w:hint="cs"/>
          <w:sz w:val="24"/>
          <w:szCs w:val="24"/>
          <w:rtl/>
        </w:rPr>
        <w:t>אשם</w:t>
      </w:r>
      <w:r w:rsidR="00F7612D">
        <w:rPr>
          <w:rFonts w:ascii="David" w:hAnsi="David" w:cs="David" w:hint="cs"/>
          <w:sz w:val="24"/>
          <w:szCs w:val="24"/>
          <w:rtl/>
        </w:rPr>
        <w:t xml:space="preserve"> על סמך התיקון יוביל ל</w:t>
      </w:r>
      <w:r w:rsidR="00285F89">
        <w:rPr>
          <w:rFonts w:ascii="David" w:hAnsi="David" w:cs="David" w:hint="cs"/>
          <w:sz w:val="24"/>
          <w:szCs w:val="24"/>
          <w:rtl/>
        </w:rPr>
        <w:t>חוסר יכולת שיקום ול</w:t>
      </w:r>
      <w:r w:rsidR="00F7612D">
        <w:rPr>
          <w:rFonts w:ascii="David" w:hAnsi="David" w:cs="David" w:hint="cs"/>
          <w:sz w:val="24"/>
          <w:szCs w:val="24"/>
          <w:rtl/>
        </w:rPr>
        <w:t>הרתעת יתר שאינה נחוצה כאשר ניתן</w:t>
      </w:r>
      <w:r w:rsidR="00636767">
        <w:rPr>
          <w:rFonts w:ascii="David" w:hAnsi="David" w:cs="David" w:hint="cs"/>
          <w:sz w:val="24"/>
          <w:szCs w:val="24"/>
          <w:rtl/>
        </w:rPr>
        <w:t xml:space="preserve"> </w:t>
      </w:r>
      <w:r w:rsidR="00F7612D">
        <w:rPr>
          <w:rFonts w:ascii="David" w:hAnsi="David" w:cs="David" w:hint="cs"/>
          <w:sz w:val="24"/>
          <w:szCs w:val="24"/>
          <w:rtl/>
        </w:rPr>
        <w:t>להרשיע בגין אותו מעשה ו</w:t>
      </w:r>
      <w:r w:rsidR="00285F89">
        <w:rPr>
          <w:rFonts w:ascii="David" w:hAnsi="David" w:cs="David" w:hint="cs"/>
          <w:sz w:val="24"/>
          <w:szCs w:val="24"/>
          <w:rtl/>
        </w:rPr>
        <w:t>ל</w:t>
      </w:r>
      <w:r w:rsidR="00636767">
        <w:rPr>
          <w:rFonts w:ascii="David" w:hAnsi="David" w:cs="David" w:hint="cs"/>
          <w:sz w:val="24"/>
          <w:szCs w:val="24"/>
          <w:rtl/>
        </w:rPr>
        <w:t>השיג</w:t>
      </w:r>
      <w:r w:rsidR="00F7612D">
        <w:rPr>
          <w:rFonts w:ascii="David" w:hAnsi="David" w:cs="David" w:hint="cs"/>
          <w:sz w:val="24"/>
          <w:szCs w:val="24"/>
          <w:rtl/>
        </w:rPr>
        <w:t xml:space="preserve"> עונש זהה מחוק שמגנה פחות. </w:t>
      </w:r>
      <w:r w:rsidR="00636767">
        <w:rPr>
          <w:rFonts w:ascii="David" w:hAnsi="David" w:cs="David" w:hint="cs"/>
          <w:sz w:val="24"/>
          <w:szCs w:val="24"/>
          <w:rtl/>
        </w:rPr>
        <w:t>בנוסף, לדעתי יש לנהוג כך</w:t>
      </w:r>
      <w:r w:rsidR="00F7612D">
        <w:rPr>
          <w:rFonts w:ascii="David" w:hAnsi="David" w:cs="David" w:hint="cs"/>
          <w:sz w:val="24"/>
          <w:szCs w:val="24"/>
          <w:rtl/>
        </w:rPr>
        <w:t xml:space="preserve"> גם בשל מדיניות ההקלה עם הנאשם</w:t>
      </w:r>
      <w:r w:rsidR="006B2A9A">
        <w:rPr>
          <w:rStyle w:val="aa"/>
          <w:rFonts w:ascii="David" w:hAnsi="David" w:cs="David"/>
          <w:sz w:val="24"/>
          <w:szCs w:val="24"/>
          <w:rtl/>
        </w:rPr>
        <w:footnoteReference w:id="7"/>
      </w:r>
      <w:r w:rsidR="00AA6F93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וזאת על אף שמשקפת </w:t>
      </w:r>
      <w:r w:rsidR="00F7612D">
        <w:rPr>
          <w:rFonts w:ascii="David" w:hAnsi="David" w:cs="David" w:hint="cs"/>
          <w:sz w:val="24"/>
          <w:szCs w:val="24"/>
          <w:rtl/>
        </w:rPr>
        <w:t xml:space="preserve">בצורה </w:t>
      </w:r>
      <w:r w:rsidR="000353CE" w:rsidRPr="00C73290">
        <w:rPr>
          <w:rFonts w:ascii="David" w:hAnsi="David" w:cs="David"/>
          <w:sz w:val="24"/>
          <w:szCs w:val="24"/>
          <w:rtl/>
        </w:rPr>
        <w:t>פחות</w:t>
      </w:r>
      <w:r w:rsidR="00F7612D">
        <w:rPr>
          <w:rFonts w:ascii="David" w:hAnsi="David" w:cs="David" w:hint="cs"/>
          <w:sz w:val="24"/>
          <w:szCs w:val="24"/>
          <w:rtl/>
        </w:rPr>
        <w:t xml:space="preserve"> מדויקת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את טיב מעשי</w:t>
      </w:r>
      <w:r w:rsidR="00636767">
        <w:rPr>
          <w:rFonts w:ascii="David" w:hAnsi="David" w:cs="David" w:hint="cs"/>
          <w:sz w:val="24"/>
          <w:szCs w:val="24"/>
          <w:rtl/>
        </w:rPr>
        <w:t>ו</w:t>
      </w:r>
      <w:r w:rsidR="008F3F18">
        <w:rPr>
          <w:rFonts w:ascii="David" w:hAnsi="David" w:cs="David" w:hint="cs"/>
          <w:sz w:val="24"/>
          <w:szCs w:val="24"/>
          <w:rtl/>
        </w:rPr>
        <w:t xml:space="preserve"> ו</w:t>
      </w:r>
      <w:r w:rsidR="00F17A61">
        <w:rPr>
          <w:rFonts w:ascii="David" w:hAnsi="David" w:cs="David" w:hint="cs"/>
          <w:sz w:val="24"/>
          <w:szCs w:val="24"/>
          <w:rtl/>
        </w:rPr>
        <w:t>ע</w:t>
      </w:r>
      <w:r w:rsidR="008F3F18">
        <w:rPr>
          <w:rFonts w:ascii="David" w:hAnsi="David" w:cs="David" w:hint="cs"/>
          <w:sz w:val="24"/>
          <w:szCs w:val="24"/>
          <w:rtl/>
        </w:rPr>
        <w:t>ל אף ש</w:t>
      </w:r>
      <w:r w:rsidR="00F17A61">
        <w:rPr>
          <w:rFonts w:ascii="David" w:hAnsi="David" w:cs="David" w:hint="cs"/>
          <w:sz w:val="24"/>
          <w:szCs w:val="24"/>
          <w:rtl/>
        </w:rPr>
        <w:t xml:space="preserve">סותרת את </w:t>
      </w:r>
      <w:r w:rsidR="008F3F18">
        <w:rPr>
          <w:rFonts w:ascii="David" w:hAnsi="David" w:cs="David" w:hint="cs"/>
          <w:sz w:val="24"/>
          <w:szCs w:val="24"/>
          <w:rtl/>
        </w:rPr>
        <w:t xml:space="preserve">התיאוריה </w:t>
      </w:r>
      <w:proofErr w:type="spellStart"/>
      <w:r w:rsidR="008F3F18">
        <w:rPr>
          <w:rFonts w:ascii="David" w:hAnsi="David" w:cs="David" w:hint="cs"/>
          <w:sz w:val="24"/>
          <w:szCs w:val="24"/>
          <w:rtl/>
        </w:rPr>
        <w:t>הגמולית</w:t>
      </w:r>
      <w:proofErr w:type="spellEnd"/>
      <w:r w:rsidR="00F17A61">
        <w:rPr>
          <w:rFonts w:ascii="David" w:hAnsi="David" w:cs="David" w:hint="cs"/>
          <w:sz w:val="24"/>
          <w:szCs w:val="24"/>
          <w:rtl/>
        </w:rPr>
        <w:t xml:space="preserve"> המודרנית</w:t>
      </w:r>
      <w:r w:rsidR="008F3F18">
        <w:rPr>
          <w:rFonts w:ascii="David" w:hAnsi="David" w:cs="David" w:hint="cs"/>
          <w:sz w:val="24"/>
          <w:szCs w:val="24"/>
          <w:rtl/>
        </w:rPr>
        <w:t xml:space="preserve"> </w:t>
      </w:r>
      <w:r w:rsidR="00F17A61">
        <w:rPr>
          <w:rFonts w:ascii="David" w:hAnsi="David" w:cs="David" w:hint="cs"/>
          <w:sz w:val="24"/>
          <w:szCs w:val="24"/>
          <w:rtl/>
        </w:rPr>
        <w:t>לפיה יש להשיב לאדם באופן שווה ומדויק למעשיו</w:t>
      </w:r>
      <w:r w:rsidR="00636767">
        <w:rPr>
          <w:rFonts w:ascii="David" w:hAnsi="David" w:cs="David" w:hint="cs"/>
          <w:sz w:val="24"/>
          <w:szCs w:val="24"/>
          <w:rtl/>
        </w:rPr>
        <w:t xml:space="preserve">. </w:t>
      </w:r>
      <w:r w:rsidR="00AA6F93" w:rsidRPr="00AA6F93">
        <w:rPr>
          <w:rFonts w:ascii="David" w:hAnsi="David" w:cs="David" w:hint="cs"/>
          <w:b/>
          <w:bCs/>
          <w:sz w:val="24"/>
          <w:szCs w:val="24"/>
          <w:rtl/>
        </w:rPr>
        <w:t>3.</w:t>
      </w:r>
      <w:r w:rsidR="000353CE" w:rsidRPr="00AA6F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לפי המאמר, </w:t>
      </w:r>
      <w:r w:rsidR="00F7612D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קיימות </w:t>
      </w:r>
      <w:r w:rsidR="00432DC7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>השלכות היקפיות כבדות משקל לעניין זכויות נפגעי העבירה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הנובעות מ-4 חוקים שונים</w:t>
      </w:r>
      <w:r w:rsidR="00432DC7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432DC7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הנוגעות ל</w:t>
      </w:r>
      <w:r w:rsidR="00F7612D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כדאיות כלילת האיסור </w:t>
      </w:r>
      <w:r w:rsidR="000353CE" w:rsidRPr="00AA6F93">
        <w:rPr>
          <w:rFonts w:ascii="David" w:hAnsi="David" w:cs="David"/>
          <w:b/>
          <w:bCs/>
          <w:sz w:val="24"/>
          <w:szCs w:val="24"/>
          <w:u w:val="single"/>
          <w:rtl/>
        </w:rPr>
        <w:t>בתיק</w:t>
      </w:r>
      <w:r w:rsidR="00432DC7" w:rsidRPr="00AA6F93">
        <w:rPr>
          <w:rFonts w:ascii="David" w:hAnsi="David" w:cs="David" w:hint="cs"/>
          <w:b/>
          <w:bCs/>
          <w:sz w:val="24"/>
          <w:szCs w:val="24"/>
          <w:u w:val="single"/>
          <w:rtl/>
        </w:rPr>
        <w:t>ון 10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ולא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בחהה"פ</w:t>
      </w:r>
      <w:proofErr w:type="spellEnd"/>
      <w:r w:rsidR="000353CE" w:rsidRPr="00AA6F93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="000353CE" w:rsidRPr="00AA6F93">
        <w:rPr>
          <w:rFonts w:ascii="David" w:hAnsi="David" w:cs="David"/>
          <w:sz w:val="24"/>
          <w:szCs w:val="24"/>
          <w:rtl/>
        </w:rPr>
        <w:t xml:space="preserve"> </w:t>
      </w:r>
      <w:r w:rsidR="00AA6F93">
        <w:rPr>
          <w:rFonts w:ascii="David" w:hAnsi="David" w:cs="David" w:hint="cs"/>
          <w:b/>
          <w:bCs/>
          <w:sz w:val="24"/>
          <w:szCs w:val="24"/>
          <w:rtl/>
        </w:rPr>
        <w:t>א</w:t>
      </w:r>
      <w:r w:rsidR="00F7612D" w:rsidRPr="00F7612D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F7612D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9"/>
      <w:r w:rsidR="0043363C">
        <w:rPr>
          <w:rFonts w:ascii="David" w:hAnsi="David" w:cs="David" w:hint="cs"/>
          <w:sz w:val="24"/>
          <w:szCs w:val="24"/>
          <w:rtl/>
        </w:rPr>
        <w:t xml:space="preserve">עפ"י המאמר, </w:t>
      </w:r>
      <w:r w:rsidR="00F7612D">
        <w:rPr>
          <w:rFonts w:ascii="David" w:hAnsi="David" w:cs="David" w:hint="cs"/>
          <w:sz w:val="24"/>
          <w:szCs w:val="24"/>
          <w:rtl/>
        </w:rPr>
        <w:t xml:space="preserve">אם וכאשר אדם מורשע על סמך תיקון 10, הדבר מכליל את נפגע העבירה בתוך </w:t>
      </w:r>
      <w:r w:rsidR="00F7612D" w:rsidRPr="00134EBD">
        <w:rPr>
          <w:rFonts w:ascii="David" w:hAnsi="David" w:cs="David" w:hint="cs"/>
          <w:b/>
          <w:bCs/>
          <w:sz w:val="24"/>
          <w:szCs w:val="24"/>
          <w:rtl/>
        </w:rPr>
        <w:t>חוק זכויות נפגעי העבירה</w:t>
      </w:r>
      <w:r w:rsidR="00F7612D">
        <w:rPr>
          <w:rFonts w:ascii="David" w:hAnsi="David" w:cs="David" w:hint="cs"/>
          <w:sz w:val="24"/>
          <w:szCs w:val="24"/>
          <w:rtl/>
        </w:rPr>
        <w:t xml:space="preserve"> ובכך מעניק לו סל זכויות, שלא היה ניתן</w:t>
      </w:r>
      <w:r w:rsidR="0043363C">
        <w:rPr>
          <w:rFonts w:ascii="David" w:hAnsi="David" w:cs="David" w:hint="cs"/>
          <w:sz w:val="24"/>
          <w:szCs w:val="24"/>
          <w:rtl/>
        </w:rPr>
        <w:t xml:space="preserve"> בהרשעה</w:t>
      </w:r>
      <w:r w:rsidR="00F7612D">
        <w:rPr>
          <w:rFonts w:ascii="David" w:hAnsi="David" w:cs="David" w:hint="cs"/>
          <w:sz w:val="24"/>
          <w:szCs w:val="24"/>
          <w:rtl/>
        </w:rPr>
        <w:t xml:space="preserve"> על סמך </w:t>
      </w:r>
      <w:proofErr w:type="spellStart"/>
      <w:r w:rsidR="00F7612D">
        <w:rPr>
          <w:rFonts w:ascii="David" w:hAnsi="David" w:cs="David" w:hint="cs"/>
          <w:sz w:val="24"/>
          <w:szCs w:val="24"/>
          <w:rtl/>
        </w:rPr>
        <w:t>חהה"פ</w:t>
      </w:r>
      <w:proofErr w:type="spellEnd"/>
      <w:r w:rsidR="00F7612D">
        <w:rPr>
          <w:rFonts w:ascii="David" w:hAnsi="David" w:cs="David" w:hint="cs"/>
          <w:sz w:val="24"/>
          <w:szCs w:val="24"/>
          <w:rtl/>
        </w:rPr>
        <w:t>.</w:t>
      </w:r>
      <w:r w:rsidR="00636767">
        <w:rPr>
          <w:rFonts w:ascii="David" w:hAnsi="David" w:cs="David" w:hint="cs"/>
          <w:sz w:val="24"/>
          <w:szCs w:val="24"/>
          <w:rtl/>
        </w:rPr>
        <w:t xml:space="preserve"> </w:t>
      </w:r>
      <w:commentRangeEnd w:id="9"/>
      <w:r w:rsidR="00F03581">
        <w:rPr>
          <w:rStyle w:val="ab"/>
          <w:rtl/>
        </w:rPr>
        <w:commentReference w:id="9"/>
      </w:r>
      <w:r w:rsidR="00636767">
        <w:rPr>
          <w:rFonts w:ascii="David" w:hAnsi="David" w:cs="David" w:hint="cs"/>
          <w:sz w:val="24"/>
          <w:szCs w:val="24"/>
          <w:rtl/>
        </w:rPr>
        <w:t>אני שוללת אמירה זו</w:t>
      </w:r>
      <w:r w:rsidR="00F7612D">
        <w:rPr>
          <w:rFonts w:ascii="David" w:hAnsi="David" w:cs="David" w:hint="cs"/>
          <w:sz w:val="24"/>
          <w:szCs w:val="24"/>
          <w:rtl/>
        </w:rPr>
        <w:t>: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חוק זכויות נפגעי עבירה מגדיר </w:t>
      </w:r>
      <w:r w:rsidR="000353CE" w:rsidRPr="00C73290">
        <w:rPr>
          <w:rFonts w:ascii="David" w:hAnsi="David" w:cs="David"/>
          <w:sz w:val="24"/>
          <w:szCs w:val="24"/>
          <w:rtl/>
        </w:rPr>
        <w:lastRenderedPageBreak/>
        <w:t xml:space="preserve">כעבירות מין את מי שנכלל בסעיף 5 </w:t>
      </w:r>
      <w:commentRangeStart w:id="10"/>
      <w:proofErr w:type="spellStart"/>
      <w:r w:rsidR="000353CE" w:rsidRPr="00C73290">
        <w:rPr>
          <w:rFonts w:ascii="David" w:hAnsi="David" w:cs="David"/>
          <w:sz w:val="24"/>
          <w:szCs w:val="24"/>
          <w:rtl/>
        </w:rPr>
        <w:t>לח</w:t>
      </w:r>
      <w:r w:rsidR="00636767">
        <w:rPr>
          <w:rFonts w:ascii="David" w:hAnsi="David" w:cs="David" w:hint="cs"/>
          <w:sz w:val="24"/>
          <w:szCs w:val="24"/>
          <w:rtl/>
        </w:rPr>
        <w:t>לה"מ</w:t>
      </w:r>
      <w:proofErr w:type="spellEnd"/>
      <w:r w:rsidR="000353CE" w:rsidRPr="00C73290">
        <w:rPr>
          <w:rFonts w:ascii="David" w:hAnsi="David" w:cs="David"/>
          <w:sz w:val="24"/>
          <w:szCs w:val="24"/>
          <w:rtl/>
        </w:rPr>
        <w:t xml:space="preserve">. בסעיף 5(א) </w:t>
      </w:r>
      <w:proofErr w:type="spellStart"/>
      <w:r w:rsidR="000353CE" w:rsidRPr="00C73290">
        <w:rPr>
          <w:rFonts w:ascii="David" w:hAnsi="David" w:cs="David"/>
          <w:sz w:val="24"/>
          <w:szCs w:val="24"/>
          <w:rtl/>
        </w:rPr>
        <w:t>ל</w:t>
      </w:r>
      <w:r w:rsidR="00636767">
        <w:rPr>
          <w:rFonts w:ascii="David" w:hAnsi="David" w:cs="David" w:hint="cs"/>
          <w:sz w:val="24"/>
          <w:szCs w:val="24"/>
          <w:rtl/>
        </w:rPr>
        <w:t>חלה"מ</w:t>
      </w:r>
      <w:proofErr w:type="spellEnd"/>
      <w:r w:rsidR="000353CE" w:rsidRPr="00C73290">
        <w:rPr>
          <w:rFonts w:ascii="David" w:hAnsi="David" w:cs="David"/>
          <w:sz w:val="24"/>
          <w:szCs w:val="24"/>
          <w:rtl/>
        </w:rPr>
        <w:t xml:space="preserve"> מצ</w:t>
      </w:r>
      <w:r w:rsidR="00636767">
        <w:rPr>
          <w:rFonts w:ascii="David" w:hAnsi="David" w:cs="David" w:hint="cs"/>
          <w:sz w:val="24"/>
          <w:szCs w:val="24"/>
          <w:rtl/>
        </w:rPr>
        <w:t>ו</w:t>
      </w:r>
      <w:r w:rsidR="000353CE" w:rsidRPr="00C73290">
        <w:rPr>
          <w:rFonts w:ascii="David" w:hAnsi="David" w:cs="David"/>
          <w:sz w:val="24"/>
          <w:szCs w:val="24"/>
          <w:rtl/>
        </w:rPr>
        <w:t>ין כי</w:t>
      </w:r>
      <w:r w:rsidR="00636767">
        <w:rPr>
          <w:rFonts w:ascii="David" w:hAnsi="David" w:cs="David" w:hint="cs"/>
          <w:sz w:val="24"/>
          <w:szCs w:val="24"/>
          <w:rtl/>
        </w:rPr>
        <w:t>: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r w:rsidR="00636767" w:rsidRPr="00AA6F9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353CE" w:rsidRPr="00C73290">
        <w:rPr>
          <w:rFonts w:ascii="David" w:hAnsi="David" w:cs="David"/>
          <w:color w:val="000000"/>
          <w:sz w:val="24"/>
          <w:szCs w:val="24"/>
          <w:rtl/>
        </w:rPr>
        <w:t xml:space="preserve">המטריד מינית אדם כאמור בסעיף 3(א)(5א), </w:t>
      </w:r>
      <w:r w:rsidR="000353CE" w:rsidRPr="00AA6F93">
        <w:rPr>
          <w:rFonts w:ascii="David" w:hAnsi="David" w:cs="David"/>
          <w:color w:val="000000"/>
          <w:sz w:val="24"/>
          <w:szCs w:val="24"/>
          <w:u w:val="single"/>
          <w:rtl/>
        </w:rPr>
        <w:t>דינו כדין</w:t>
      </w:r>
      <w:r w:rsidR="000353CE" w:rsidRPr="00C73290">
        <w:rPr>
          <w:rFonts w:ascii="David" w:hAnsi="David" w:cs="David"/>
          <w:color w:val="000000"/>
          <w:sz w:val="24"/>
          <w:szCs w:val="24"/>
          <w:rtl/>
        </w:rPr>
        <w:t xml:space="preserve"> הפוגע במזיד בפרטיות זולתו כאמור בסעיף 5 לחוק הגנת הפרטיו</w:t>
      </w:r>
      <w:r w:rsidR="00636767">
        <w:rPr>
          <w:rFonts w:ascii="David" w:hAnsi="David" w:cs="David" w:hint="cs"/>
          <w:color w:val="000000"/>
          <w:sz w:val="24"/>
          <w:szCs w:val="24"/>
          <w:rtl/>
        </w:rPr>
        <w:t>ת</w:t>
      </w:r>
      <w:r w:rsidR="00636767" w:rsidRPr="00AA6F93">
        <w:rPr>
          <w:rFonts w:ascii="David" w:hAnsi="David" w:cs="David" w:hint="cs"/>
          <w:b/>
          <w:bCs/>
          <w:color w:val="000000"/>
          <w:sz w:val="24"/>
          <w:szCs w:val="24"/>
          <w:rtl/>
        </w:rPr>
        <w:t>"</w:t>
      </w:r>
      <w:r w:rsidR="000353CE" w:rsidRPr="00AA6F93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="00F7612D">
        <w:rPr>
          <w:rFonts w:ascii="David" w:hAnsi="David" w:cs="David" w:hint="cs"/>
          <w:color w:val="000000"/>
          <w:sz w:val="24"/>
          <w:szCs w:val="24"/>
          <w:rtl/>
        </w:rPr>
        <w:t xml:space="preserve">לדעתי, </w:t>
      </w:r>
      <w:r w:rsidR="000353CE" w:rsidRPr="00C73290">
        <w:rPr>
          <w:rFonts w:ascii="David" w:hAnsi="David" w:cs="David"/>
          <w:sz w:val="24"/>
          <w:szCs w:val="24"/>
          <w:rtl/>
        </w:rPr>
        <w:t>המילים</w:t>
      </w:r>
      <w:r w:rsidR="00F7612D">
        <w:rPr>
          <w:rFonts w:ascii="David" w:hAnsi="David" w:cs="David" w:hint="cs"/>
          <w:sz w:val="24"/>
          <w:szCs w:val="24"/>
          <w:rtl/>
        </w:rPr>
        <w:t>: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"דינו כדין"</w:t>
      </w:r>
      <w:r w:rsidR="00F7612D">
        <w:rPr>
          <w:rFonts w:ascii="David" w:hAnsi="David" w:cs="David" w:hint="cs"/>
          <w:sz w:val="24"/>
          <w:szCs w:val="24"/>
          <w:rtl/>
        </w:rPr>
        <w:t>,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מראות על זהות בין המקרים</w:t>
      </w:r>
      <w:r w:rsidR="00F7612D">
        <w:rPr>
          <w:rFonts w:ascii="David" w:hAnsi="David" w:cs="David" w:hint="cs"/>
          <w:sz w:val="24"/>
          <w:szCs w:val="24"/>
          <w:rtl/>
        </w:rPr>
        <w:t xml:space="preserve">, דבר שבעצם משקלל את 2 העבירות כאחת </w:t>
      </w:r>
      <w:r w:rsidR="000353CE" w:rsidRPr="00C73290">
        <w:rPr>
          <w:rFonts w:ascii="David" w:hAnsi="David" w:cs="David"/>
          <w:sz w:val="24"/>
          <w:szCs w:val="24"/>
          <w:rtl/>
        </w:rPr>
        <w:t>ו</w:t>
      </w:r>
      <w:r w:rsidR="00636767">
        <w:rPr>
          <w:rFonts w:ascii="David" w:hAnsi="David" w:cs="David" w:hint="cs"/>
          <w:sz w:val="24"/>
          <w:szCs w:val="24"/>
          <w:rtl/>
        </w:rPr>
        <w:t>מראה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כ</w:t>
      </w:r>
      <w:r w:rsidR="00DE2684">
        <w:rPr>
          <w:rFonts w:ascii="David" w:hAnsi="David" w:cs="David" w:hint="cs"/>
          <w:sz w:val="24"/>
          <w:szCs w:val="24"/>
          <w:rtl/>
        </w:rPr>
        <w:t>י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סעיף 5 </w:t>
      </w:r>
      <w:proofErr w:type="spellStart"/>
      <w:r w:rsidR="000353CE" w:rsidRPr="00C73290">
        <w:rPr>
          <w:rFonts w:ascii="David" w:hAnsi="David" w:cs="David"/>
          <w:sz w:val="24"/>
          <w:szCs w:val="24"/>
          <w:rtl/>
        </w:rPr>
        <w:t>לח</w:t>
      </w:r>
      <w:r w:rsidR="00DE2684">
        <w:rPr>
          <w:rFonts w:ascii="David" w:hAnsi="David" w:cs="David" w:hint="cs"/>
          <w:sz w:val="24"/>
          <w:szCs w:val="24"/>
          <w:rtl/>
        </w:rPr>
        <w:t>הה"פ</w:t>
      </w:r>
      <w:proofErr w:type="spellEnd"/>
      <w:r w:rsidR="00DE2684">
        <w:rPr>
          <w:rFonts w:ascii="David" w:hAnsi="David" w:cs="David" w:hint="cs"/>
          <w:sz w:val="24"/>
          <w:szCs w:val="24"/>
          <w:rtl/>
        </w:rPr>
        <w:t xml:space="preserve"> (שכול</w:t>
      </w:r>
      <w:r w:rsidR="0043363C">
        <w:rPr>
          <w:rFonts w:ascii="David" w:hAnsi="David" w:cs="David" w:hint="cs"/>
          <w:sz w:val="24"/>
          <w:szCs w:val="24"/>
          <w:rtl/>
        </w:rPr>
        <w:t xml:space="preserve">ל </w:t>
      </w:r>
      <w:r w:rsidR="00DE2684">
        <w:rPr>
          <w:rFonts w:ascii="David" w:hAnsi="David" w:cs="David" w:hint="cs"/>
          <w:sz w:val="24"/>
          <w:szCs w:val="24"/>
          <w:rtl/>
        </w:rPr>
        <w:t>את ס' 2(4), 2(11))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, נכלל גם הוא בסעיף 5 </w:t>
      </w:r>
      <w:proofErr w:type="spellStart"/>
      <w:r w:rsidR="000353CE" w:rsidRPr="00C73290">
        <w:rPr>
          <w:rFonts w:ascii="David" w:hAnsi="David" w:cs="David"/>
          <w:sz w:val="24"/>
          <w:szCs w:val="24"/>
          <w:rtl/>
        </w:rPr>
        <w:t>ל</w:t>
      </w:r>
      <w:r w:rsidR="00636767">
        <w:rPr>
          <w:rFonts w:ascii="David" w:hAnsi="David" w:cs="David" w:hint="cs"/>
          <w:sz w:val="24"/>
          <w:szCs w:val="24"/>
          <w:rtl/>
        </w:rPr>
        <w:t>חלה"מ</w:t>
      </w:r>
      <w:proofErr w:type="spellEnd"/>
      <w:r w:rsidR="00636767">
        <w:rPr>
          <w:rFonts w:ascii="David" w:hAnsi="David" w:cs="David" w:hint="cs"/>
          <w:sz w:val="24"/>
          <w:szCs w:val="24"/>
          <w:rtl/>
        </w:rPr>
        <w:t xml:space="preserve"> 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ולכן , בעצם, נחשב גם הוא לנכלל בתוך </w:t>
      </w:r>
      <w:r w:rsidR="00DE2684">
        <w:rPr>
          <w:rFonts w:ascii="David" w:hAnsi="David" w:cs="David" w:hint="cs"/>
          <w:sz w:val="24"/>
          <w:szCs w:val="24"/>
          <w:rtl/>
        </w:rPr>
        <w:t>הגדרת "עבירות מין" כפי שהוגדרו בחוק זכויות לנפגעי עבירה</w:t>
      </w:r>
      <w:r w:rsidR="00AA6F93">
        <w:rPr>
          <w:rFonts w:ascii="David" w:hAnsi="David" w:cs="David" w:hint="cs"/>
          <w:sz w:val="24"/>
          <w:szCs w:val="24"/>
          <w:rtl/>
        </w:rPr>
        <w:t>, כך ש</w:t>
      </w:r>
      <w:r w:rsidR="00DE2684">
        <w:rPr>
          <w:rFonts w:ascii="David" w:hAnsi="David" w:cs="David" w:hint="cs"/>
          <w:sz w:val="24"/>
          <w:szCs w:val="24"/>
          <w:rtl/>
        </w:rPr>
        <w:t>סל הזכויות הנובע מ</w:t>
      </w:r>
      <w:r w:rsidR="00AA6F93">
        <w:rPr>
          <w:rFonts w:ascii="David" w:hAnsi="David" w:cs="David" w:hint="cs"/>
          <w:sz w:val="24"/>
          <w:szCs w:val="24"/>
          <w:rtl/>
        </w:rPr>
        <w:t>חוק זה מוענק</w:t>
      </w:r>
      <w:r w:rsidR="00DE2684">
        <w:rPr>
          <w:rFonts w:ascii="David" w:hAnsi="David" w:cs="David" w:hint="cs"/>
          <w:sz w:val="24"/>
          <w:szCs w:val="24"/>
          <w:rtl/>
        </w:rPr>
        <w:t xml:space="preserve"> גם למי שהורשע בסעיף 5 </w:t>
      </w:r>
      <w:proofErr w:type="spellStart"/>
      <w:r w:rsidR="00DE2684">
        <w:rPr>
          <w:rFonts w:ascii="David" w:hAnsi="David" w:cs="David" w:hint="cs"/>
          <w:sz w:val="24"/>
          <w:szCs w:val="24"/>
          <w:rtl/>
        </w:rPr>
        <w:t>לח</w:t>
      </w:r>
      <w:r w:rsidR="00636767">
        <w:rPr>
          <w:rFonts w:ascii="David" w:hAnsi="David" w:cs="David" w:hint="cs"/>
          <w:sz w:val="24"/>
          <w:szCs w:val="24"/>
          <w:rtl/>
        </w:rPr>
        <w:t>הה"פ</w:t>
      </w:r>
      <w:proofErr w:type="spellEnd"/>
      <w:r w:rsidR="00564531">
        <w:rPr>
          <w:rFonts w:ascii="David" w:hAnsi="David" w:cs="David" w:hint="cs"/>
          <w:sz w:val="24"/>
          <w:szCs w:val="24"/>
          <w:rtl/>
        </w:rPr>
        <w:t>.</w:t>
      </w:r>
      <w:r w:rsidR="000353CE" w:rsidRPr="00C73290">
        <w:rPr>
          <w:rFonts w:ascii="David" w:hAnsi="David" w:cs="David"/>
          <w:sz w:val="24"/>
          <w:szCs w:val="24"/>
          <w:rtl/>
        </w:rPr>
        <w:t xml:space="preserve"> </w:t>
      </w:r>
      <w:commentRangeEnd w:id="10"/>
      <w:r w:rsidR="00F03581">
        <w:rPr>
          <w:rStyle w:val="ab"/>
          <w:rtl/>
        </w:rPr>
        <w:commentReference w:id="10"/>
      </w:r>
      <w:r w:rsidR="00AA6F93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DE2684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63676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80390" w:rsidRPr="00134EBD">
        <w:rPr>
          <w:rFonts w:ascii="David" w:hAnsi="David" w:cs="David" w:hint="cs"/>
          <w:b/>
          <w:bCs/>
          <w:sz w:val="24"/>
          <w:szCs w:val="24"/>
          <w:rtl/>
        </w:rPr>
        <w:t>החוק לתיקון סדרי הדין (חקירת עדים)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A80390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11"/>
      <w:r w:rsidR="00564531">
        <w:rPr>
          <w:rFonts w:ascii="David" w:hAnsi="David" w:cs="David" w:hint="cs"/>
          <w:sz w:val="24"/>
          <w:szCs w:val="24"/>
          <w:rtl/>
        </w:rPr>
        <w:t xml:space="preserve">עפ"י </w:t>
      </w:r>
      <w:r w:rsidR="00A80390">
        <w:rPr>
          <w:rFonts w:ascii="David" w:hAnsi="David" w:cs="David" w:hint="cs"/>
          <w:sz w:val="24"/>
          <w:szCs w:val="24"/>
          <w:rtl/>
        </w:rPr>
        <w:t>המאמר</w:t>
      </w:r>
      <w:r w:rsidR="00564531">
        <w:rPr>
          <w:rFonts w:ascii="David" w:hAnsi="David" w:cs="David" w:hint="cs"/>
          <w:sz w:val="24"/>
          <w:szCs w:val="24"/>
          <w:rtl/>
        </w:rPr>
        <w:t xml:space="preserve">, </w:t>
      </w:r>
      <w:r w:rsidR="00A80390">
        <w:rPr>
          <w:rFonts w:ascii="David" w:hAnsi="David" w:cs="David" w:hint="cs"/>
          <w:sz w:val="24"/>
          <w:szCs w:val="24"/>
          <w:rtl/>
        </w:rPr>
        <w:t>הזכויות הנובעות מס</w:t>
      </w:r>
      <w:r w:rsidR="00564531">
        <w:rPr>
          <w:rFonts w:ascii="David" w:hAnsi="David" w:cs="David" w:hint="cs"/>
          <w:sz w:val="24"/>
          <w:szCs w:val="24"/>
          <w:rtl/>
        </w:rPr>
        <w:t>'</w:t>
      </w:r>
      <w:r w:rsidR="00A80390">
        <w:rPr>
          <w:rFonts w:ascii="David" w:hAnsi="David" w:cs="David" w:hint="cs"/>
          <w:sz w:val="24"/>
          <w:szCs w:val="24"/>
          <w:rtl/>
        </w:rPr>
        <w:t xml:space="preserve"> 2(א), 2(ב) לחוק זה, אינן חלות על נפגעי </w:t>
      </w:r>
      <w:proofErr w:type="spellStart"/>
      <w:r w:rsidR="00A80390">
        <w:rPr>
          <w:rFonts w:ascii="David" w:hAnsi="David" w:cs="David" w:hint="cs"/>
          <w:sz w:val="24"/>
          <w:szCs w:val="24"/>
          <w:rtl/>
        </w:rPr>
        <w:t>חהה"פ</w:t>
      </w:r>
      <w:commentRangeEnd w:id="11"/>
      <w:proofErr w:type="spellEnd"/>
      <w:r w:rsidR="00F03581">
        <w:rPr>
          <w:rStyle w:val="ab"/>
          <w:rtl/>
        </w:rPr>
        <w:commentReference w:id="11"/>
      </w:r>
      <w:r w:rsidR="00A80390">
        <w:rPr>
          <w:rFonts w:ascii="David" w:hAnsi="David" w:cs="David" w:hint="cs"/>
          <w:sz w:val="24"/>
          <w:szCs w:val="24"/>
          <w:rtl/>
        </w:rPr>
        <w:t>.</w:t>
      </w:r>
      <w:r w:rsidR="00B36F6F">
        <w:rPr>
          <w:rFonts w:ascii="David" w:hAnsi="David" w:cs="David" w:hint="cs"/>
          <w:sz w:val="24"/>
          <w:szCs w:val="24"/>
          <w:rtl/>
        </w:rPr>
        <w:t xml:space="preserve"> מהתבוננות בחוק, ניתן לראות כי החוק חל על כלל העבירות הנמצאות בסימן ה' של פרק י' לחוק העונשין</w:t>
      </w:r>
      <w:r w:rsidR="006B2A9A">
        <w:rPr>
          <w:rStyle w:val="aa"/>
          <w:rFonts w:ascii="David" w:hAnsi="David" w:cs="David"/>
          <w:sz w:val="24"/>
          <w:szCs w:val="24"/>
          <w:rtl/>
        </w:rPr>
        <w:footnoteReference w:id="8"/>
      </w:r>
      <w:r w:rsidR="00B36F6F">
        <w:rPr>
          <w:rFonts w:ascii="David" w:hAnsi="David" w:cs="David" w:hint="cs"/>
          <w:sz w:val="24"/>
          <w:szCs w:val="24"/>
          <w:rtl/>
        </w:rPr>
        <w:t>. בפרק זה מוזכרת עבירת המעשה המגונה שהגדרתה היא "מעשה לשם גירוי, סיפוק או ביזוי מיניים"</w:t>
      </w:r>
      <w:r w:rsidR="00F43DE1">
        <w:rPr>
          <w:rFonts w:ascii="David" w:hAnsi="David" w:cs="David" w:hint="cs"/>
          <w:sz w:val="24"/>
          <w:szCs w:val="24"/>
          <w:rtl/>
        </w:rPr>
        <w:t>.</w:t>
      </w:r>
      <w:r w:rsidR="00B36F6F" w:rsidRPr="0043363C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B36F6F">
        <w:rPr>
          <w:rFonts w:ascii="David" w:hAnsi="David" w:cs="David" w:hint="cs"/>
          <w:sz w:val="24"/>
          <w:szCs w:val="24"/>
          <w:rtl/>
        </w:rPr>
        <w:t xml:space="preserve">נראה כי </w:t>
      </w:r>
      <w:proofErr w:type="spellStart"/>
      <w:r w:rsidR="00B36F6F">
        <w:rPr>
          <w:rFonts w:ascii="David" w:hAnsi="David" w:cs="David" w:hint="cs"/>
          <w:sz w:val="24"/>
          <w:szCs w:val="24"/>
          <w:rtl/>
        </w:rPr>
        <w:t>חהה"פ</w:t>
      </w:r>
      <w:proofErr w:type="spellEnd"/>
      <w:r w:rsidR="00B36F6F">
        <w:rPr>
          <w:rFonts w:ascii="David" w:hAnsi="David" w:cs="David" w:hint="cs"/>
          <w:sz w:val="24"/>
          <w:szCs w:val="24"/>
          <w:rtl/>
        </w:rPr>
        <w:t xml:space="preserve"> נופל גם הוא בהגדרה זו (</w:t>
      </w:r>
      <w:r>
        <w:rPr>
          <w:rFonts w:ascii="David" w:hAnsi="David" w:cs="David" w:hint="cs"/>
          <w:sz w:val="24"/>
          <w:szCs w:val="24"/>
          <w:rtl/>
        </w:rPr>
        <w:t xml:space="preserve">כפי שמוגדר בו: </w:t>
      </w:r>
      <w:r w:rsidR="00B36F6F">
        <w:rPr>
          <w:rFonts w:ascii="David" w:hAnsi="David" w:cs="David" w:hint="cs"/>
          <w:sz w:val="24"/>
          <w:szCs w:val="24"/>
          <w:rtl/>
        </w:rPr>
        <w:t xml:space="preserve">"עלול הפרסום להשפילו או לבזותו") ולכן גם הזכויות המוקנות מחוק זה יוענקו בגין הרשעה מכוח </w:t>
      </w:r>
      <w:proofErr w:type="spellStart"/>
      <w:r w:rsidR="00B36F6F">
        <w:rPr>
          <w:rFonts w:ascii="David" w:hAnsi="David" w:cs="David" w:hint="cs"/>
          <w:sz w:val="24"/>
          <w:szCs w:val="24"/>
          <w:rtl/>
        </w:rPr>
        <w:t>חהה"פ</w:t>
      </w:r>
      <w:proofErr w:type="spellEnd"/>
      <w:r w:rsidR="00B36F6F">
        <w:rPr>
          <w:rFonts w:ascii="David" w:hAnsi="David" w:cs="David" w:hint="cs"/>
          <w:sz w:val="24"/>
          <w:szCs w:val="24"/>
          <w:rtl/>
        </w:rPr>
        <w:t>.</w:t>
      </w:r>
      <w:r w:rsidR="00A80390">
        <w:rPr>
          <w:rFonts w:ascii="David" w:hAnsi="David" w:cs="David" w:hint="cs"/>
          <w:sz w:val="24"/>
          <w:szCs w:val="24"/>
          <w:rtl/>
        </w:rPr>
        <w:t xml:space="preserve"> </w:t>
      </w:r>
      <w:r w:rsidRPr="00134EBD">
        <w:rPr>
          <w:rFonts w:ascii="David" w:hAnsi="David" w:cs="David" w:hint="cs"/>
          <w:b/>
          <w:bCs/>
          <w:sz w:val="24"/>
          <w:szCs w:val="24"/>
          <w:rtl/>
        </w:rPr>
        <w:t>ג.</w:t>
      </w:r>
      <w:r w:rsidR="00DE2684" w:rsidRPr="00134EBD">
        <w:rPr>
          <w:rFonts w:ascii="David" w:hAnsi="David" w:cs="David" w:hint="cs"/>
          <w:b/>
          <w:bCs/>
          <w:sz w:val="24"/>
          <w:szCs w:val="24"/>
          <w:rtl/>
        </w:rPr>
        <w:t>ס' 352 לחוק העונשין</w:t>
      </w:r>
      <w:r w:rsidR="00B36F6F" w:rsidRPr="00134EB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36F6F">
        <w:rPr>
          <w:rFonts w:ascii="David" w:hAnsi="David" w:cs="David" w:hint="cs"/>
          <w:sz w:val="24"/>
          <w:szCs w:val="24"/>
          <w:rtl/>
        </w:rPr>
        <w:t xml:space="preserve"> גם זכויות חוק זה חלות על העבירות המוגדרות בסימן ה' של פרק י' לחוק העונשין ולכן גם כאן, מן הטעם האמ</w:t>
      </w:r>
      <w:r w:rsidR="0043363C">
        <w:rPr>
          <w:rFonts w:ascii="David" w:hAnsi="David" w:cs="David" w:hint="cs"/>
          <w:sz w:val="24"/>
          <w:szCs w:val="24"/>
          <w:rtl/>
        </w:rPr>
        <w:t>ור לעיל</w:t>
      </w:r>
      <w:r w:rsidR="00B36F6F">
        <w:rPr>
          <w:rFonts w:ascii="David" w:hAnsi="David" w:cs="David" w:hint="cs"/>
          <w:sz w:val="24"/>
          <w:szCs w:val="24"/>
          <w:rtl/>
        </w:rPr>
        <w:t xml:space="preserve">, הזכויות יחולו על נפגעי עבירה של אשם מכוח </w:t>
      </w:r>
      <w:proofErr w:type="spellStart"/>
      <w:r w:rsidR="00B36F6F">
        <w:rPr>
          <w:rFonts w:ascii="David" w:hAnsi="David" w:cs="David" w:hint="cs"/>
          <w:sz w:val="24"/>
          <w:szCs w:val="24"/>
          <w:rtl/>
        </w:rPr>
        <w:t>ח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B36F6F">
        <w:rPr>
          <w:rFonts w:ascii="David" w:hAnsi="David" w:cs="David" w:hint="cs"/>
          <w:sz w:val="24"/>
          <w:szCs w:val="24"/>
          <w:rtl/>
        </w:rPr>
        <w:t>ה"פ</w:t>
      </w:r>
      <w:proofErr w:type="spellEnd"/>
      <w:r w:rsidR="00B36F6F">
        <w:rPr>
          <w:rFonts w:ascii="David" w:hAnsi="David" w:cs="David" w:hint="cs"/>
          <w:sz w:val="24"/>
          <w:szCs w:val="24"/>
          <w:rtl/>
        </w:rPr>
        <w:t xml:space="preserve">. </w:t>
      </w:r>
      <w:r w:rsidRPr="0043363C">
        <w:rPr>
          <w:rFonts w:ascii="David" w:hAnsi="David" w:cs="David" w:hint="cs"/>
          <w:b/>
          <w:bCs/>
          <w:sz w:val="24"/>
          <w:szCs w:val="24"/>
          <w:rtl/>
        </w:rPr>
        <w:t>ד</w:t>
      </w:r>
      <w:r w:rsidRPr="00134EBD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B36F6F" w:rsidRPr="00134EBD">
        <w:rPr>
          <w:rFonts w:ascii="David" w:hAnsi="David" w:cs="David" w:hint="cs"/>
          <w:b/>
          <w:bCs/>
          <w:sz w:val="24"/>
          <w:szCs w:val="24"/>
          <w:rtl/>
        </w:rPr>
        <w:t>ס' 68(ב)(5) לחוק בתי המשפט [נוסח משולב]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B36F6F">
        <w:rPr>
          <w:rFonts w:ascii="David" w:hAnsi="David" w:cs="David" w:hint="cs"/>
          <w:sz w:val="24"/>
          <w:szCs w:val="24"/>
          <w:rtl/>
        </w:rPr>
        <w:t xml:space="preserve"> בפס"ד מ</w:t>
      </w:r>
      <w:r w:rsidR="00453AAF">
        <w:rPr>
          <w:rFonts w:ascii="David" w:hAnsi="David" w:cs="David" w:hint="cs"/>
          <w:sz w:val="24"/>
          <w:szCs w:val="24"/>
          <w:rtl/>
        </w:rPr>
        <w:t>זרחי</w:t>
      </w:r>
      <w:r w:rsidR="00B36F6F">
        <w:rPr>
          <w:rStyle w:val="aa"/>
          <w:rFonts w:ascii="David" w:hAnsi="David" w:cs="David"/>
          <w:sz w:val="24"/>
          <w:szCs w:val="24"/>
          <w:rtl/>
        </w:rPr>
        <w:footnoteReference w:id="9"/>
      </w:r>
      <w:r w:rsidR="00B36F6F">
        <w:rPr>
          <w:rFonts w:ascii="David" w:hAnsi="David" w:cs="David" w:hint="cs"/>
          <w:sz w:val="24"/>
          <w:szCs w:val="24"/>
          <w:rtl/>
        </w:rPr>
        <w:t xml:space="preserve"> נקבע כי זכויות חוק זה יחולו גם על נפגעי </w:t>
      </w:r>
      <w:proofErr w:type="spellStart"/>
      <w:r w:rsidR="00B36F6F">
        <w:rPr>
          <w:rFonts w:ascii="David" w:hAnsi="David" w:cs="David" w:hint="cs"/>
          <w:sz w:val="24"/>
          <w:szCs w:val="24"/>
          <w:rtl/>
        </w:rPr>
        <w:t>ח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B36F6F">
        <w:rPr>
          <w:rFonts w:ascii="David" w:hAnsi="David" w:cs="David" w:hint="cs"/>
          <w:sz w:val="24"/>
          <w:szCs w:val="24"/>
          <w:rtl/>
        </w:rPr>
        <w:t>ה"פ</w:t>
      </w:r>
      <w:proofErr w:type="spellEnd"/>
      <w:r w:rsidR="00B36F6F">
        <w:rPr>
          <w:rFonts w:ascii="David" w:hAnsi="David" w:cs="David" w:hint="cs"/>
          <w:sz w:val="24"/>
          <w:szCs w:val="24"/>
          <w:rtl/>
        </w:rPr>
        <w:t>. לאור</w:t>
      </w:r>
      <w:r w:rsidR="00F96964">
        <w:rPr>
          <w:rFonts w:ascii="David" w:hAnsi="David" w:cs="David" w:hint="cs"/>
          <w:sz w:val="24"/>
          <w:szCs w:val="24"/>
          <w:rtl/>
        </w:rPr>
        <w:t xml:space="preserve"> האמור </w:t>
      </w:r>
      <w:r w:rsidR="00B36F6F">
        <w:rPr>
          <w:rFonts w:ascii="David" w:hAnsi="David" w:cs="David" w:hint="cs"/>
          <w:sz w:val="24"/>
          <w:szCs w:val="24"/>
          <w:rtl/>
        </w:rPr>
        <w:t xml:space="preserve">לעיל, אני </w:t>
      </w:r>
      <w:r w:rsidR="0043363C">
        <w:rPr>
          <w:rFonts w:ascii="David" w:hAnsi="David" w:cs="David" w:hint="cs"/>
          <w:sz w:val="24"/>
          <w:szCs w:val="24"/>
          <w:rtl/>
        </w:rPr>
        <w:t>סבורה</w:t>
      </w:r>
      <w:r w:rsidR="00B36F6F">
        <w:rPr>
          <w:rFonts w:ascii="David" w:hAnsi="David" w:cs="David" w:hint="cs"/>
          <w:sz w:val="24"/>
          <w:szCs w:val="24"/>
          <w:rtl/>
        </w:rPr>
        <w:t xml:space="preserve"> כי </w:t>
      </w:r>
      <w:proofErr w:type="spellStart"/>
      <w:r w:rsidR="0043363C">
        <w:rPr>
          <w:rFonts w:ascii="David" w:hAnsi="David" w:cs="David" w:hint="cs"/>
          <w:sz w:val="24"/>
          <w:szCs w:val="24"/>
          <w:rtl/>
        </w:rPr>
        <w:t>חהה"פ</w:t>
      </w:r>
      <w:proofErr w:type="spellEnd"/>
      <w:r w:rsidR="0043363C">
        <w:rPr>
          <w:rFonts w:ascii="David" w:hAnsi="David" w:cs="David" w:hint="cs"/>
          <w:sz w:val="24"/>
          <w:szCs w:val="24"/>
          <w:rtl/>
        </w:rPr>
        <w:t xml:space="preserve"> הינו המסגרת הנורמטיבית הראויה להפללת פרסום סרטונים מיניים ופוגעניים.</w:t>
      </w:r>
      <w:r w:rsidR="00B36F6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B534626" w14:textId="77777777" w:rsidR="00134EBD" w:rsidRDefault="00134EBD" w:rsidP="00DB5BE6">
      <w:pPr>
        <w:spacing w:after="0" w:line="348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סוגיה 2: אופן פירוש </w:t>
      </w:r>
      <w:r w:rsidR="00D00D00">
        <w:rPr>
          <w:rFonts w:ascii="David" w:hAnsi="David" w:cs="David" w:hint="cs"/>
          <w:b/>
          <w:bCs/>
          <w:sz w:val="24"/>
          <w:szCs w:val="24"/>
          <w:u w:val="single"/>
          <w:rtl/>
        </w:rPr>
        <w:t>הביטוי "מטרה כשרה"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6F740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commentRangeStart w:id="12"/>
      <w:r w:rsidR="006F740B">
        <w:rPr>
          <w:rFonts w:ascii="David" w:hAnsi="David" w:cs="David" w:hint="cs"/>
          <w:sz w:val="24"/>
          <w:szCs w:val="24"/>
          <w:rtl/>
        </w:rPr>
        <w:t xml:space="preserve">בסעיף 3(א)(5א)(ב) לתיקון קבועה הגנה </w:t>
      </w:r>
      <w:r w:rsidR="0043363C">
        <w:rPr>
          <w:rFonts w:ascii="David" w:hAnsi="David" w:cs="David" w:hint="cs"/>
          <w:sz w:val="24"/>
          <w:szCs w:val="24"/>
          <w:rtl/>
        </w:rPr>
        <w:t>ה</w:t>
      </w:r>
      <w:r w:rsidR="006F740B">
        <w:rPr>
          <w:rFonts w:ascii="David" w:hAnsi="David" w:cs="David" w:hint="cs"/>
          <w:sz w:val="24"/>
          <w:szCs w:val="24"/>
          <w:rtl/>
        </w:rPr>
        <w:t xml:space="preserve">עוסקת בנסיבות בהן הפרסום נעשה לשם מטרה כשרה. לפי סעיף זה, מספיק שמטרת הפרסום כשרה על מנת שתעמוד הגנה למפרסם. </w:t>
      </w:r>
      <w:commentRangeEnd w:id="12"/>
      <w:r w:rsidR="00F03581">
        <w:rPr>
          <w:rStyle w:val="ab"/>
          <w:rtl/>
        </w:rPr>
        <w:commentReference w:id="12"/>
      </w:r>
      <w:r w:rsidR="006F740B">
        <w:rPr>
          <w:rFonts w:ascii="David" w:hAnsi="David" w:cs="David" w:hint="cs"/>
          <w:sz w:val="24"/>
          <w:szCs w:val="24"/>
          <w:rtl/>
        </w:rPr>
        <w:t xml:space="preserve">עולה השאלה כיצד יש לפרש </w:t>
      </w:r>
      <w:r w:rsidR="00325902">
        <w:rPr>
          <w:rFonts w:ascii="David" w:hAnsi="David" w:cs="David" w:hint="cs"/>
          <w:sz w:val="24"/>
          <w:szCs w:val="24"/>
          <w:rtl/>
        </w:rPr>
        <w:t>א</w:t>
      </w:r>
      <w:r w:rsidR="006F740B">
        <w:rPr>
          <w:rFonts w:ascii="David" w:hAnsi="David" w:cs="David" w:hint="cs"/>
          <w:sz w:val="24"/>
          <w:szCs w:val="24"/>
          <w:rtl/>
        </w:rPr>
        <w:t xml:space="preserve">ת המושג "מטרה כשרה"? </w:t>
      </w:r>
      <w:r w:rsidR="00D00D00">
        <w:rPr>
          <w:rFonts w:ascii="David" w:hAnsi="David" w:cs="David" w:hint="cs"/>
          <w:sz w:val="24"/>
          <w:szCs w:val="24"/>
          <w:rtl/>
        </w:rPr>
        <w:t>המאמר מגדיר מטרה כשרה כמטרה אשר בצידה עומד ערך חיובי של ממש בנסיבות המקרה, אשר בשיקול עלות- תועלת  מטה את הכף לטובת הפרסום.</w:t>
      </w:r>
      <w:r w:rsidR="00AB522D">
        <w:rPr>
          <w:rFonts w:ascii="David" w:hAnsi="David" w:cs="David" w:hint="cs"/>
          <w:sz w:val="24"/>
          <w:szCs w:val="24"/>
          <w:rtl/>
        </w:rPr>
        <w:t xml:space="preserve"> המאמר מציע 2 מבחנים לקביעת מטרה כמטרה כשרה: </w:t>
      </w:r>
      <w:commentRangeStart w:id="13"/>
      <w:r w:rsidR="00AB522D">
        <w:rPr>
          <w:rFonts w:ascii="David" w:hAnsi="David" w:cs="David" w:hint="cs"/>
          <w:sz w:val="24"/>
          <w:szCs w:val="24"/>
          <w:rtl/>
        </w:rPr>
        <w:t xml:space="preserve">המבחן הראשון הינו </w:t>
      </w:r>
      <w:r w:rsidR="00AB522D" w:rsidRPr="00325902">
        <w:rPr>
          <w:rFonts w:ascii="David" w:hAnsi="David" w:cs="David" w:hint="cs"/>
          <w:sz w:val="24"/>
          <w:szCs w:val="24"/>
          <w:u w:val="single"/>
          <w:rtl/>
        </w:rPr>
        <w:t>מבחן עלות מול תועלת</w:t>
      </w:r>
      <w:commentRangeEnd w:id="13"/>
      <w:r w:rsidR="00F03581">
        <w:rPr>
          <w:rStyle w:val="ab"/>
          <w:rtl/>
        </w:rPr>
        <w:commentReference w:id="13"/>
      </w:r>
      <w:r w:rsidR="00325902">
        <w:rPr>
          <w:rFonts w:ascii="David" w:hAnsi="David" w:cs="David" w:hint="cs"/>
          <w:sz w:val="24"/>
          <w:szCs w:val="24"/>
          <w:rtl/>
        </w:rPr>
        <w:t>:</w:t>
      </w:r>
      <w:r w:rsidR="00AB522D">
        <w:rPr>
          <w:rFonts w:ascii="David" w:hAnsi="David" w:cs="David" w:hint="cs"/>
          <w:sz w:val="24"/>
          <w:szCs w:val="24"/>
          <w:rtl/>
        </w:rPr>
        <w:t xml:space="preserve"> כלומר, ככל שהפגיעה הפוטנציאלית גבוהה יותר, </w:t>
      </w:r>
      <w:r w:rsidR="00325902">
        <w:rPr>
          <w:rFonts w:ascii="David" w:hAnsi="David" w:cs="David" w:hint="cs"/>
          <w:sz w:val="24"/>
          <w:szCs w:val="24"/>
          <w:rtl/>
        </w:rPr>
        <w:t>נדרש</w:t>
      </w:r>
      <w:r w:rsidR="00AB522D">
        <w:rPr>
          <w:rFonts w:ascii="David" w:hAnsi="David" w:cs="David" w:hint="cs"/>
          <w:sz w:val="24"/>
          <w:szCs w:val="24"/>
          <w:rtl/>
        </w:rPr>
        <w:t xml:space="preserve"> ערך חברתי חשוב יותר על מנת שההגנה תעמוד ולהפך. אינני מסכימה עם מבחן זה </w:t>
      </w:r>
      <w:r w:rsidR="00D00D00">
        <w:rPr>
          <w:rFonts w:ascii="David" w:hAnsi="David" w:cs="David" w:hint="cs"/>
          <w:sz w:val="24"/>
          <w:szCs w:val="24"/>
          <w:rtl/>
        </w:rPr>
        <w:t xml:space="preserve"> </w:t>
      </w:r>
      <w:r w:rsidR="00AB522D">
        <w:rPr>
          <w:rFonts w:ascii="David" w:hAnsi="David" w:cs="David" w:hint="cs"/>
          <w:sz w:val="24"/>
          <w:szCs w:val="24"/>
          <w:rtl/>
        </w:rPr>
        <w:t>משום ש</w:t>
      </w:r>
      <w:r w:rsidR="00D00D00">
        <w:rPr>
          <w:rFonts w:ascii="David" w:hAnsi="David" w:cs="David" w:hint="cs"/>
          <w:sz w:val="24"/>
          <w:szCs w:val="24"/>
          <w:rtl/>
        </w:rPr>
        <w:t xml:space="preserve">אני חושבת </w:t>
      </w:r>
      <w:r w:rsidR="001B12FA">
        <w:rPr>
          <w:rFonts w:ascii="David" w:hAnsi="David" w:cs="David" w:hint="cs"/>
          <w:sz w:val="24"/>
          <w:szCs w:val="24"/>
          <w:rtl/>
        </w:rPr>
        <w:t>ש</w:t>
      </w:r>
      <w:r w:rsidR="00916857">
        <w:rPr>
          <w:rFonts w:ascii="David" w:hAnsi="David" w:cs="David" w:hint="cs"/>
          <w:sz w:val="24"/>
          <w:szCs w:val="24"/>
          <w:rtl/>
        </w:rPr>
        <w:t xml:space="preserve">פרסום </w:t>
      </w:r>
      <w:r w:rsidR="001B12FA">
        <w:rPr>
          <w:rFonts w:ascii="David" w:hAnsi="David" w:cs="David" w:hint="cs"/>
          <w:sz w:val="24"/>
          <w:szCs w:val="24"/>
          <w:rtl/>
        </w:rPr>
        <w:t xml:space="preserve">מיני </w:t>
      </w:r>
      <w:r w:rsidR="00916857">
        <w:rPr>
          <w:rFonts w:ascii="David" w:hAnsi="David" w:cs="David" w:hint="cs"/>
          <w:sz w:val="24"/>
          <w:szCs w:val="24"/>
          <w:rtl/>
        </w:rPr>
        <w:t>פוגעני הוא בעל השפעה קשה על הנפגע</w:t>
      </w:r>
      <w:r w:rsidR="001B12FA">
        <w:rPr>
          <w:rFonts w:ascii="David" w:hAnsi="David" w:cs="David" w:hint="cs"/>
          <w:sz w:val="24"/>
          <w:szCs w:val="24"/>
          <w:rtl/>
        </w:rPr>
        <w:t xml:space="preserve">, כך שגם אם התועלת החברתית גבוהה אין זה יכול לעמוד כהגנה. </w:t>
      </w:r>
      <w:r w:rsidR="00916857">
        <w:rPr>
          <w:rFonts w:ascii="David" w:hAnsi="David" w:cs="David" w:hint="cs"/>
          <w:sz w:val="24"/>
          <w:szCs w:val="24"/>
          <w:rtl/>
        </w:rPr>
        <w:t>זאת</w:t>
      </w:r>
      <w:r w:rsidR="001B12FA">
        <w:rPr>
          <w:rFonts w:ascii="David" w:hAnsi="David" w:cs="David" w:hint="cs"/>
          <w:sz w:val="24"/>
          <w:szCs w:val="24"/>
          <w:rtl/>
        </w:rPr>
        <w:t xml:space="preserve">, </w:t>
      </w:r>
      <w:r w:rsidR="00916857">
        <w:rPr>
          <w:rFonts w:ascii="David" w:hAnsi="David" w:cs="David" w:hint="cs"/>
          <w:sz w:val="24"/>
          <w:szCs w:val="24"/>
          <w:rtl/>
        </w:rPr>
        <w:t>מתוך הנחה כי הבאת תועלת חברתית אינה צריכה לבוא על בסיס פגיעה באדם אחר</w:t>
      </w:r>
      <w:r w:rsidR="00D00D00">
        <w:rPr>
          <w:rFonts w:ascii="David" w:hAnsi="David" w:cs="David" w:hint="cs"/>
          <w:sz w:val="24"/>
          <w:szCs w:val="24"/>
          <w:rtl/>
        </w:rPr>
        <w:t xml:space="preserve">. לדעתי, </w:t>
      </w:r>
      <w:r w:rsidR="00325902">
        <w:rPr>
          <w:rFonts w:ascii="David" w:hAnsi="David" w:cs="David" w:hint="cs"/>
          <w:sz w:val="24"/>
          <w:szCs w:val="24"/>
          <w:rtl/>
        </w:rPr>
        <w:t>מעטים מאוד</w:t>
      </w:r>
      <w:r w:rsidR="00DB5BE6">
        <w:rPr>
          <w:rFonts w:ascii="David" w:hAnsi="David" w:cs="David" w:hint="cs"/>
          <w:sz w:val="24"/>
          <w:szCs w:val="24"/>
          <w:rtl/>
        </w:rPr>
        <w:t xml:space="preserve"> המקרים </w:t>
      </w:r>
      <w:r w:rsidR="00325902">
        <w:rPr>
          <w:rFonts w:ascii="David" w:hAnsi="David" w:cs="David" w:hint="cs"/>
          <w:sz w:val="24"/>
          <w:szCs w:val="24"/>
          <w:rtl/>
        </w:rPr>
        <w:t xml:space="preserve">בהם תועלת </w:t>
      </w:r>
      <w:r w:rsidR="00D00D00">
        <w:rPr>
          <w:rFonts w:ascii="David" w:hAnsi="David" w:cs="David" w:hint="cs"/>
          <w:sz w:val="24"/>
          <w:szCs w:val="24"/>
          <w:rtl/>
        </w:rPr>
        <w:t xml:space="preserve">יכולה לנבוע מפרסום מיני פוגעני </w:t>
      </w:r>
      <w:r w:rsidR="00325902">
        <w:rPr>
          <w:rFonts w:ascii="David" w:hAnsi="David" w:cs="David" w:hint="cs"/>
          <w:sz w:val="24"/>
          <w:szCs w:val="24"/>
          <w:rtl/>
        </w:rPr>
        <w:t xml:space="preserve">שפורסם </w:t>
      </w:r>
      <w:r w:rsidR="00D00D00">
        <w:rPr>
          <w:rFonts w:ascii="David" w:hAnsi="David" w:cs="David" w:hint="cs"/>
          <w:sz w:val="24"/>
          <w:szCs w:val="24"/>
          <w:rtl/>
        </w:rPr>
        <w:t>באופן מלא (</w:t>
      </w:r>
      <w:r w:rsidR="001B12FA">
        <w:rPr>
          <w:rFonts w:ascii="David" w:hAnsi="David" w:cs="David" w:hint="cs"/>
          <w:sz w:val="24"/>
          <w:szCs w:val="24"/>
          <w:rtl/>
        </w:rPr>
        <w:t>=</w:t>
      </w:r>
      <w:r w:rsidR="00D00D00">
        <w:rPr>
          <w:rFonts w:ascii="David" w:hAnsi="David" w:cs="David" w:hint="cs"/>
          <w:sz w:val="24"/>
          <w:szCs w:val="24"/>
          <w:rtl/>
        </w:rPr>
        <w:t>ללא</w:t>
      </w:r>
      <w:r w:rsidR="00325902">
        <w:rPr>
          <w:rFonts w:ascii="David" w:hAnsi="David" w:cs="David" w:hint="cs"/>
          <w:sz w:val="24"/>
          <w:szCs w:val="24"/>
          <w:rtl/>
        </w:rPr>
        <w:t xml:space="preserve"> אף</w:t>
      </w:r>
      <w:r w:rsidR="00D00D00">
        <w:rPr>
          <w:rFonts w:ascii="David" w:hAnsi="David" w:cs="David" w:hint="cs"/>
          <w:sz w:val="24"/>
          <w:szCs w:val="24"/>
          <w:rtl/>
        </w:rPr>
        <w:t xml:space="preserve"> טשטוש מסוים</w:t>
      </w:r>
      <w:commentRangeStart w:id="14"/>
      <w:r w:rsidR="00D00D00">
        <w:rPr>
          <w:rFonts w:ascii="David" w:hAnsi="David" w:cs="David" w:hint="cs"/>
          <w:sz w:val="24"/>
          <w:szCs w:val="24"/>
          <w:rtl/>
        </w:rPr>
        <w:t xml:space="preserve">). </w:t>
      </w:r>
      <w:r w:rsidR="00325902">
        <w:rPr>
          <w:rFonts w:ascii="David" w:hAnsi="David" w:cs="David" w:hint="cs"/>
          <w:sz w:val="24"/>
          <w:szCs w:val="24"/>
          <w:rtl/>
        </w:rPr>
        <w:t>דוגמא למקרה אשר המאמר מחשיב כמקרה בעל מטרה כשרה</w:t>
      </w:r>
      <w:r w:rsidR="00D00D00">
        <w:rPr>
          <w:rFonts w:ascii="David" w:hAnsi="David" w:cs="David" w:hint="cs"/>
          <w:sz w:val="24"/>
          <w:szCs w:val="24"/>
          <w:rtl/>
        </w:rPr>
        <w:t xml:space="preserve">: הצגת תמונה בפני בית המשפט לצורך ראיה. </w:t>
      </w:r>
      <w:commentRangeEnd w:id="14"/>
      <w:r w:rsidR="00F03581">
        <w:rPr>
          <w:rStyle w:val="ab"/>
          <w:rtl/>
        </w:rPr>
        <w:commentReference w:id="14"/>
      </w:r>
      <w:r w:rsidR="00D00D00">
        <w:rPr>
          <w:rFonts w:ascii="David" w:hAnsi="David" w:cs="David" w:hint="cs"/>
          <w:sz w:val="24"/>
          <w:szCs w:val="24"/>
          <w:rtl/>
        </w:rPr>
        <w:t>אני סבורה כי השופטים המכובדים</w:t>
      </w:r>
      <w:r w:rsidR="00325902">
        <w:rPr>
          <w:rFonts w:ascii="David" w:hAnsi="David" w:cs="David" w:hint="cs"/>
          <w:sz w:val="24"/>
          <w:szCs w:val="24"/>
          <w:rtl/>
        </w:rPr>
        <w:t xml:space="preserve"> אשר מבינים דבר מתוך דבר,</w:t>
      </w:r>
      <w:r w:rsidR="00D00D00">
        <w:rPr>
          <w:rFonts w:ascii="David" w:hAnsi="David" w:cs="David" w:hint="cs"/>
          <w:sz w:val="24"/>
          <w:szCs w:val="24"/>
          <w:rtl/>
        </w:rPr>
        <w:t xml:space="preserve"> </w:t>
      </w:r>
      <w:r w:rsidR="00325902">
        <w:rPr>
          <w:rFonts w:ascii="David" w:hAnsi="David" w:cs="David" w:hint="cs"/>
          <w:sz w:val="24"/>
          <w:szCs w:val="24"/>
          <w:rtl/>
        </w:rPr>
        <w:t xml:space="preserve">יוכלו להבין </w:t>
      </w:r>
      <w:r w:rsidR="00D00D00">
        <w:rPr>
          <w:rFonts w:ascii="David" w:hAnsi="David" w:cs="David" w:hint="cs"/>
          <w:sz w:val="24"/>
          <w:szCs w:val="24"/>
          <w:rtl/>
        </w:rPr>
        <w:t>את המתרחש בתמונה גם אם איבריה המוצנעים</w:t>
      </w:r>
      <w:r w:rsidR="00B2088C">
        <w:rPr>
          <w:rFonts w:ascii="David" w:hAnsi="David" w:cs="David" w:hint="cs"/>
          <w:sz w:val="24"/>
          <w:szCs w:val="24"/>
          <w:rtl/>
        </w:rPr>
        <w:t xml:space="preserve"> של האישה</w:t>
      </w:r>
      <w:r w:rsidR="00D00D00">
        <w:rPr>
          <w:rFonts w:ascii="David" w:hAnsi="David" w:cs="David" w:hint="cs"/>
          <w:sz w:val="24"/>
          <w:szCs w:val="24"/>
          <w:rtl/>
        </w:rPr>
        <w:t xml:space="preserve"> מט</w:t>
      </w:r>
      <w:r w:rsidR="00B2088C">
        <w:rPr>
          <w:rFonts w:ascii="David" w:hAnsi="David" w:cs="David" w:hint="cs"/>
          <w:sz w:val="24"/>
          <w:szCs w:val="24"/>
          <w:rtl/>
        </w:rPr>
        <w:t>ושטשים. א</w:t>
      </w:r>
      <w:r w:rsidR="00325902">
        <w:rPr>
          <w:rFonts w:ascii="David" w:hAnsi="David" w:cs="David" w:hint="cs"/>
          <w:sz w:val="24"/>
          <w:szCs w:val="24"/>
          <w:rtl/>
        </w:rPr>
        <w:t xml:space="preserve">יני מעלה מקרה בו יש צורך ממשי וכנה </w:t>
      </w:r>
      <w:r w:rsidR="00B2088C">
        <w:rPr>
          <w:rFonts w:ascii="David" w:hAnsi="David" w:cs="David" w:hint="cs"/>
          <w:sz w:val="24"/>
          <w:szCs w:val="24"/>
          <w:rtl/>
        </w:rPr>
        <w:t>לראות את התמונה באופן מלא. לדעתי</w:t>
      </w:r>
      <w:r w:rsidR="00325902">
        <w:rPr>
          <w:rFonts w:ascii="David" w:hAnsi="David" w:cs="David" w:hint="cs"/>
          <w:sz w:val="24"/>
          <w:szCs w:val="24"/>
          <w:rtl/>
        </w:rPr>
        <w:t>,</w:t>
      </w:r>
      <w:r w:rsidR="00B2088C">
        <w:rPr>
          <w:rFonts w:ascii="David" w:hAnsi="David" w:cs="David" w:hint="cs"/>
          <w:sz w:val="24"/>
          <w:szCs w:val="24"/>
          <w:rtl/>
        </w:rPr>
        <w:t xml:space="preserve"> הדבר אף יכול לשבש את הליכי המשפט על ידי כך שהנפגעת תתבייש להציג עצמה בפני </w:t>
      </w:r>
      <w:r w:rsidR="00325902">
        <w:rPr>
          <w:rFonts w:ascii="David" w:hAnsi="David" w:cs="David" w:hint="cs"/>
          <w:sz w:val="24"/>
          <w:szCs w:val="24"/>
          <w:rtl/>
        </w:rPr>
        <w:t>השופט/ים</w:t>
      </w:r>
      <w:r w:rsidR="00B2088C">
        <w:rPr>
          <w:rFonts w:ascii="David" w:hAnsi="David" w:cs="David" w:hint="cs"/>
          <w:sz w:val="24"/>
          <w:szCs w:val="24"/>
          <w:rtl/>
        </w:rPr>
        <w:t xml:space="preserve"> משום שאלו צפו בתמונ</w:t>
      </w:r>
      <w:r w:rsidR="001B12FA">
        <w:rPr>
          <w:rFonts w:ascii="David" w:hAnsi="David" w:cs="David" w:hint="cs"/>
          <w:sz w:val="24"/>
          <w:szCs w:val="24"/>
          <w:rtl/>
        </w:rPr>
        <w:t>ו</w:t>
      </w:r>
      <w:r w:rsidR="00B2088C">
        <w:rPr>
          <w:rFonts w:ascii="David" w:hAnsi="David" w:cs="David" w:hint="cs"/>
          <w:sz w:val="24"/>
          <w:szCs w:val="24"/>
          <w:rtl/>
        </w:rPr>
        <w:t>ת</w:t>
      </w:r>
      <w:r w:rsidR="001B12FA">
        <w:rPr>
          <w:rFonts w:ascii="David" w:hAnsi="David" w:cs="David" w:hint="cs"/>
          <w:sz w:val="24"/>
          <w:szCs w:val="24"/>
          <w:rtl/>
        </w:rPr>
        <w:t>י</w:t>
      </w:r>
      <w:r w:rsidR="00B2088C">
        <w:rPr>
          <w:rFonts w:ascii="David" w:hAnsi="David" w:cs="David" w:hint="cs"/>
          <w:sz w:val="24"/>
          <w:szCs w:val="24"/>
          <w:rtl/>
        </w:rPr>
        <w:t xml:space="preserve">ה. </w:t>
      </w:r>
      <w:commentRangeStart w:id="15"/>
      <w:r w:rsidR="00325902">
        <w:rPr>
          <w:rFonts w:ascii="David" w:hAnsi="David" w:cs="David" w:hint="cs"/>
          <w:sz w:val="24"/>
          <w:szCs w:val="24"/>
          <w:rtl/>
        </w:rPr>
        <w:t>דוגמא נוספת שמעלה המאמר הוא תצלום הפגנה אליו נקלעה אישה חשופת חזה. בעיני</w:t>
      </w:r>
      <w:commentRangeEnd w:id="15"/>
      <w:r w:rsidR="00F03581">
        <w:rPr>
          <w:rStyle w:val="ab"/>
          <w:rtl/>
        </w:rPr>
        <w:commentReference w:id="15"/>
      </w:r>
      <w:r w:rsidR="00325902">
        <w:rPr>
          <w:rFonts w:ascii="David" w:hAnsi="David" w:cs="David" w:hint="cs"/>
          <w:sz w:val="24"/>
          <w:szCs w:val="24"/>
          <w:rtl/>
        </w:rPr>
        <w:t xml:space="preserve">, </w:t>
      </w:r>
      <w:commentRangeStart w:id="16"/>
      <w:r w:rsidR="00325902">
        <w:rPr>
          <w:rFonts w:ascii="David" w:hAnsi="David" w:cs="David" w:hint="cs"/>
          <w:sz w:val="24"/>
          <w:szCs w:val="24"/>
          <w:rtl/>
        </w:rPr>
        <w:t xml:space="preserve">בשל מהירות ההפצה </w:t>
      </w:r>
      <w:r w:rsidR="001B12FA">
        <w:rPr>
          <w:rFonts w:ascii="David" w:hAnsi="David" w:cs="David" w:hint="cs"/>
          <w:sz w:val="24"/>
          <w:szCs w:val="24"/>
          <w:rtl/>
        </w:rPr>
        <w:t xml:space="preserve">והפגיעה הפוטנציאלית הנובעת מכך, </w:t>
      </w:r>
      <w:r w:rsidR="00325902">
        <w:rPr>
          <w:rFonts w:ascii="David" w:hAnsi="David" w:cs="David" w:hint="cs"/>
          <w:sz w:val="24"/>
          <w:szCs w:val="24"/>
          <w:rtl/>
        </w:rPr>
        <w:t xml:space="preserve">על כל אדם </w:t>
      </w:r>
      <w:r w:rsidR="006F740B">
        <w:rPr>
          <w:rFonts w:ascii="David" w:hAnsi="David" w:cs="David" w:hint="cs"/>
          <w:sz w:val="24"/>
          <w:szCs w:val="24"/>
          <w:rtl/>
        </w:rPr>
        <w:t>לשים לב</w:t>
      </w:r>
      <w:r w:rsidR="00325902">
        <w:rPr>
          <w:rFonts w:ascii="David" w:hAnsi="David" w:cs="David" w:hint="cs"/>
          <w:sz w:val="24"/>
          <w:szCs w:val="24"/>
          <w:rtl/>
        </w:rPr>
        <w:t xml:space="preserve"> לתמונות אותן הוא מעלה (כ</w:t>
      </w:r>
      <w:r w:rsidR="001B12FA">
        <w:rPr>
          <w:rFonts w:ascii="David" w:hAnsi="David" w:cs="David" w:hint="cs"/>
          <w:sz w:val="24"/>
          <w:szCs w:val="24"/>
          <w:rtl/>
        </w:rPr>
        <w:t xml:space="preserve">פי </w:t>
      </w:r>
      <w:r w:rsidR="00325902">
        <w:rPr>
          <w:rFonts w:ascii="David" w:hAnsi="David" w:cs="David" w:hint="cs"/>
          <w:sz w:val="24"/>
          <w:szCs w:val="24"/>
          <w:rtl/>
        </w:rPr>
        <w:t>שהוא בודק את ניסוח מאמרו)</w:t>
      </w:r>
      <w:r w:rsidR="006F740B">
        <w:rPr>
          <w:rFonts w:ascii="David" w:hAnsi="David" w:cs="David" w:hint="cs"/>
          <w:sz w:val="24"/>
          <w:szCs w:val="24"/>
          <w:rtl/>
        </w:rPr>
        <w:t xml:space="preserve"> ולחתוך</w:t>
      </w:r>
      <w:r w:rsidR="00DB5BE6">
        <w:rPr>
          <w:rFonts w:ascii="David" w:hAnsi="David" w:cs="David" w:hint="cs"/>
          <w:sz w:val="24"/>
          <w:szCs w:val="24"/>
          <w:rtl/>
        </w:rPr>
        <w:t xml:space="preserve">/ לטשטש </w:t>
      </w:r>
      <w:r w:rsidR="006F740B">
        <w:rPr>
          <w:rFonts w:ascii="David" w:hAnsi="David" w:cs="David" w:hint="cs"/>
          <w:sz w:val="24"/>
          <w:szCs w:val="24"/>
          <w:rtl/>
        </w:rPr>
        <w:t>את התמונה</w:t>
      </w:r>
      <w:r w:rsidR="00325902">
        <w:rPr>
          <w:rFonts w:ascii="David" w:hAnsi="David" w:cs="David" w:hint="cs"/>
          <w:sz w:val="24"/>
          <w:szCs w:val="24"/>
          <w:rtl/>
        </w:rPr>
        <w:t xml:space="preserve"> במקרה בו היא מכילה רכיב אשר יכול ל</w:t>
      </w:r>
      <w:r w:rsidR="001B12FA">
        <w:rPr>
          <w:rFonts w:ascii="David" w:hAnsi="David" w:cs="David" w:hint="cs"/>
          <w:sz w:val="24"/>
          <w:szCs w:val="24"/>
          <w:rtl/>
        </w:rPr>
        <w:t>יצור</w:t>
      </w:r>
      <w:r w:rsidR="00325902">
        <w:rPr>
          <w:rFonts w:ascii="David" w:hAnsi="David" w:cs="David" w:hint="cs"/>
          <w:sz w:val="24"/>
          <w:szCs w:val="24"/>
          <w:rtl/>
        </w:rPr>
        <w:t xml:space="preserve"> פגיעה.</w:t>
      </w:r>
      <w:r w:rsidR="00B1569F">
        <w:rPr>
          <w:rFonts w:ascii="David" w:hAnsi="David" w:cs="David" w:hint="cs"/>
          <w:sz w:val="24"/>
          <w:szCs w:val="24"/>
          <w:rtl/>
        </w:rPr>
        <w:t xml:space="preserve"> </w:t>
      </w:r>
      <w:commentRangeEnd w:id="16"/>
      <w:r w:rsidR="00F03581">
        <w:rPr>
          <w:rStyle w:val="ab"/>
          <w:rtl/>
        </w:rPr>
        <w:commentReference w:id="16"/>
      </w:r>
      <w:r w:rsidR="00B1569F">
        <w:rPr>
          <w:rFonts w:ascii="David" w:hAnsi="David" w:cs="David" w:hint="cs"/>
          <w:sz w:val="24"/>
          <w:szCs w:val="24"/>
          <w:rtl/>
        </w:rPr>
        <w:t>למעשה,</w:t>
      </w:r>
      <w:r w:rsidR="006F740B">
        <w:rPr>
          <w:rFonts w:ascii="David" w:hAnsi="David" w:cs="David" w:hint="cs"/>
          <w:sz w:val="24"/>
          <w:szCs w:val="24"/>
          <w:rtl/>
        </w:rPr>
        <w:t xml:space="preserve"> אני חושבת שכל פרסום מיני פוגעני, גם אם מביא לתועלת, יכול להגיע לאותה התועלת גם ללא הפן הפוגעני שבעניין</w:t>
      </w:r>
      <w:r w:rsidR="00AB522D">
        <w:rPr>
          <w:rFonts w:ascii="David" w:hAnsi="David" w:cs="David" w:hint="cs"/>
          <w:sz w:val="24"/>
          <w:szCs w:val="24"/>
          <w:rtl/>
        </w:rPr>
        <w:t xml:space="preserve"> ולכן </w:t>
      </w:r>
      <w:r w:rsidR="00B1569F">
        <w:rPr>
          <w:rFonts w:ascii="David" w:hAnsi="David" w:cs="David" w:hint="cs"/>
          <w:sz w:val="24"/>
          <w:szCs w:val="24"/>
          <w:rtl/>
        </w:rPr>
        <w:t>איני תומכת במבחן הראשון</w:t>
      </w:r>
      <w:r w:rsidR="001B12FA">
        <w:rPr>
          <w:rFonts w:ascii="David" w:hAnsi="David" w:cs="David" w:hint="cs"/>
          <w:sz w:val="24"/>
          <w:szCs w:val="24"/>
          <w:rtl/>
        </w:rPr>
        <w:t>.</w:t>
      </w:r>
      <w:r w:rsidR="00B1569F">
        <w:rPr>
          <w:rFonts w:ascii="David" w:hAnsi="David" w:cs="David" w:hint="cs"/>
          <w:sz w:val="24"/>
          <w:szCs w:val="24"/>
          <w:rtl/>
        </w:rPr>
        <w:t xml:space="preserve"> </w:t>
      </w:r>
      <w:r w:rsidR="001B12FA">
        <w:rPr>
          <w:rFonts w:ascii="David" w:hAnsi="David" w:cs="David" w:hint="cs"/>
          <w:sz w:val="24"/>
          <w:szCs w:val="24"/>
          <w:rtl/>
        </w:rPr>
        <w:t xml:space="preserve">המבחן השני (בו אני תומכת) אותו מציע המאמר הינו </w:t>
      </w:r>
      <w:commentRangeStart w:id="17"/>
      <w:r w:rsidR="006F740B" w:rsidRPr="00B1569F">
        <w:rPr>
          <w:rFonts w:ascii="David" w:hAnsi="David" w:cs="David" w:hint="cs"/>
          <w:sz w:val="24"/>
          <w:szCs w:val="24"/>
          <w:u w:val="single"/>
          <w:rtl/>
        </w:rPr>
        <w:t>מבחן החריגה מן הסביר</w:t>
      </w:r>
      <w:commentRangeEnd w:id="17"/>
      <w:r w:rsidR="00F03581">
        <w:rPr>
          <w:rStyle w:val="ab"/>
          <w:rtl/>
        </w:rPr>
        <w:commentReference w:id="17"/>
      </w:r>
      <w:r w:rsidR="001B12FA">
        <w:rPr>
          <w:rFonts w:ascii="David" w:hAnsi="David" w:cs="David" w:hint="cs"/>
          <w:sz w:val="24"/>
          <w:szCs w:val="24"/>
          <w:rtl/>
        </w:rPr>
        <w:t xml:space="preserve">: </w:t>
      </w:r>
      <w:r w:rsidR="006F740B">
        <w:rPr>
          <w:rFonts w:ascii="David" w:hAnsi="David" w:cs="David" w:hint="cs"/>
          <w:sz w:val="24"/>
          <w:szCs w:val="24"/>
          <w:rtl/>
        </w:rPr>
        <w:t>כאשר הפרסום חורג מן הסביר לשם השגת מטרתו הכשרה, ההגנה לא תעמוד לו.</w:t>
      </w:r>
      <w:r w:rsidR="00AB522D">
        <w:rPr>
          <w:rFonts w:ascii="David" w:hAnsi="David" w:cs="David" w:hint="cs"/>
          <w:sz w:val="24"/>
          <w:szCs w:val="24"/>
          <w:rtl/>
        </w:rPr>
        <w:t xml:space="preserve"> בעצם, על האדם לעשות ככל יכולתו על מנת שמטרת פרסומו תושג ע"י פגיעה מינימלית באדם אחר</w:t>
      </w:r>
      <w:r w:rsidR="00B1569F">
        <w:rPr>
          <w:rFonts w:ascii="David" w:hAnsi="David" w:cs="David" w:hint="cs"/>
          <w:sz w:val="24"/>
          <w:szCs w:val="24"/>
          <w:rtl/>
        </w:rPr>
        <w:t xml:space="preserve"> (לדוגמא: ע"י טשטוש או חתיכת התמונה כאמור)</w:t>
      </w:r>
      <w:r w:rsidR="00AB522D">
        <w:rPr>
          <w:rFonts w:ascii="David" w:hAnsi="David" w:cs="David" w:hint="cs"/>
          <w:sz w:val="24"/>
          <w:szCs w:val="24"/>
          <w:rtl/>
        </w:rPr>
        <w:t>. כל עוד לא נעשה כן, אין ההגנה עומדת לו.</w:t>
      </w:r>
      <w:r w:rsidR="008F3F18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4B71705" w14:textId="77777777" w:rsidR="00BA2118" w:rsidRDefault="00B1569F" w:rsidP="00916857">
      <w:pPr>
        <w:spacing w:line="348" w:lineRule="auto"/>
        <w:jc w:val="both"/>
        <w:rPr>
          <w:rFonts w:ascii="David" w:hAnsi="David" w:cs="David"/>
          <w:sz w:val="24"/>
          <w:szCs w:val="24"/>
          <w:rtl/>
        </w:rPr>
      </w:pPr>
      <w:r w:rsidRPr="00F17A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לסיכום: </w:t>
      </w:r>
      <w:r>
        <w:rPr>
          <w:rFonts w:ascii="David" w:hAnsi="David" w:cs="David" w:hint="cs"/>
          <w:sz w:val="24"/>
          <w:szCs w:val="24"/>
          <w:rtl/>
        </w:rPr>
        <w:t xml:space="preserve">לאור כל האמור לעיל, אני סבורה כי תיקון 10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</w:t>
      </w:r>
      <w:r w:rsidR="006B2A9A">
        <w:rPr>
          <w:rFonts w:ascii="David" w:hAnsi="David" w:cs="David" w:hint="cs"/>
          <w:sz w:val="24"/>
          <w:szCs w:val="24"/>
          <w:rtl/>
        </w:rPr>
        <w:t>לה"מ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אינו נחוץ וזאת בשל  קיומם של סעיפים 2(4), 2(11)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</w:t>
      </w:r>
      <w:r w:rsidR="006B2A9A">
        <w:rPr>
          <w:rFonts w:ascii="David" w:hAnsi="David" w:cs="David" w:hint="cs"/>
          <w:sz w:val="24"/>
          <w:szCs w:val="24"/>
          <w:rtl/>
        </w:rPr>
        <w:t>הה"פ</w:t>
      </w:r>
      <w:proofErr w:type="spellEnd"/>
      <w:r w:rsidR="001B12FA">
        <w:rPr>
          <w:rFonts w:ascii="David" w:hAnsi="David" w:cs="David" w:hint="cs"/>
          <w:sz w:val="24"/>
          <w:szCs w:val="24"/>
          <w:rtl/>
        </w:rPr>
        <w:t xml:space="preserve"> אשר מכילים את האיסור העומד בבסיס התיקון, מעניקים עונש זהה ואף סל זכויות זהה כפי שנאמר לעיל</w:t>
      </w:r>
      <w:r>
        <w:rPr>
          <w:rFonts w:ascii="David" w:hAnsi="David" w:cs="David" w:hint="cs"/>
          <w:sz w:val="24"/>
          <w:szCs w:val="24"/>
          <w:rtl/>
        </w:rPr>
        <w:t xml:space="preserve">. בנוסף, אני סבורה כי </w:t>
      </w:r>
      <w:r w:rsidR="009D555B">
        <w:rPr>
          <w:rFonts w:ascii="David" w:hAnsi="David" w:cs="David" w:hint="cs"/>
          <w:sz w:val="24"/>
          <w:szCs w:val="24"/>
          <w:rtl/>
        </w:rPr>
        <w:t xml:space="preserve">את המושג "מטרה כשרה" המופיע </w:t>
      </w:r>
      <w:r>
        <w:rPr>
          <w:rFonts w:ascii="David" w:hAnsi="David" w:cs="David" w:hint="cs"/>
          <w:sz w:val="24"/>
          <w:szCs w:val="24"/>
          <w:rtl/>
        </w:rPr>
        <w:t>בהגנת תום הלב המוגדרת בקשר לתיקון</w:t>
      </w:r>
      <w:r w:rsidR="009D555B">
        <w:rPr>
          <w:rFonts w:ascii="David" w:hAnsi="David" w:cs="David" w:hint="cs"/>
          <w:sz w:val="24"/>
          <w:szCs w:val="24"/>
          <w:rtl/>
        </w:rPr>
        <w:t xml:space="preserve">, יש למדוד </w:t>
      </w:r>
      <w:r>
        <w:rPr>
          <w:rFonts w:ascii="David" w:hAnsi="David" w:cs="David" w:hint="cs"/>
          <w:sz w:val="24"/>
          <w:szCs w:val="24"/>
          <w:rtl/>
        </w:rPr>
        <w:t>על פי מבחן החריגה מן הסביר ולא לפי היחס העומד בין העלות לתועלת</w:t>
      </w:r>
      <w:r w:rsidR="009D555B">
        <w:rPr>
          <w:rFonts w:ascii="David" w:hAnsi="David" w:cs="David" w:hint="cs"/>
          <w:sz w:val="24"/>
          <w:szCs w:val="24"/>
          <w:rtl/>
        </w:rPr>
        <w:t>. גם זאת, מן הסיבות האמורות לעיל.</w:t>
      </w:r>
    </w:p>
    <w:p w14:paraId="1EFACDEB" w14:textId="77777777" w:rsidR="00F03581" w:rsidRDefault="00F03581" w:rsidP="00916857">
      <w:pPr>
        <w:spacing w:line="348" w:lineRule="auto"/>
        <w:jc w:val="both"/>
        <w:rPr>
          <w:rFonts w:ascii="David" w:hAnsi="David" w:cs="David"/>
          <w:sz w:val="24"/>
          <w:szCs w:val="24"/>
          <w:rtl/>
        </w:rPr>
      </w:pPr>
    </w:p>
    <w:p w14:paraId="16BA8591" w14:textId="77777777" w:rsidR="00F03581" w:rsidRDefault="00F03581" w:rsidP="00916857">
      <w:pPr>
        <w:spacing w:line="348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בסך הכל עבודה טובה מאוד</w:t>
      </w:r>
    </w:p>
    <w:p w14:paraId="0CA2D350" w14:textId="77777777" w:rsidR="00F03581" w:rsidRDefault="00F03581" w:rsidP="00916857">
      <w:pPr>
        <w:spacing w:line="348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ראי הערות לעיל</w:t>
      </w:r>
    </w:p>
    <w:p w14:paraId="5D914A0D" w14:textId="7527075F" w:rsidR="00F03581" w:rsidRPr="00C73290" w:rsidRDefault="00F03581" w:rsidP="002E6B06">
      <w:pPr>
        <w:spacing w:line="348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ציון- 9</w:t>
      </w:r>
      <w:r w:rsidR="002E6B06">
        <w:rPr>
          <w:rFonts w:ascii="David" w:hAnsi="David" w:cs="David" w:hint="cs"/>
          <w:sz w:val="24"/>
          <w:szCs w:val="24"/>
          <w:rtl/>
        </w:rPr>
        <w:t>4</w:t>
      </w:r>
    </w:p>
    <w:sectPr w:rsidR="00F03581" w:rsidRPr="00C73290" w:rsidSect="00DA12A4">
      <w:headerReference w:type="defaul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Yifat Nahmias" w:date="2020-03-11T00:24:00Z" w:initials="YN">
    <w:p w14:paraId="7B5DDDF0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לחוק/מאמר בהערת השוליים</w:t>
      </w:r>
    </w:p>
  </w:comment>
  <w:comment w:id="1" w:author="Yifat Nahmias" w:date="2020-03-11T00:25:00Z" w:initials="YN">
    <w:p w14:paraId="5B184C9A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חסרה הפנייה לחקיקה</w:t>
      </w:r>
    </w:p>
  </w:comment>
  <w:comment w:id="2" w:author="Yifat Nahmias" w:date="2020-03-11T00:26:00Z" w:initials="YN">
    <w:p w14:paraId="4E3F9912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 xml:space="preserve">היה מקום להרחיב את הדיון בנושא זה. </w:t>
      </w:r>
    </w:p>
  </w:comment>
  <w:comment w:id="3" w:author="Yifat Nahmias" w:date="2020-03-11T00:26:00Z" w:initials="YN">
    <w:p w14:paraId="78E01B4E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לעגן טענה זו</w:t>
      </w:r>
    </w:p>
  </w:comment>
  <w:comment w:id="4" w:author="Yifat Nahmias" w:date="2020-03-11T00:26:00Z" w:initials="YN">
    <w:p w14:paraId="48848263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חסר עיגון במקור חיצוני</w:t>
      </w:r>
    </w:p>
  </w:comment>
  <w:comment w:id="5" w:author="Yifat Nahmias" w:date="2020-03-11T00:26:00Z" w:initials="YN">
    <w:p w14:paraId="1E8ADDF8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 xml:space="preserve">חסר עיגון חיצוני לטענה זו </w:t>
      </w:r>
    </w:p>
  </w:comment>
  <w:comment w:id="6" w:author="Yifat Nahmias" w:date="2020-03-11T00:27:00Z" w:initials="YN">
    <w:p w14:paraId="507229F1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לעמוד הרלוונטי במאמר</w:t>
      </w:r>
    </w:p>
  </w:comment>
  <w:comment w:id="7" w:author="Yifat Nahmias" w:date="2020-03-11T00:27:00Z" w:initials="YN">
    <w:p w14:paraId="46BFDAE4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 xml:space="preserve">הפנייה להערות שוליים יש למקם לאחר סימני הפיסוק </w:t>
      </w:r>
      <w:r>
        <w:sym w:font="Wingdings" w:char="F04A"/>
      </w:r>
    </w:p>
  </w:comment>
  <w:comment w:id="8" w:author="Yifat Nahmias" w:date="2020-03-11T00:27:00Z" w:initials="YN">
    <w:p w14:paraId="493D3C96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 xml:space="preserve">היה מקום לחשוב מה ההבדל בין עבירה זו לעבירות אחרות לעניין זה. </w:t>
      </w:r>
    </w:p>
  </w:comment>
  <w:comment w:id="9" w:author="Yifat Nahmias" w:date="2020-03-11T00:28:00Z" w:initials="YN">
    <w:p w14:paraId="4D4A2593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לעמוד הרלוונטי במאמר.</w:t>
      </w:r>
    </w:p>
  </w:comment>
  <w:comment w:id="10" w:author="Yifat Nahmias" w:date="2020-03-11T00:28:00Z" w:initials="YN">
    <w:p w14:paraId="30906580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 xml:space="preserve">חסרה הפנייה למקורות הללו בהערת שוליים. </w:t>
      </w:r>
    </w:p>
  </w:comment>
  <w:comment w:id="11" w:author="Yifat Nahmias" w:date="2020-03-11T00:29:00Z" w:initials="YN">
    <w:p w14:paraId="2E92A4F6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לעמוד הרלוונטי</w:t>
      </w:r>
    </w:p>
  </w:comment>
  <w:comment w:id="12" w:author="Yifat Nahmias" w:date="2020-03-11T00:29:00Z" w:initials="YN">
    <w:p w14:paraId="4ACF3374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הפנייה</w:t>
      </w:r>
    </w:p>
  </w:comment>
  <w:comment w:id="13" w:author="Yifat Nahmias" w:date="2020-03-11T00:29:00Z" w:initials="YN">
    <w:p w14:paraId="09F5CAED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לעמודים הרלוונטיים</w:t>
      </w:r>
    </w:p>
  </w:comment>
  <w:comment w:id="14" w:author="Yifat Nahmias" w:date="2020-03-11T00:29:00Z" w:initials="YN">
    <w:p w14:paraId="35769B26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הפנייה</w:t>
      </w:r>
    </w:p>
  </w:comment>
  <w:comment w:id="15" w:author="Yifat Nahmias" w:date="2020-03-11T00:30:00Z" w:initials="YN">
    <w:p w14:paraId="222ACB5C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הפנייה</w:t>
      </w:r>
    </w:p>
  </w:comment>
  <w:comment w:id="16" w:author="Yifat Nahmias" w:date="2020-03-11T00:30:00Z" w:initials="YN">
    <w:p w14:paraId="5EC857FF" w14:textId="77777777" w:rsidR="00F03581" w:rsidRDefault="00F03581" w:rsidP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לחשוב על אוכלוסיות שונות, חלקן פגיעות במיוחד. כך לדוגמה: אנשים צעירים/מבוגרים או בעלי הבנה חלקית של הטכנולוגיה וכדומה.</w:t>
      </w:r>
    </w:p>
  </w:comment>
  <w:comment w:id="17" w:author="Yifat Nahmias" w:date="2020-03-11T00:31:00Z" w:initials="YN">
    <w:p w14:paraId="46E4A7BB" w14:textId="77777777" w:rsidR="00F03581" w:rsidRDefault="00F03581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היה מקום להפנות לעמוד הרלוונטי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5DDDF0" w15:done="0"/>
  <w15:commentEx w15:paraId="5B184C9A" w15:done="0"/>
  <w15:commentEx w15:paraId="4E3F9912" w15:done="0"/>
  <w15:commentEx w15:paraId="78E01B4E" w15:done="0"/>
  <w15:commentEx w15:paraId="48848263" w15:done="0"/>
  <w15:commentEx w15:paraId="1E8ADDF8" w15:done="0"/>
  <w15:commentEx w15:paraId="507229F1" w15:done="0"/>
  <w15:commentEx w15:paraId="46BFDAE4" w15:done="0"/>
  <w15:commentEx w15:paraId="493D3C96" w15:done="0"/>
  <w15:commentEx w15:paraId="4D4A2593" w15:done="0"/>
  <w15:commentEx w15:paraId="30906580" w15:done="0"/>
  <w15:commentEx w15:paraId="2E92A4F6" w15:done="0"/>
  <w15:commentEx w15:paraId="4ACF3374" w15:done="0"/>
  <w15:commentEx w15:paraId="09F5CAED" w15:done="0"/>
  <w15:commentEx w15:paraId="35769B26" w15:done="0"/>
  <w15:commentEx w15:paraId="222ACB5C" w15:done="0"/>
  <w15:commentEx w15:paraId="5EC857FF" w15:done="0"/>
  <w15:commentEx w15:paraId="46E4A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5DDDF0" w16cid:durableId="2326DA53"/>
  <w16cid:commentId w16cid:paraId="5B184C9A" w16cid:durableId="2326DA54"/>
  <w16cid:commentId w16cid:paraId="4E3F9912" w16cid:durableId="2326DA55"/>
  <w16cid:commentId w16cid:paraId="78E01B4E" w16cid:durableId="2326DA56"/>
  <w16cid:commentId w16cid:paraId="48848263" w16cid:durableId="2326DA57"/>
  <w16cid:commentId w16cid:paraId="1E8ADDF8" w16cid:durableId="2326DA58"/>
  <w16cid:commentId w16cid:paraId="507229F1" w16cid:durableId="2326DA59"/>
  <w16cid:commentId w16cid:paraId="46BFDAE4" w16cid:durableId="2326DA5A"/>
  <w16cid:commentId w16cid:paraId="493D3C96" w16cid:durableId="2326DA5B"/>
  <w16cid:commentId w16cid:paraId="4D4A2593" w16cid:durableId="2326DA5C"/>
  <w16cid:commentId w16cid:paraId="30906580" w16cid:durableId="2326DA5D"/>
  <w16cid:commentId w16cid:paraId="2E92A4F6" w16cid:durableId="2326DA5E"/>
  <w16cid:commentId w16cid:paraId="4ACF3374" w16cid:durableId="2326DA5F"/>
  <w16cid:commentId w16cid:paraId="09F5CAED" w16cid:durableId="2326DA60"/>
  <w16cid:commentId w16cid:paraId="35769B26" w16cid:durableId="2326DA61"/>
  <w16cid:commentId w16cid:paraId="222ACB5C" w16cid:durableId="2326DA62"/>
  <w16cid:commentId w16cid:paraId="5EC857FF" w16cid:durableId="2326DA63"/>
  <w16cid:commentId w16cid:paraId="46E4A7BB" w16cid:durableId="2326D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0B8B" w14:textId="77777777" w:rsidR="0099168A" w:rsidRDefault="0099168A" w:rsidP="002E6B19">
      <w:pPr>
        <w:spacing w:after="0" w:line="240" w:lineRule="auto"/>
      </w:pPr>
      <w:r>
        <w:separator/>
      </w:r>
    </w:p>
  </w:endnote>
  <w:endnote w:type="continuationSeparator" w:id="0">
    <w:p w14:paraId="55430C4E" w14:textId="77777777" w:rsidR="0099168A" w:rsidRDefault="0099168A" w:rsidP="002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2A6A" w14:textId="77777777" w:rsidR="0099168A" w:rsidRDefault="0099168A" w:rsidP="002E6B19">
      <w:pPr>
        <w:spacing w:after="0" w:line="240" w:lineRule="auto"/>
      </w:pPr>
      <w:r>
        <w:separator/>
      </w:r>
    </w:p>
  </w:footnote>
  <w:footnote w:type="continuationSeparator" w:id="0">
    <w:p w14:paraId="581B4DE0" w14:textId="77777777" w:rsidR="0099168A" w:rsidRDefault="0099168A" w:rsidP="002E6B19">
      <w:pPr>
        <w:spacing w:after="0" w:line="240" w:lineRule="auto"/>
      </w:pPr>
      <w:r>
        <w:continuationSeparator/>
      </w:r>
    </w:p>
  </w:footnote>
  <w:footnote w:id="1">
    <w:p w14:paraId="095F9373" w14:textId="77777777" w:rsidR="001B330A" w:rsidRPr="00E71561" w:rsidRDefault="001B330A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="00E71561" w:rsidRPr="00E71561">
        <w:rPr>
          <w:rFonts w:ascii="David" w:hAnsi="David" w:cs="David"/>
          <w:rtl/>
        </w:rPr>
        <w:t xml:space="preserve">גבריאל הלוי "עקרון החוקיות וחוקתיות בדיני העונשין בישראל" </w:t>
      </w:r>
      <w:proofErr w:type="spellStart"/>
      <w:r w:rsidR="00E71561" w:rsidRPr="00E71561">
        <w:rPr>
          <w:rFonts w:ascii="David" w:hAnsi="David" w:cs="David"/>
          <w:b/>
          <w:bCs/>
          <w:rtl/>
        </w:rPr>
        <w:t>קרית</w:t>
      </w:r>
      <w:proofErr w:type="spellEnd"/>
      <w:r w:rsidR="00E71561" w:rsidRPr="00E71561">
        <w:rPr>
          <w:rFonts w:ascii="David" w:hAnsi="David" w:cs="David"/>
          <w:b/>
          <w:bCs/>
          <w:rtl/>
        </w:rPr>
        <w:t xml:space="preserve"> המשפט</w:t>
      </w:r>
      <w:r w:rsidR="00E71561" w:rsidRPr="00E71561">
        <w:rPr>
          <w:rFonts w:ascii="David" w:hAnsi="David" w:cs="David"/>
          <w:rtl/>
        </w:rPr>
        <w:t xml:space="preserve"> ח 335 (2009).</w:t>
      </w:r>
    </w:p>
  </w:footnote>
  <w:footnote w:id="2">
    <w:p w14:paraId="32A864F1" w14:textId="77777777" w:rsidR="008A4311" w:rsidRDefault="008A4311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2F62A6">
        <w:rPr>
          <w:rFonts w:ascii="David" w:hAnsi="David" w:cs="David"/>
          <w:color w:val="333333"/>
          <w:shd w:val="clear" w:color="auto" w:fill="FFFFFF"/>
          <w:rtl/>
        </w:rPr>
        <w:t xml:space="preserve">רות </w:t>
      </w:r>
      <w:proofErr w:type="spellStart"/>
      <w:r w:rsidRPr="002F62A6">
        <w:rPr>
          <w:rFonts w:ascii="David" w:hAnsi="David" w:cs="David"/>
          <w:color w:val="333333"/>
          <w:shd w:val="clear" w:color="auto" w:fill="FFFFFF"/>
          <w:rtl/>
        </w:rPr>
        <w:t>זפרן</w:t>
      </w:r>
      <w:proofErr w:type="spellEnd"/>
      <w:r w:rsidRPr="002F62A6">
        <w:rPr>
          <w:rFonts w:ascii="David" w:hAnsi="David" w:cs="David"/>
          <w:color w:val="333333"/>
          <w:shd w:val="clear" w:color="auto" w:fill="FFFFFF"/>
          <w:rtl/>
        </w:rPr>
        <w:t> ""סקס שקרים ווידאוטייפ": על הגנת הפרטיות בהליכים המתנהלים בבתי הדין הרבניים" </w:t>
      </w:r>
      <w:r w:rsidRPr="002F62A6">
        <w:rPr>
          <w:rFonts w:ascii="David" w:hAnsi="David" w:cs="David"/>
          <w:b/>
          <w:bCs/>
          <w:color w:val="333333"/>
          <w:shd w:val="clear" w:color="auto" w:fill="FFFFFF"/>
          <w:rtl/>
        </w:rPr>
        <w:t>משפט וממשל </w:t>
      </w:r>
      <w:r w:rsidRPr="002F62A6">
        <w:rPr>
          <w:rFonts w:ascii="David" w:hAnsi="David" w:cs="David"/>
          <w:color w:val="333333"/>
          <w:shd w:val="clear" w:color="auto" w:fill="FFFFFF"/>
          <w:rtl/>
        </w:rPr>
        <w:t>ז 813 </w:t>
      </w:r>
      <w:r w:rsidR="00E71561">
        <w:rPr>
          <w:rFonts w:ascii="David" w:hAnsi="David" w:cs="David" w:hint="cs"/>
          <w:color w:val="333333"/>
          <w:shd w:val="clear" w:color="auto" w:fill="FFFFFF"/>
          <w:rtl/>
        </w:rPr>
        <w:t>(2005).</w:t>
      </w:r>
    </w:p>
  </w:footnote>
  <w:footnote w:id="3">
    <w:p w14:paraId="013533F1" w14:textId="77777777" w:rsidR="00636767" w:rsidRDefault="00636767">
      <w:pPr>
        <w:pStyle w:val="a8"/>
      </w:pPr>
      <w:r>
        <w:rPr>
          <w:rStyle w:val="aa"/>
        </w:rPr>
        <w:footnoteRef/>
      </w:r>
      <w:r w:rsidRPr="00636767">
        <w:rPr>
          <w:rFonts w:ascii="David" w:hAnsi="David" w:cs="David"/>
          <w:rtl/>
        </w:rPr>
        <w:t xml:space="preserve"> </w:t>
      </w:r>
      <w:r w:rsidRPr="00636767">
        <w:rPr>
          <w:rFonts w:ascii="David" w:hAnsi="David" w:cs="David"/>
          <w:color w:val="333333"/>
          <w:shd w:val="clear" w:color="auto" w:fill="FFFFFF"/>
          <w:rtl/>
        </w:rPr>
        <w:t>יששכר רוזן צבי וטליה פישר "מעבר לאזרחי ולפלילי: סדר חדש לסדרי הדין" </w:t>
      </w:r>
      <w:r w:rsidRPr="00636767">
        <w:rPr>
          <w:rFonts w:ascii="David" w:hAnsi="David" w:cs="David"/>
          <w:b/>
          <w:bCs/>
          <w:color w:val="333333"/>
          <w:shd w:val="clear" w:color="auto" w:fill="FFFFFF"/>
          <w:rtl/>
        </w:rPr>
        <w:t>משפטים </w:t>
      </w:r>
      <w:r w:rsidRPr="00636767">
        <w:rPr>
          <w:rFonts w:ascii="David" w:hAnsi="David" w:cs="David"/>
          <w:color w:val="333333"/>
          <w:shd w:val="clear" w:color="auto" w:fill="FFFFFF"/>
          <w:rtl/>
        </w:rPr>
        <w:t>לח 489 (</w:t>
      </w:r>
      <w:r w:rsidR="00E71561">
        <w:rPr>
          <w:rFonts w:ascii="David" w:hAnsi="David" w:cs="David" w:hint="cs"/>
          <w:color w:val="333333"/>
          <w:shd w:val="clear" w:color="auto" w:fill="FFFFFF"/>
          <w:rtl/>
        </w:rPr>
        <w:t>2008</w:t>
      </w:r>
      <w:r w:rsidRPr="00636767">
        <w:rPr>
          <w:rFonts w:ascii="David" w:hAnsi="David" w:cs="David"/>
          <w:color w:val="333333"/>
          <w:shd w:val="clear" w:color="auto" w:fill="FFFFFF"/>
          <w:rtl/>
        </w:rPr>
        <w:t>).</w:t>
      </w:r>
    </w:p>
  </w:footnote>
  <w:footnote w:id="4">
    <w:p w14:paraId="7116557A" w14:textId="77777777" w:rsidR="002C0BA1" w:rsidRDefault="002C0BA1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Pr="00F25AFF">
        <w:rPr>
          <w:rFonts w:ascii="David" w:hAnsi="David" w:cs="David"/>
          <w:color w:val="333333"/>
          <w:shd w:val="clear" w:color="auto" w:fill="FFFFFF"/>
          <w:rtl/>
        </w:rPr>
        <w:t xml:space="preserve">אסף הרדוף "ההליך הוא הביוש: </w:t>
      </w:r>
      <w:proofErr w:type="spellStart"/>
      <w:r w:rsidRPr="00F25AFF">
        <w:rPr>
          <w:rFonts w:ascii="David" w:hAnsi="David" w:cs="David"/>
          <w:color w:val="333333"/>
          <w:shd w:val="clear" w:color="auto" w:fill="FFFFFF"/>
          <w:rtl/>
        </w:rPr>
        <w:t>השיימינג</w:t>
      </w:r>
      <w:proofErr w:type="spellEnd"/>
      <w:r w:rsidRPr="00F25AFF">
        <w:rPr>
          <w:rFonts w:ascii="David" w:hAnsi="David" w:cs="David"/>
          <w:color w:val="333333"/>
          <w:shd w:val="clear" w:color="auto" w:fill="FFFFFF"/>
          <w:rtl/>
        </w:rPr>
        <w:t xml:space="preserve"> של הפרוצדורה הפלילית" </w:t>
      </w:r>
      <w:r w:rsidRPr="00F25AFF">
        <w:rPr>
          <w:rFonts w:ascii="David" w:hAnsi="David" w:cs="David"/>
          <w:b/>
          <w:bCs/>
          <w:color w:val="333333"/>
          <w:shd w:val="clear" w:color="auto" w:fill="FFFFFF"/>
          <w:rtl/>
        </w:rPr>
        <w:t>משפט ועסקים </w:t>
      </w:r>
      <w:proofErr w:type="spellStart"/>
      <w:r w:rsidRPr="00F25AFF">
        <w:rPr>
          <w:rFonts w:ascii="David" w:hAnsi="David" w:cs="David"/>
          <w:color w:val="333333"/>
          <w:shd w:val="clear" w:color="auto" w:fill="FFFFFF"/>
          <w:rtl/>
        </w:rPr>
        <w:t>כג</w:t>
      </w:r>
      <w:proofErr w:type="spellEnd"/>
      <w:r w:rsidRPr="00F25AFF">
        <w:rPr>
          <w:rFonts w:ascii="David" w:hAnsi="David" w:cs="David"/>
          <w:color w:val="333333"/>
          <w:shd w:val="clear" w:color="auto" w:fill="FFFFFF"/>
          <w:rtl/>
        </w:rPr>
        <w:t> </w:t>
      </w:r>
      <w:r w:rsidR="00F25AFF" w:rsidRPr="00F25AFF">
        <w:rPr>
          <w:rFonts w:ascii="David" w:hAnsi="David" w:cs="David"/>
          <w:color w:val="333333"/>
          <w:shd w:val="clear" w:color="auto" w:fill="FFFFFF"/>
          <w:rtl/>
        </w:rPr>
        <w:t xml:space="preserve"> </w:t>
      </w:r>
      <w:r w:rsidRPr="00F25AFF">
        <w:rPr>
          <w:rFonts w:ascii="David" w:hAnsi="David" w:cs="David"/>
          <w:color w:val="333333"/>
          <w:shd w:val="clear" w:color="auto" w:fill="FFFFFF"/>
          <w:rtl/>
        </w:rPr>
        <w:t>(תשע"ט).</w:t>
      </w:r>
    </w:p>
  </w:footnote>
  <w:footnote w:id="5">
    <w:p w14:paraId="00DA1A9E" w14:textId="77777777" w:rsidR="00953840" w:rsidRDefault="00953840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Pr="00953840">
        <w:rPr>
          <w:rFonts w:ascii="David" w:hAnsi="David" w:cs="David"/>
          <w:color w:val="333333"/>
          <w:shd w:val="clear" w:color="auto" w:fill="FFFFFF"/>
          <w:rtl/>
        </w:rPr>
        <w:t>ס' </w:t>
      </w:r>
      <w:r w:rsidR="00F17A61">
        <w:rPr>
          <w:rFonts w:ascii="David" w:hAnsi="David" w:cs="David" w:hint="cs"/>
          <w:color w:val="333333"/>
          <w:shd w:val="clear" w:color="auto" w:fill="FFFFFF"/>
          <w:rtl/>
        </w:rPr>
        <w:t>40 ד</w:t>
      </w:r>
      <w:r w:rsidRPr="00953840">
        <w:rPr>
          <w:rFonts w:ascii="David" w:hAnsi="David" w:cs="David"/>
          <w:color w:val="333333"/>
          <w:shd w:val="clear" w:color="auto" w:fill="FFFFFF"/>
          <w:rtl/>
        </w:rPr>
        <w:t> לחוק העונשין, התשל"ז-1977.</w:t>
      </w:r>
    </w:p>
  </w:footnote>
  <w:footnote w:id="6">
    <w:p w14:paraId="4A3BD0A0" w14:textId="77777777" w:rsidR="00953840" w:rsidRDefault="00953840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953840">
        <w:rPr>
          <w:rFonts w:ascii="David" w:hAnsi="David" w:cs="David"/>
          <w:color w:val="333333"/>
          <w:shd w:val="clear" w:color="auto" w:fill="FFFFFF"/>
          <w:rtl/>
        </w:rPr>
        <w:t xml:space="preserve">ס' 40 </w:t>
      </w:r>
      <w:r w:rsidR="00F17A61">
        <w:rPr>
          <w:rFonts w:ascii="David" w:hAnsi="David" w:cs="David" w:hint="cs"/>
          <w:color w:val="333333"/>
          <w:shd w:val="clear" w:color="auto" w:fill="FFFFFF"/>
          <w:rtl/>
        </w:rPr>
        <w:t>ו וס'</w:t>
      </w:r>
      <w:r w:rsidRPr="00953840">
        <w:rPr>
          <w:rFonts w:ascii="David" w:hAnsi="David" w:cs="David"/>
          <w:color w:val="333333"/>
          <w:shd w:val="clear" w:color="auto" w:fill="FFFFFF"/>
          <w:rtl/>
        </w:rPr>
        <w:t xml:space="preserve"> 40 ז</w:t>
      </w:r>
      <w:r w:rsidR="00F17A61">
        <w:rPr>
          <w:rFonts w:ascii="David" w:hAnsi="David" w:cs="David" w:hint="cs"/>
          <w:color w:val="333333"/>
          <w:shd w:val="clear" w:color="auto" w:fill="FFFFFF"/>
          <w:rtl/>
        </w:rPr>
        <w:t xml:space="preserve"> </w:t>
      </w:r>
      <w:r w:rsidRPr="00953840">
        <w:rPr>
          <w:rFonts w:ascii="David" w:hAnsi="David" w:cs="David"/>
          <w:color w:val="333333"/>
          <w:shd w:val="clear" w:color="auto" w:fill="FFFFFF"/>
          <w:rtl/>
        </w:rPr>
        <w:t>לחוק העונשין, התשל"ז-1977.</w:t>
      </w:r>
    </w:p>
  </w:footnote>
  <w:footnote w:id="7">
    <w:p w14:paraId="73BF70ED" w14:textId="77777777" w:rsidR="006B2A9A" w:rsidRPr="006B2A9A" w:rsidRDefault="006B2A9A">
      <w:pPr>
        <w:pStyle w:val="a8"/>
        <w:rPr>
          <w:rFonts w:ascii="David" w:hAnsi="David" w:cs="David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 xml:space="preserve">הדר מסורי "תיקון 113- מצליח לתקן?" </w:t>
      </w:r>
      <w:r>
        <w:rPr>
          <w:rFonts w:ascii="David" w:hAnsi="David" w:cs="David" w:hint="cs"/>
          <w:b/>
          <w:bCs/>
          <w:rtl/>
        </w:rPr>
        <w:t>המשפט</w:t>
      </w:r>
      <w:r>
        <w:rPr>
          <w:rFonts w:ascii="David" w:hAnsi="David" w:cs="David" w:hint="cs"/>
          <w:rtl/>
        </w:rPr>
        <w:t xml:space="preserve"> כד 11 (2018).</w:t>
      </w:r>
    </w:p>
  </w:footnote>
  <w:footnote w:id="8">
    <w:p w14:paraId="125C217F" w14:textId="77777777" w:rsidR="006B2A9A" w:rsidRPr="006B2A9A" w:rsidRDefault="006B2A9A">
      <w:pPr>
        <w:pStyle w:val="a8"/>
        <w:rPr>
          <w:rFonts w:ascii="David" w:hAnsi="David" w:cs="David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="00910B1E">
        <w:rPr>
          <w:rFonts w:ascii="David" w:hAnsi="David" w:cs="David" w:hint="cs"/>
          <w:rtl/>
        </w:rPr>
        <w:t>ס' 2א</w:t>
      </w:r>
      <w:r>
        <w:rPr>
          <w:rFonts w:ascii="David" w:hAnsi="David" w:cs="David" w:hint="cs"/>
          <w:rtl/>
        </w:rPr>
        <w:t xml:space="preserve"> וס' 2ב(ה)</w:t>
      </w:r>
      <w:r w:rsidR="00910B1E">
        <w:rPr>
          <w:rFonts w:ascii="David" w:hAnsi="David" w:cs="David" w:hint="cs"/>
          <w:rtl/>
        </w:rPr>
        <w:t xml:space="preserve"> לחוק לתיקון סדרי הדין (חקירת עדים), </w:t>
      </w:r>
      <w:proofErr w:type="spellStart"/>
      <w:r w:rsidR="00910B1E">
        <w:rPr>
          <w:rFonts w:ascii="David" w:hAnsi="David" w:cs="David" w:hint="cs"/>
          <w:rtl/>
        </w:rPr>
        <w:t>התשי"ח</w:t>
      </w:r>
      <w:proofErr w:type="spellEnd"/>
      <w:r w:rsidR="00910B1E">
        <w:rPr>
          <w:rFonts w:ascii="David" w:hAnsi="David" w:cs="David" w:hint="cs"/>
          <w:rtl/>
        </w:rPr>
        <w:t>- 1957.</w:t>
      </w:r>
    </w:p>
  </w:footnote>
  <w:footnote w:id="9">
    <w:p w14:paraId="737DC01A" w14:textId="77777777" w:rsidR="00B36F6F" w:rsidRDefault="00B36F6F">
      <w:pPr>
        <w:pStyle w:val="a8"/>
      </w:pPr>
      <w:r>
        <w:rPr>
          <w:rStyle w:val="aa"/>
        </w:rPr>
        <w:footnoteRef/>
      </w:r>
      <w:r w:rsidR="00453AAF">
        <w:rPr>
          <w:rFonts w:hint="cs"/>
          <w:rtl/>
        </w:rPr>
        <w:t xml:space="preserve"> </w:t>
      </w:r>
      <w:r w:rsidR="00453AAF">
        <w:rPr>
          <w:rFonts w:ascii="David" w:hAnsi="David" w:cs="David" w:hint="cs"/>
          <w:rtl/>
        </w:rPr>
        <w:t xml:space="preserve">ת"פ 10279/98 </w:t>
      </w:r>
      <w:r w:rsidR="00453AAF">
        <w:rPr>
          <w:rFonts w:ascii="David" w:hAnsi="David" w:cs="David" w:hint="cs"/>
          <w:b/>
          <w:bCs/>
          <w:rtl/>
        </w:rPr>
        <w:t>מדינת ישראל נ' מזרחי</w:t>
      </w:r>
      <w:r w:rsidR="00453AAF">
        <w:rPr>
          <w:rFonts w:ascii="David" w:hAnsi="David" w:cs="David" w:hint="cs"/>
          <w:rtl/>
        </w:rPr>
        <w:t xml:space="preserve">, </w:t>
      </w:r>
      <w:proofErr w:type="spellStart"/>
      <w:r w:rsidR="00453AAF">
        <w:rPr>
          <w:rFonts w:ascii="David" w:hAnsi="David" w:cs="David" w:hint="cs"/>
          <w:rtl/>
        </w:rPr>
        <w:t>פ"מ</w:t>
      </w:r>
      <w:proofErr w:type="spellEnd"/>
      <w:r w:rsidR="00453AAF">
        <w:rPr>
          <w:rFonts w:ascii="David" w:hAnsi="David" w:cs="David" w:hint="cs"/>
          <w:rtl/>
        </w:rPr>
        <w:t>(3) 251, 253 (1998)</w:t>
      </w:r>
      <w:r w:rsidR="00432DC7">
        <w:rPr>
          <w:rFonts w:ascii="David" w:hAnsi="David" w:cs="David" w:hint="cs"/>
          <w:rtl/>
        </w:rPr>
        <w:t>.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0B91" w14:textId="77777777" w:rsidR="002E6B19" w:rsidRPr="00F96964" w:rsidRDefault="00151717">
    <w:pPr>
      <w:pStyle w:val="a3"/>
      <w:rPr>
        <w:rFonts w:ascii="David" w:hAnsi="David" w:cs="David"/>
        <w:sz w:val="16"/>
        <w:szCs w:val="16"/>
      </w:rPr>
    </w:pPr>
    <w:r w:rsidRPr="00F96964">
      <w:rPr>
        <w:rFonts w:ascii="David" w:hAnsi="David" w:cs="David" w:hint="cs"/>
        <w:sz w:val="16"/>
        <w:szCs w:val="16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558"/>
    <w:multiLevelType w:val="hybridMultilevel"/>
    <w:tmpl w:val="9F144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225A5"/>
    <w:multiLevelType w:val="hybridMultilevel"/>
    <w:tmpl w:val="6786EDD2"/>
    <w:lvl w:ilvl="0" w:tplc="82022680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ifat Nahmias">
    <w15:presenceInfo w15:providerId="Windows Live" w15:userId="13277ca8a733b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TIzNzU0sDQzNjRT0lEKTi0uzszPAykwrAUAkgJtxiwAAAA="/>
  </w:docVars>
  <w:rsids>
    <w:rsidRoot w:val="00623107"/>
    <w:rsid w:val="000353CE"/>
    <w:rsid w:val="00055EFD"/>
    <w:rsid w:val="00081AD9"/>
    <w:rsid w:val="00100422"/>
    <w:rsid w:val="00134EBD"/>
    <w:rsid w:val="001505B7"/>
    <w:rsid w:val="00151717"/>
    <w:rsid w:val="00152C9B"/>
    <w:rsid w:val="00162E3F"/>
    <w:rsid w:val="001846CA"/>
    <w:rsid w:val="001A09A6"/>
    <w:rsid w:val="001B12FA"/>
    <w:rsid w:val="001B330A"/>
    <w:rsid w:val="002306EF"/>
    <w:rsid w:val="00265B9A"/>
    <w:rsid w:val="00285F89"/>
    <w:rsid w:val="002B0FB9"/>
    <w:rsid w:val="002C0BA1"/>
    <w:rsid w:val="002E6B06"/>
    <w:rsid w:val="002E6B19"/>
    <w:rsid w:val="002F62A6"/>
    <w:rsid w:val="00317878"/>
    <w:rsid w:val="00325902"/>
    <w:rsid w:val="0036725D"/>
    <w:rsid w:val="003C087A"/>
    <w:rsid w:val="003E0224"/>
    <w:rsid w:val="004262C5"/>
    <w:rsid w:val="004310D2"/>
    <w:rsid w:val="00432DC7"/>
    <w:rsid w:val="0043363C"/>
    <w:rsid w:val="00453AAF"/>
    <w:rsid w:val="004C6F84"/>
    <w:rsid w:val="00545465"/>
    <w:rsid w:val="00564531"/>
    <w:rsid w:val="00582878"/>
    <w:rsid w:val="005A44F8"/>
    <w:rsid w:val="005B1D4C"/>
    <w:rsid w:val="005C5991"/>
    <w:rsid w:val="005F672D"/>
    <w:rsid w:val="00623107"/>
    <w:rsid w:val="00636767"/>
    <w:rsid w:val="00646A43"/>
    <w:rsid w:val="00686264"/>
    <w:rsid w:val="006B2A9A"/>
    <w:rsid w:val="006F740B"/>
    <w:rsid w:val="00727B92"/>
    <w:rsid w:val="00733BEA"/>
    <w:rsid w:val="00740663"/>
    <w:rsid w:val="00753894"/>
    <w:rsid w:val="00771AF4"/>
    <w:rsid w:val="007C6EC2"/>
    <w:rsid w:val="007D6ED8"/>
    <w:rsid w:val="00840F5B"/>
    <w:rsid w:val="00891498"/>
    <w:rsid w:val="008A4311"/>
    <w:rsid w:val="008B2B09"/>
    <w:rsid w:val="008B6032"/>
    <w:rsid w:val="008F02DD"/>
    <w:rsid w:val="008F3F18"/>
    <w:rsid w:val="008F51FF"/>
    <w:rsid w:val="00906819"/>
    <w:rsid w:val="00910B1E"/>
    <w:rsid w:val="009137D1"/>
    <w:rsid w:val="00916857"/>
    <w:rsid w:val="009361B7"/>
    <w:rsid w:val="00953840"/>
    <w:rsid w:val="00956FCB"/>
    <w:rsid w:val="009825F8"/>
    <w:rsid w:val="0099168A"/>
    <w:rsid w:val="009D555B"/>
    <w:rsid w:val="009E3203"/>
    <w:rsid w:val="00A14194"/>
    <w:rsid w:val="00A71A2D"/>
    <w:rsid w:val="00A76674"/>
    <w:rsid w:val="00A80390"/>
    <w:rsid w:val="00AA6F93"/>
    <w:rsid w:val="00AB522D"/>
    <w:rsid w:val="00B150AE"/>
    <w:rsid w:val="00B1569F"/>
    <w:rsid w:val="00B2088C"/>
    <w:rsid w:val="00B36F6F"/>
    <w:rsid w:val="00B54B57"/>
    <w:rsid w:val="00B621D7"/>
    <w:rsid w:val="00BA2118"/>
    <w:rsid w:val="00BC48A0"/>
    <w:rsid w:val="00BF5E01"/>
    <w:rsid w:val="00C556BE"/>
    <w:rsid w:val="00C73290"/>
    <w:rsid w:val="00C77D7B"/>
    <w:rsid w:val="00C90A58"/>
    <w:rsid w:val="00D00D00"/>
    <w:rsid w:val="00D2494D"/>
    <w:rsid w:val="00D54739"/>
    <w:rsid w:val="00D729C5"/>
    <w:rsid w:val="00DA12A4"/>
    <w:rsid w:val="00DB5BE6"/>
    <w:rsid w:val="00DB6598"/>
    <w:rsid w:val="00DD080A"/>
    <w:rsid w:val="00DE2684"/>
    <w:rsid w:val="00DF023E"/>
    <w:rsid w:val="00E502C0"/>
    <w:rsid w:val="00E71561"/>
    <w:rsid w:val="00F03581"/>
    <w:rsid w:val="00F17A61"/>
    <w:rsid w:val="00F25AFF"/>
    <w:rsid w:val="00F43DE1"/>
    <w:rsid w:val="00F7612D"/>
    <w:rsid w:val="00F96964"/>
    <w:rsid w:val="00F96AB7"/>
    <w:rsid w:val="00FB367A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289"/>
  <w15:chartTrackingRefBased/>
  <w15:docId w15:val="{DB92DD16-E61D-4E29-A51B-C8264E5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E6B19"/>
  </w:style>
  <w:style w:type="paragraph" w:styleId="a5">
    <w:name w:val="footer"/>
    <w:basedOn w:val="a"/>
    <w:link w:val="a6"/>
    <w:uiPriority w:val="99"/>
    <w:unhideWhenUsed/>
    <w:rsid w:val="002E6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E6B19"/>
  </w:style>
  <w:style w:type="paragraph" w:styleId="a7">
    <w:name w:val="List Paragraph"/>
    <w:basedOn w:val="a"/>
    <w:uiPriority w:val="34"/>
    <w:qFormat/>
    <w:rsid w:val="005C599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A4311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8A431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431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035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358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035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358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035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035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0358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95-D26D-4A3B-8FF3-7C4D20E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Toledano</dc:creator>
  <cp:keywords/>
  <dc:description/>
  <cp:lastModifiedBy>Ilana Toledano</cp:lastModifiedBy>
  <cp:revision>2</cp:revision>
  <dcterms:created xsi:type="dcterms:W3CDTF">2020-10-06T08:58:00Z</dcterms:created>
  <dcterms:modified xsi:type="dcterms:W3CDTF">2020-10-06T08:58:00Z</dcterms:modified>
</cp:coreProperties>
</file>