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31914" w14:textId="7B315228" w:rsidR="00C2532D" w:rsidRDefault="00EB160C" w:rsidP="00DC6852">
      <w:pPr>
        <w:spacing w:line="480" w:lineRule="auto"/>
        <w:jc w:val="both"/>
        <w:rPr>
          <w:rFonts w:ascii="David" w:hAnsi="David" w:cs="David"/>
          <w:sz w:val="24"/>
          <w:szCs w:val="24"/>
          <w:rtl/>
        </w:rPr>
      </w:pPr>
      <w:r>
        <w:rPr>
          <w:rFonts w:ascii="David" w:hAnsi="David" w:cs="David" w:hint="cs"/>
          <w:sz w:val="24"/>
          <w:szCs w:val="24"/>
          <w:rtl/>
        </w:rPr>
        <w:t xml:space="preserve"> </w:t>
      </w:r>
      <w:r w:rsidR="00823AEC">
        <w:rPr>
          <w:rFonts w:ascii="David" w:hAnsi="David" w:cs="David" w:hint="cs"/>
          <w:sz w:val="24"/>
          <w:szCs w:val="24"/>
          <w:rtl/>
        </w:rPr>
        <w:t xml:space="preserve">במאמרו </w:t>
      </w:r>
      <w:r w:rsidR="00823AEC" w:rsidRPr="00727FC6">
        <w:rPr>
          <w:rFonts w:ascii="David" w:hAnsi="David" w:cs="David" w:hint="cs"/>
          <w:b/>
          <w:bCs/>
          <w:sz w:val="24"/>
          <w:szCs w:val="24"/>
          <w:rtl/>
        </w:rPr>
        <w:t>"כאשר דברים טובים ורעים באים יחדיו: ניכוי טובות-הנאה מן הפיצויים</w:t>
      </w:r>
      <w:r w:rsidR="00761BA8" w:rsidRPr="00727FC6">
        <w:rPr>
          <w:rStyle w:val="a5"/>
          <w:rFonts w:ascii="David" w:hAnsi="David" w:cs="David"/>
          <w:b/>
          <w:bCs/>
          <w:sz w:val="24"/>
          <w:szCs w:val="24"/>
          <w:rtl/>
        </w:rPr>
        <w:footnoteReference w:id="1"/>
      </w:r>
      <w:r w:rsidR="00823AEC" w:rsidRPr="00727FC6">
        <w:rPr>
          <w:rFonts w:ascii="David" w:hAnsi="David" w:cs="David" w:hint="cs"/>
          <w:b/>
          <w:bCs/>
          <w:sz w:val="24"/>
          <w:szCs w:val="24"/>
          <w:rtl/>
        </w:rPr>
        <w:t>"</w:t>
      </w:r>
      <w:r w:rsidR="00823AEC">
        <w:rPr>
          <w:rFonts w:ascii="David" w:hAnsi="David" w:cs="David" w:hint="cs"/>
          <w:sz w:val="24"/>
          <w:szCs w:val="24"/>
          <w:rtl/>
        </w:rPr>
        <w:t>, דן פרופ' אריאל פורת בעוולות נזיקיות אשר יוצרות יחד עם הנזק גם טובות הנאה לניזוק. אריאל מציג מספר מקרים טיפוסיים של טובות-הנאה הנלוות ל</w:t>
      </w:r>
      <w:r w:rsidR="0084698E">
        <w:rPr>
          <w:rFonts w:ascii="David" w:hAnsi="David" w:cs="David" w:hint="cs"/>
          <w:sz w:val="24"/>
          <w:szCs w:val="24"/>
          <w:rtl/>
        </w:rPr>
        <w:t xml:space="preserve">גרם </w:t>
      </w:r>
      <w:r w:rsidR="00823AEC">
        <w:rPr>
          <w:rFonts w:ascii="David" w:hAnsi="David" w:cs="David" w:hint="cs"/>
          <w:sz w:val="24"/>
          <w:szCs w:val="24"/>
          <w:rtl/>
        </w:rPr>
        <w:t xml:space="preserve">נזק, ומציע תיאוריה לאמות המידה </w:t>
      </w:r>
      <w:r w:rsidR="00761BA8">
        <w:rPr>
          <w:rFonts w:ascii="David" w:hAnsi="David" w:cs="David" w:hint="cs"/>
          <w:sz w:val="24"/>
          <w:szCs w:val="24"/>
          <w:rtl/>
        </w:rPr>
        <w:t xml:space="preserve">שעל </w:t>
      </w:r>
      <w:r w:rsidR="00C875B4">
        <w:rPr>
          <w:rFonts w:ascii="David" w:hAnsi="David" w:cs="David" w:hint="cs"/>
          <w:sz w:val="24"/>
          <w:szCs w:val="24"/>
          <w:rtl/>
        </w:rPr>
        <w:t>פיהן</w:t>
      </w:r>
      <w:r w:rsidR="00761BA8">
        <w:rPr>
          <w:rFonts w:ascii="David" w:hAnsi="David" w:cs="David" w:hint="cs"/>
          <w:sz w:val="24"/>
          <w:szCs w:val="24"/>
          <w:rtl/>
        </w:rPr>
        <w:t xml:space="preserve"> יש לקבוע האם יש לנכותן מן הפיצויים. ישנם </w:t>
      </w:r>
      <w:r w:rsidR="00761BA8" w:rsidRPr="00C2532D">
        <w:rPr>
          <w:rFonts w:ascii="David" w:hAnsi="David" w:cs="David" w:hint="cs"/>
          <w:sz w:val="24"/>
          <w:szCs w:val="24"/>
          <w:u w:val="single"/>
          <w:rtl/>
        </w:rPr>
        <w:t>שני תנאי סף</w:t>
      </w:r>
      <w:r w:rsidR="00761BA8">
        <w:rPr>
          <w:rFonts w:ascii="David" w:hAnsi="David" w:cs="David" w:hint="cs"/>
          <w:sz w:val="24"/>
          <w:szCs w:val="24"/>
          <w:rtl/>
        </w:rPr>
        <w:t xml:space="preserve"> </w:t>
      </w:r>
      <w:r w:rsidR="00C875B4">
        <w:rPr>
          <w:rFonts w:ascii="David" w:hAnsi="David" w:cs="David" w:hint="cs"/>
          <w:sz w:val="24"/>
          <w:szCs w:val="24"/>
          <w:rtl/>
        </w:rPr>
        <w:t>לניכוי טובות-הנאה</w:t>
      </w:r>
      <w:r w:rsidR="00761BA8">
        <w:rPr>
          <w:rFonts w:ascii="David" w:hAnsi="David" w:cs="David" w:hint="cs"/>
          <w:sz w:val="24"/>
          <w:szCs w:val="24"/>
          <w:rtl/>
        </w:rPr>
        <w:t>: טובת ההנאה היא חברתית ולא פרטית</w:t>
      </w:r>
      <w:r w:rsidR="00C875B4">
        <w:rPr>
          <w:rFonts w:ascii="David" w:hAnsi="David" w:cs="David"/>
          <w:sz w:val="24"/>
          <w:szCs w:val="24"/>
        </w:rPr>
        <w:t>;</w:t>
      </w:r>
      <w:r w:rsidR="00C875B4">
        <w:rPr>
          <w:rFonts w:ascii="David" w:hAnsi="David" w:cs="David" w:hint="cs"/>
          <w:sz w:val="24"/>
          <w:szCs w:val="24"/>
          <w:rtl/>
        </w:rPr>
        <w:t xml:space="preserve"> </w:t>
      </w:r>
      <w:r w:rsidR="00761BA8">
        <w:rPr>
          <w:rFonts w:ascii="David" w:hAnsi="David" w:cs="David" w:hint="cs"/>
          <w:sz w:val="24"/>
          <w:szCs w:val="24"/>
          <w:rtl/>
        </w:rPr>
        <w:t xml:space="preserve">והפגיעה </w:t>
      </w:r>
      <w:proofErr w:type="spellStart"/>
      <w:r w:rsidR="00761BA8">
        <w:rPr>
          <w:rFonts w:ascii="David" w:hAnsi="David" w:cs="David" w:hint="cs"/>
          <w:sz w:val="24"/>
          <w:szCs w:val="24"/>
          <w:rtl/>
        </w:rPr>
        <w:t>העוולתית</w:t>
      </w:r>
      <w:proofErr w:type="spellEnd"/>
      <w:r w:rsidR="00761BA8">
        <w:rPr>
          <w:rFonts w:ascii="David" w:hAnsi="David" w:cs="David" w:hint="cs"/>
          <w:sz w:val="24"/>
          <w:szCs w:val="24"/>
          <w:rtl/>
        </w:rPr>
        <w:t xml:space="preserve"> מעלה את ההסתברות שטובת ההנאה תיווצר.</w:t>
      </w:r>
      <w:r w:rsidR="00C875B4">
        <w:rPr>
          <w:rFonts w:ascii="David" w:hAnsi="David" w:cs="David" w:hint="cs"/>
          <w:sz w:val="24"/>
          <w:szCs w:val="24"/>
          <w:rtl/>
        </w:rPr>
        <w:t xml:space="preserve"> מאידך, מציע הפרופ' </w:t>
      </w:r>
      <w:r w:rsidR="00C875B4" w:rsidRPr="00C2532D">
        <w:rPr>
          <w:rFonts w:ascii="David" w:hAnsi="David" w:cs="David" w:hint="cs"/>
          <w:sz w:val="24"/>
          <w:szCs w:val="24"/>
          <w:u w:val="single"/>
          <w:rtl/>
        </w:rPr>
        <w:t>שלושה שיקולים שעשויים לשכנע שלא לנכות</w:t>
      </w:r>
      <w:r w:rsidR="00C875B4">
        <w:rPr>
          <w:rFonts w:ascii="David" w:hAnsi="David" w:cs="David" w:hint="cs"/>
          <w:sz w:val="24"/>
          <w:szCs w:val="24"/>
          <w:rtl/>
        </w:rPr>
        <w:t xml:space="preserve"> את טובות ההנאה מן הפיצויים: השפעה שלילית על תמריצי הניזוק; קשיי אומדן ובעיית טובת-הנאה שלא התבקשה; ונזקים בלתי מפוצים. חלקו האחרון של המאמר עוסק </w:t>
      </w:r>
      <w:r w:rsidR="00932F22">
        <w:rPr>
          <w:rFonts w:ascii="David" w:hAnsi="David" w:cs="David" w:hint="cs"/>
          <w:sz w:val="24"/>
          <w:szCs w:val="24"/>
          <w:rtl/>
        </w:rPr>
        <w:t>בקשר בין ניכוי טובות הנאה בדיני הנזיקין לבין דיני עשיית עושר ולא במשפט, ומציין כי ישנם מקרים בהם אין התאמה בין השניים. המאמר נחתם</w:t>
      </w:r>
      <w:bookmarkStart w:id="0" w:name="_GoBack"/>
      <w:bookmarkEnd w:id="0"/>
      <w:r w:rsidR="00932F22">
        <w:rPr>
          <w:rFonts w:ascii="David" w:hAnsi="David" w:cs="David" w:hint="cs"/>
          <w:sz w:val="24"/>
          <w:szCs w:val="24"/>
          <w:rtl/>
        </w:rPr>
        <w:t xml:space="preserve"> במסקנות </w:t>
      </w:r>
      <w:r w:rsidR="00932F22">
        <w:rPr>
          <w:rFonts w:ascii="David" w:hAnsi="David" w:cs="David"/>
          <w:sz w:val="24"/>
          <w:szCs w:val="24"/>
          <w:rtl/>
        </w:rPr>
        <w:t>–</w:t>
      </w:r>
      <w:r w:rsidR="00932F22">
        <w:rPr>
          <w:rFonts w:ascii="David" w:hAnsi="David" w:cs="David" w:hint="cs"/>
          <w:sz w:val="24"/>
          <w:szCs w:val="24"/>
          <w:rtl/>
        </w:rPr>
        <w:t xml:space="preserve"> במקרים רבים ניכוי טובת-הנאה אינו מוצדק. אם ישנו מקרה אשר עומד בשני תנאי הסף, יש לתת משקל הולם לכל אחד משלוש הסייגים הנוספים ע"מ </w:t>
      </w:r>
      <w:r w:rsidR="00AE2F93">
        <w:rPr>
          <w:rFonts w:ascii="David" w:hAnsi="David" w:cs="David" w:hint="cs"/>
          <w:sz w:val="24"/>
          <w:szCs w:val="24"/>
          <w:rtl/>
        </w:rPr>
        <w:t>לבחון האם הניכוי הוא רצוי או בלתי-רצוי. הפרופ' מציין כי לדעתו ההכרעה צריכה להיעשות ביחס לסוג המקרה הכללי ולא אי</w:t>
      </w:r>
      <w:r w:rsidR="009D3DEF">
        <w:rPr>
          <w:rFonts w:ascii="David" w:hAnsi="David" w:cs="David" w:hint="cs"/>
          <w:sz w:val="24"/>
          <w:szCs w:val="24"/>
          <w:rtl/>
        </w:rPr>
        <w:t>נ</w:t>
      </w:r>
      <w:r w:rsidR="00AE2F93">
        <w:rPr>
          <w:rFonts w:ascii="David" w:hAnsi="David" w:cs="David" w:hint="cs"/>
          <w:sz w:val="24"/>
          <w:szCs w:val="24"/>
          <w:rtl/>
        </w:rPr>
        <w:t>די</w:t>
      </w:r>
      <w:r w:rsidR="001120FF">
        <w:rPr>
          <w:rFonts w:ascii="David" w:hAnsi="David" w:cs="David" w:hint="cs"/>
          <w:sz w:val="24"/>
          <w:szCs w:val="24"/>
          <w:rtl/>
        </w:rPr>
        <w:t>ו</w:t>
      </w:r>
      <w:r w:rsidR="00AE2F93">
        <w:rPr>
          <w:rFonts w:ascii="David" w:hAnsi="David" w:cs="David" w:hint="cs"/>
          <w:sz w:val="24"/>
          <w:szCs w:val="24"/>
          <w:rtl/>
        </w:rPr>
        <w:t xml:space="preserve">וידואלית לכל מקרה לגופו (לדוג'- ניכוי </w:t>
      </w:r>
      <w:r w:rsidR="00727FC6">
        <w:rPr>
          <w:rFonts w:ascii="David" w:hAnsi="David" w:cs="David" w:hint="cs"/>
          <w:sz w:val="24"/>
          <w:szCs w:val="24"/>
          <w:rtl/>
        </w:rPr>
        <w:t>טובת הנאה לתלוי עקב נישואיו מחדש או סיכוייו לעשות כן</w:t>
      </w:r>
      <w:r w:rsidR="009D3DEF">
        <w:rPr>
          <w:rFonts w:ascii="David" w:hAnsi="David" w:cs="David" w:hint="cs"/>
          <w:sz w:val="24"/>
          <w:szCs w:val="24"/>
          <w:rtl/>
        </w:rPr>
        <w:t>,</w:t>
      </w:r>
      <w:r w:rsidR="001120FF">
        <w:rPr>
          <w:rFonts w:ascii="David" w:hAnsi="David" w:cs="David" w:hint="cs"/>
          <w:sz w:val="24"/>
          <w:szCs w:val="24"/>
          <w:rtl/>
        </w:rPr>
        <w:t xml:space="preserve"> </w:t>
      </w:r>
      <w:r w:rsidR="00727FC6">
        <w:rPr>
          <w:rFonts w:ascii="David" w:hAnsi="David" w:cs="David" w:hint="cs"/>
          <w:sz w:val="24"/>
          <w:szCs w:val="24"/>
          <w:rtl/>
        </w:rPr>
        <w:t>צ</w:t>
      </w:r>
      <w:r w:rsidR="00AE2F93">
        <w:rPr>
          <w:rFonts w:ascii="David" w:hAnsi="David" w:cs="David" w:hint="cs"/>
          <w:sz w:val="24"/>
          <w:szCs w:val="24"/>
          <w:rtl/>
        </w:rPr>
        <w:t xml:space="preserve">ריך להיות </w:t>
      </w:r>
      <w:r w:rsidR="00727FC6">
        <w:rPr>
          <w:rFonts w:ascii="David" w:hAnsi="David" w:cs="David" w:hint="cs"/>
          <w:sz w:val="24"/>
          <w:szCs w:val="24"/>
          <w:rtl/>
        </w:rPr>
        <w:t xml:space="preserve">חישוב </w:t>
      </w:r>
      <w:r w:rsidR="00AE2F93">
        <w:rPr>
          <w:rFonts w:ascii="David" w:hAnsi="David" w:cs="David" w:hint="cs"/>
          <w:sz w:val="24"/>
          <w:szCs w:val="24"/>
          <w:rtl/>
        </w:rPr>
        <w:t xml:space="preserve">סטטיסטי ולא </w:t>
      </w:r>
      <w:r w:rsidR="00727FC6">
        <w:rPr>
          <w:rFonts w:ascii="David" w:hAnsi="David" w:cs="David" w:hint="cs"/>
          <w:sz w:val="24"/>
          <w:szCs w:val="24"/>
          <w:rtl/>
        </w:rPr>
        <w:t>חישוב יחסי</w:t>
      </w:r>
      <w:r w:rsidR="00AE2F93">
        <w:rPr>
          <w:rFonts w:ascii="David" w:hAnsi="David" w:cs="David" w:hint="cs"/>
          <w:sz w:val="24"/>
          <w:szCs w:val="24"/>
          <w:rtl/>
        </w:rPr>
        <w:t xml:space="preserve"> למקרה הטיפוסי), מכיוון שדבר זה עלול להגביר את אי-בהירות הדין.</w:t>
      </w:r>
    </w:p>
    <w:p w14:paraId="3A85E4A8" w14:textId="0E9CAEDD" w:rsidR="009D3DEF" w:rsidRDefault="00C2532D" w:rsidP="004A19AA">
      <w:pPr>
        <w:spacing w:line="480" w:lineRule="auto"/>
        <w:jc w:val="both"/>
        <w:rPr>
          <w:rFonts w:ascii="David" w:hAnsi="David" w:cs="David"/>
          <w:sz w:val="24"/>
          <w:szCs w:val="24"/>
          <w:rtl/>
        </w:rPr>
      </w:pPr>
      <w:r>
        <w:rPr>
          <w:rFonts w:ascii="David" w:hAnsi="David" w:cs="David" w:hint="cs"/>
          <w:sz w:val="24"/>
          <w:szCs w:val="24"/>
          <w:rtl/>
        </w:rPr>
        <w:t>ברצוני לדון בשתי נקודות ספציפיות אשר הסבתי אליהן את תשומת ליבי באופן מיוחד בעת הקריאה במאמר</w:t>
      </w:r>
      <w:r w:rsidR="009D3DEF">
        <w:rPr>
          <w:rFonts w:ascii="David" w:hAnsi="David" w:cs="David" w:hint="cs"/>
          <w:sz w:val="24"/>
          <w:szCs w:val="24"/>
          <w:rtl/>
        </w:rPr>
        <w:t xml:space="preserve">- </w:t>
      </w:r>
      <w:r w:rsidR="001120FF">
        <w:rPr>
          <w:rFonts w:ascii="David" w:hAnsi="David" w:cs="David" w:hint="cs"/>
          <w:sz w:val="24"/>
          <w:szCs w:val="24"/>
          <w:rtl/>
        </w:rPr>
        <w:t xml:space="preserve">הראשונה </w:t>
      </w:r>
      <w:r w:rsidR="009D3DEF">
        <w:rPr>
          <w:rFonts w:ascii="David" w:hAnsi="David" w:cs="David" w:hint="cs"/>
          <w:sz w:val="24"/>
          <w:szCs w:val="24"/>
          <w:rtl/>
        </w:rPr>
        <w:t>ביקורת על אחת מדרישות הסף, ו</w:t>
      </w:r>
      <w:r w:rsidR="001120FF">
        <w:rPr>
          <w:rFonts w:ascii="David" w:hAnsi="David" w:cs="David" w:hint="cs"/>
          <w:sz w:val="24"/>
          <w:szCs w:val="24"/>
          <w:rtl/>
        </w:rPr>
        <w:t xml:space="preserve">השנייה </w:t>
      </w:r>
      <w:r w:rsidR="009D3DEF">
        <w:rPr>
          <w:rFonts w:ascii="David" w:hAnsi="David" w:cs="David" w:hint="cs"/>
          <w:sz w:val="24"/>
          <w:szCs w:val="24"/>
          <w:rtl/>
        </w:rPr>
        <w:t>הבעת עמדה מנוגדת לדעת כותב המאמר בנוגע לניכוי פיצויים במקרה של נישואין מחדש</w:t>
      </w:r>
      <w:r>
        <w:rPr>
          <w:rFonts w:ascii="David" w:hAnsi="David" w:cs="David" w:hint="cs"/>
          <w:sz w:val="24"/>
          <w:szCs w:val="24"/>
          <w:rtl/>
        </w:rPr>
        <w:t xml:space="preserve">. </w:t>
      </w:r>
    </w:p>
    <w:p w14:paraId="5DB7D370" w14:textId="0F9C6726" w:rsidR="00614D29" w:rsidRPr="00DC6852" w:rsidRDefault="009D3DEF" w:rsidP="009D3DEF">
      <w:pPr>
        <w:spacing w:line="480" w:lineRule="auto"/>
        <w:jc w:val="both"/>
        <w:rPr>
          <w:rFonts w:ascii="David" w:hAnsi="David" w:cs="David"/>
          <w:sz w:val="24"/>
          <w:szCs w:val="24"/>
          <w:rtl/>
        </w:rPr>
      </w:pPr>
      <w:r>
        <w:rPr>
          <w:rFonts w:ascii="David" w:hAnsi="David" w:cs="David" w:hint="cs"/>
          <w:sz w:val="24"/>
          <w:szCs w:val="24"/>
          <w:rtl/>
        </w:rPr>
        <w:t>אחד מתנאי הסף המוצגים במאמר ע"מ ל</w:t>
      </w:r>
      <w:r w:rsidR="0084698E">
        <w:rPr>
          <w:rFonts w:ascii="David" w:hAnsi="David" w:cs="David" w:hint="cs"/>
          <w:sz w:val="24"/>
          <w:szCs w:val="24"/>
          <w:rtl/>
        </w:rPr>
        <w:t xml:space="preserve">נכות במקרה ספציפי </w:t>
      </w:r>
      <w:r>
        <w:rPr>
          <w:rFonts w:ascii="David" w:hAnsi="David" w:cs="David" w:hint="cs"/>
          <w:sz w:val="24"/>
          <w:szCs w:val="24"/>
          <w:rtl/>
        </w:rPr>
        <w:t xml:space="preserve">פיצויים מטובות ההנאה הוא </w:t>
      </w:r>
      <w:r w:rsidR="00C2532D" w:rsidRPr="004A19AA">
        <w:rPr>
          <w:rFonts w:ascii="David" w:hAnsi="David" w:cs="David" w:hint="cs"/>
          <w:b/>
          <w:bCs/>
          <w:sz w:val="24"/>
          <w:szCs w:val="24"/>
          <w:rtl/>
        </w:rPr>
        <w:t>הדרישה כי טובת ההנאה תהיה חברתית ולא פרטית</w:t>
      </w:r>
      <w:r w:rsidR="00C2532D" w:rsidRPr="004A19AA">
        <w:rPr>
          <w:rFonts w:ascii="David" w:hAnsi="David" w:cs="David" w:hint="cs"/>
          <w:sz w:val="24"/>
          <w:szCs w:val="24"/>
          <w:rtl/>
        </w:rPr>
        <w:t>.</w:t>
      </w:r>
      <w:r w:rsidR="00C2532D">
        <w:rPr>
          <w:rFonts w:ascii="David" w:hAnsi="David" w:cs="David" w:hint="cs"/>
          <w:sz w:val="24"/>
          <w:szCs w:val="24"/>
          <w:rtl/>
        </w:rPr>
        <w:t xml:space="preserve"> </w:t>
      </w:r>
      <w:r w:rsidR="00DB7D90">
        <w:rPr>
          <w:rFonts w:ascii="David" w:hAnsi="David" w:cs="David" w:hint="cs"/>
          <w:sz w:val="24"/>
          <w:szCs w:val="24"/>
          <w:rtl/>
        </w:rPr>
        <w:t xml:space="preserve">תנאי זה נגזר </w:t>
      </w:r>
      <w:r w:rsidR="000D4408">
        <w:rPr>
          <w:rFonts w:ascii="David" w:hAnsi="David" w:cs="David" w:hint="cs"/>
          <w:sz w:val="24"/>
          <w:szCs w:val="24"/>
          <w:rtl/>
        </w:rPr>
        <w:t xml:space="preserve">למעשה </w:t>
      </w:r>
      <w:r w:rsidR="00DB7D90">
        <w:rPr>
          <w:rFonts w:ascii="David" w:hAnsi="David" w:cs="David" w:hint="cs"/>
          <w:b/>
          <w:bCs/>
          <w:sz w:val="24"/>
          <w:szCs w:val="24"/>
          <w:rtl/>
        </w:rPr>
        <w:t>מ</w:t>
      </w:r>
      <w:r w:rsidR="000D4408" w:rsidRPr="000D4408">
        <w:rPr>
          <w:rFonts w:ascii="David" w:hAnsi="David" w:cs="David" w:hint="cs"/>
          <w:b/>
          <w:bCs/>
          <w:sz w:val="24"/>
          <w:szCs w:val="24"/>
          <w:rtl/>
        </w:rPr>
        <w:t>הגישה התועלתנית</w:t>
      </w:r>
      <w:r w:rsidR="00DB7D90">
        <w:rPr>
          <w:rFonts w:ascii="David" w:hAnsi="David" w:cs="David" w:hint="cs"/>
          <w:sz w:val="24"/>
          <w:szCs w:val="24"/>
          <w:rtl/>
        </w:rPr>
        <w:t xml:space="preserve">- מטרתו של כל </w:t>
      </w:r>
      <w:r w:rsidR="00B47F8F">
        <w:rPr>
          <w:rFonts w:ascii="David" w:hAnsi="David" w:cs="David" w:hint="cs"/>
          <w:sz w:val="24"/>
          <w:szCs w:val="24"/>
          <w:rtl/>
        </w:rPr>
        <w:t>אדם</w:t>
      </w:r>
      <w:r w:rsidR="00DB7D90">
        <w:rPr>
          <w:rFonts w:ascii="David" w:hAnsi="David" w:cs="David" w:hint="cs"/>
          <w:sz w:val="24"/>
          <w:szCs w:val="24"/>
          <w:rtl/>
        </w:rPr>
        <w:t xml:space="preserve"> צריכה להיות הטבת מצבם של כלל בני האדם</w:t>
      </w:r>
      <w:r w:rsidR="00DB7D90">
        <w:rPr>
          <w:rStyle w:val="a5"/>
          <w:rFonts w:ascii="David" w:hAnsi="David" w:cs="David"/>
          <w:sz w:val="24"/>
          <w:szCs w:val="24"/>
          <w:rtl/>
        </w:rPr>
        <w:footnoteReference w:id="2"/>
      </w:r>
      <w:r w:rsidR="00DB7D90">
        <w:rPr>
          <w:rFonts w:ascii="David" w:hAnsi="David" w:cs="David" w:hint="cs"/>
          <w:sz w:val="24"/>
          <w:szCs w:val="24"/>
          <w:rtl/>
        </w:rPr>
        <w:t>.</w:t>
      </w:r>
      <w:r w:rsidR="00B47F8F">
        <w:rPr>
          <w:rFonts w:ascii="David" w:hAnsi="David" w:cs="David" w:hint="cs"/>
          <w:sz w:val="24"/>
          <w:szCs w:val="24"/>
          <w:rtl/>
        </w:rPr>
        <w:t xml:space="preserve"> </w:t>
      </w:r>
      <w:r w:rsidR="000D45DB">
        <w:rPr>
          <w:rFonts w:ascii="David" w:hAnsi="David" w:cs="David" w:hint="cs"/>
          <w:sz w:val="24"/>
          <w:szCs w:val="24"/>
          <w:rtl/>
        </w:rPr>
        <w:t>ברצוני לנתח תנאי זה בעזרת המקרה הראשון שמציג פורת במאמרו</w:t>
      </w:r>
      <w:r w:rsidR="00F3488D">
        <w:rPr>
          <w:rFonts w:ascii="David" w:hAnsi="David" w:cs="David" w:hint="cs"/>
          <w:sz w:val="24"/>
          <w:szCs w:val="24"/>
          <w:rtl/>
        </w:rPr>
        <w:t xml:space="preserve">- </w:t>
      </w:r>
      <w:r w:rsidR="000D45DB" w:rsidRPr="00B50616">
        <w:rPr>
          <w:rFonts w:ascii="David" w:hAnsi="David" w:cs="David" w:hint="cs"/>
          <w:b/>
          <w:bCs/>
          <w:sz w:val="24"/>
          <w:szCs w:val="24"/>
          <w:rtl/>
        </w:rPr>
        <w:t>התרסקות המטוס</w:t>
      </w:r>
      <w:r w:rsidR="000D45DB">
        <w:rPr>
          <w:rFonts w:ascii="David" w:hAnsi="David" w:cs="David" w:hint="cs"/>
          <w:sz w:val="24"/>
          <w:szCs w:val="24"/>
          <w:rtl/>
        </w:rPr>
        <w:t xml:space="preserve">: מקרה שבו המזיק פגע ברכבו של אדם שהיה בדרך לשדה התעופה ושבר את רגלו. בעקבות הפציעה האדם החמיץ את טיסתו, אך המטוס התרסק וכל הנוסעים שהיו עליו נהרגו. </w:t>
      </w:r>
      <w:r w:rsidR="00B47F8F">
        <w:rPr>
          <w:rFonts w:ascii="David" w:hAnsi="David" w:cs="David" w:hint="cs"/>
          <w:sz w:val="24"/>
          <w:szCs w:val="24"/>
          <w:rtl/>
        </w:rPr>
        <w:t xml:space="preserve">לעניות דעתי, </w:t>
      </w:r>
      <w:r w:rsidR="00DB7D90">
        <w:rPr>
          <w:rFonts w:ascii="David" w:hAnsi="David" w:cs="David" w:hint="cs"/>
          <w:sz w:val="24"/>
          <w:szCs w:val="24"/>
          <w:rtl/>
        </w:rPr>
        <w:t xml:space="preserve"> </w:t>
      </w:r>
      <w:r w:rsidR="00B47F8F">
        <w:rPr>
          <w:rFonts w:ascii="David" w:hAnsi="David" w:cs="David" w:hint="cs"/>
          <w:sz w:val="24"/>
          <w:szCs w:val="24"/>
          <w:rtl/>
        </w:rPr>
        <w:t xml:space="preserve">הגישה התועלתנית </w:t>
      </w:r>
      <w:r w:rsidR="000D45DB">
        <w:rPr>
          <w:rFonts w:ascii="David" w:hAnsi="David" w:cs="David" w:hint="cs"/>
          <w:sz w:val="24"/>
          <w:szCs w:val="24"/>
          <w:rtl/>
        </w:rPr>
        <w:t>שבה יש חשיבות אם עלה אדם אחר במקומו על המטוס והוא נהרג</w:t>
      </w:r>
      <w:r w:rsidR="00F3488D">
        <w:rPr>
          <w:rFonts w:ascii="David" w:hAnsi="David" w:cs="David" w:hint="cs"/>
          <w:sz w:val="24"/>
          <w:szCs w:val="24"/>
          <w:rtl/>
        </w:rPr>
        <w:t>,</w:t>
      </w:r>
      <w:r w:rsidR="000D45DB">
        <w:rPr>
          <w:rFonts w:ascii="David" w:hAnsi="David" w:cs="David" w:hint="cs"/>
          <w:sz w:val="24"/>
          <w:szCs w:val="24"/>
          <w:rtl/>
        </w:rPr>
        <w:t xml:space="preserve"> אינה רלוונטית</w:t>
      </w:r>
      <w:r w:rsidR="00F3488D">
        <w:rPr>
          <w:rFonts w:ascii="David" w:hAnsi="David" w:cs="David" w:hint="cs"/>
          <w:sz w:val="24"/>
          <w:szCs w:val="24"/>
          <w:rtl/>
        </w:rPr>
        <w:t xml:space="preserve"> לדיון בניכוי הפיצויים</w:t>
      </w:r>
      <w:r w:rsidR="000D45DB">
        <w:rPr>
          <w:rFonts w:ascii="David" w:hAnsi="David" w:cs="David" w:hint="cs"/>
          <w:sz w:val="24"/>
          <w:szCs w:val="24"/>
          <w:rtl/>
        </w:rPr>
        <w:t xml:space="preserve">. מהות דיני הנזיקין היא </w:t>
      </w:r>
      <w:r w:rsidR="000D45DB" w:rsidRPr="000D45DB">
        <w:rPr>
          <w:rFonts w:ascii="David" w:hAnsi="David" w:cs="David"/>
          <w:sz w:val="24"/>
          <w:szCs w:val="24"/>
          <w:rtl/>
        </w:rPr>
        <w:t>הגנה על אינטרסים לגיטימיים של הפרט</w:t>
      </w:r>
      <w:r w:rsidR="000D45DB">
        <w:rPr>
          <w:rFonts w:ascii="David" w:hAnsi="David" w:cs="David" w:hint="cs"/>
          <w:sz w:val="24"/>
          <w:szCs w:val="24"/>
          <w:rtl/>
        </w:rPr>
        <w:t xml:space="preserve"> ולא ענישה בעקבות </w:t>
      </w:r>
      <w:r w:rsidR="00F3488D">
        <w:rPr>
          <w:rFonts w:ascii="David" w:hAnsi="David" w:cs="David" w:hint="cs"/>
          <w:sz w:val="24"/>
          <w:szCs w:val="24"/>
          <w:rtl/>
        </w:rPr>
        <w:t>"</w:t>
      </w:r>
      <w:r w:rsidR="000D45DB">
        <w:rPr>
          <w:rFonts w:ascii="David" w:hAnsi="David" w:cs="David" w:hint="cs"/>
          <w:sz w:val="24"/>
          <w:szCs w:val="24"/>
          <w:rtl/>
        </w:rPr>
        <w:t>מעבר על האמנה החברתית</w:t>
      </w:r>
      <w:r w:rsidR="00F3488D">
        <w:rPr>
          <w:rFonts w:ascii="David" w:hAnsi="David" w:cs="David" w:hint="cs"/>
          <w:sz w:val="24"/>
          <w:szCs w:val="24"/>
          <w:rtl/>
        </w:rPr>
        <w:t>"</w:t>
      </w:r>
      <w:r w:rsidR="000D45DB">
        <w:rPr>
          <w:rFonts w:ascii="David" w:hAnsi="David" w:cs="David" w:hint="cs"/>
          <w:sz w:val="24"/>
          <w:szCs w:val="24"/>
          <w:rtl/>
        </w:rPr>
        <w:t xml:space="preserve"> כמו בדיני עונשין. לא אמורה להיות חשיבות לעובדה אם ישנו צד שלישי שסבל בעקבות התרסקות המטוס</w:t>
      </w:r>
      <w:r w:rsidR="008E387B">
        <w:rPr>
          <w:rFonts w:ascii="David" w:hAnsi="David" w:cs="David" w:hint="cs"/>
          <w:sz w:val="24"/>
          <w:szCs w:val="24"/>
          <w:rtl/>
        </w:rPr>
        <w:t>, אלא התייחסות אך ורק לפגיעה הבין אישית שנעשתה בין הפוגע לנפגע</w:t>
      </w:r>
      <w:r w:rsidR="000D45DB">
        <w:rPr>
          <w:rFonts w:ascii="David" w:hAnsi="David" w:cs="David" w:hint="cs"/>
          <w:sz w:val="24"/>
          <w:szCs w:val="24"/>
          <w:rtl/>
        </w:rPr>
        <w:t xml:space="preserve"> (ולדעתי,</w:t>
      </w:r>
      <w:r w:rsidR="008E387B">
        <w:rPr>
          <w:rFonts w:ascii="David" w:hAnsi="David" w:cs="David" w:hint="cs"/>
          <w:sz w:val="24"/>
          <w:szCs w:val="24"/>
          <w:rtl/>
        </w:rPr>
        <w:t xml:space="preserve"> לא אמורה להיות התייחסות ג</w:t>
      </w:r>
      <w:r w:rsidR="000D45DB">
        <w:rPr>
          <w:rFonts w:ascii="David" w:hAnsi="David" w:cs="David" w:hint="cs"/>
          <w:sz w:val="24"/>
          <w:szCs w:val="24"/>
          <w:rtl/>
        </w:rPr>
        <w:t xml:space="preserve">ם לעובדה </w:t>
      </w:r>
      <w:r w:rsidR="008E387B">
        <w:rPr>
          <w:rFonts w:ascii="David" w:hAnsi="David" w:cs="David" w:hint="cs"/>
          <w:sz w:val="24"/>
          <w:szCs w:val="24"/>
          <w:rtl/>
        </w:rPr>
        <w:t xml:space="preserve">כי </w:t>
      </w:r>
      <w:r w:rsidR="000D45DB">
        <w:rPr>
          <w:rFonts w:ascii="David" w:hAnsi="David" w:cs="David" w:hint="cs"/>
          <w:sz w:val="24"/>
          <w:szCs w:val="24"/>
          <w:rtl/>
        </w:rPr>
        <w:t>האדם היה בדרך לשדה התעופה</w:t>
      </w:r>
      <w:r w:rsidR="008E387B">
        <w:rPr>
          <w:rFonts w:ascii="David" w:hAnsi="David" w:cs="David" w:hint="cs"/>
          <w:sz w:val="24"/>
          <w:szCs w:val="24"/>
          <w:rtl/>
        </w:rPr>
        <w:t xml:space="preserve">. </w:t>
      </w:r>
      <w:r w:rsidR="000D45DB">
        <w:rPr>
          <w:rFonts w:ascii="David" w:hAnsi="David" w:cs="David" w:hint="cs"/>
          <w:sz w:val="24"/>
          <w:szCs w:val="24"/>
          <w:rtl/>
        </w:rPr>
        <w:t xml:space="preserve">זה עלול להיות </w:t>
      </w:r>
      <w:r w:rsidR="008E387B">
        <w:rPr>
          <w:rFonts w:ascii="David" w:hAnsi="David" w:cs="David" w:hint="cs"/>
          <w:sz w:val="24"/>
          <w:szCs w:val="24"/>
          <w:rtl/>
        </w:rPr>
        <w:t xml:space="preserve">תמריץ </w:t>
      </w:r>
      <w:r w:rsidR="000D45DB">
        <w:rPr>
          <w:rFonts w:ascii="David" w:hAnsi="David" w:cs="David" w:hint="cs"/>
          <w:sz w:val="24"/>
          <w:szCs w:val="24"/>
          <w:rtl/>
        </w:rPr>
        <w:t xml:space="preserve">מסוכן </w:t>
      </w:r>
      <w:r w:rsidR="000D45DB">
        <w:rPr>
          <w:rFonts w:ascii="David" w:hAnsi="David" w:cs="David" w:hint="cs"/>
          <w:sz w:val="24"/>
          <w:szCs w:val="24"/>
          <w:rtl/>
        </w:rPr>
        <w:lastRenderedPageBreak/>
        <w:t xml:space="preserve">שיפתח </w:t>
      </w:r>
      <w:r w:rsidR="008E387B">
        <w:rPr>
          <w:rFonts w:ascii="David" w:hAnsi="David" w:cs="David" w:hint="cs"/>
          <w:sz w:val="24"/>
          <w:szCs w:val="24"/>
          <w:rtl/>
        </w:rPr>
        <w:t xml:space="preserve">צוהר </w:t>
      </w:r>
      <w:r w:rsidR="000D45DB">
        <w:rPr>
          <w:rFonts w:ascii="David" w:hAnsi="David" w:cs="David" w:hint="cs"/>
          <w:sz w:val="24"/>
          <w:szCs w:val="24"/>
          <w:rtl/>
        </w:rPr>
        <w:t xml:space="preserve">לתביעות ספקולטיביות </w:t>
      </w:r>
      <w:r w:rsidR="008E387B">
        <w:rPr>
          <w:rFonts w:ascii="David" w:hAnsi="David" w:cs="David" w:hint="cs"/>
          <w:sz w:val="24"/>
          <w:szCs w:val="24"/>
          <w:rtl/>
        </w:rPr>
        <w:t>בסגנון אפקט הפרפר</w:t>
      </w:r>
      <w:r w:rsidR="008E387B">
        <w:rPr>
          <w:rStyle w:val="a5"/>
          <w:rFonts w:ascii="David" w:hAnsi="David" w:cs="David"/>
          <w:sz w:val="24"/>
          <w:szCs w:val="24"/>
          <w:rtl/>
        </w:rPr>
        <w:footnoteReference w:id="3"/>
      </w:r>
      <w:r w:rsidR="008E387B">
        <w:rPr>
          <w:rFonts w:ascii="David" w:hAnsi="David" w:cs="David" w:hint="cs"/>
          <w:sz w:val="24"/>
          <w:szCs w:val="24"/>
          <w:rtl/>
        </w:rPr>
        <w:t>- "מה היה קורה אילו האדם היה מקדים לשדה, ומקבל שם הצעת עבודה שתשנה את חייו ובעקבות כך לא היה עולה על המטוס?").</w:t>
      </w:r>
      <w:r w:rsidR="002A417F">
        <w:rPr>
          <w:rFonts w:ascii="David" w:hAnsi="David" w:cs="David" w:hint="cs"/>
          <w:sz w:val="24"/>
          <w:szCs w:val="24"/>
          <w:rtl/>
        </w:rPr>
        <w:t xml:space="preserve"> </w:t>
      </w:r>
      <w:r w:rsidR="00236DC2">
        <w:rPr>
          <w:rFonts w:ascii="David" w:hAnsi="David" w:cs="David" w:hint="cs"/>
          <w:sz w:val="24"/>
          <w:szCs w:val="24"/>
          <w:rtl/>
        </w:rPr>
        <w:t xml:space="preserve">למסקנתי הגעתי לאחר עיון </w:t>
      </w:r>
      <w:r w:rsidR="00236DC2" w:rsidRPr="00236DC2">
        <w:rPr>
          <w:rFonts w:ascii="David" w:hAnsi="David" w:cs="David" w:hint="cs"/>
          <w:sz w:val="24"/>
          <w:szCs w:val="24"/>
          <w:u w:val="single"/>
          <w:rtl/>
        </w:rPr>
        <w:t>ב</w:t>
      </w:r>
      <w:r w:rsidR="002A417F" w:rsidRPr="00236DC2">
        <w:rPr>
          <w:rFonts w:ascii="David" w:hAnsi="David" w:cs="David" w:hint="cs"/>
          <w:sz w:val="24"/>
          <w:szCs w:val="24"/>
          <w:u w:val="single"/>
          <w:rtl/>
        </w:rPr>
        <w:t>שיקולי המדיניו</w:t>
      </w:r>
      <w:r w:rsidR="00236DC2" w:rsidRPr="00236DC2">
        <w:rPr>
          <w:rFonts w:ascii="David" w:hAnsi="David" w:cs="David" w:hint="cs"/>
          <w:sz w:val="24"/>
          <w:szCs w:val="24"/>
          <w:u w:val="single"/>
          <w:rtl/>
        </w:rPr>
        <w:t>ת</w:t>
      </w:r>
      <w:r w:rsidR="00236DC2">
        <w:rPr>
          <w:rFonts w:ascii="David" w:hAnsi="David" w:cs="David" w:hint="cs"/>
          <w:sz w:val="24"/>
          <w:szCs w:val="24"/>
          <w:rtl/>
        </w:rPr>
        <w:t xml:space="preserve"> של דיני הנזיקין</w:t>
      </w:r>
      <w:r w:rsidR="001B37D8">
        <w:rPr>
          <w:rFonts w:ascii="David" w:hAnsi="David" w:cs="David" w:hint="cs"/>
          <w:sz w:val="24"/>
          <w:szCs w:val="24"/>
          <w:rtl/>
        </w:rPr>
        <w:t xml:space="preserve"> וניתוח המקרה ביחס לדרישת הסף</w:t>
      </w:r>
      <w:r w:rsidR="002A417F">
        <w:rPr>
          <w:rFonts w:ascii="David" w:hAnsi="David" w:cs="David" w:hint="cs"/>
          <w:sz w:val="24"/>
          <w:szCs w:val="24"/>
          <w:rtl/>
        </w:rPr>
        <w:t>.</w:t>
      </w:r>
      <w:r w:rsidR="00236DC2">
        <w:rPr>
          <w:rFonts w:ascii="David" w:hAnsi="David" w:cs="David" w:hint="cs"/>
          <w:sz w:val="24"/>
          <w:szCs w:val="24"/>
          <w:rtl/>
        </w:rPr>
        <w:t xml:space="preserve"> </w:t>
      </w:r>
      <w:r w:rsidR="00236DC2" w:rsidRPr="00236DC2">
        <w:rPr>
          <w:rFonts w:ascii="David" w:hAnsi="David" w:cs="David" w:hint="cs"/>
          <w:b/>
          <w:bCs/>
          <w:sz w:val="24"/>
          <w:szCs w:val="24"/>
          <w:rtl/>
        </w:rPr>
        <w:t>השגת צדק מתקן</w:t>
      </w:r>
      <w:r w:rsidR="001B37D8">
        <w:rPr>
          <w:rFonts w:ascii="David" w:hAnsi="David" w:cs="David" w:hint="cs"/>
          <w:sz w:val="24"/>
          <w:szCs w:val="24"/>
          <w:rtl/>
        </w:rPr>
        <w:t>- התיאוריה טוענת כי אדם שפגע באחר, על</w:t>
      </w:r>
      <w:r w:rsidR="00D8589B">
        <w:rPr>
          <w:rFonts w:ascii="David" w:hAnsi="David" w:cs="David" w:hint="cs"/>
          <w:sz w:val="24"/>
          <w:szCs w:val="24"/>
          <w:rtl/>
        </w:rPr>
        <w:t xml:space="preserve">יו </w:t>
      </w:r>
      <w:r w:rsidR="001B37D8">
        <w:rPr>
          <w:rFonts w:ascii="David" w:hAnsi="David" w:cs="David" w:hint="cs"/>
          <w:sz w:val="24"/>
          <w:szCs w:val="24"/>
          <w:rtl/>
        </w:rPr>
        <w:t xml:space="preserve">לשאת בעול תיקון הנזק שנגרם. </w:t>
      </w:r>
      <w:r w:rsidR="00443E9A">
        <w:rPr>
          <w:rFonts w:ascii="David" w:hAnsi="David" w:cs="David" w:hint="cs"/>
          <w:sz w:val="24"/>
          <w:szCs w:val="24"/>
          <w:rtl/>
        </w:rPr>
        <w:t xml:space="preserve">במקרה דנן, </w:t>
      </w:r>
      <w:r w:rsidR="00236DC2">
        <w:rPr>
          <w:rFonts w:ascii="David" w:hAnsi="David" w:cs="David" w:hint="cs"/>
          <w:sz w:val="24"/>
          <w:szCs w:val="24"/>
          <w:rtl/>
        </w:rPr>
        <w:t xml:space="preserve">אם מתקיים מצב שבו ניצלו חיי אדם </w:t>
      </w:r>
      <w:r w:rsidR="00443E9A">
        <w:rPr>
          <w:rFonts w:ascii="David" w:hAnsi="David" w:cs="David" w:hint="cs"/>
          <w:sz w:val="24"/>
          <w:szCs w:val="24"/>
          <w:rtl/>
        </w:rPr>
        <w:t>(</w:t>
      </w:r>
      <w:r w:rsidR="00236DC2">
        <w:rPr>
          <w:rFonts w:ascii="David" w:hAnsi="David" w:cs="David" w:hint="cs"/>
          <w:sz w:val="24"/>
          <w:szCs w:val="24"/>
          <w:rtl/>
        </w:rPr>
        <w:t>מכיוון שאף אחד לא עלה על המטוס</w:t>
      </w:r>
      <w:r w:rsidR="00443E9A">
        <w:rPr>
          <w:rFonts w:ascii="David" w:hAnsi="David" w:cs="David" w:hint="cs"/>
          <w:sz w:val="24"/>
          <w:szCs w:val="24"/>
          <w:rtl/>
        </w:rPr>
        <w:t xml:space="preserve"> במקום הנפגע בת"ד), מטרה זו לא בהכרח תושג. הצלת חייו בעקיפין תחשב לטובת הנאה, וע"כ יקבל סכום פיצויים נמוך מהרגיל בעקבות תאונתו. שיקול נוסף שיש להתייחס אליו</w:t>
      </w:r>
      <w:r w:rsidR="00AA2631">
        <w:rPr>
          <w:rFonts w:ascii="David" w:hAnsi="David" w:cs="David" w:hint="cs"/>
          <w:sz w:val="24"/>
          <w:szCs w:val="24"/>
          <w:rtl/>
        </w:rPr>
        <w:t xml:space="preserve">, אשר </w:t>
      </w:r>
      <w:r w:rsidR="00443E9A">
        <w:rPr>
          <w:rFonts w:ascii="David" w:hAnsi="David" w:cs="David" w:hint="cs"/>
          <w:sz w:val="24"/>
          <w:szCs w:val="24"/>
          <w:rtl/>
        </w:rPr>
        <w:t>דומה מאוד לצדק המתקן</w:t>
      </w:r>
      <w:r w:rsidR="00AA2631">
        <w:rPr>
          <w:rFonts w:ascii="David" w:hAnsi="David" w:cs="David" w:hint="cs"/>
          <w:sz w:val="24"/>
          <w:szCs w:val="24"/>
          <w:rtl/>
        </w:rPr>
        <w:t xml:space="preserve"> הוא </w:t>
      </w:r>
      <w:r w:rsidR="00443E9A">
        <w:rPr>
          <w:rFonts w:ascii="David" w:hAnsi="David" w:cs="David" w:hint="cs"/>
          <w:b/>
          <w:bCs/>
          <w:sz w:val="24"/>
          <w:szCs w:val="24"/>
          <w:rtl/>
        </w:rPr>
        <w:t>השבת המצב לקדמותו-</w:t>
      </w:r>
      <w:r w:rsidR="00443E9A">
        <w:rPr>
          <w:rFonts w:ascii="David" w:hAnsi="David" w:cs="David" w:hint="cs"/>
          <w:sz w:val="24"/>
          <w:szCs w:val="24"/>
          <w:rtl/>
        </w:rPr>
        <w:t xml:space="preserve">השבת מצב הנפגע כפי שהיה לפני התרחשות העוולה, משמע- פיצוי מלא של הנזק שנגרם לאדם בעקבות התאונה, אף אם הדבר מעניק לנפגע לכאורה טובת הנאה כלשהי. מצב </w:t>
      </w:r>
      <w:r w:rsidR="00314EB2">
        <w:rPr>
          <w:rFonts w:ascii="David" w:hAnsi="David" w:cs="David" w:hint="cs"/>
          <w:sz w:val="24"/>
          <w:szCs w:val="24"/>
          <w:rtl/>
        </w:rPr>
        <w:t xml:space="preserve">זה יוצר תוצאה של </w:t>
      </w:r>
      <w:r w:rsidR="00314EB2">
        <w:rPr>
          <w:rFonts w:ascii="David" w:hAnsi="David" w:cs="David" w:hint="cs"/>
          <w:b/>
          <w:bCs/>
          <w:sz w:val="24"/>
          <w:szCs w:val="24"/>
          <w:rtl/>
        </w:rPr>
        <w:t xml:space="preserve">חוסר הוגנות, </w:t>
      </w:r>
      <w:r w:rsidR="00314EB2">
        <w:rPr>
          <w:rFonts w:ascii="David" w:hAnsi="David" w:cs="David" w:hint="cs"/>
          <w:sz w:val="24"/>
          <w:szCs w:val="24"/>
          <w:rtl/>
        </w:rPr>
        <w:t>גם הוא שיקול מדיניות שיש לקחת בחשבון</w:t>
      </w:r>
      <w:r w:rsidR="00314EB2">
        <w:rPr>
          <w:rFonts w:ascii="David" w:hAnsi="David" w:cs="David" w:hint="cs"/>
          <w:b/>
          <w:bCs/>
          <w:sz w:val="24"/>
          <w:szCs w:val="24"/>
          <w:rtl/>
        </w:rPr>
        <w:t>.</w:t>
      </w:r>
      <w:r w:rsidR="00314EB2">
        <w:rPr>
          <w:rFonts w:ascii="David" w:hAnsi="David" w:cs="David" w:hint="cs"/>
          <w:sz w:val="24"/>
          <w:szCs w:val="24"/>
          <w:rtl/>
        </w:rPr>
        <w:t xml:space="preserve"> אלמנט נוסף שיש לקחת בחשבון הוא </w:t>
      </w:r>
      <w:r w:rsidR="00314EB2">
        <w:rPr>
          <w:rFonts w:ascii="David" w:hAnsi="David" w:cs="David" w:hint="cs"/>
          <w:b/>
          <w:bCs/>
          <w:sz w:val="24"/>
          <w:szCs w:val="24"/>
          <w:rtl/>
        </w:rPr>
        <w:t>הגברת אי-בהירות הדין</w:t>
      </w:r>
      <w:r w:rsidR="00314EB2">
        <w:rPr>
          <w:rFonts w:ascii="David" w:hAnsi="David" w:cs="David" w:hint="cs"/>
          <w:sz w:val="24"/>
          <w:szCs w:val="24"/>
          <w:rtl/>
        </w:rPr>
        <w:t>- אמנם לא מדובר בדיני עונשין</w:t>
      </w:r>
      <w:r w:rsidR="00511442">
        <w:rPr>
          <w:rFonts w:ascii="David" w:hAnsi="David" w:cs="David" w:hint="cs"/>
          <w:sz w:val="24"/>
          <w:szCs w:val="24"/>
          <w:rtl/>
        </w:rPr>
        <w:t>, שבהם בהירות הדין היא הכרחית, אך גם בשאר החוקים יש חשיבות לכך. בעיתיות שיכולה להופיע במקרה דנן היא האם מותר לפצוע אדם בת"ד, כיוון שניתן לטעון שהפגיעה בת"ד הצילה אותו ממוות עתידי, וע"כ תנוכה טובת ההנאה של החיים ש'זכה בהם' ה</w:t>
      </w:r>
      <w:r w:rsidR="00DC6852">
        <w:rPr>
          <w:rFonts w:ascii="David" w:hAnsi="David" w:cs="David" w:hint="cs"/>
          <w:sz w:val="24"/>
          <w:szCs w:val="24"/>
          <w:rtl/>
        </w:rPr>
        <w:t>ניזוק</w:t>
      </w:r>
      <w:r w:rsidR="00511442">
        <w:rPr>
          <w:rFonts w:ascii="David" w:hAnsi="David" w:cs="David" w:hint="cs"/>
          <w:sz w:val="24"/>
          <w:szCs w:val="24"/>
          <w:rtl/>
        </w:rPr>
        <w:t>.</w:t>
      </w:r>
      <w:r w:rsidR="00DC6852">
        <w:rPr>
          <w:rFonts w:ascii="David" w:hAnsi="David" w:cs="David" w:hint="cs"/>
          <w:sz w:val="24"/>
          <w:szCs w:val="24"/>
          <w:rtl/>
        </w:rPr>
        <w:t xml:space="preserve"> </w:t>
      </w:r>
      <w:r w:rsidR="00DC6852">
        <w:rPr>
          <w:rFonts w:ascii="David" w:hAnsi="David" w:cs="David" w:hint="cs"/>
          <w:b/>
          <w:bCs/>
          <w:sz w:val="24"/>
          <w:szCs w:val="24"/>
          <w:rtl/>
        </w:rPr>
        <w:t xml:space="preserve">פיזור הנזק </w:t>
      </w:r>
      <w:r w:rsidR="00DC6852">
        <w:rPr>
          <w:rFonts w:ascii="David" w:hAnsi="David" w:cs="David" w:hint="cs"/>
          <w:sz w:val="24"/>
          <w:szCs w:val="24"/>
          <w:rtl/>
        </w:rPr>
        <w:t xml:space="preserve">היא מטרה נוספת שכותב המאמר בחר שלא להתמקד בה- אם מדובר בנזק </w:t>
      </w:r>
      <w:proofErr w:type="spellStart"/>
      <w:r w:rsidR="00DC6852">
        <w:rPr>
          <w:rFonts w:ascii="David" w:hAnsi="David" w:cs="David" w:hint="cs"/>
          <w:sz w:val="24"/>
          <w:szCs w:val="24"/>
          <w:rtl/>
        </w:rPr>
        <w:t>מת"ד</w:t>
      </w:r>
      <w:proofErr w:type="spellEnd"/>
      <w:r w:rsidR="00DC6852">
        <w:rPr>
          <w:rFonts w:ascii="David" w:hAnsi="David" w:cs="David" w:hint="cs"/>
          <w:sz w:val="24"/>
          <w:szCs w:val="24"/>
          <w:rtl/>
        </w:rPr>
        <w:t xml:space="preserve">, הרי שפיזור הנזק האופטימלי הוא שהמזיק ישלם את הפיצויים המלאים, מכיוון שהוא אמור להיות מבוטח דרך חברת הביטוח, וע"כ זה לא יצא מהכיס הפרטי שלו, אלא </w:t>
      </w:r>
      <w:r w:rsidR="00DC6852">
        <w:rPr>
          <w:rFonts w:ascii="David" w:hAnsi="David" w:cs="David" w:hint="cs"/>
          <w:b/>
          <w:bCs/>
          <w:sz w:val="24"/>
          <w:szCs w:val="24"/>
          <w:rtl/>
        </w:rPr>
        <w:t>מכיסה העמוק</w:t>
      </w:r>
      <w:r w:rsidR="00DC6852">
        <w:rPr>
          <w:rFonts w:ascii="David" w:hAnsi="David" w:cs="David" w:hint="cs"/>
          <w:sz w:val="24"/>
          <w:szCs w:val="24"/>
          <w:rtl/>
        </w:rPr>
        <w:t xml:space="preserve"> של חברת הביטוח</w:t>
      </w:r>
      <w:r w:rsidR="00F3488D">
        <w:rPr>
          <w:rFonts w:ascii="David" w:hAnsi="David" w:cs="David" w:hint="cs"/>
          <w:sz w:val="24"/>
          <w:szCs w:val="24"/>
          <w:rtl/>
        </w:rPr>
        <w:t xml:space="preserve">. </w:t>
      </w:r>
    </w:p>
    <w:p w14:paraId="79D7D495" w14:textId="16C6AA05" w:rsidR="00CF1E63" w:rsidRDefault="00511442" w:rsidP="00DC6852">
      <w:pPr>
        <w:spacing w:line="480" w:lineRule="auto"/>
        <w:jc w:val="both"/>
        <w:rPr>
          <w:rFonts w:ascii="David" w:hAnsi="David" w:cs="David"/>
          <w:sz w:val="24"/>
          <w:szCs w:val="24"/>
          <w:rtl/>
        </w:rPr>
      </w:pPr>
      <w:r>
        <w:rPr>
          <w:rFonts w:ascii="David" w:hAnsi="David" w:cs="David" w:hint="cs"/>
          <w:sz w:val="24"/>
          <w:szCs w:val="24"/>
          <w:rtl/>
        </w:rPr>
        <w:t xml:space="preserve">הנקודה השנייה שברצוני להתייחס אליה היא </w:t>
      </w:r>
      <w:r w:rsidRPr="004A19AA">
        <w:rPr>
          <w:rFonts w:ascii="David" w:hAnsi="David" w:cs="David" w:hint="cs"/>
          <w:b/>
          <w:bCs/>
          <w:sz w:val="24"/>
          <w:szCs w:val="24"/>
          <w:rtl/>
        </w:rPr>
        <w:t>מסקנתו של המחבר בעניין המקרה השני שמוצג במאמר- נישואין מחדש</w:t>
      </w:r>
      <w:r>
        <w:rPr>
          <w:rFonts w:ascii="David" w:hAnsi="David" w:cs="David" w:hint="cs"/>
          <w:sz w:val="24"/>
          <w:szCs w:val="24"/>
          <w:rtl/>
        </w:rPr>
        <w:t>: מקרה שבו המזיק גרם למותו של אדם, ובעקבות כך נגרם נזק של אבדן תמיכה לבן זוגו התלוי בו. התלוי נישא בשנית</w:t>
      </w:r>
      <w:r w:rsidR="00510A78">
        <w:rPr>
          <w:rFonts w:ascii="David" w:hAnsi="David" w:cs="David" w:hint="cs"/>
          <w:sz w:val="24"/>
          <w:szCs w:val="24"/>
          <w:rtl/>
        </w:rPr>
        <w:t xml:space="preserve"> (או ייתכן ויינשא בשנית)</w:t>
      </w:r>
      <w:r>
        <w:rPr>
          <w:rFonts w:ascii="David" w:hAnsi="David" w:cs="David" w:hint="cs"/>
          <w:sz w:val="24"/>
          <w:szCs w:val="24"/>
          <w:rtl/>
        </w:rPr>
        <w:t xml:space="preserve">, ובן הזוג החדש מרוויח כפי שהרוויח </w:t>
      </w:r>
      <w:r w:rsidR="004876AA">
        <w:rPr>
          <w:rFonts w:ascii="David" w:hAnsi="David" w:cs="David" w:hint="cs"/>
          <w:sz w:val="24"/>
          <w:szCs w:val="24"/>
          <w:rtl/>
        </w:rPr>
        <w:t xml:space="preserve">הראשון </w:t>
      </w:r>
      <w:r w:rsidR="00B50616">
        <w:rPr>
          <w:rFonts w:ascii="David" w:hAnsi="David" w:cs="David" w:hint="cs"/>
          <w:sz w:val="24"/>
          <w:szCs w:val="24"/>
          <w:rtl/>
        </w:rPr>
        <w:t xml:space="preserve">(או אף יותר) </w:t>
      </w:r>
      <w:r w:rsidR="004876AA">
        <w:rPr>
          <w:rFonts w:ascii="David" w:hAnsi="David" w:cs="David" w:hint="cs"/>
          <w:sz w:val="24"/>
          <w:szCs w:val="24"/>
          <w:rtl/>
        </w:rPr>
        <w:t xml:space="preserve">אילולא נהרג, האם הוא עדיין זכאי לפיצוי בגין אובדן תמיכה? </w:t>
      </w:r>
      <w:r w:rsidR="004876AA" w:rsidRPr="00F25D09">
        <w:rPr>
          <w:rFonts w:ascii="David" w:hAnsi="David" w:cs="David" w:hint="cs"/>
          <w:sz w:val="24"/>
          <w:szCs w:val="24"/>
          <w:u w:val="single"/>
          <w:rtl/>
        </w:rPr>
        <w:t xml:space="preserve">בתי המשפט בארץ </w:t>
      </w:r>
      <w:r w:rsidR="004876AA" w:rsidRPr="00B50616">
        <w:rPr>
          <w:rFonts w:ascii="David" w:hAnsi="David" w:cs="David" w:hint="cs"/>
          <w:sz w:val="24"/>
          <w:szCs w:val="24"/>
          <w:u w:val="single"/>
          <w:rtl/>
        </w:rPr>
        <w:t>מנכים</w:t>
      </w:r>
      <w:r w:rsidR="004876AA" w:rsidRPr="00B50616">
        <w:rPr>
          <w:rFonts w:ascii="David" w:hAnsi="David" w:cs="David" w:hint="cs"/>
          <w:b/>
          <w:bCs/>
          <w:sz w:val="24"/>
          <w:szCs w:val="24"/>
          <w:u w:val="single"/>
          <w:rtl/>
        </w:rPr>
        <w:t xml:space="preserve"> </w:t>
      </w:r>
      <w:r w:rsidR="004876AA" w:rsidRPr="00B50616">
        <w:rPr>
          <w:rFonts w:ascii="David" w:hAnsi="David" w:cs="David" w:hint="cs"/>
          <w:sz w:val="24"/>
          <w:szCs w:val="24"/>
          <w:u w:val="single"/>
          <w:rtl/>
        </w:rPr>
        <w:t>את טובת-ההנאה מהפיצויים</w:t>
      </w:r>
      <w:r w:rsidR="004876AA">
        <w:rPr>
          <w:rStyle w:val="a5"/>
          <w:rFonts w:ascii="David" w:hAnsi="David" w:cs="David"/>
          <w:sz w:val="24"/>
          <w:szCs w:val="24"/>
          <w:rtl/>
        </w:rPr>
        <w:footnoteReference w:id="4"/>
      </w:r>
      <w:r w:rsidR="00510A78">
        <w:rPr>
          <w:rFonts w:ascii="David" w:hAnsi="David" w:cs="David" w:hint="cs"/>
          <w:sz w:val="24"/>
          <w:szCs w:val="24"/>
          <w:rtl/>
        </w:rPr>
        <w:t>, ואם בן הזוג לא נישא בשנית- מבררים את סיכויי הנישואין מחדש ע"מ להעריך את סכום ניכוי הפיצויים בצורה האולטימטיבית</w:t>
      </w:r>
      <w:r w:rsidR="00AC05D1">
        <w:rPr>
          <w:rFonts w:ascii="David" w:hAnsi="David" w:cs="David" w:hint="cs"/>
          <w:sz w:val="24"/>
          <w:szCs w:val="24"/>
          <w:rtl/>
        </w:rPr>
        <w:t xml:space="preserve">. למרות זאת, </w:t>
      </w:r>
      <w:r w:rsidR="00510A78">
        <w:rPr>
          <w:rFonts w:ascii="David" w:hAnsi="David" w:cs="David" w:hint="cs"/>
          <w:sz w:val="24"/>
          <w:szCs w:val="24"/>
          <w:rtl/>
        </w:rPr>
        <w:t>נשמעו דעות חלוקות לגבי קביעה זו ע"י הש' כהן</w:t>
      </w:r>
      <w:r w:rsidR="00510A78">
        <w:rPr>
          <w:rStyle w:val="a5"/>
          <w:rFonts w:ascii="David" w:hAnsi="David" w:cs="David"/>
          <w:sz w:val="24"/>
          <w:szCs w:val="24"/>
          <w:rtl/>
        </w:rPr>
        <w:footnoteReference w:id="5"/>
      </w:r>
      <w:r w:rsidR="00510A78">
        <w:rPr>
          <w:rFonts w:ascii="David" w:hAnsi="David" w:cs="David" w:hint="cs"/>
          <w:sz w:val="24"/>
          <w:szCs w:val="24"/>
          <w:rtl/>
        </w:rPr>
        <w:t xml:space="preserve"> </w:t>
      </w:r>
      <w:r w:rsidR="00CB47EA">
        <w:rPr>
          <w:rFonts w:ascii="David" w:hAnsi="David" w:cs="David" w:hint="cs"/>
          <w:sz w:val="24"/>
          <w:szCs w:val="24"/>
          <w:rtl/>
        </w:rPr>
        <w:t>ובהסתמכות על</w:t>
      </w:r>
      <w:r w:rsidR="00B50616">
        <w:rPr>
          <w:rFonts w:ascii="David" w:hAnsi="David" w:cs="David" w:hint="cs"/>
          <w:sz w:val="24"/>
          <w:szCs w:val="24"/>
          <w:rtl/>
        </w:rPr>
        <w:t xml:space="preserve"> פסק דינו</w:t>
      </w:r>
      <w:r w:rsidR="00CB47EA">
        <w:rPr>
          <w:rFonts w:ascii="David" w:hAnsi="David" w:cs="David" w:hint="cs"/>
          <w:sz w:val="24"/>
          <w:szCs w:val="24"/>
          <w:rtl/>
        </w:rPr>
        <w:t xml:space="preserve"> גם ע"י ה</w:t>
      </w:r>
      <w:r w:rsidR="00510A78">
        <w:rPr>
          <w:rFonts w:ascii="David" w:hAnsi="David" w:cs="David" w:hint="cs"/>
          <w:sz w:val="24"/>
          <w:szCs w:val="24"/>
          <w:rtl/>
        </w:rPr>
        <w:t>ש' אלון</w:t>
      </w:r>
      <w:r w:rsidR="00510A78">
        <w:rPr>
          <w:rStyle w:val="a5"/>
          <w:rFonts w:ascii="David" w:hAnsi="David" w:cs="David"/>
          <w:sz w:val="24"/>
          <w:szCs w:val="24"/>
          <w:rtl/>
        </w:rPr>
        <w:footnoteReference w:id="6"/>
      </w:r>
      <w:r w:rsidR="00CB47EA">
        <w:rPr>
          <w:rFonts w:ascii="David" w:hAnsi="David" w:cs="David" w:hint="cs"/>
          <w:sz w:val="24"/>
          <w:szCs w:val="24"/>
          <w:rtl/>
        </w:rPr>
        <w:t xml:space="preserve"> </w:t>
      </w:r>
      <w:proofErr w:type="spellStart"/>
      <w:r w:rsidR="00CB47EA">
        <w:rPr>
          <w:rFonts w:ascii="David" w:hAnsi="David" w:cs="David" w:hint="cs"/>
          <w:sz w:val="24"/>
          <w:szCs w:val="24"/>
          <w:rtl/>
        </w:rPr>
        <w:t>והש</w:t>
      </w:r>
      <w:proofErr w:type="spellEnd"/>
      <w:r w:rsidR="00CB47EA">
        <w:rPr>
          <w:rFonts w:ascii="David" w:hAnsi="David" w:cs="David" w:hint="cs"/>
          <w:sz w:val="24"/>
          <w:szCs w:val="24"/>
          <w:rtl/>
        </w:rPr>
        <w:t>' רובינשטיין</w:t>
      </w:r>
      <w:r w:rsidR="008A392A">
        <w:rPr>
          <w:rFonts w:ascii="David" w:hAnsi="David" w:cs="David" w:hint="cs"/>
          <w:sz w:val="24"/>
          <w:szCs w:val="24"/>
          <w:rtl/>
        </w:rPr>
        <w:t xml:space="preserve"> (שאף כתב את הפס"ד)</w:t>
      </w:r>
      <w:r w:rsidR="00CB47EA">
        <w:rPr>
          <w:rStyle w:val="a5"/>
          <w:rFonts w:ascii="David" w:hAnsi="David" w:cs="David"/>
          <w:sz w:val="24"/>
          <w:szCs w:val="24"/>
          <w:rtl/>
        </w:rPr>
        <w:footnoteReference w:id="7"/>
      </w:r>
      <w:r w:rsidR="00CB47EA">
        <w:rPr>
          <w:rFonts w:ascii="David" w:hAnsi="David" w:cs="David" w:hint="cs"/>
          <w:sz w:val="24"/>
          <w:szCs w:val="24"/>
          <w:rtl/>
        </w:rPr>
        <w:t>,</w:t>
      </w:r>
      <w:r w:rsidR="00510A78">
        <w:rPr>
          <w:rFonts w:ascii="David" w:hAnsi="David" w:cs="David" w:hint="cs"/>
          <w:sz w:val="24"/>
          <w:szCs w:val="24"/>
          <w:rtl/>
        </w:rPr>
        <w:t xml:space="preserve"> בטענה כי "הליך הבירור" הוא פולשני, מבזה ומשפיל את האלמנים/</w:t>
      </w:r>
      <w:proofErr w:type="spellStart"/>
      <w:r w:rsidR="00510A78">
        <w:rPr>
          <w:rFonts w:ascii="David" w:hAnsi="David" w:cs="David" w:hint="cs"/>
          <w:sz w:val="24"/>
          <w:szCs w:val="24"/>
          <w:rtl/>
        </w:rPr>
        <w:t>ות</w:t>
      </w:r>
      <w:proofErr w:type="spellEnd"/>
      <w:r w:rsidR="00510A78">
        <w:rPr>
          <w:rFonts w:ascii="David" w:hAnsi="David" w:cs="David" w:hint="cs"/>
          <w:sz w:val="24"/>
          <w:szCs w:val="24"/>
          <w:rtl/>
        </w:rPr>
        <w:t xml:space="preserve">. </w:t>
      </w:r>
      <w:r w:rsidR="00067AB2">
        <w:rPr>
          <w:rFonts w:ascii="David" w:hAnsi="David" w:cs="David" w:hint="cs"/>
          <w:sz w:val="24"/>
          <w:szCs w:val="24"/>
          <w:rtl/>
        </w:rPr>
        <w:t>מצטרפת אני לדעתם כי</w:t>
      </w:r>
      <w:r w:rsidR="008A392A">
        <w:rPr>
          <w:rFonts w:ascii="David" w:hAnsi="David" w:cs="David" w:hint="cs"/>
          <w:sz w:val="24"/>
          <w:szCs w:val="24"/>
          <w:rtl/>
        </w:rPr>
        <w:t xml:space="preserve"> </w:t>
      </w:r>
      <w:r w:rsidR="00510A78">
        <w:rPr>
          <w:rFonts w:ascii="David" w:hAnsi="David" w:cs="David" w:hint="cs"/>
          <w:sz w:val="24"/>
          <w:szCs w:val="24"/>
          <w:rtl/>
        </w:rPr>
        <w:t>אין לתת כל משקל לסיכויים לה</w:t>
      </w:r>
      <w:r w:rsidR="00361399">
        <w:rPr>
          <w:rFonts w:ascii="David" w:hAnsi="David" w:cs="David" w:hint="cs"/>
          <w:sz w:val="24"/>
          <w:szCs w:val="24"/>
          <w:rtl/>
        </w:rPr>
        <w:t>י</w:t>
      </w:r>
      <w:r w:rsidR="00510A78">
        <w:rPr>
          <w:rFonts w:ascii="David" w:hAnsi="David" w:cs="David" w:hint="cs"/>
          <w:sz w:val="24"/>
          <w:szCs w:val="24"/>
          <w:rtl/>
        </w:rPr>
        <w:t xml:space="preserve">נשא </w:t>
      </w:r>
      <w:r w:rsidR="00CB47EA">
        <w:rPr>
          <w:rFonts w:ascii="David" w:hAnsi="David" w:cs="David" w:hint="cs"/>
          <w:sz w:val="24"/>
          <w:szCs w:val="24"/>
          <w:rtl/>
        </w:rPr>
        <w:t>בשנית, ואין דרך מתאימה ונאותה</w:t>
      </w:r>
      <w:r w:rsidR="00067AB2">
        <w:rPr>
          <w:rFonts w:ascii="David" w:hAnsi="David" w:cs="David" w:hint="cs"/>
          <w:sz w:val="24"/>
          <w:szCs w:val="24"/>
          <w:rtl/>
        </w:rPr>
        <w:t xml:space="preserve"> (ללא מעבר על </w:t>
      </w:r>
      <w:r w:rsidR="00B50616">
        <w:rPr>
          <w:rFonts w:ascii="David" w:hAnsi="David" w:cs="David" w:hint="cs"/>
          <w:sz w:val="24"/>
          <w:szCs w:val="24"/>
          <w:rtl/>
        </w:rPr>
        <w:t xml:space="preserve">ציווי </w:t>
      </w:r>
      <w:r w:rsidR="00067AB2" w:rsidRPr="00067AB2">
        <w:rPr>
          <w:rFonts w:ascii="David" w:hAnsi="David" w:cs="David" w:hint="cs"/>
          <w:sz w:val="24"/>
          <w:szCs w:val="24"/>
          <w:rtl/>
        </w:rPr>
        <w:t>"</w:t>
      </w:r>
      <w:r w:rsidR="00067AB2" w:rsidRPr="00067AB2">
        <w:rPr>
          <w:rFonts w:ascii="David" w:hAnsi="David" w:cs="David"/>
          <w:sz w:val="24"/>
          <w:szCs w:val="24"/>
          <w:rtl/>
        </w:rPr>
        <w:t>כָּל אַלְמָנָה וְיָתוֹם לֹא תְעַנּוּן</w:t>
      </w:r>
      <w:r w:rsidR="00067AB2">
        <w:rPr>
          <w:rStyle w:val="a5"/>
          <w:rFonts w:ascii="David" w:hAnsi="David" w:cs="David"/>
          <w:sz w:val="24"/>
          <w:szCs w:val="24"/>
          <w:rtl/>
        </w:rPr>
        <w:footnoteReference w:id="8"/>
      </w:r>
      <w:r w:rsidR="00067AB2" w:rsidRPr="00067AB2">
        <w:rPr>
          <w:rFonts w:ascii="David" w:hAnsi="David" w:cs="David" w:hint="cs"/>
          <w:sz w:val="24"/>
          <w:szCs w:val="24"/>
          <w:rtl/>
        </w:rPr>
        <w:t>"</w:t>
      </w:r>
      <w:r w:rsidR="00067AB2">
        <w:rPr>
          <w:rFonts w:ascii="David" w:hAnsi="David" w:cs="David" w:hint="cs"/>
          <w:sz w:val="24"/>
          <w:szCs w:val="24"/>
          <w:rtl/>
        </w:rPr>
        <w:t>)</w:t>
      </w:r>
      <w:r w:rsidR="00CB47EA">
        <w:rPr>
          <w:rFonts w:ascii="David" w:hAnsi="David" w:cs="David" w:hint="cs"/>
          <w:sz w:val="24"/>
          <w:szCs w:val="24"/>
          <w:rtl/>
        </w:rPr>
        <w:t xml:space="preserve"> לנסות לחשבם </w:t>
      </w:r>
      <w:r w:rsidR="00CB47EA">
        <w:rPr>
          <w:rFonts w:ascii="David" w:hAnsi="David" w:cs="David" w:hint="cs"/>
          <w:sz w:val="24"/>
          <w:szCs w:val="24"/>
          <w:rtl/>
        </w:rPr>
        <w:lastRenderedPageBreak/>
        <w:t xml:space="preserve">בצורה שתחזה את מה שעתיד להתרחש. </w:t>
      </w:r>
      <w:r w:rsidR="008A392A">
        <w:rPr>
          <w:rFonts w:ascii="David" w:hAnsi="David" w:cs="David" w:hint="cs"/>
          <w:sz w:val="24"/>
          <w:szCs w:val="24"/>
          <w:rtl/>
        </w:rPr>
        <w:t>לטענה זו מתנגד כותב המאמר במסקנותיו. הוא טוען כי שאלת הניכוי לא צריכה להבחן בכל פעם מחדש ע"פ הנסיבות, אלא צריכה להיקבע ע"פ נתונים סטטיסטים המתייחסים</w:t>
      </w:r>
      <w:r w:rsidR="00AA0285">
        <w:rPr>
          <w:rFonts w:ascii="David" w:hAnsi="David" w:cs="David" w:hint="cs"/>
          <w:sz w:val="24"/>
          <w:szCs w:val="24"/>
          <w:rtl/>
        </w:rPr>
        <w:t xml:space="preserve"> </w:t>
      </w:r>
      <w:r w:rsidR="00AA0285" w:rsidRPr="00AA0285">
        <w:rPr>
          <w:rFonts w:ascii="David" w:hAnsi="David" w:cs="David" w:hint="cs"/>
          <w:sz w:val="24"/>
          <w:szCs w:val="24"/>
          <w:u w:val="single"/>
          <w:rtl/>
        </w:rPr>
        <w:t>אך ורק</w:t>
      </w:r>
      <w:r w:rsidR="008A392A">
        <w:rPr>
          <w:rFonts w:ascii="David" w:hAnsi="David" w:cs="David" w:hint="cs"/>
          <w:sz w:val="24"/>
          <w:szCs w:val="24"/>
          <w:rtl/>
        </w:rPr>
        <w:t xml:space="preserve"> לסיכויו של </w:t>
      </w:r>
      <w:r w:rsidR="008A392A" w:rsidRPr="00AA0285">
        <w:rPr>
          <w:rFonts w:ascii="David" w:hAnsi="David" w:cs="David" w:hint="cs"/>
          <w:sz w:val="24"/>
          <w:szCs w:val="24"/>
          <w:u w:val="single"/>
          <w:rtl/>
        </w:rPr>
        <w:t>אדם בגילו</w:t>
      </w:r>
      <w:r w:rsidR="008A392A">
        <w:rPr>
          <w:rFonts w:ascii="David" w:hAnsi="David" w:cs="David" w:hint="cs"/>
          <w:sz w:val="24"/>
          <w:szCs w:val="24"/>
          <w:rtl/>
        </w:rPr>
        <w:t xml:space="preserve"> להינשא מחדש לאחר אובדן בן-זוג. </w:t>
      </w:r>
      <w:r w:rsidR="00F20DFE">
        <w:rPr>
          <w:rFonts w:ascii="David" w:hAnsi="David" w:cs="David" w:hint="cs"/>
          <w:sz w:val="24"/>
          <w:szCs w:val="24"/>
          <w:rtl/>
        </w:rPr>
        <w:t>אני סבורה כי אם יש רצון לנסות לבנות מאגר</w:t>
      </w:r>
      <w:r w:rsidR="008F5778">
        <w:rPr>
          <w:rFonts w:ascii="David" w:hAnsi="David" w:cs="David" w:hint="cs"/>
          <w:sz w:val="24"/>
          <w:szCs w:val="24"/>
          <w:rtl/>
        </w:rPr>
        <w:t xml:space="preserve"> אמין</w:t>
      </w:r>
      <w:r w:rsidR="00F20DFE">
        <w:rPr>
          <w:rFonts w:ascii="David" w:hAnsi="David" w:cs="David" w:hint="cs"/>
          <w:sz w:val="24"/>
          <w:szCs w:val="24"/>
          <w:rtl/>
        </w:rPr>
        <w:t xml:space="preserve">, </w:t>
      </w:r>
      <w:r w:rsidR="000E7E8F">
        <w:rPr>
          <w:rFonts w:ascii="David" w:hAnsi="David" w:cs="David" w:hint="cs"/>
          <w:sz w:val="24"/>
          <w:szCs w:val="24"/>
          <w:rtl/>
        </w:rPr>
        <w:t>יש לבנות מאגר רחב אשר י</w:t>
      </w:r>
      <w:r w:rsidR="00F20DFE">
        <w:rPr>
          <w:rFonts w:ascii="David" w:hAnsi="David" w:cs="David" w:hint="cs"/>
          <w:sz w:val="24"/>
          <w:szCs w:val="24"/>
          <w:rtl/>
        </w:rPr>
        <w:t>תייחס לנסיבות הרבות האחרות בסיטואציה, ולא רק לגיל</w:t>
      </w:r>
      <w:r w:rsidR="008F5778">
        <w:rPr>
          <w:rFonts w:ascii="David" w:hAnsi="David" w:cs="David" w:hint="cs"/>
          <w:sz w:val="24"/>
          <w:szCs w:val="24"/>
          <w:rtl/>
        </w:rPr>
        <w:t>. ישנם קשרים הדוקים בין נישואין לבין מראה חיצוני, תכונות אופי, מצב נפשי, מצב סוציו-אקונומי, מקום מגורים, דת ועוד גורמים רבים אחרים, אשר ייתכן והם משפיעים על הסיכויים להתחתן בשנית יותר מפרמטר הגיל</w:t>
      </w:r>
      <w:r w:rsidR="000E7E8F">
        <w:rPr>
          <w:rFonts w:ascii="David" w:hAnsi="David" w:cs="David" w:hint="cs"/>
          <w:sz w:val="24"/>
          <w:szCs w:val="24"/>
          <w:rtl/>
        </w:rPr>
        <w:t>- ועליהם להיכנס לתוך חישוב הסטטיסטיקה של נישואים שניים</w:t>
      </w:r>
      <w:r w:rsidR="008F5778">
        <w:rPr>
          <w:rFonts w:ascii="David" w:hAnsi="David" w:cs="David" w:hint="cs"/>
          <w:sz w:val="24"/>
          <w:szCs w:val="24"/>
          <w:rtl/>
        </w:rPr>
        <w:t xml:space="preserve">. </w:t>
      </w:r>
    </w:p>
    <w:p w14:paraId="5D4E409A" w14:textId="3AB982B3" w:rsidR="00511442" w:rsidRDefault="008F5778" w:rsidP="00DC6852">
      <w:pPr>
        <w:spacing w:line="480" w:lineRule="auto"/>
        <w:jc w:val="both"/>
        <w:rPr>
          <w:rFonts w:ascii="David" w:hAnsi="David" w:cs="David"/>
          <w:sz w:val="24"/>
          <w:szCs w:val="24"/>
          <w:rtl/>
        </w:rPr>
      </w:pPr>
      <w:r>
        <w:rPr>
          <w:rFonts w:ascii="David" w:hAnsi="David" w:cs="David" w:hint="cs"/>
          <w:sz w:val="24"/>
          <w:szCs w:val="24"/>
          <w:rtl/>
        </w:rPr>
        <w:t xml:space="preserve">אך אליה וקוץ בה, </w:t>
      </w:r>
      <w:r w:rsidR="000E7E8F">
        <w:rPr>
          <w:rFonts w:ascii="David" w:hAnsi="David" w:cs="David" w:hint="cs"/>
          <w:sz w:val="24"/>
          <w:szCs w:val="24"/>
          <w:rtl/>
        </w:rPr>
        <w:t xml:space="preserve">כמובן שגם מאגר שכזה לא יכלול בתוכו את כל התחזיות האפשריות, וע"מ לגלות את מירב הפרטים נזדקק לשת"פ מלא מצד התלוי. </w:t>
      </w:r>
      <w:r>
        <w:rPr>
          <w:rFonts w:ascii="David" w:hAnsi="David" w:cs="David" w:hint="cs"/>
          <w:sz w:val="24"/>
          <w:szCs w:val="24"/>
          <w:rtl/>
        </w:rPr>
        <w:t>ייתכן ו</w:t>
      </w:r>
      <w:r w:rsidR="000E7E8F">
        <w:rPr>
          <w:rFonts w:ascii="David" w:hAnsi="David" w:cs="David" w:hint="cs"/>
          <w:sz w:val="24"/>
          <w:szCs w:val="24"/>
          <w:rtl/>
        </w:rPr>
        <w:t>במצב זה יתקיים הסייג הראשון לניכוי המוזכר במאמר,</w:t>
      </w:r>
      <w:r>
        <w:rPr>
          <w:rFonts w:ascii="David" w:hAnsi="David" w:cs="David" w:hint="cs"/>
          <w:sz w:val="24"/>
          <w:szCs w:val="24"/>
          <w:rtl/>
        </w:rPr>
        <w:t xml:space="preserve"> והוא </w:t>
      </w:r>
      <w:r>
        <w:rPr>
          <w:rFonts w:ascii="David" w:hAnsi="David" w:cs="David" w:hint="cs"/>
          <w:b/>
          <w:bCs/>
          <w:sz w:val="24"/>
          <w:szCs w:val="24"/>
          <w:rtl/>
        </w:rPr>
        <w:t>תמריצי הניזוק</w:t>
      </w:r>
      <w:r>
        <w:rPr>
          <w:rStyle w:val="a5"/>
          <w:rFonts w:ascii="David" w:hAnsi="David" w:cs="David"/>
          <w:b/>
          <w:bCs/>
          <w:sz w:val="24"/>
          <w:szCs w:val="24"/>
          <w:rtl/>
        </w:rPr>
        <w:footnoteReference w:id="9"/>
      </w:r>
      <w:r>
        <w:rPr>
          <w:rFonts w:ascii="David" w:hAnsi="David" w:cs="David" w:hint="cs"/>
          <w:sz w:val="24"/>
          <w:szCs w:val="24"/>
          <w:rtl/>
        </w:rPr>
        <w:t xml:space="preserve">- הניזוק עלול להימנע מלמסור פרטים מדויקים כדי שינוכה לו סכום נמוך </w:t>
      </w:r>
      <w:r w:rsidR="000E7E8F">
        <w:rPr>
          <w:rFonts w:ascii="David" w:hAnsi="David" w:cs="David" w:hint="cs"/>
          <w:sz w:val="24"/>
          <w:szCs w:val="24"/>
          <w:rtl/>
        </w:rPr>
        <w:t xml:space="preserve">יותר בפועל </w:t>
      </w:r>
      <w:r>
        <w:rPr>
          <w:rFonts w:ascii="David" w:hAnsi="David" w:cs="David" w:hint="cs"/>
          <w:sz w:val="24"/>
          <w:szCs w:val="24"/>
          <w:rtl/>
        </w:rPr>
        <w:t xml:space="preserve">מן הפיצויים. </w:t>
      </w:r>
      <w:r w:rsidR="00585B15">
        <w:rPr>
          <w:rFonts w:ascii="David" w:hAnsi="David" w:cs="David" w:hint="cs"/>
          <w:sz w:val="24"/>
          <w:szCs w:val="24"/>
          <w:rtl/>
        </w:rPr>
        <w:t>לאחר העמקה, מסקנתי היא</w:t>
      </w:r>
      <w:r>
        <w:rPr>
          <w:rFonts w:ascii="David" w:hAnsi="David" w:cs="David" w:hint="cs"/>
          <w:sz w:val="24"/>
          <w:szCs w:val="24"/>
          <w:rtl/>
        </w:rPr>
        <w:t xml:space="preserve"> כי הדרך הקלה</w:t>
      </w:r>
      <w:r w:rsidR="00585B15">
        <w:rPr>
          <w:rFonts w:ascii="David" w:hAnsi="David" w:cs="David" w:hint="cs"/>
          <w:sz w:val="24"/>
          <w:szCs w:val="24"/>
          <w:rtl/>
        </w:rPr>
        <w:t xml:space="preserve"> והנכונה</w:t>
      </w:r>
      <w:r>
        <w:rPr>
          <w:rFonts w:ascii="David" w:hAnsi="David" w:cs="David" w:hint="cs"/>
          <w:sz w:val="24"/>
          <w:szCs w:val="24"/>
          <w:rtl/>
        </w:rPr>
        <w:t xml:space="preserve"> ביותר להתמודדות עם מצב שכזה הוא </w:t>
      </w:r>
      <w:r w:rsidRPr="00585B15">
        <w:rPr>
          <w:rFonts w:ascii="David" w:hAnsi="David" w:cs="David" w:hint="cs"/>
          <w:sz w:val="24"/>
          <w:szCs w:val="24"/>
          <w:u w:val="single"/>
          <w:rtl/>
        </w:rPr>
        <w:t xml:space="preserve">לא לנכות כלל </w:t>
      </w:r>
      <w:r w:rsidR="00585B15" w:rsidRPr="00585B15">
        <w:rPr>
          <w:rFonts w:ascii="David" w:hAnsi="David" w:cs="David" w:hint="cs"/>
          <w:sz w:val="24"/>
          <w:szCs w:val="24"/>
          <w:u w:val="single"/>
          <w:rtl/>
        </w:rPr>
        <w:t>את טובות ההנאה מן הפיצויים שלהם זכאי התלוי</w:t>
      </w:r>
      <w:r w:rsidR="00585B15">
        <w:rPr>
          <w:rFonts w:ascii="David" w:hAnsi="David" w:cs="David" w:hint="cs"/>
          <w:sz w:val="24"/>
          <w:szCs w:val="24"/>
          <w:rtl/>
        </w:rPr>
        <w:t xml:space="preserve">. גם במצב </w:t>
      </w:r>
      <w:r w:rsidR="001519FE">
        <w:rPr>
          <w:rFonts w:ascii="David" w:hAnsi="David" w:cs="David" w:hint="cs"/>
          <w:sz w:val="24"/>
          <w:szCs w:val="24"/>
          <w:rtl/>
        </w:rPr>
        <w:t xml:space="preserve">שאינו </w:t>
      </w:r>
      <w:r w:rsidR="00585B15">
        <w:rPr>
          <w:rFonts w:ascii="David" w:hAnsi="David" w:cs="David" w:hint="cs"/>
          <w:sz w:val="24"/>
          <w:szCs w:val="24"/>
          <w:rtl/>
        </w:rPr>
        <w:t>תיאורטי</w:t>
      </w:r>
      <w:r w:rsidR="001519FE">
        <w:rPr>
          <w:rFonts w:ascii="David" w:hAnsi="David" w:cs="David" w:hint="cs"/>
          <w:sz w:val="24"/>
          <w:szCs w:val="24"/>
          <w:rtl/>
        </w:rPr>
        <w:t>,</w:t>
      </w:r>
      <w:r w:rsidR="00585B15">
        <w:rPr>
          <w:rFonts w:ascii="David" w:hAnsi="David" w:cs="David" w:hint="cs"/>
          <w:sz w:val="24"/>
          <w:szCs w:val="24"/>
          <w:rtl/>
        </w:rPr>
        <w:t xml:space="preserve"> </w:t>
      </w:r>
      <w:r w:rsidR="001519FE">
        <w:rPr>
          <w:rFonts w:ascii="David" w:hAnsi="David" w:cs="David" w:hint="cs"/>
          <w:sz w:val="24"/>
          <w:szCs w:val="24"/>
          <w:rtl/>
        </w:rPr>
        <w:t>ו</w:t>
      </w:r>
      <w:r w:rsidR="00585B15">
        <w:rPr>
          <w:rFonts w:ascii="David" w:hAnsi="David" w:cs="David" w:hint="cs"/>
          <w:sz w:val="24"/>
          <w:szCs w:val="24"/>
          <w:rtl/>
        </w:rPr>
        <w:t xml:space="preserve">שבו התלוי נישא לבן-זוג שמרוויח סכומי כסף גבוהים בהרבה מהסכומים שהרוויח </w:t>
      </w:r>
      <w:r w:rsidR="001519FE">
        <w:rPr>
          <w:rFonts w:ascii="David" w:hAnsi="David" w:cs="David" w:hint="cs"/>
          <w:sz w:val="24"/>
          <w:szCs w:val="24"/>
          <w:rtl/>
        </w:rPr>
        <w:t xml:space="preserve">(או היה מרוויח) </w:t>
      </w:r>
      <w:r w:rsidR="00585B15">
        <w:rPr>
          <w:rFonts w:ascii="David" w:hAnsi="David" w:cs="David" w:hint="cs"/>
          <w:sz w:val="24"/>
          <w:szCs w:val="24"/>
          <w:rtl/>
        </w:rPr>
        <w:t>בן הזוג המקורי, ייתכן ו</w:t>
      </w:r>
      <w:r w:rsidR="00F25D09">
        <w:rPr>
          <w:rFonts w:ascii="David" w:hAnsi="David" w:cs="David" w:hint="cs"/>
          <w:sz w:val="24"/>
          <w:szCs w:val="24"/>
          <w:rtl/>
        </w:rPr>
        <w:t xml:space="preserve">בעקבות הנישואין השניים </w:t>
      </w:r>
      <w:r w:rsidR="00585B15">
        <w:rPr>
          <w:rFonts w:ascii="David" w:hAnsi="David" w:cs="David" w:hint="cs"/>
          <w:sz w:val="24"/>
          <w:szCs w:val="24"/>
          <w:rtl/>
        </w:rPr>
        <w:t xml:space="preserve">יהיו הוצאות רבות שלא תוכננו אצל בני הזוג המקוריים- הרשמה לאתר היכרויות בתשלום או תשלום לשדכנית, יציאה לדייטים על מנת להכיר בני זוג פוטנציאלים חדשים, תשלום על חתונה נוספת, מעבר לבית אחר, טיפול זוגי ועוד. </w:t>
      </w:r>
      <w:r w:rsidR="00DC6852">
        <w:rPr>
          <w:rFonts w:ascii="David" w:hAnsi="David" w:cs="David" w:hint="cs"/>
          <w:sz w:val="24"/>
          <w:szCs w:val="24"/>
          <w:rtl/>
        </w:rPr>
        <w:t xml:space="preserve">כל אלה מסתכמים בסכום בלתי מבוטל, שספק שפער המשכורות יכסה על כך. </w:t>
      </w:r>
      <w:r w:rsidR="00F25D09">
        <w:rPr>
          <w:rFonts w:ascii="David" w:hAnsi="David" w:cs="David" w:hint="cs"/>
          <w:sz w:val="24"/>
          <w:szCs w:val="24"/>
          <w:rtl/>
        </w:rPr>
        <w:t xml:space="preserve">סיבה נוספת לכך שבניית המאגר המקיף היא אינה מיטבית, היא שמדובר בפתרון בעל </w:t>
      </w:r>
      <w:r w:rsidR="00F25D09" w:rsidRPr="00F25D09">
        <w:rPr>
          <w:rFonts w:ascii="David" w:hAnsi="David" w:cs="David" w:hint="cs"/>
          <w:b/>
          <w:bCs/>
          <w:sz w:val="24"/>
          <w:szCs w:val="24"/>
          <w:rtl/>
        </w:rPr>
        <w:t>נטל עלויות מנהליות גבוהות</w:t>
      </w:r>
      <w:r w:rsidR="00F25D09">
        <w:rPr>
          <w:rFonts w:ascii="David" w:hAnsi="David" w:cs="David" w:hint="cs"/>
          <w:sz w:val="24"/>
          <w:szCs w:val="24"/>
          <w:rtl/>
        </w:rPr>
        <w:t xml:space="preserve"> יותר מאשר הטלת הפיצוי המלא על המזיק, תוצאה אשר מסתדרת בצורה מיטבית עם </w:t>
      </w:r>
      <w:r w:rsidR="00F25D09">
        <w:rPr>
          <w:rFonts w:ascii="David" w:hAnsi="David" w:cs="David" w:hint="cs"/>
          <w:b/>
          <w:bCs/>
          <w:sz w:val="24"/>
          <w:szCs w:val="24"/>
          <w:rtl/>
        </w:rPr>
        <w:t xml:space="preserve">התיאוריה </w:t>
      </w:r>
      <w:proofErr w:type="spellStart"/>
      <w:r w:rsidR="00F25D09">
        <w:rPr>
          <w:rFonts w:ascii="David" w:hAnsi="David" w:cs="David" w:hint="cs"/>
          <w:b/>
          <w:bCs/>
          <w:sz w:val="24"/>
          <w:szCs w:val="24"/>
          <w:rtl/>
        </w:rPr>
        <w:t>ה</w:t>
      </w:r>
      <w:r w:rsidR="00F25D09" w:rsidRPr="00F25D09">
        <w:rPr>
          <w:rFonts w:ascii="David" w:hAnsi="David" w:cs="David" w:hint="cs"/>
          <w:b/>
          <w:bCs/>
          <w:sz w:val="24"/>
          <w:szCs w:val="24"/>
          <w:rtl/>
        </w:rPr>
        <w:t>דאונטולוגי</w:t>
      </w:r>
      <w:r w:rsidR="00F25D09">
        <w:rPr>
          <w:rFonts w:ascii="David" w:hAnsi="David" w:cs="David" w:hint="cs"/>
          <w:b/>
          <w:bCs/>
          <w:sz w:val="24"/>
          <w:szCs w:val="24"/>
          <w:rtl/>
        </w:rPr>
        <w:t>ת</w:t>
      </w:r>
      <w:proofErr w:type="spellEnd"/>
      <w:r w:rsidR="00F25D09">
        <w:rPr>
          <w:rFonts w:ascii="David" w:hAnsi="David" w:cs="David" w:hint="cs"/>
          <w:sz w:val="24"/>
          <w:szCs w:val="24"/>
          <w:rtl/>
        </w:rPr>
        <w:t xml:space="preserve"> (צדק מתקן) ו</w:t>
      </w:r>
      <w:r w:rsidR="00F25D09">
        <w:rPr>
          <w:rFonts w:ascii="David" w:hAnsi="David" w:cs="David" w:hint="cs"/>
          <w:b/>
          <w:bCs/>
          <w:sz w:val="24"/>
          <w:szCs w:val="24"/>
          <w:rtl/>
        </w:rPr>
        <w:t>תורת הגמול</w:t>
      </w:r>
      <w:r w:rsidR="00F25D09">
        <w:rPr>
          <w:rFonts w:ascii="David" w:hAnsi="David" w:cs="David" w:hint="cs"/>
          <w:sz w:val="24"/>
          <w:szCs w:val="24"/>
          <w:rtl/>
        </w:rPr>
        <w:t>.</w:t>
      </w:r>
    </w:p>
    <w:p w14:paraId="10417887" w14:textId="535D11FA" w:rsidR="00CF1E63" w:rsidRPr="008F5778" w:rsidRDefault="00CF1E63" w:rsidP="00D5008E">
      <w:pPr>
        <w:spacing w:line="480" w:lineRule="auto"/>
        <w:jc w:val="both"/>
        <w:rPr>
          <w:rFonts w:ascii="David" w:hAnsi="David" w:cs="David"/>
          <w:sz w:val="24"/>
          <w:szCs w:val="24"/>
          <w:rtl/>
        </w:rPr>
      </w:pPr>
      <w:r>
        <w:rPr>
          <w:rFonts w:ascii="David" w:hAnsi="David" w:cs="David" w:hint="cs"/>
          <w:sz w:val="24"/>
          <w:szCs w:val="24"/>
          <w:rtl/>
        </w:rPr>
        <w:t xml:space="preserve">לסיכום, </w:t>
      </w:r>
      <w:r w:rsidR="006619C6">
        <w:rPr>
          <w:rFonts w:ascii="David" w:hAnsi="David" w:cs="David" w:hint="cs"/>
          <w:sz w:val="24"/>
          <w:szCs w:val="24"/>
          <w:rtl/>
        </w:rPr>
        <w:t>מאמרו של אריאל פורת כתוב בצורה מאלפת ומעמיקה, אך אני סבורה כי תנאי הסף של טובת-הנאה חברתית הוא לא רלוונטי ולא אמור להיות פרמטר לניכוי פיצויים באף מצב. בנוסף, לדעתי אין לבצע ניכוי פיצויים כלל במקרה של נישואין מחדש</w:t>
      </w:r>
      <w:r w:rsidR="00B764CB">
        <w:rPr>
          <w:rFonts w:ascii="David" w:hAnsi="David" w:cs="David" w:hint="cs"/>
          <w:sz w:val="24"/>
          <w:szCs w:val="24"/>
          <w:rtl/>
        </w:rPr>
        <w:t>, גם במקרה שייווצר לכאורה מצב של טובת-הנאה ("כפל פיצויים"). הגדיר זאת הרמב"ם בהלכות דעות: "</w:t>
      </w:r>
      <w:r w:rsidR="00B764CB" w:rsidRPr="00B764CB">
        <w:rPr>
          <w:rFonts w:ascii="David" w:hAnsi="David" w:cs="David" w:hint="cs"/>
          <w:sz w:val="24"/>
          <w:szCs w:val="24"/>
          <w:rtl/>
        </w:rPr>
        <w:t>חייב</w:t>
      </w:r>
      <w:r w:rsidR="00B764CB" w:rsidRPr="00B764CB">
        <w:rPr>
          <w:rFonts w:ascii="David" w:hAnsi="David" w:cs="David"/>
          <w:sz w:val="24"/>
          <w:szCs w:val="24"/>
          <w:rtl/>
        </w:rPr>
        <w:t xml:space="preserve"> </w:t>
      </w:r>
      <w:r w:rsidR="00B764CB" w:rsidRPr="00B764CB">
        <w:rPr>
          <w:rFonts w:ascii="David" w:hAnsi="David" w:cs="David" w:hint="cs"/>
          <w:sz w:val="24"/>
          <w:szCs w:val="24"/>
          <w:rtl/>
        </w:rPr>
        <w:t>אדם</w:t>
      </w:r>
      <w:r w:rsidR="00B764CB" w:rsidRPr="00B764CB">
        <w:rPr>
          <w:rFonts w:ascii="David" w:hAnsi="David" w:cs="David"/>
          <w:sz w:val="24"/>
          <w:szCs w:val="24"/>
          <w:rtl/>
        </w:rPr>
        <w:t xml:space="preserve"> </w:t>
      </w:r>
      <w:proofErr w:type="spellStart"/>
      <w:r w:rsidR="00B764CB" w:rsidRPr="00B764CB">
        <w:rPr>
          <w:rFonts w:ascii="David" w:hAnsi="David" w:cs="David" w:hint="cs"/>
          <w:sz w:val="24"/>
          <w:szCs w:val="24"/>
          <w:rtl/>
        </w:rPr>
        <w:t>להזהר</w:t>
      </w:r>
      <w:proofErr w:type="spellEnd"/>
      <w:r w:rsidR="00B764CB" w:rsidRPr="00B764CB">
        <w:rPr>
          <w:rFonts w:ascii="David" w:hAnsi="David" w:cs="David"/>
          <w:sz w:val="24"/>
          <w:szCs w:val="24"/>
          <w:rtl/>
        </w:rPr>
        <w:t xml:space="preserve"> </w:t>
      </w:r>
      <w:r w:rsidR="00B764CB" w:rsidRPr="00B764CB">
        <w:rPr>
          <w:rFonts w:ascii="David" w:hAnsi="David" w:cs="David" w:hint="cs"/>
          <w:sz w:val="24"/>
          <w:szCs w:val="24"/>
          <w:rtl/>
        </w:rPr>
        <w:t>ביתומים</w:t>
      </w:r>
      <w:r w:rsidR="00B764CB" w:rsidRPr="00B764CB">
        <w:rPr>
          <w:rFonts w:ascii="David" w:hAnsi="David" w:cs="David"/>
          <w:sz w:val="24"/>
          <w:szCs w:val="24"/>
          <w:rtl/>
        </w:rPr>
        <w:t xml:space="preserve"> </w:t>
      </w:r>
      <w:r w:rsidR="00B764CB" w:rsidRPr="00B764CB">
        <w:rPr>
          <w:rFonts w:ascii="David" w:hAnsi="David" w:cs="David" w:hint="cs"/>
          <w:sz w:val="24"/>
          <w:szCs w:val="24"/>
          <w:rtl/>
        </w:rPr>
        <w:t>ואלמנות</w:t>
      </w:r>
      <w:r w:rsidR="00B764CB">
        <w:rPr>
          <w:rFonts w:ascii="David" w:hAnsi="David" w:cs="David" w:hint="cs"/>
          <w:sz w:val="24"/>
          <w:szCs w:val="24"/>
          <w:rtl/>
        </w:rPr>
        <w:t xml:space="preserve">... </w:t>
      </w:r>
      <w:r w:rsidR="00B764CB" w:rsidRPr="00B764CB">
        <w:rPr>
          <w:rFonts w:ascii="David" w:hAnsi="David" w:cs="David" w:hint="cs"/>
          <w:sz w:val="24"/>
          <w:szCs w:val="24"/>
          <w:rtl/>
        </w:rPr>
        <w:t>והיאך</w:t>
      </w:r>
      <w:r w:rsidR="00B764CB" w:rsidRPr="00B764CB">
        <w:rPr>
          <w:rFonts w:ascii="David" w:hAnsi="David" w:cs="David"/>
          <w:sz w:val="24"/>
          <w:szCs w:val="24"/>
          <w:rtl/>
        </w:rPr>
        <w:t xml:space="preserve"> </w:t>
      </w:r>
      <w:proofErr w:type="spellStart"/>
      <w:r w:rsidR="00B764CB" w:rsidRPr="00B764CB">
        <w:rPr>
          <w:rFonts w:ascii="David" w:hAnsi="David" w:cs="David" w:hint="cs"/>
          <w:sz w:val="24"/>
          <w:szCs w:val="24"/>
          <w:rtl/>
        </w:rPr>
        <w:t>נוהגין</w:t>
      </w:r>
      <w:proofErr w:type="spellEnd"/>
      <w:r w:rsidR="00B764CB" w:rsidRPr="00B764CB">
        <w:rPr>
          <w:rFonts w:ascii="David" w:hAnsi="David" w:cs="David"/>
          <w:sz w:val="24"/>
          <w:szCs w:val="24"/>
          <w:rtl/>
        </w:rPr>
        <w:t xml:space="preserve"> </w:t>
      </w:r>
      <w:r w:rsidR="00B764CB" w:rsidRPr="00B764CB">
        <w:rPr>
          <w:rFonts w:ascii="David" w:hAnsi="David" w:cs="David" w:hint="cs"/>
          <w:sz w:val="24"/>
          <w:szCs w:val="24"/>
          <w:rtl/>
        </w:rPr>
        <w:t>עמהן</w:t>
      </w:r>
      <w:r w:rsidR="00B764CB">
        <w:rPr>
          <w:rFonts w:ascii="David" w:hAnsi="David" w:cs="David" w:hint="cs"/>
          <w:sz w:val="24"/>
          <w:szCs w:val="24"/>
          <w:rtl/>
        </w:rPr>
        <w:t xml:space="preserve">?... </w:t>
      </w:r>
      <w:r w:rsidR="00B764CB" w:rsidRPr="00B764CB">
        <w:rPr>
          <w:rFonts w:ascii="David" w:hAnsi="David" w:cs="David" w:hint="cs"/>
          <w:sz w:val="24"/>
          <w:szCs w:val="24"/>
          <w:rtl/>
        </w:rPr>
        <w:t>ויחוס</w:t>
      </w:r>
      <w:r w:rsidR="00B764CB" w:rsidRPr="00B764CB">
        <w:rPr>
          <w:rFonts w:ascii="David" w:hAnsi="David" w:cs="David"/>
          <w:sz w:val="24"/>
          <w:szCs w:val="24"/>
          <w:rtl/>
        </w:rPr>
        <w:t xml:space="preserve"> </w:t>
      </w:r>
      <w:r w:rsidR="00B764CB" w:rsidRPr="00B764CB">
        <w:rPr>
          <w:rFonts w:ascii="David" w:hAnsi="David" w:cs="David" w:hint="cs"/>
          <w:sz w:val="24"/>
          <w:szCs w:val="24"/>
          <w:rtl/>
        </w:rPr>
        <w:t>על</w:t>
      </w:r>
      <w:r w:rsidR="00B764CB" w:rsidRPr="00B764CB">
        <w:rPr>
          <w:rFonts w:ascii="David" w:hAnsi="David" w:cs="David"/>
          <w:sz w:val="24"/>
          <w:szCs w:val="24"/>
          <w:rtl/>
        </w:rPr>
        <w:t xml:space="preserve"> </w:t>
      </w:r>
      <w:r w:rsidR="00B764CB" w:rsidRPr="00B764CB">
        <w:rPr>
          <w:rFonts w:ascii="David" w:hAnsi="David" w:cs="David" w:hint="cs"/>
          <w:sz w:val="24"/>
          <w:szCs w:val="24"/>
          <w:rtl/>
        </w:rPr>
        <w:t>ממונם</w:t>
      </w:r>
      <w:r w:rsidR="00B764CB" w:rsidRPr="00B764CB">
        <w:rPr>
          <w:rFonts w:ascii="David" w:hAnsi="David" w:cs="David"/>
          <w:sz w:val="24"/>
          <w:szCs w:val="24"/>
          <w:rtl/>
        </w:rPr>
        <w:t xml:space="preserve"> </w:t>
      </w:r>
      <w:r w:rsidR="00B764CB" w:rsidRPr="00B764CB">
        <w:rPr>
          <w:rFonts w:ascii="David" w:hAnsi="David" w:cs="David" w:hint="cs"/>
          <w:sz w:val="24"/>
          <w:szCs w:val="24"/>
          <w:rtl/>
        </w:rPr>
        <w:t>יותר</w:t>
      </w:r>
      <w:r w:rsidR="00B764CB" w:rsidRPr="00B764CB">
        <w:rPr>
          <w:rFonts w:ascii="David" w:hAnsi="David" w:cs="David"/>
          <w:sz w:val="24"/>
          <w:szCs w:val="24"/>
          <w:rtl/>
        </w:rPr>
        <w:t xml:space="preserve"> </w:t>
      </w:r>
      <w:r w:rsidR="00B764CB" w:rsidRPr="00B764CB">
        <w:rPr>
          <w:rFonts w:ascii="David" w:hAnsi="David" w:cs="David" w:hint="cs"/>
          <w:sz w:val="24"/>
          <w:szCs w:val="24"/>
          <w:rtl/>
        </w:rPr>
        <w:t>מממון</w:t>
      </w:r>
      <w:r w:rsidR="00B764CB" w:rsidRPr="00B764CB">
        <w:rPr>
          <w:rFonts w:ascii="David" w:hAnsi="David" w:cs="David"/>
          <w:sz w:val="24"/>
          <w:szCs w:val="24"/>
          <w:rtl/>
        </w:rPr>
        <w:t xml:space="preserve"> </w:t>
      </w:r>
      <w:r w:rsidR="00B764CB" w:rsidRPr="00B764CB">
        <w:rPr>
          <w:rFonts w:ascii="David" w:hAnsi="David" w:cs="David" w:hint="cs"/>
          <w:sz w:val="24"/>
          <w:szCs w:val="24"/>
          <w:rtl/>
        </w:rPr>
        <w:t>עצמו</w:t>
      </w:r>
      <w:r w:rsidR="00B764CB">
        <w:rPr>
          <w:rFonts w:ascii="David" w:hAnsi="David" w:cs="David" w:hint="cs"/>
          <w:sz w:val="24"/>
          <w:szCs w:val="24"/>
          <w:rtl/>
        </w:rPr>
        <w:t>..</w:t>
      </w:r>
      <w:r w:rsidR="00B764CB">
        <w:rPr>
          <w:rStyle w:val="a5"/>
          <w:rFonts w:ascii="David" w:hAnsi="David" w:cs="David"/>
          <w:sz w:val="24"/>
          <w:szCs w:val="24"/>
          <w:rtl/>
        </w:rPr>
        <w:footnoteReference w:id="10"/>
      </w:r>
      <w:r w:rsidR="00B764CB">
        <w:rPr>
          <w:rFonts w:ascii="David" w:hAnsi="David" w:cs="David" w:hint="cs"/>
          <w:sz w:val="24"/>
          <w:szCs w:val="24"/>
          <w:rtl/>
        </w:rPr>
        <w:t>"</w:t>
      </w:r>
      <w:r w:rsidR="00D5008E">
        <w:rPr>
          <w:rFonts w:ascii="David" w:hAnsi="David" w:cs="David" w:hint="cs"/>
          <w:sz w:val="24"/>
          <w:szCs w:val="24"/>
          <w:rtl/>
        </w:rPr>
        <w:t xml:space="preserve">. </w:t>
      </w:r>
      <w:r w:rsidR="00BB1314">
        <w:rPr>
          <w:rFonts w:ascii="David" w:hAnsi="David" w:cs="David" w:hint="cs"/>
          <w:sz w:val="24"/>
          <w:szCs w:val="24"/>
          <w:rtl/>
        </w:rPr>
        <w:t>למרות זאת,</w:t>
      </w:r>
      <w:r w:rsidR="00404896">
        <w:rPr>
          <w:rFonts w:ascii="David" w:hAnsi="David" w:cs="David" w:hint="cs"/>
          <w:sz w:val="24"/>
          <w:szCs w:val="24"/>
          <w:rtl/>
        </w:rPr>
        <w:t xml:space="preserve"> </w:t>
      </w:r>
      <w:r w:rsidR="00404896" w:rsidRPr="00D5008E">
        <w:rPr>
          <w:rFonts w:ascii="David" w:hAnsi="David" w:cs="David" w:hint="cs"/>
          <w:sz w:val="24"/>
          <w:szCs w:val="24"/>
          <w:rtl/>
        </w:rPr>
        <w:t>אני</w:t>
      </w:r>
      <w:r w:rsidR="00404896" w:rsidRPr="00D5008E">
        <w:rPr>
          <w:rFonts w:ascii="David" w:hAnsi="David" w:cs="David"/>
          <w:sz w:val="24"/>
          <w:szCs w:val="24"/>
          <w:rtl/>
        </w:rPr>
        <w:t xml:space="preserve"> </w:t>
      </w:r>
      <w:r w:rsidR="00404896" w:rsidRPr="00D5008E">
        <w:rPr>
          <w:rFonts w:ascii="David" w:hAnsi="David" w:cs="David" w:hint="cs"/>
          <w:sz w:val="24"/>
          <w:szCs w:val="24"/>
          <w:rtl/>
        </w:rPr>
        <w:t>מבינה</w:t>
      </w:r>
      <w:r w:rsidR="00404896" w:rsidRPr="00D5008E">
        <w:rPr>
          <w:rFonts w:ascii="David" w:hAnsi="David" w:cs="David"/>
          <w:sz w:val="24"/>
          <w:szCs w:val="24"/>
          <w:rtl/>
        </w:rPr>
        <w:t xml:space="preserve"> </w:t>
      </w:r>
      <w:r w:rsidR="00404896" w:rsidRPr="00D5008E">
        <w:rPr>
          <w:rFonts w:ascii="David" w:hAnsi="David" w:cs="David" w:hint="cs"/>
          <w:sz w:val="24"/>
          <w:szCs w:val="24"/>
          <w:rtl/>
        </w:rPr>
        <w:t>את</w:t>
      </w:r>
      <w:r w:rsidR="00404896">
        <w:rPr>
          <w:rFonts w:ascii="David" w:hAnsi="David" w:cs="David" w:hint="cs"/>
          <w:sz w:val="24"/>
          <w:szCs w:val="24"/>
          <w:rtl/>
        </w:rPr>
        <w:t xml:space="preserve"> הקושי הקיים ואת</w:t>
      </w:r>
      <w:r w:rsidR="00404896" w:rsidRPr="00D5008E">
        <w:rPr>
          <w:rFonts w:ascii="David" w:hAnsi="David" w:cs="David"/>
          <w:sz w:val="24"/>
          <w:szCs w:val="24"/>
          <w:rtl/>
        </w:rPr>
        <w:t xml:space="preserve"> </w:t>
      </w:r>
      <w:r w:rsidR="00404896">
        <w:rPr>
          <w:rFonts w:ascii="David" w:hAnsi="David" w:cs="David" w:hint="cs"/>
          <w:sz w:val="24"/>
          <w:szCs w:val="24"/>
          <w:rtl/>
        </w:rPr>
        <w:t>רצונו של פרופ' פורת</w:t>
      </w:r>
      <w:r w:rsidR="00404896" w:rsidRPr="00D5008E">
        <w:rPr>
          <w:rFonts w:ascii="David" w:hAnsi="David" w:cs="David"/>
          <w:sz w:val="24"/>
          <w:szCs w:val="24"/>
          <w:rtl/>
        </w:rPr>
        <w:t xml:space="preserve"> </w:t>
      </w:r>
      <w:r w:rsidR="00404896" w:rsidRPr="00D5008E">
        <w:rPr>
          <w:rFonts w:ascii="David" w:hAnsi="David" w:cs="David" w:hint="cs"/>
          <w:sz w:val="24"/>
          <w:szCs w:val="24"/>
          <w:rtl/>
        </w:rPr>
        <w:t>לקבוע</w:t>
      </w:r>
      <w:r w:rsidR="00404896" w:rsidRPr="00D5008E">
        <w:rPr>
          <w:rFonts w:ascii="David" w:hAnsi="David" w:cs="David"/>
          <w:sz w:val="24"/>
          <w:szCs w:val="24"/>
          <w:rtl/>
        </w:rPr>
        <w:t xml:space="preserve"> </w:t>
      </w:r>
      <w:r w:rsidR="00404896" w:rsidRPr="00D5008E">
        <w:rPr>
          <w:rFonts w:ascii="David" w:hAnsi="David" w:cs="David" w:hint="cs"/>
          <w:sz w:val="24"/>
          <w:szCs w:val="24"/>
          <w:rtl/>
        </w:rPr>
        <w:t>סטנדרטים</w:t>
      </w:r>
      <w:r w:rsidR="00404896" w:rsidRPr="00D5008E">
        <w:rPr>
          <w:rFonts w:ascii="David" w:hAnsi="David" w:cs="David"/>
          <w:sz w:val="24"/>
          <w:szCs w:val="24"/>
          <w:rtl/>
        </w:rPr>
        <w:t xml:space="preserve"> </w:t>
      </w:r>
      <w:r w:rsidR="00404896" w:rsidRPr="00D5008E">
        <w:rPr>
          <w:rFonts w:ascii="David" w:hAnsi="David" w:cs="David" w:hint="cs"/>
          <w:sz w:val="24"/>
          <w:szCs w:val="24"/>
          <w:rtl/>
        </w:rPr>
        <w:t>ברורים</w:t>
      </w:r>
      <w:r w:rsidR="00404896" w:rsidRPr="00D5008E">
        <w:rPr>
          <w:rFonts w:ascii="David" w:hAnsi="David" w:cs="David"/>
          <w:sz w:val="24"/>
          <w:szCs w:val="24"/>
          <w:rtl/>
        </w:rPr>
        <w:t xml:space="preserve"> </w:t>
      </w:r>
      <w:r w:rsidR="00404896" w:rsidRPr="00D5008E">
        <w:rPr>
          <w:rFonts w:ascii="David" w:hAnsi="David" w:cs="David" w:hint="cs"/>
          <w:sz w:val="24"/>
          <w:szCs w:val="24"/>
          <w:rtl/>
        </w:rPr>
        <w:t>מתי</w:t>
      </w:r>
      <w:r w:rsidR="00404896" w:rsidRPr="00D5008E">
        <w:rPr>
          <w:rFonts w:ascii="David" w:hAnsi="David" w:cs="David"/>
          <w:sz w:val="24"/>
          <w:szCs w:val="24"/>
          <w:rtl/>
        </w:rPr>
        <w:t xml:space="preserve"> </w:t>
      </w:r>
      <w:r w:rsidR="00404896" w:rsidRPr="00D5008E">
        <w:rPr>
          <w:rFonts w:ascii="David" w:hAnsi="David" w:cs="David" w:hint="cs"/>
          <w:sz w:val="24"/>
          <w:szCs w:val="24"/>
          <w:rtl/>
        </w:rPr>
        <w:t>ואיך</w:t>
      </w:r>
      <w:r w:rsidR="00404896" w:rsidRPr="00D5008E">
        <w:rPr>
          <w:rFonts w:ascii="David" w:hAnsi="David" w:cs="David"/>
          <w:sz w:val="24"/>
          <w:szCs w:val="24"/>
          <w:rtl/>
        </w:rPr>
        <w:t xml:space="preserve"> </w:t>
      </w:r>
      <w:r w:rsidR="00404896" w:rsidRPr="00D5008E">
        <w:rPr>
          <w:rFonts w:ascii="David" w:hAnsi="David" w:cs="David" w:hint="cs"/>
          <w:sz w:val="24"/>
          <w:szCs w:val="24"/>
          <w:rtl/>
        </w:rPr>
        <w:t>יתקבלו</w:t>
      </w:r>
      <w:r w:rsidR="00404896" w:rsidRPr="00D5008E">
        <w:rPr>
          <w:rFonts w:ascii="David" w:hAnsi="David" w:cs="David"/>
          <w:sz w:val="24"/>
          <w:szCs w:val="24"/>
          <w:rtl/>
        </w:rPr>
        <w:t xml:space="preserve"> </w:t>
      </w:r>
      <w:r w:rsidR="00404896" w:rsidRPr="00D5008E">
        <w:rPr>
          <w:rFonts w:ascii="David" w:hAnsi="David" w:cs="David" w:hint="cs"/>
          <w:sz w:val="24"/>
          <w:szCs w:val="24"/>
          <w:rtl/>
        </w:rPr>
        <w:t>מקרים</w:t>
      </w:r>
      <w:r w:rsidR="00404896" w:rsidRPr="00D5008E">
        <w:rPr>
          <w:rFonts w:ascii="David" w:hAnsi="David" w:cs="David"/>
          <w:sz w:val="24"/>
          <w:szCs w:val="24"/>
          <w:rtl/>
        </w:rPr>
        <w:t xml:space="preserve"> </w:t>
      </w:r>
      <w:r w:rsidR="00404896" w:rsidRPr="00D5008E">
        <w:rPr>
          <w:rFonts w:ascii="David" w:hAnsi="David" w:cs="David" w:hint="cs"/>
          <w:sz w:val="24"/>
          <w:szCs w:val="24"/>
          <w:rtl/>
        </w:rPr>
        <w:t>של</w:t>
      </w:r>
      <w:r w:rsidR="00404896" w:rsidRPr="00D5008E">
        <w:rPr>
          <w:rFonts w:ascii="David" w:hAnsi="David" w:cs="David"/>
          <w:sz w:val="24"/>
          <w:szCs w:val="24"/>
          <w:rtl/>
        </w:rPr>
        <w:t xml:space="preserve"> </w:t>
      </w:r>
      <w:r w:rsidR="00404896" w:rsidRPr="00D5008E">
        <w:rPr>
          <w:rFonts w:ascii="David" w:hAnsi="David" w:cs="David" w:hint="cs"/>
          <w:sz w:val="24"/>
          <w:szCs w:val="24"/>
          <w:rtl/>
        </w:rPr>
        <w:t>ניכוי</w:t>
      </w:r>
      <w:r w:rsidR="00404896" w:rsidRPr="00D5008E">
        <w:rPr>
          <w:rFonts w:ascii="David" w:hAnsi="David" w:cs="David"/>
          <w:sz w:val="24"/>
          <w:szCs w:val="24"/>
          <w:rtl/>
        </w:rPr>
        <w:t xml:space="preserve"> </w:t>
      </w:r>
      <w:r w:rsidR="00404896" w:rsidRPr="00D5008E">
        <w:rPr>
          <w:rFonts w:ascii="David" w:hAnsi="David" w:cs="David" w:hint="cs"/>
          <w:sz w:val="24"/>
          <w:szCs w:val="24"/>
          <w:rtl/>
        </w:rPr>
        <w:t>פיצויים</w:t>
      </w:r>
      <w:r w:rsidR="00404896" w:rsidRPr="00D5008E">
        <w:rPr>
          <w:rFonts w:ascii="David" w:hAnsi="David" w:cs="David"/>
          <w:sz w:val="24"/>
          <w:szCs w:val="24"/>
          <w:rtl/>
        </w:rPr>
        <w:t xml:space="preserve"> </w:t>
      </w:r>
      <w:r w:rsidR="00404896" w:rsidRPr="00D5008E">
        <w:rPr>
          <w:rFonts w:ascii="David" w:hAnsi="David" w:cs="David" w:hint="cs"/>
          <w:sz w:val="24"/>
          <w:szCs w:val="24"/>
          <w:rtl/>
        </w:rPr>
        <w:t>מטובות</w:t>
      </w:r>
      <w:r w:rsidR="00404896" w:rsidRPr="00D5008E">
        <w:rPr>
          <w:rFonts w:ascii="David" w:hAnsi="David" w:cs="David"/>
          <w:sz w:val="24"/>
          <w:szCs w:val="24"/>
          <w:rtl/>
        </w:rPr>
        <w:t xml:space="preserve"> </w:t>
      </w:r>
      <w:r w:rsidR="00404896" w:rsidRPr="00D5008E">
        <w:rPr>
          <w:rFonts w:ascii="David" w:hAnsi="David" w:cs="David" w:hint="cs"/>
          <w:sz w:val="24"/>
          <w:szCs w:val="24"/>
          <w:rtl/>
        </w:rPr>
        <w:t>הנאה</w:t>
      </w:r>
      <w:r w:rsidR="00404896">
        <w:rPr>
          <w:rFonts w:ascii="David" w:hAnsi="David" w:cs="David" w:hint="cs"/>
          <w:sz w:val="24"/>
          <w:szCs w:val="24"/>
          <w:rtl/>
        </w:rPr>
        <w:t xml:space="preserve">. </w:t>
      </w:r>
      <w:r w:rsidR="00D5008E" w:rsidRPr="00D5008E">
        <w:rPr>
          <w:rFonts w:ascii="David" w:hAnsi="David" w:cs="David" w:hint="cs"/>
          <w:sz w:val="24"/>
          <w:szCs w:val="24"/>
          <w:rtl/>
        </w:rPr>
        <w:t>מדובר</w:t>
      </w:r>
      <w:r w:rsidR="00D5008E" w:rsidRPr="00D5008E">
        <w:rPr>
          <w:rFonts w:ascii="David" w:hAnsi="David" w:cs="David"/>
          <w:sz w:val="24"/>
          <w:szCs w:val="24"/>
          <w:rtl/>
        </w:rPr>
        <w:t xml:space="preserve"> </w:t>
      </w:r>
      <w:r w:rsidR="00D5008E" w:rsidRPr="00D5008E">
        <w:rPr>
          <w:rFonts w:ascii="David" w:hAnsi="David" w:cs="David" w:hint="cs"/>
          <w:sz w:val="24"/>
          <w:szCs w:val="24"/>
          <w:rtl/>
        </w:rPr>
        <w:t>בנושא</w:t>
      </w:r>
      <w:r w:rsidR="00D5008E" w:rsidRPr="00D5008E">
        <w:rPr>
          <w:rFonts w:ascii="David" w:hAnsi="David" w:cs="David"/>
          <w:sz w:val="24"/>
          <w:szCs w:val="24"/>
          <w:rtl/>
        </w:rPr>
        <w:t xml:space="preserve"> </w:t>
      </w:r>
      <w:r w:rsidR="00D5008E" w:rsidRPr="00D5008E">
        <w:rPr>
          <w:rFonts w:ascii="David" w:hAnsi="David" w:cs="David" w:hint="cs"/>
          <w:sz w:val="24"/>
          <w:szCs w:val="24"/>
          <w:rtl/>
        </w:rPr>
        <w:t>ספקולטיבי</w:t>
      </w:r>
      <w:r w:rsidR="00D5008E" w:rsidRPr="00D5008E">
        <w:rPr>
          <w:rFonts w:ascii="David" w:hAnsi="David" w:cs="David"/>
          <w:sz w:val="24"/>
          <w:szCs w:val="24"/>
          <w:rtl/>
        </w:rPr>
        <w:t xml:space="preserve"> </w:t>
      </w:r>
      <w:r w:rsidR="00D5008E" w:rsidRPr="00D5008E">
        <w:rPr>
          <w:rFonts w:ascii="David" w:hAnsi="David" w:cs="David" w:hint="cs"/>
          <w:sz w:val="24"/>
          <w:szCs w:val="24"/>
          <w:rtl/>
        </w:rPr>
        <w:t>מאוד</w:t>
      </w:r>
      <w:r w:rsidR="00D5008E" w:rsidRPr="00D5008E">
        <w:rPr>
          <w:rFonts w:ascii="David" w:hAnsi="David" w:cs="David"/>
          <w:sz w:val="24"/>
          <w:szCs w:val="24"/>
          <w:rtl/>
        </w:rPr>
        <w:t xml:space="preserve"> </w:t>
      </w:r>
      <w:r w:rsidR="00D5008E" w:rsidRPr="00D5008E">
        <w:rPr>
          <w:rFonts w:ascii="David" w:hAnsi="David" w:cs="David" w:hint="cs"/>
          <w:sz w:val="24"/>
          <w:szCs w:val="24"/>
          <w:rtl/>
        </w:rPr>
        <w:t>בדיני</w:t>
      </w:r>
      <w:r w:rsidR="00D5008E" w:rsidRPr="00D5008E">
        <w:rPr>
          <w:rFonts w:ascii="David" w:hAnsi="David" w:cs="David"/>
          <w:sz w:val="24"/>
          <w:szCs w:val="24"/>
          <w:rtl/>
        </w:rPr>
        <w:t xml:space="preserve"> </w:t>
      </w:r>
      <w:r w:rsidR="00D5008E" w:rsidRPr="00D5008E">
        <w:rPr>
          <w:rFonts w:ascii="David" w:hAnsi="David" w:cs="David" w:hint="cs"/>
          <w:sz w:val="24"/>
          <w:szCs w:val="24"/>
          <w:rtl/>
        </w:rPr>
        <w:t>הנזיקין</w:t>
      </w:r>
      <w:r w:rsidR="00D5008E" w:rsidRPr="00D5008E">
        <w:rPr>
          <w:rFonts w:ascii="David" w:hAnsi="David" w:cs="David"/>
          <w:sz w:val="24"/>
          <w:szCs w:val="24"/>
          <w:rtl/>
        </w:rPr>
        <w:t xml:space="preserve">, </w:t>
      </w:r>
      <w:r w:rsidR="00D5008E" w:rsidRPr="00D5008E">
        <w:rPr>
          <w:rFonts w:ascii="David" w:hAnsi="David" w:cs="David" w:hint="cs"/>
          <w:sz w:val="24"/>
          <w:szCs w:val="24"/>
          <w:rtl/>
        </w:rPr>
        <w:t>אשר</w:t>
      </w:r>
      <w:r w:rsidR="00D5008E" w:rsidRPr="00D5008E">
        <w:rPr>
          <w:rFonts w:ascii="David" w:hAnsi="David" w:cs="David"/>
          <w:sz w:val="24"/>
          <w:szCs w:val="24"/>
          <w:rtl/>
        </w:rPr>
        <w:t xml:space="preserve"> </w:t>
      </w:r>
      <w:r w:rsidR="00D5008E" w:rsidRPr="00D5008E">
        <w:rPr>
          <w:rFonts w:ascii="David" w:hAnsi="David" w:cs="David" w:hint="cs"/>
          <w:sz w:val="24"/>
          <w:szCs w:val="24"/>
          <w:rtl/>
        </w:rPr>
        <w:t>חלק</w:t>
      </w:r>
      <w:r w:rsidR="00D5008E" w:rsidRPr="00D5008E">
        <w:rPr>
          <w:rFonts w:ascii="David" w:hAnsi="David" w:cs="David"/>
          <w:sz w:val="24"/>
          <w:szCs w:val="24"/>
          <w:rtl/>
        </w:rPr>
        <w:t xml:space="preserve"> </w:t>
      </w:r>
      <w:r w:rsidR="00D5008E" w:rsidRPr="00D5008E">
        <w:rPr>
          <w:rFonts w:ascii="David" w:hAnsi="David" w:cs="David" w:hint="cs"/>
          <w:sz w:val="24"/>
          <w:szCs w:val="24"/>
          <w:rtl/>
        </w:rPr>
        <w:t>גדול</w:t>
      </w:r>
      <w:r w:rsidR="00D5008E" w:rsidRPr="00D5008E">
        <w:rPr>
          <w:rFonts w:ascii="David" w:hAnsi="David" w:cs="David"/>
          <w:sz w:val="24"/>
          <w:szCs w:val="24"/>
          <w:rtl/>
        </w:rPr>
        <w:t xml:space="preserve"> </w:t>
      </w:r>
      <w:r w:rsidR="00D5008E" w:rsidRPr="00D5008E">
        <w:rPr>
          <w:rFonts w:ascii="David" w:hAnsi="David" w:cs="David" w:hint="cs"/>
          <w:sz w:val="24"/>
          <w:szCs w:val="24"/>
          <w:rtl/>
        </w:rPr>
        <w:t>ממנו</w:t>
      </w:r>
      <w:r w:rsidR="00D5008E" w:rsidRPr="00D5008E">
        <w:rPr>
          <w:rFonts w:ascii="David" w:hAnsi="David" w:cs="David"/>
          <w:sz w:val="24"/>
          <w:szCs w:val="24"/>
          <w:rtl/>
        </w:rPr>
        <w:t xml:space="preserve"> </w:t>
      </w:r>
      <w:r w:rsidR="00D5008E" w:rsidRPr="00D5008E">
        <w:rPr>
          <w:rFonts w:ascii="David" w:hAnsi="David" w:cs="David" w:hint="cs"/>
          <w:sz w:val="24"/>
          <w:szCs w:val="24"/>
          <w:rtl/>
        </w:rPr>
        <w:t>מתבסס</w:t>
      </w:r>
      <w:r w:rsidR="00D5008E" w:rsidRPr="00D5008E">
        <w:rPr>
          <w:rFonts w:ascii="David" w:hAnsi="David" w:cs="David"/>
          <w:sz w:val="24"/>
          <w:szCs w:val="24"/>
          <w:rtl/>
        </w:rPr>
        <w:t xml:space="preserve"> </w:t>
      </w:r>
      <w:r w:rsidR="00D5008E" w:rsidRPr="00D5008E">
        <w:rPr>
          <w:rFonts w:ascii="David" w:hAnsi="David" w:cs="David" w:hint="cs"/>
          <w:sz w:val="24"/>
          <w:szCs w:val="24"/>
          <w:rtl/>
        </w:rPr>
        <w:t>על</w:t>
      </w:r>
      <w:r w:rsidR="00D5008E" w:rsidRPr="00D5008E">
        <w:rPr>
          <w:rFonts w:ascii="David" w:hAnsi="David" w:cs="David"/>
          <w:sz w:val="24"/>
          <w:szCs w:val="24"/>
          <w:rtl/>
        </w:rPr>
        <w:t xml:space="preserve"> </w:t>
      </w:r>
      <w:r w:rsidR="00D5008E" w:rsidRPr="00D5008E">
        <w:rPr>
          <w:rFonts w:ascii="David" w:hAnsi="David" w:cs="David" w:hint="cs"/>
          <w:sz w:val="24"/>
          <w:szCs w:val="24"/>
          <w:rtl/>
        </w:rPr>
        <w:t>ניסיון</w:t>
      </w:r>
      <w:r w:rsidR="00D5008E" w:rsidRPr="00D5008E">
        <w:rPr>
          <w:rFonts w:ascii="David" w:hAnsi="David" w:cs="David"/>
          <w:sz w:val="24"/>
          <w:szCs w:val="24"/>
          <w:rtl/>
        </w:rPr>
        <w:t xml:space="preserve"> </w:t>
      </w:r>
      <w:r w:rsidR="00D5008E" w:rsidRPr="00D5008E">
        <w:rPr>
          <w:rFonts w:ascii="David" w:hAnsi="David" w:cs="David" w:hint="cs"/>
          <w:sz w:val="24"/>
          <w:szCs w:val="24"/>
          <w:rtl/>
        </w:rPr>
        <w:t>לצפות</w:t>
      </w:r>
      <w:r w:rsidR="00D5008E" w:rsidRPr="00D5008E">
        <w:rPr>
          <w:rFonts w:ascii="David" w:hAnsi="David" w:cs="David"/>
          <w:sz w:val="24"/>
          <w:szCs w:val="24"/>
          <w:rtl/>
        </w:rPr>
        <w:t xml:space="preserve"> </w:t>
      </w:r>
      <w:r w:rsidR="00D5008E" w:rsidRPr="00D5008E">
        <w:rPr>
          <w:rFonts w:ascii="David" w:hAnsi="David" w:cs="David" w:hint="cs"/>
          <w:sz w:val="24"/>
          <w:szCs w:val="24"/>
          <w:rtl/>
        </w:rPr>
        <w:t>את</w:t>
      </w:r>
      <w:r w:rsidR="00D5008E" w:rsidRPr="00D5008E">
        <w:rPr>
          <w:rFonts w:ascii="David" w:hAnsi="David" w:cs="David"/>
          <w:sz w:val="24"/>
          <w:szCs w:val="24"/>
          <w:rtl/>
        </w:rPr>
        <w:t xml:space="preserve"> </w:t>
      </w:r>
      <w:r w:rsidR="00D5008E" w:rsidRPr="00D5008E">
        <w:rPr>
          <w:rFonts w:ascii="David" w:hAnsi="David" w:cs="David" w:hint="cs"/>
          <w:sz w:val="24"/>
          <w:szCs w:val="24"/>
          <w:rtl/>
        </w:rPr>
        <w:t>העתיד</w:t>
      </w:r>
      <w:r w:rsidR="00D5008E" w:rsidRPr="00D5008E">
        <w:rPr>
          <w:rFonts w:ascii="David" w:hAnsi="David" w:cs="David"/>
          <w:sz w:val="24"/>
          <w:szCs w:val="24"/>
          <w:rtl/>
        </w:rPr>
        <w:t xml:space="preserve"> </w:t>
      </w:r>
      <w:r w:rsidR="00404896">
        <w:rPr>
          <w:rFonts w:ascii="David" w:hAnsi="David" w:cs="David" w:hint="cs"/>
          <w:sz w:val="24"/>
          <w:szCs w:val="24"/>
          <w:rtl/>
        </w:rPr>
        <w:t>(</w:t>
      </w:r>
      <w:r w:rsidR="00D5008E" w:rsidRPr="00D5008E">
        <w:rPr>
          <w:rFonts w:ascii="David" w:hAnsi="David" w:cs="David" w:hint="cs"/>
          <w:sz w:val="24"/>
          <w:szCs w:val="24"/>
          <w:rtl/>
        </w:rPr>
        <w:t>המטוס</w:t>
      </w:r>
      <w:r w:rsidR="00D5008E" w:rsidRPr="00D5008E">
        <w:rPr>
          <w:rFonts w:ascii="David" w:hAnsi="David" w:cs="David"/>
          <w:sz w:val="24"/>
          <w:szCs w:val="24"/>
          <w:rtl/>
        </w:rPr>
        <w:t xml:space="preserve"> </w:t>
      </w:r>
      <w:r w:rsidR="00D5008E" w:rsidRPr="00D5008E">
        <w:rPr>
          <w:rFonts w:ascii="David" w:hAnsi="David" w:cs="David" w:hint="cs"/>
          <w:sz w:val="24"/>
          <w:szCs w:val="24"/>
          <w:rtl/>
        </w:rPr>
        <w:t>המתרסק</w:t>
      </w:r>
      <w:r w:rsidR="00404896">
        <w:rPr>
          <w:rFonts w:ascii="David" w:hAnsi="David" w:cs="David" w:hint="cs"/>
          <w:sz w:val="24"/>
          <w:szCs w:val="24"/>
          <w:rtl/>
        </w:rPr>
        <w:t>, נישואים מחדש</w:t>
      </w:r>
      <w:r w:rsidR="00D5008E" w:rsidRPr="00D5008E">
        <w:rPr>
          <w:rFonts w:ascii="David" w:hAnsi="David" w:cs="David"/>
          <w:sz w:val="24"/>
          <w:szCs w:val="24"/>
          <w:rtl/>
        </w:rPr>
        <w:t>)</w:t>
      </w:r>
      <w:r w:rsidR="00404896">
        <w:rPr>
          <w:rFonts w:ascii="David" w:hAnsi="David" w:cs="David" w:hint="cs"/>
          <w:sz w:val="24"/>
          <w:szCs w:val="24"/>
          <w:rtl/>
        </w:rPr>
        <w:t>.</w:t>
      </w:r>
    </w:p>
    <w:sectPr w:rsidR="00CF1E63" w:rsidRPr="008F5778" w:rsidSect="002110F9">
      <w:headerReference w:type="default" r:id="rId7"/>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F8182" w14:textId="77777777" w:rsidR="00342E27" w:rsidRDefault="00342E27" w:rsidP="00761BA8">
      <w:pPr>
        <w:spacing w:after="0" w:line="240" w:lineRule="auto"/>
      </w:pPr>
      <w:r>
        <w:separator/>
      </w:r>
    </w:p>
  </w:endnote>
  <w:endnote w:type="continuationSeparator" w:id="0">
    <w:p w14:paraId="03C6404B" w14:textId="77777777" w:rsidR="00342E27" w:rsidRDefault="00342E27" w:rsidP="0076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DF62D" w14:textId="77777777" w:rsidR="00342E27" w:rsidRDefault="00342E27" w:rsidP="00761BA8">
      <w:pPr>
        <w:spacing w:after="0" w:line="240" w:lineRule="auto"/>
      </w:pPr>
      <w:r>
        <w:separator/>
      </w:r>
    </w:p>
  </w:footnote>
  <w:footnote w:type="continuationSeparator" w:id="0">
    <w:p w14:paraId="6E843DEE" w14:textId="77777777" w:rsidR="00342E27" w:rsidRDefault="00342E27" w:rsidP="00761BA8">
      <w:pPr>
        <w:spacing w:after="0" w:line="240" w:lineRule="auto"/>
      </w:pPr>
      <w:r>
        <w:continuationSeparator/>
      </w:r>
    </w:p>
  </w:footnote>
  <w:footnote w:id="1">
    <w:p w14:paraId="33180B1E" w14:textId="6B3E7370" w:rsidR="00614D29" w:rsidRPr="006619C6" w:rsidRDefault="00614D29" w:rsidP="00761BA8">
      <w:pPr>
        <w:pStyle w:val="a3"/>
        <w:rPr>
          <w:rFonts w:ascii="David" w:hAnsi="David" w:cs="David"/>
          <w:rtl/>
        </w:rPr>
      </w:pPr>
      <w:r w:rsidRPr="006619C6">
        <w:rPr>
          <w:rStyle w:val="a5"/>
          <w:rFonts w:ascii="David" w:hAnsi="David" w:cs="David"/>
        </w:rPr>
        <w:footnoteRef/>
      </w:r>
      <w:r w:rsidRPr="006619C6">
        <w:rPr>
          <w:rFonts w:ascii="David" w:hAnsi="David" w:cs="David"/>
          <w:rtl/>
        </w:rPr>
        <w:t xml:space="preserve">אריאל פורת "כאשר דברים טובים ורעים באים יחדיו: ניכוי טובות-הנאה מן הפיצויים" </w:t>
      </w:r>
      <w:r w:rsidRPr="006619C6">
        <w:rPr>
          <w:rFonts w:ascii="David" w:hAnsi="David" w:cs="David"/>
          <w:b/>
          <w:bCs/>
          <w:rtl/>
        </w:rPr>
        <w:t>משפט ועסקים</w:t>
      </w:r>
      <w:r w:rsidRPr="006619C6">
        <w:rPr>
          <w:rFonts w:ascii="David" w:hAnsi="David" w:cs="David"/>
          <w:rtl/>
        </w:rPr>
        <w:t>, כ 41 (2017). (להלן: המאמר).</w:t>
      </w:r>
    </w:p>
  </w:footnote>
  <w:footnote w:id="2">
    <w:p w14:paraId="417A62A4" w14:textId="18EA02A7" w:rsidR="00614D29" w:rsidRDefault="00614D29">
      <w:pPr>
        <w:pStyle w:val="a3"/>
      </w:pPr>
      <w:r w:rsidRPr="006619C6">
        <w:rPr>
          <w:rStyle w:val="a5"/>
          <w:rFonts w:ascii="David" w:hAnsi="David" w:cs="David"/>
        </w:rPr>
        <w:footnoteRef/>
      </w:r>
      <w:r w:rsidRPr="006619C6">
        <w:rPr>
          <w:rFonts w:ascii="David" w:hAnsi="David" w:cs="David"/>
          <w:rtl/>
        </w:rPr>
        <w:t xml:space="preserve">בועז שנור </w:t>
      </w:r>
      <w:r w:rsidRPr="006619C6">
        <w:rPr>
          <w:rFonts w:ascii="David" w:hAnsi="David" w:cs="David"/>
          <w:b/>
          <w:bCs/>
          <w:rtl/>
        </w:rPr>
        <w:t>תביעות נזיקין סביבתיות</w:t>
      </w:r>
      <w:r w:rsidRPr="006619C6">
        <w:rPr>
          <w:rFonts w:ascii="David" w:hAnsi="David" w:cs="David"/>
          <w:rtl/>
        </w:rPr>
        <w:t xml:space="preserve"> 357–362 (2011)</w:t>
      </w:r>
    </w:p>
  </w:footnote>
  <w:footnote w:id="3">
    <w:p w14:paraId="30FB3DEF" w14:textId="065F784D" w:rsidR="00614D29" w:rsidRPr="006619C6" w:rsidRDefault="00614D29">
      <w:pPr>
        <w:pStyle w:val="a3"/>
        <w:rPr>
          <w:rFonts w:ascii="David" w:hAnsi="David" w:cs="David"/>
          <w:rtl/>
        </w:rPr>
      </w:pPr>
      <w:r w:rsidRPr="006619C6">
        <w:rPr>
          <w:rStyle w:val="a5"/>
          <w:rFonts w:ascii="David" w:hAnsi="David" w:cs="David"/>
        </w:rPr>
        <w:footnoteRef/>
      </w:r>
      <w:r w:rsidRPr="006619C6">
        <w:rPr>
          <w:rFonts w:ascii="David" w:hAnsi="David" w:cs="David"/>
          <w:rtl/>
        </w:rPr>
        <w:t xml:space="preserve">ביטוי מתחום תורת הכאוס, משל לכך שמשק כנפיו של פרפר עלול להשפיע בצורה דראסטית על </w:t>
      </w:r>
      <w:proofErr w:type="spellStart"/>
      <w:r w:rsidRPr="006619C6">
        <w:rPr>
          <w:rFonts w:ascii="David" w:hAnsi="David" w:cs="David"/>
          <w:rtl/>
        </w:rPr>
        <w:t>הווצרות</w:t>
      </w:r>
      <w:proofErr w:type="spellEnd"/>
      <w:r w:rsidRPr="006619C6">
        <w:rPr>
          <w:rFonts w:ascii="David" w:hAnsi="David" w:cs="David"/>
          <w:rtl/>
        </w:rPr>
        <w:t xml:space="preserve"> טורנדו בקצה השני של </w:t>
      </w:r>
      <w:proofErr w:type="spellStart"/>
      <w:r w:rsidRPr="006619C6">
        <w:rPr>
          <w:rFonts w:ascii="David" w:hAnsi="David" w:cs="David"/>
          <w:rtl/>
        </w:rPr>
        <w:t>כדו"א</w:t>
      </w:r>
      <w:proofErr w:type="spellEnd"/>
      <w:r w:rsidRPr="006619C6">
        <w:rPr>
          <w:rFonts w:ascii="David" w:hAnsi="David" w:cs="David"/>
          <w:rtl/>
        </w:rPr>
        <w:t xml:space="preserve">. </w:t>
      </w:r>
    </w:p>
  </w:footnote>
  <w:footnote w:id="4">
    <w:p w14:paraId="0396AFE3" w14:textId="32E178D4" w:rsidR="00614D29" w:rsidRPr="006619C6" w:rsidRDefault="00614D29">
      <w:pPr>
        <w:pStyle w:val="a3"/>
        <w:rPr>
          <w:rFonts w:ascii="David" w:hAnsi="David" w:cs="David"/>
        </w:rPr>
      </w:pPr>
      <w:r w:rsidRPr="006619C6">
        <w:rPr>
          <w:rStyle w:val="a5"/>
          <w:rFonts w:ascii="David" w:hAnsi="David" w:cs="David"/>
        </w:rPr>
        <w:footnoteRef/>
      </w:r>
      <w:r w:rsidRPr="006619C6">
        <w:rPr>
          <w:rFonts w:ascii="David" w:hAnsi="David" w:cs="David"/>
          <w:color w:val="000000"/>
          <w:rtl/>
        </w:rPr>
        <w:t>ע"א 7244/97 </w:t>
      </w:r>
      <w:r w:rsidRPr="006619C6">
        <w:rPr>
          <w:rFonts w:ascii="David" w:hAnsi="David" w:cs="David"/>
          <w:b/>
          <w:bCs/>
          <w:color w:val="000000"/>
          <w:rtl/>
        </w:rPr>
        <w:t>פנינה חכמי נ' רותם חברה לביטוח בע"מ</w:t>
      </w:r>
      <w:r w:rsidRPr="006619C6">
        <w:rPr>
          <w:rFonts w:ascii="David" w:hAnsi="David" w:cs="David"/>
          <w:color w:val="000000"/>
          <w:rtl/>
        </w:rPr>
        <w:t xml:space="preserve"> פ"ד נד(2) 30 </w:t>
      </w:r>
      <w:r w:rsidRPr="006619C6">
        <w:rPr>
          <w:rFonts w:ascii="David" w:hAnsi="David" w:cs="David"/>
          <w:color w:val="000000"/>
        </w:rPr>
        <w:t xml:space="preserve"> (2000)</w:t>
      </w:r>
      <w:r w:rsidRPr="006619C6">
        <w:rPr>
          <w:rFonts w:ascii="David" w:hAnsi="David" w:cs="David"/>
          <w:rtl/>
        </w:rPr>
        <w:t xml:space="preserve">, אהרן ברק "אלמנה התלויה בשני בעלים" </w:t>
      </w:r>
      <w:r w:rsidRPr="006619C6">
        <w:rPr>
          <w:rFonts w:ascii="David" w:hAnsi="David" w:cs="David"/>
          <w:b/>
          <w:bCs/>
          <w:rtl/>
        </w:rPr>
        <w:t>הפרקליט</w:t>
      </w:r>
      <w:r w:rsidRPr="006619C6">
        <w:rPr>
          <w:rFonts w:ascii="David" w:hAnsi="David" w:cs="David"/>
          <w:rtl/>
        </w:rPr>
        <w:t xml:space="preserve"> כה 289 (1969). </w:t>
      </w:r>
    </w:p>
  </w:footnote>
  <w:footnote w:id="5">
    <w:p w14:paraId="165D5C7C" w14:textId="03331509" w:rsidR="00614D29" w:rsidRPr="006619C6" w:rsidRDefault="00614D29">
      <w:pPr>
        <w:pStyle w:val="a3"/>
        <w:rPr>
          <w:rFonts w:ascii="David" w:hAnsi="David" w:cs="David"/>
          <w:rtl/>
        </w:rPr>
      </w:pPr>
      <w:r w:rsidRPr="006619C6">
        <w:rPr>
          <w:rStyle w:val="a5"/>
          <w:rFonts w:ascii="David" w:hAnsi="David" w:cs="David"/>
        </w:rPr>
        <w:footnoteRef/>
      </w:r>
      <w:r w:rsidRPr="006619C6">
        <w:rPr>
          <w:rFonts w:ascii="David" w:hAnsi="David" w:cs="David"/>
          <w:color w:val="000000"/>
          <w:rtl/>
        </w:rPr>
        <w:t>ע"א 111/68 </w:t>
      </w:r>
      <w:r w:rsidRPr="006619C6">
        <w:rPr>
          <w:rFonts w:ascii="David" w:hAnsi="David" w:cs="David"/>
          <w:b/>
          <w:bCs/>
          <w:color w:val="000000"/>
        </w:rPr>
        <w:t>"</w:t>
      </w:r>
      <w:r w:rsidRPr="006619C6">
        <w:rPr>
          <w:rFonts w:ascii="David" w:hAnsi="David" w:cs="David"/>
          <w:b/>
          <w:bCs/>
          <w:color w:val="000000"/>
          <w:rtl/>
        </w:rPr>
        <w:t>לפידות" חברת מחפשי נפט לישראל בע"מ, ו-3 אח' נ' לאה</w:t>
      </w:r>
      <w:r w:rsidRPr="006619C6">
        <w:rPr>
          <w:rFonts w:ascii="David" w:hAnsi="David" w:cs="David"/>
          <w:color w:val="000000"/>
        </w:rPr>
        <w:t xml:space="preserve">, </w:t>
      </w:r>
      <w:proofErr w:type="spellStart"/>
      <w:r w:rsidRPr="006619C6">
        <w:rPr>
          <w:rFonts w:ascii="David" w:hAnsi="David" w:cs="David"/>
          <w:color w:val="000000"/>
          <w:rtl/>
        </w:rPr>
        <w:t>כב</w:t>
      </w:r>
      <w:proofErr w:type="spellEnd"/>
      <w:r w:rsidRPr="006619C6">
        <w:rPr>
          <w:rFonts w:ascii="David" w:hAnsi="David" w:cs="David"/>
          <w:color w:val="000000"/>
          <w:rtl/>
        </w:rPr>
        <w:t>(2) 379</w:t>
      </w:r>
      <w:r w:rsidRPr="006619C6">
        <w:rPr>
          <w:rFonts w:ascii="David" w:hAnsi="David" w:cs="David"/>
          <w:color w:val="000000"/>
        </w:rPr>
        <w:t xml:space="preserve"> (1968)</w:t>
      </w:r>
    </w:p>
  </w:footnote>
  <w:footnote w:id="6">
    <w:p w14:paraId="5B15BC01" w14:textId="375B0910" w:rsidR="00614D29" w:rsidRPr="006619C6" w:rsidRDefault="00614D29">
      <w:pPr>
        <w:pStyle w:val="a3"/>
        <w:rPr>
          <w:rFonts w:ascii="David" w:hAnsi="David" w:cs="David"/>
        </w:rPr>
      </w:pPr>
      <w:r w:rsidRPr="006619C6">
        <w:rPr>
          <w:rStyle w:val="a5"/>
          <w:rFonts w:ascii="David" w:hAnsi="David" w:cs="David"/>
        </w:rPr>
        <w:footnoteRef/>
      </w:r>
      <w:r w:rsidRPr="006619C6">
        <w:rPr>
          <w:rFonts w:ascii="David" w:hAnsi="David" w:cs="David"/>
          <w:rtl/>
        </w:rPr>
        <w:t xml:space="preserve">ע"א 110/80 </w:t>
      </w:r>
      <w:r w:rsidRPr="006619C6">
        <w:rPr>
          <w:rFonts w:ascii="David" w:hAnsi="David" w:cs="David"/>
          <w:b/>
          <w:bCs/>
          <w:rtl/>
        </w:rPr>
        <w:t>מזל גבאי נ' יוסף וליס</w:t>
      </w:r>
      <w:r w:rsidRPr="006619C6">
        <w:rPr>
          <w:rFonts w:ascii="David" w:hAnsi="David" w:cs="David"/>
          <w:rtl/>
        </w:rPr>
        <w:t>, לו(1) 449 (1982)</w:t>
      </w:r>
    </w:p>
  </w:footnote>
  <w:footnote w:id="7">
    <w:p w14:paraId="7E575490" w14:textId="25501401" w:rsidR="00614D29" w:rsidRPr="006619C6" w:rsidRDefault="00614D29">
      <w:pPr>
        <w:pStyle w:val="a3"/>
        <w:rPr>
          <w:rtl/>
        </w:rPr>
      </w:pPr>
      <w:r w:rsidRPr="006619C6">
        <w:rPr>
          <w:rStyle w:val="a5"/>
          <w:rFonts w:ascii="David" w:hAnsi="David" w:cs="David"/>
        </w:rPr>
        <w:footnoteRef/>
      </w:r>
      <w:r w:rsidRPr="006619C6">
        <w:rPr>
          <w:rFonts w:ascii="David" w:hAnsi="David" w:cs="David"/>
          <w:rtl/>
        </w:rPr>
        <w:t xml:space="preserve"> </w:t>
      </w:r>
      <w:r w:rsidRPr="006619C6">
        <w:rPr>
          <w:rFonts w:ascii="David" w:hAnsi="David" w:cs="David"/>
          <w:color w:val="000000"/>
          <w:rtl/>
        </w:rPr>
        <w:t>ע"א 4579/07 </w:t>
      </w:r>
      <w:r w:rsidRPr="006619C6">
        <w:rPr>
          <w:rFonts w:ascii="David" w:hAnsi="David" w:cs="David"/>
          <w:b/>
          <w:bCs/>
          <w:color w:val="000000"/>
          <w:rtl/>
        </w:rPr>
        <w:t>עזבון בחירי נ' קופת חולים הכללית</w:t>
      </w:r>
      <w:r w:rsidRPr="006619C6">
        <w:rPr>
          <w:rFonts w:ascii="David" w:hAnsi="David" w:cs="David"/>
          <w:color w:val="000000"/>
          <w:rtl/>
        </w:rPr>
        <w:t>, פס' כ-כא לפסק-דינו של השופט רובינשטיין (פורסם בנבו, 24.06.2009)</w:t>
      </w:r>
    </w:p>
  </w:footnote>
  <w:footnote w:id="8">
    <w:p w14:paraId="636508C8" w14:textId="1B8A4A69" w:rsidR="00067AB2" w:rsidRPr="001120FF" w:rsidRDefault="00067AB2">
      <w:pPr>
        <w:pStyle w:val="a3"/>
        <w:rPr>
          <w:rFonts w:ascii="David" w:hAnsi="David" w:cs="David"/>
          <w:rtl/>
        </w:rPr>
      </w:pPr>
      <w:r w:rsidRPr="006619C6">
        <w:rPr>
          <w:rStyle w:val="a5"/>
          <w:rFonts w:ascii="David" w:hAnsi="David" w:cs="David"/>
        </w:rPr>
        <w:footnoteRef/>
      </w:r>
      <w:r w:rsidRPr="006619C6">
        <w:rPr>
          <w:rFonts w:ascii="David" w:hAnsi="David" w:cs="David"/>
          <w:rtl/>
        </w:rPr>
        <w:t xml:space="preserve">שמות </w:t>
      </w:r>
      <w:proofErr w:type="spellStart"/>
      <w:r w:rsidRPr="006619C6">
        <w:rPr>
          <w:rFonts w:ascii="David" w:hAnsi="David" w:cs="David"/>
          <w:rtl/>
        </w:rPr>
        <w:t>כב</w:t>
      </w:r>
      <w:proofErr w:type="spellEnd"/>
      <w:r w:rsidRPr="006619C6">
        <w:rPr>
          <w:rFonts w:ascii="David" w:hAnsi="David" w:cs="David"/>
          <w:rtl/>
        </w:rPr>
        <w:t xml:space="preserve"> 23.</w:t>
      </w:r>
    </w:p>
  </w:footnote>
  <w:footnote w:id="9">
    <w:p w14:paraId="5BCABB8F" w14:textId="43C02FCC" w:rsidR="00614D29" w:rsidRPr="001120FF" w:rsidRDefault="00614D29">
      <w:pPr>
        <w:pStyle w:val="a3"/>
        <w:rPr>
          <w:rFonts w:ascii="David" w:hAnsi="David" w:cs="David"/>
          <w:rtl/>
        </w:rPr>
      </w:pPr>
      <w:r w:rsidRPr="006619C6">
        <w:rPr>
          <w:rStyle w:val="a5"/>
          <w:rFonts w:ascii="David" w:hAnsi="David" w:cs="David"/>
          <w:sz w:val="22"/>
          <w:szCs w:val="22"/>
        </w:rPr>
        <w:footnoteRef/>
      </w:r>
      <w:r w:rsidRPr="006619C6">
        <w:rPr>
          <w:rFonts w:ascii="David" w:hAnsi="David" w:cs="David"/>
          <w:rtl/>
        </w:rPr>
        <w:t xml:space="preserve">המאמר, לעיל </w:t>
      </w:r>
      <w:proofErr w:type="spellStart"/>
      <w:r w:rsidRPr="006619C6">
        <w:rPr>
          <w:rFonts w:ascii="David" w:hAnsi="David" w:cs="David"/>
          <w:rtl/>
        </w:rPr>
        <w:t>ה"ש</w:t>
      </w:r>
      <w:proofErr w:type="spellEnd"/>
      <w:r w:rsidRPr="006619C6">
        <w:rPr>
          <w:rFonts w:ascii="David" w:hAnsi="David" w:cs="David"/>
          <w:rtl/>
        </w:rPr>
        <w:t xml:space="preserve"> 1, בעמ' 54.</w:t>
      </w:r>
    </w:p>
  </w:footnote>
  <w:footnote w:id="10">
    <w:p w14:paraId="67532C22" w14:textId="2FE37965" w:rsidR="00B764CB" w:rsidRDefault="00B764CB">
      <w:pPr>
        <w:pStyle w:val="a3"/>
        <w:rPr>
          <w:rtl/>
        </w:rPr>
      </w:pPr>
      <w:r>
        <w:rPr>
          <w:rStyle w:val="a5"/>
        </w:rPr>
        <w:footnoteRef/>
      </w:r>
      <w:r w:rsidRPr="00B764CB">
        <w:rPr>
          <w:rFonts w:ascii="David" w:hAnsi="David" w:cs="David" w:hint="cs"/>
          <w:rtl/>
        </w:rPr>
        <w:t>משנה</w:t>
      </w:r>
      <w:r w:rsidRPr="00B764CB">
        <w:rPr>
          <w:rFonts w:ascii="David" w:hAnsi="David" w:cs="David"/>
          <w:rtl/>
        </w:rPr>
        <w:t xml:space="preserve"> </w:t>
      </w:r>
      <w:r w:rsidRPr="00B764CB">
        <w:rPr>
          <w:rFonts w:ascii="David" w:hAnsi="David" w:cs="David" w:hint="cs"/>
          <w:rtl/>
        </w:rPr>
        <w:t>תורה</w:t>
      </w:r>
      <w:r w:rsidRPr="00B764CB">
        <w:rPr>
          <w:rFonts w:ascii="David" w:hAnsi="David" w:cs="David"/>
          <w:rtl/>
        </w:rPr>
        <w:t xml:space="preserve">, </w:t>
      </w:r>
      <w:r w:rsidRPr="00B764CB">
        <w:rPr>
          <w:rFonts w:ascii="David" w:hAnsi="David" w:cs="David" w:hint="cs"/>
          <w:rtl/>
        </w:rPr>
        <w:t>ספר</w:t>
      </w:r>
      <w:r w:rsidRPr="00B764CB">
        <w:rPr>
          <w:rFonts w:ascii="David" w:hAnsi="David" w:cs="David"/>
          <w:rtl/>
        </w:rPr>
        <w:t xml:space="preserve"> </w:t>
      </w:r>
      <w:r w:rsidRPr="00B764CB">
        <w:rPr>
          <w:rFonts w:ascii="David" w:hAnsi="David" w:cs="David" w:hint="cs"/>
          <w:rtl/>
        </w:rPr>
        <w:t>המדע</w:t>
      </w:r>
      <w:r w:rsidRPr="00B764CB">
        <w:rPr>
          <w:rFonts w:ascii="David" w:hAnsi="David" w:cs="David"/>
          <w:rtl/>
        </w:rPr>
        <w:t xml:space="preserve">, </w:t>
      </w:r>
      <w:r w:rsidRPr="00B764CB">
        <w:rPr>
          <w:rFonts w:ascii="David" w:hAnsi="David" w:cs="David" w:hint="cs"/>
          <w:rtl/>
        </w:rPr>
        <w:t>הלכות</w:t>
      </w:r>
      <w:r w:rsidRPr="00B764CB">
        <w:rPr>
          <w:rFonts w:ascii="David" w:hAnsi="David" w:cs="David"/>
          <w:rtl/>
        </w:rPr>
        <w:t xml:space="preserve"> </w:t>
      </w:r>
      <w:r w:rsidRPr="00B764CB">
        <w:rPr>
          <w:rFonts w:ascii="David" w:hAnsi="David" w:cs="David" w:hint="cs"/>
          <w:rtl/>
        </w:rPr>
        <w:t>דעות</w:t>
      </w:r>
      <w:r w:rsidRPr="00B764CB">
        <w:rPr>
          <w:rFonts w:ascii="David" w:hAnsi="David" w:cs="David"/>
          <w:rtl/>
        </w:rPr>
        <w:t xml:space="preserve">, </w:t>
      </w:r>
      <w:r w:rsidRPr="00B764CB">
        <w:rPr>
          <w:rFonts w:ascii="David" w:hAnsi="David" w:cs="David" w:hint="cs"/>
          <w:rtl/>
        </w:rPr>
        <w:t>פרק</w:t>
      </w:r>
      <w:r w:rsidRPr="00B764CB">
        <w:rPr>
          <w:rFonts w:ascii="David" w:hAnsi="David" w:cs="David"/>
          <w:rtl/>
        </w:rPr>
        <w:t xml:space="preserve"> </w:t>
      </w:r>
      <w:r w:rsidRPr="00B764CB">
        <w:rPr>
          <w:rFonts w:ascii="David" w:hAnsi="David" w:cs="David" w:hint="cs"/>
          <w:rtl/>
        </w:rPr>
        <w:t>ו</w:t>
      </w:r>
      <w:r w:rsidRPr="00B764CB">
        <w:rPr>
          <w:rFonts w:ascii="David" w:hAnsi="David" w:cs="David"/>
          <w:rtl/>
        </w:rPr>
        <w:t xml:space="preserve">', </w:t>
      </w:r>
      <w:r w:rsidRPr="00B764CB">
        <w:rPr>
          <w:rFonts w:ascii="David" w:hAnsi="David" w:cs="David" w:hint="cs"/>
          <w:rtl/>
        </w:rPr>
        <w:t>הלכה</w:t>
      </w:r>
      <w:r w:rsidRPr="00B764CB">
        <w:rPr>
          <w:rFonts w:ascii="David" w:hAnsi="David" w:cs="David"/>
          <w:rtl/>
        </w:rPr>
        <w:t xml:space="preserve"> </w:t>
      </w:r>
      <w:r w:rsidRPr="00B764CB">
        <w:rPr>
          <w:rFonts w:ascii="David" w:hAnsi="David" w:cs="David" w:hint="cs"/>
          <w:rtl/>
        </w:rPr>
        <w:t>י</w:t>
      </w:r>
      <w:r w:rsidRPr="00B764CB">
        <w:rPr>
          <w:rFonts w:ascii="David" w:hAnsi="David" w:cs="David"/>
          <w:rtl/>
        </w:rPr>
        <w:t>'.</w:t>
      </w:r>
      <w:r>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A3DD" w14:textId="71A7F8B8" w:rsidR="00D5008E" w:rsidRDefault="00D5008E">
    <w:pPr>
      <w:pStyle w:val="a6"/>
    </w:pPr>
    <w:r w:rsidRPr="00D5008E">
      <w:rPr>
        <w:rtl/>
      </w:rPr>
      <w:ptab w:relativeTo="margin" w:alignment="center" w:leader="none"/>
    </w:r>
    <w:r>
      <w:rPr>
        <w:rFonts w:hint="cs"/>
        <w:rtl/>
      </w:rPr>
      <w:t xml:space="preserve">נייר עמדה בנזיקין </w:t>
    </w:r>
    <w:r>
      <w:rPr>
        <w:rtl/>
      </w:rPr>
      <w:t>–</w:t>
    </w:r>
    <w:r>
      <w:rPr>
        <w:rFonts w:hint="cs"/>
        <w:rtl/>
      </w:rPr>
      <w:t xml:space="preserve"> ניכוי טובות הנאה מן הפיצויים</w:t>
    </w:r>
    <w:r w:rsidRPr="00D5008E">
      <w:rPr>
        <w:rtl/>
      </w:rPr>
      <w:ptab w:relativeTo="margin" w:alignment="right" w:leader="none"/>
    </w:r>
    <w:r>
      <w:rPr>
        <w:rFonts w:hint="cs"/>
        <w:rtl/>
      </w:rPr>
      <w:t>06.02.2020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706"/>
    <w:rsid w:val="00067AB2"/>
    <w:rsid w:val="00070E74"/>
    <w:rsid w:val="000D4408"/>
    <w:rsid w:val="000D45DB"/>
    <w:rsid w:val="000E7E8F"/>
    <w:rsid w:val="001120FF"/>
    <w:rsid w:val="001519FE"/>
    <w:rsid w:val="001B37D8"/>
    <w:rsid w:val="002110F9"/>
    <w:rsid w:val="00236DC2"/>
    <w:rsid w:val="002A417F"/>
    <w:rsid w:val="00314EB2"/>
    <w:rsid w:val="003230C1"/>
    <w:rsid w:val="00334D2E"/>
    <w:rsid w:val="00342E27"/>
    <w:rsid w:val="00361399"/>
    <w:rsid w:val="00361706"/>
    <w:rsid w:val="00361EE3"/>
    <w:rsid w:val="00381891"/>
    <w:rsid w:val="00404896"/>
    <w:rsid w:val="00443E9A"/>
    <w:rsid w:val="004479B5"/>
    <w:rsid w:val="004876AA"/>
    <w:rsid w:val="004A19AA"/>
    <w:rsid w:val="00510A78"/>
    <w:rsid w:val="00511442"/>
    <w:rsid w:val="00585B15"/>
    <w:rsid w:val="00614D29"/>
    <w:rsid w:val="006619C6"/>
    <w:rsid w:val="00683623"/>
    <w:rsid w:val="00727FC6"/>
    <w:rsid w:val="00761BA8"/>
    <w:rsid w:val="00823AEC"/>
    <w:rsid w:val="0084698E"/>
    <w:rsid w:val="008A392A"/>
    <w:rsid w:val="008E36C9"/>
    <w:rsid w:val="008E387B"/>
    <w:rsid w:val="008F5778"/>
    <w:rsid w:val="00932F22"/>
    <w:rsid w:val="009D3DEF"/>
    <w:rsid w:val="00AA0285"/>
    <w:rsid w:val="00AA208B"/>
    <w:rsid w:val="00AA2631"/>
    <w:rsid w:val="00AC05D1"/>
    <w:rsid w:val="00AD3B37"/>
    <w:rsid w:val="00AE2F93"/>
    <w:rsid w:val="00B21112"/>
    <w:rsid w:val="00B47F8F"/>
    <w:rsid w:val="00B50616"/>
    <w:rsid w:val="00B764CB"/>
    <w:rsid w:val="00BB1314"/>
    <w:rsid w:val="00C2532D"/>
    <w:rsid w:val="00C875B4"/>
    <w:rsid w:val="00CB47EA"/>
    <w:rsid w:val="00CE0183"/>
    <w:rsid w:val="00CF1E63"/>
    <w:rsid w:val="00D07482"/>
    <w:rsid w:val="00D5008E"/>
    <w:rsid w:val="00D8589B"/>
    <w:rsid w:val="00DB7D90"/>
    <w:rsid w:val="00DC6852"/>
    <w:rsid w:val="00DF5075"/>
    <w:rsid w:val="00E01DBE"/>
    <w:rsid w:val="00E644BF"/>
    <w:rsid w:val="00EB160C"/>
    <w:rsid w:val="00EC2B9B"/>
    <w:rsid w:val="00F20DFE"/>
    <w:rsid w:val="00F25D09"/>
    <w:rsid w:val="00F3488D"/>
    <w:rsid w:val="00F769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250C"/>
  <w15:chartTrackingRefBased/>
  <w15:docId w15:val="{CC20D987-C73D-44BD-8BD7-02BCC6F9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61BA8"/>
    <w:pPr>
      <w:spacing w:after="0" w:line="240" w:lineRule="auto"/>
    </w:pPr>
    <w:rPr>
      <w:sz w:val="20"/>
      <w:szCs w:val="20"/>
    </w:rPr>
  </w:style>
  <w:style w:type="character" w:customStyle="1" w:styleId="a4">
    <w:name w:val="טקסט הערת שוליים תו"/>
    <w:basedOn w:val="a0"/>
    <w:link w:val="a3"/>
    <w:uiPriority w:val="99"/>
    <w:semiHidden/>
    <w:rsid w:val="00761BA8"/>
    <w:rPr>
      <w:sz w:val="20"/>
      <w:szCs w:val="20"/>
    </w:rPr>
  </w:style>
  <w:style w:type="character" w:styleId="a5">
    <w:name w:val="footnote reference"/>
    <w:basedOn w:val="a0"/>
    <w:uiPriority w:val="99"/>
    <w:semiHidden/>
    <w:unhideWhenUsed/>
    <w:rsid w:val="00761BA8"/>
    <w:rPr>
      <w:vertAlign w:val="superscript"/>
    </w:rPr>
  </w:style>
  <w:style w:type="paragraph" w:styleId="a6">
    <w:name w:val="header"/>
    <w:basedOn w:val="a"/>
    <w:link w:val="a7"/>
    <w:uiPriority w:val="99"/>
    <w:unhideWhenUsed/>
    <w:rsid w:val="00D5008E"/>
    <w:pPr>
      <w:tabs>
        <w:tab w:val="center" w:pos="4153"/>
        <w:tab w:val="right" w:pos="8306"/>
      </w:tabs>
      <w:spacing w:after="0" w:line="240" w:lineRule="auto"/>
    </w:pPr>
  </w:style>
  <w:style w:type="character" w:customStyle="1" w:styleId="a7">
    <w:name w:val="כותרת עליונה תו"/>
    <w:basedOn w:val="a0"/>
    <w:link w:val="a6"/>
    <w:uiPriority w:val="99"/>
    <w:rsid w:val="00D5008E"/>
  </w:style>
  <w:style w:type="paragraph" w:styleId="a8">
    <w:name w:val="footer"/>
    <w:basedOn w:val="a"/>
    <w:link w:val="a9"/>
    <w:uiPriority w:val="99"/>
    <w:unhideWhenUsed/>
    <w:rsid w:val="00D5008E"/>
    <w:pPr>
      <w:tabs>
        <w:tab w:val="center" w:pos="4153"/>
        <w:tab w:val="right" w:pos="8306"/>
      </w:tabs>
      <w:spacing w:after="0" w:line="240" w:lineRule="auto"/>
    </w:pPr>
  </w:style>
  <w:style w:type="character" w:customStyle="1" w:styleId="a9">
    <w:name w:val="כותרת תחתונה תו"/>
    <w:basedOn w:val="a0"/>
    <w:link w:val="a8"/>
    <w:uiPriority w:val="99"/>
    <w:rsid w:val="00D50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9FC13-B512-4FAE-B8A6-661764F4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3</Pages>
  <Words>1145</Words>
  <Characters>5726</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shaiel tchercansky</dc:creator>
  <cp:keywords/>
  <dc:description/>
  <cp:lastModifiedBy>shaiel tchercansky</cp:lastModifiedBy>
  <cp:revision>36</cp:revision>
  <cp:lastPrinted>2020-02-05T20:55:00Z</cp:lastPrinted>
  <dcterms:created xsi:type="dcterms:W3CDTF">2020-02-03T18:10:00Z</dcterms:created>
  <dcterms:modified xsi:type="dcterms:W3CDTF">2020-10-13T19:54:00Z</dcterms:modified>
</cp:coreProperties>
</file>