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C2" w:rsidRDefault="0023054B" w:rsidP="00D006AA">
      <w:pPr>
        <w:spacing w:line="300" w:lineRule="auto"/>
        <w:jc w:val="both"/>
        <w:rPr>
          <w:rFonts w:ascii="David" w:hAnsi="David" w:cs="David"/>
          <w:sz w:val="24"/>
          <w:szCs w:val="24"/>
          <w:rtl/>
        </w:rPr>
      </w:pPr>
      <w:r>
        <w:rPr>
          <w:rFonts w:ascii="David" w:hAnsi="David" w:cs="David" w:hint="cs"/>
          <w:sz w:val="24"/>
          <w:szCs w:val="24"/>
          <w:rtl/>
        </w:rPr>
        <w:t xml:space="preserve">במאמרם </w:t>
      </w:r>
      <w:r w:rsidRPr="0023054B">
        <w:rPr>
          <w:rFonts w:ascii="David" w:hAnsi="David" w:cs="David" w:hint="cs"/>
          <w:b/>
          <w:bCs/>
          <w:sz w:val="24"/>
          <w:szCs w:val="24"/>
          <w:rtl/>
        </w:rPr>
        <w:t>"פורנוגרפיית נקם כהטרדה מינית"</w:t>
      </w:r>
      <w:r>
        <w:rPr>
          <w:rStyle w:val="a5"/>
          <w:rFonts w:ascii="David" w:hAnsi="David" w:cs="David"/>
          <w:b/>
          <w:bCs/>
          <w:sz w:val="24"/>
          <w:szCs w:val="24"/>
          <w:rtl/>
        </w:rPr>
        <w:footnoteReference w:id="1"/>
      </w:r>
      <w:r w:rsidRPr="0023054B">
        <w:rPr>
          <w:rFonts w:ascii="David" w:hAnsi="David" w:cs="David" w:hint="cs"/>
          <w:b/>
          <w:bCs/>
          <w:sz w:val="24"/>
          <w:szCs w:val="24"/>
          <w:rtl/>
        </w:rPr>
        <w:t>,</w:t>
      </w:r>
      <w:r>
        <w:rPr>
          <w:rFonts w:ascii="David" w:hAnsi="David" w:cs="David" w:hint="cs"/>
          <w:sz w:val="24"/>
          <w:szCs w:val="24"/>
          <w:rtl/>
        </w:rPr>
        <w:t xml:space="preserve"> דנים ד"ר הדר דנציג-רוזנברג וד"ר רוני רוזנברג </w:t>
      </w:r>
      <w:r w:rsidR="00A242DE">
        <w:rPr>
          <w:rFonts w:ascii="David" w:hAnsi="David" w:cs="David" w:hint="cs"/>
          <w:sz w:val="24"/>
          <w:szCs w:val="24"/>
          <w:rtl/>
        </w:rPr>
        <w:t>ב</w:t>
      </w:r>
      <w:r w:rsidR="00A242DE" w:rsidRPr="008F1C4D">
        <w:rPr>
          <w:rFonts w:ascii="David" w:hAnsi="David" w:cs="David" w:hint="cs"/>
          <w:sz w:val="24"/>
          <w:szCs w:val="24"/>
          <w:u w:val="single"/>
          <w:rtl/>
        </w:rPr>
        <w:t>תיקון מס' 10 לחוק למניעת הטרדה מינית</w:t>
      </w:r>
      <w:r w:rsidR="00503F1C">
        <w:rPr>
          <w:rFonts w:ascii="David" w:hAnsi="David" w:cs="David" w:hint="cs"/>
          <w:sz w:val="24"/>
          <w:szCs w:val="24"/>
          <w:rtl/>
        </w:rPr>
        <w:t>. התיקון נוגע ל</w:t>
      </w:r>
      <w:r w:rsidR="00503F1C">
        <w:rPr>
          <w:rFonts w:hint="cs"/>
          <w:rtl/>
        </w:rPr>
        <w:t>"</w:t>
      </w:r>
      <w:r w:rsidR="00503F1C" w:rsidRPr="00503F1C">
        <w:rPr>
          <w:rFonts w:ascii="David" w:hAnsi="David" w:cs="David"/>
          <w:sz w:val="24"/>
          <w:szCs w:val="24"/>
          <w:rtl/>
        </w:rPr>
        <w:t>פרסום תצלום, סרט או הקלטה של אדם</w:t>
      </w:r>
      <w:r w:rsidR="00503F1C">
        <w:rPr>
          <w:rFonts w:ascii="David" w:hAnsi="David" w:cs="David" w:hint="cs"/>
          <w:sz w:val="24"/>
          <w:szCs w:val="24"/>
          <w:rtl/>
        </w:rPr>
        <w:t>, המתמקד במיניותו</w:t>
      </w:r>
      <w:r w:rsidR="008F1C4D">
        <w:rPr>
          <w:rStyle w:val="a5"/>
          <w:rFonts w:ascii="David" w:hAnsi="David" w:cs="David"/>
          <w:sz w:val="24"/>
          <w:szCs w:val="24"/>
          <w:rtl/>
        </w:rPr>
        <w:footnoteReference w:id="2"/>
      </w:r>
      <w:r w:rsidR="00503F1C">
        <w:rPr>
          <w:rFonts w:ascii="David" w:hAnsi="David" w:cs="David" w:hint="cs"/>
          <w:sz w:val="24"/>
          <w:szCs w:val="24"/>
          <w:rtl/>
        </w:rPr>
        <w:t>" אשר בנסיבות מסוימות עלול להיחשב כהטרדה מינית</w:t>
      </w:r>
      <w:r w:rsidR="008F1C4D">
        <w:rPr>
          <w:rFonts w:ascii="David" w:hAnsi="David" w:cs="David" w:hint="cs"/>
          <w:sz w:val="24"/>
          <w:szCs w:val="24"/>
          <w:rtl/>
        </w:rPr>
        <w:t xml:space="preserve">. </w:t>
      </w:r>
      <w:r w:rsidR="00503F1C">
        <w:rPr>
          <w:rFonts w:ascii="David" w:hAnsi="David" w:cs="David" w:hint="cs"/>
          <w:sz w:val="24"/>
          <w:szCs w:val="24"/>
          <w:rtl/>
        </w:rPr>
        <w:t xml:space="preserve">העונש המרבי על עבירה זו הוא חמש שנים. </w:t>
      </w:r>
      <w:r w:rsidR="008F1C4D">
        <w:rPr>
          <w:rFonts w:ascii="David" w:hAnsi="David" w:cs="David" w:hint="cs"/>
          <w:sz w:val="24"/>
          <w:szCs w:val="24"/>
          <w:rtl/>
        </w:rPr>
        <w:t>מחברי המאמר</w:t>
      </w:r>
      <w:r w:rsidR="00503F1C">
        <w:rPr>
          <w:rFonts w:ascii="David" w:hAnsi="David" w:cs="David" w:hint="cs"/>
          <w:sz w:val="24"/>
          <w:szCs w:val="24"/>
          <w:rtl/>
        </w:rPr>
        <w:t xml:space="preserve"> מציגים את הקשיים המשפטיים העולים מ</w:t>
      </w:r>
      <w:r w:rsidR="008F1C4D">
        <w:rPr>
          <w:rFonts w:ascii="David" w:hAnsi="David" w:cs="David" w:hint="cs"/>
          <w:sz w:val="24"/>
          <w:szCs w:val="24"/>
          <w:rtl/>
        </w:rPr>
        <w:t>ן התיקון</w:t>
      </w:r>
      <w:r w:rsidR="00503F1C">
        <w:rPr>
          <w:rFonts w:ascii="David" w:hAnsi="David" w:cs="David" w:hint="cs"/>
          <w:sz w:val="24"/>
          <w:szCs w:val="24"/>
          <w:rtl/>
        </w:rPr>
        <w:t xml:space="preserve"> ומציע</w:t>
      </w:r>
      <w:bookmarkStart w:id="0" w:name="_GoBack"/>
      <w:bookmarkEnd w:id="0"/>
      <w:r w:rsidR="00503F1C">
        <w:rPr>
          <w:rFonts w:ascii="David" w:hAnsi="David" w:cs="David" w:hint="cs"/>
          <w:sz w:val="24"/>
          <w:szCs w:val="24"/>
          <w:rtl/>
        </w:rPr>
        <w:t xml:space="preserve">ים עבורם מספר פתרונות. </w:t>
      </w:r>
    </w:p>
    <w:p w:rsidR="008F1C4D" w:rsidRDefault="008F1C4D" w:rsidP="00D006AA">
      <w:pPr>
        <w:spacing w:line="300" w:lineRule="auto"/>
        <w:jc w:val="both"/>
        <w:rPr>
          <w:rFonts w:ascii="David" w:hAnsi="David" w:cs="David"/>
          <w:sz w:val="24"/>
          <w:szCs w:val="24"/>
          <w:rtl/>
        </w:rPr>
      </w:pPr>
      <w:r w:rsidRPr="008F1C4D">
        <w:rPr>
          <w:rFonts w:ascii="David" w:hAnsi="David" w:cs="David"/>
          <w:sz w:val="24"/>
          <w:szCs w:val="24"/>
          <w:rtl/>
        </w:rPr>
        <w:t>ברצוני לדון בשתי נקודות ספציפיות אשר הסבתי אליהן את תשומת ליבי באופן מיוחד בעת קריא</w:t>
      </w:r>
      <w:r>
        <w:rPr>
          <w:rFonts w:ascii="David" w:hAnsi="David" w:cs="David" w:hint="cs"/>
          <w:sz w:val="24"/>
          <w:szCs w:val="24"/>
          <w:rtl/>
        </w:rPr>
        <w:t>ת</w:t>
      </w:r>
      <w:r w:rsidRPr="008F1C4D">
        <w:rPr>
          <w:rFonts w:ascii="David" w:hAnsi="David" w:cs="David"/>
          <w:sz w:val="24"/>
          <w:szCs w:val="24"/>
          <w:rtl/>
        </w:rPr>
        <w:t xml:space="preserve"> </w:t>
      </w:r>
      <w:r>
        <w:rPr>
          <w:rFonts w:ascii="David" w:hAnsi="David" w:cs="David" w:hint="cs"/>
          <w:sz w:val="24"/>
          <w:szCs w:val="24"/>
          <w:rtl/>
        </w:rPr>
        <w:t>ה</w:t>
      </w:r>
      <w:r w:rsidRPr="008F1C4D">
        <w:rPr>
          <w:rFonts w:ascii="David" w:hAnsi="David" w:cs="David"/>
          <w:sz w:val="24"/>
          <w:szCs w:val="24"/>
          <w:rtl/>
        </w:rPr>
        <w:t xml:space="preserve">מאמר- הראשונה </w:t>
      </w:r>
      <w:r>
        <w:rPr>
          <w:rFonts w:ascii="David" w:hAnsi="David" w:cs="David" w:hint="cs"/>
          <w:sz w:val="24"/>
          <w:szCs w:val="24"/>
          <w:rtl/>
        </w:rPr>
        <w:t xml:space="preserve">נוגעת </w:t>
      </w:r>
      <w:r w:rsidR="00DB698F">
        <w:rPr>
          <w:rFonts w:ascii="David" w:hAnsi="David" w:cs="David" w:hint="cs"/>
          <w:sz w:val="24"/>
          <w:szCs w:val="24"/>
          <w:rtl/>
        </w:rPr>
        <w:t>ל</w:t>
      </w:r>
      <w:r w:rsidRPr="008F1C4D">
        <w:rPr>
          <w:rFonts w:ascii="David" w:hAnsi="David" w:cs="David" w:hint="cs"/>
          <w:sz w:val="24"/>
          <w:szCs w:val="24"/>
          <w:u w:val="single"/>
          <w:rtl/>
        </w:rPr>
        <w:t xml:space="preserve">היקף </w:t>
      </w:r>
      <w:r w:rsidR="00111E7C">
        <w:rPr>
          <w:rFonts w:ascii="David" w:hAnsi="David" w:cs="David" w:hint="cs"/>
          <w:sz w:val="24"/>
          <w:szCs w:val="24"/>
          <w:u w:val="single"/>
          <w:rtl/>
        </w:rPr>
        <w:t>האיסור ו</w:t>
      </w:r>
      <w:r w:rsidRPr="008F1C4D">
        <w:rPr>
          <w:rFonts w:ascii="David" w:hAnsi="David" w:cs="David" w:hint="cs"/>
          <w:sz w:val="24"/>
          <w:szCs w:val="24"/>
          <w:u w:val="single"/>
          <w:rtl/>
        </w:rPr>
        <w:t>הפרסום</w:t>
      </w:r>
      <w:r w:rsidR="00DC5590">
        <w:rPr>
          <w:rFonts w:ascii="David" w:hAnsi="David" w:cs="David" w:hint="cs"/>
          <w:sz w:val="24"/>
          <w:szCs w:val="24"/>
          <w:rtl/>
        </w:rPr>
        <w:t>, ו</w:t>
      </w:r>
      <w:r>
        <w:rPr>
          <w:rFonts w:ascii="David" w:hAnsi="David" w:cs="David" w:hint="cs"/>
          <w:sz w:val="24"/>
          <w:szCs w:val="24"/>
          <w:rtl/>
        </w:rPr>
        <w:t xml:space="preserve">השנייה נוגעת לשאלת </w:t>
      </w:r>
      <w:r w:rsidRPr="008F1C4D">
        <w:rPr>
          <w:rFonts w:ascii="David" w:hAnsi="David" w:cs="David" w:hint="cs"/>
          <w:sz w:val="24"/>
          <w:szCs w:val="24"/>
          <w:u w:val="single"/>
          <w:rtl/>
        </w:rPr>
        <w:t>אחריותם של המפיצים המשניים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w:t>
      </w:r>
      <w:r w:rsidR="004E5D3D">
        <w:rPr>
          <w:rFonts w:ascii="David" w:hAnsi="David" w:cs="David" w:hint="cs"/>
          <w:sz w:val="24"/>
          <w:szCs w:val="24"/>
          <w:rtl/>
        </w:rPr>
        <w:t xml:space="preserve"> גם</w:t>
      </w:r>
      <w:r>
        <w:rPr>
          <w:rFonts w:ascii="David" w:hAnsi="David" w:cs="David" w:hint="cs"/>
          <w:sz w:val="24"/>
          <w:szCs w:val="24"/>
          <w:rtl/>
        </w:rPr>
        <w:t xml:space="preserve"> עליהם לשאת באחריות פלילית, ומהי הענישה המתאימה להם. </w:t>
      </w:r>
    </w:p>
    <w:p w:rsidR="008F1C4D" w:rsidRDefault="00DB1831" w:rsidP="00D006AA">
      <w:pPr>
        <w:spacing w:line="300" w:lineRule="auto"/>
        <w:jc w:val="both"/>
        <w:rPr>
          <w:rFonts w:ascii="David" w:hAnsi="David" w:cs="David"/>
          <w:sz w:val="24"/>
          <w:szCs w:val="24"/>
          <w:rtl/>
        </w:rPr>
      </w:pPr>
      <w:r>
        <w:rPr>
          <w:rFonts w:ascii="David" w:hAnsi="David" w:cs="David" w:hint="cs"/>
          <w:sz w:val="24"/>
          <w:szCs w:val="24"/>
          <w:rtl/>
        </w:rPr>
        <w:t>בתחילת החוק</w:t>
      </w:r>
      <w:r w:rsidR="00FC1B97">
        <w:rPr>
          <w:rFonts w:ascii="David" w:hAnsi="David" w:cs="David" w:hint="cs"/>
          <w:sz w:val="24"/>
          <w:szCs w:val="24"/>
          <w:rtl/>
        </w:rPr>
        <w:t xml:space="preserve"> מצו</w:t>
      </w:r>
      <w:r w:rsidR="004E5D3D">
        <w:rPr>
          <w:rFonts w:ascii="David" w:hAnsi="David" w:cs="David" w:hint="cs"/>
          <w:sz w:val="24"/>
          <w:szCs w:val="24"/>
          <w:rtl/>
        </w:rPr>
        <w:t xml:space="preserve">ינים הערכים עליהם הוא </w:t>
      </w:r>
      <w:r w:rsidR="00FC1B97">
        <w:rPr>
          <w:rFonts w:ascii="David" w:hAnsi="David" w:cs="David" w:hint="cs"/>
          <w:sz w:val="24"/>
          <w:szCs w:val="24"/>
          <w:rtl/>
        </w:rPr>
        <w:t>רוצה להגן- כבוד האדם, חירותו, פרטיותו וקידום שווין בין המינים</w:t>
      </w:r>
      <w:r w:rsidR="00FC1B97">
        <w:rPr>
          <w:rStyle w:val="a5"/>
          <w:rFonts w:ascii="David" w:hAnsi="David" w:cs="David"/>
          <w:sz w:val="24"/>
          <w:szCs w:val="24"/>
          <w:rtl/>
        </w:rPr>
        <w:footnoteReference w:id="3"/>
      </w:r>
      <w:r w:rsidR="00FC1B97">
        <w:rPr>
          <w:rFonts w:ascii="David" w:hAnsi="David" w:cs="David" w:hint="cs"/>
          <w:sz w:val="24"/>
          <w:szCs w:val="24"/>
          <w:rtl/>
        </w:rPr>
        <w:t xml:space="preserve">. כפי שצוין במאמר, </w:t>
      </w:r>
      <w:r w:rsidR="004E5D3D">
        <w:rPr>
          <w:rFonts w:ascii="David" w:hAnsi="David" w:cs="David" w:hint="cs"/>
          <w:sz w:val="24"/>
          <w:szCs w:val="24"/>
          <w:rtl/>
        </w:rPr>
        <w:t>המחוקק ב</w:t>
      </w:r>
      <w:r w:rsidR="00FC1B97">
        <w:rPr>
          <w:rFonts w:ascii="David" w:hAnsi="David" w:cs="David" w:hint="cs"/>
          <w:sz w:val="24"/>
          <w:szCs w:val="24"/>
          <w:rtl/>
        </w:rPr>
        <w:t>מדינת ישראל, לעומת ארה"ב, חרט על דגלו</w:t>
      </w:r>
      <w:r w:rsidR="004E5D3D">
        <w:rPr>
          <w:rFonts w:ascii="David" w:hAnsi="David" w:cs="David" w:hint="cs"/>
          <w:sz w:val="24"/>
          <w:szCs w:val="24"/>
          <w:rtl/>
        </w:rPr>
        <w:t xml:space="preserve"> בחוק</w:t>
      </w:r>
      <w:r w:rsidR="00FC1B97">
        <w:rPr>
          <w:rFonts w:ascii="David" w:hAnsi="David" w:cs="David" w:hint="cs"/>
          <w:sz w:val="24"/>
          <w:szCs w:val="24"/>
          <w:rtl/>
        </w:rPr>
        <w:t xml:space="preserve"> את חשיבות כבוד האדם</w:t>
      </w:r>
      <w:r w:rsidR="004E5D3D">
        <w:rPr>
          <w:rFonts w:ascii="David" w:hAnsi="David" w:cs="David" w:hint="cs"/>
          <w:sz w:val="24"/>
          <w:szCs w:val="24"/>
          <w:rtl/>
        </w:rPr>
        <w:t>,</w:t>
      </w:r>
      <w:r w:rsidR="00FC1B97">
        <w:rPr>
          <w:rFonts w:ascii="David" w:hAnsi="David" w:cs="David" w:hint="cs"/>
          <w:sz w:val="24"/>
          <w:szCs w:val="24"/>
          <w:rtl/>
        </w:rPr>
        <w:t xml:space="preserve"> ולא רק את ערך השוויון </w:t>
      </w:r>
      <w:r w:rsidR="00A76399">
        <w:rPr>
          <w:rFonts w:ascii="David" w:hAnsi="David" w:cs="David" w:hint="cs"/>
          <w:sz w:val="24"/>
          <w:szCs w:val="24"/>
          <w:rtl/>
        </w:rPr>
        <w:t>המגדרי</w:t>
      </w:r>
      <w:r w:rsidR="00FC1B97">
        <w:rPr>
          <w:rFonts w:ascii="David" w:hAnsi="David" w:cs="David" w:hint="cs"/>
          <w:sz w:val="24"/>
          <w:szCs w:val="24"/>
          <w:rtl/>
        </w:rPr>
        <w:t>. בצירוף עם העובדה כי זהו גם הערך המוגן הראשון המצוין ב</w:t>
      </w:r>
      <w:r w:rsidR="004E5D3D">
        <w:rPr>
          <w:rFonts w:ascii="David" w:hAnsi="David" w:cs="David" w:hint="cs"/>
          <w:sz w:val="24"/>
          <w:szCs w:val="24"/>
          <w:rtl/>
        </w:rPr>
        <w:t>סעיף</w:t>
      </w:r>
      <w:r w:rsidR="00FC1B97">
        <w:rPr>
          <w:rFonts w:ascii="David" w:hAnsi="David" w:cs="David" w:hint="cs"/>
          <w:sz w:val="24"/>
          <w:szCs w:val="24"/>
          <w:rtl/>
        </w:rPr>
        <w:t>, המסקנה המתבקשת</w:t>
      </w:r>
      <w:r w:rsidR="004E5D3D">
        <w:rPr>
          <w:rFonts w:ascii="David" w:hAnsi="David" w:cs="David" w:hint="cs"/>
          <w:sz w:val="24"/>
          <w:szCs w:val="24"/>
          <w:rtl/>
        </w:rPr>
        <w:t xml:space="preserve">- </w:t>
      </w:r>
      <w:r w:rsidR="00FC1B97">
        <w:rPr>
          <w:rFonts w:ascii="David" w:hAnsi="David" w:cs="David" w:hint="cs"/>
          <w:sz w:val="24"/>
          <w:szCs w:val="24"/>
          <w:rtl/>
        </w:rPr>
        <w:t xml:space="preserve">מטרת העל של החיקוק היא אכן </w:t>
      </w:r>
      <w:r w:rsidR="00FC1B97" w:rsidRPr="00FC1B97">
        <w:rPr>
          <w:rFonts w:ascii="David" w:hAnsi="David" w:cs="David" w:hint="cs"/>
          <w:sz w:val="24"/>
          <w:szCs w:val="24"/>
          <w:u w:val="single"/>
          <w:rtl/>
        </w:rPr>
        <w:t>הגנה על כבוד האדם</w:t>
      </w:r>
      <w:r w:rsidR="00FC1B97">
        <w:rPr>
          <w:rFonts w:ascii="David" w:hAnsi="David" w:cs="David" w:hint="cs"/>
          <w:sz w:val="24"/>
          <w:szCs w:val="24"/>
          <w:rtl/>
        </w:rPr>
        <w:t xml:space="preserve"> של הנפגע. מנקודה זו </w:t>
      </w:r>
      <w:r w:rsidR="003A501E">
        <w:rPr>
          <w:rFonts w:ascii="David" w:hAnsi="David" w:cs="David" w:hint="cs"/>
          <w:sz w:val="24"/>
          <w:szCs w:val="24"/>
          <w:rtl/>
        </w:rPr>
        <w:t>נובע</w:t>
      </w:r>
      <w:r w:rsidR="002B09C1">
        <w:rPr>
          <w:rFonts w:ascii="David" w:hAnsi="David" w:cs="David" w:hint="cs"/>
          <w:sz w:val="24"/>
          <w:szCs w:val="24"/>
          <w:rtl/>
        </w:rPr>
        <w:t>ות מספר שאלות הנוגעות להיקף העבירה ולפג</w:t>
      </w:r>
      <w:r w:rsidR="00BA2507">
        <w:rPr>
          <w:rFonts w:ascii="David" w:hAnsi="David" w:cs="David" w:hint="cs"/>
          <w:sz w:val="24"/>
          <w:szCs w:val="24"/>
          <w:rtl/>
        </w:rPr>
        <w:t>יעה</w:t>
      </w:r>
      <w:r w:rsidR="002B09C1">
        <w:rPr>
          <w:rFonts w:ascii="David" w:hAnsi="David" w:cs="David" w:hint="cs"/>
          <w:sz w:val="24"/>
          <w:szCs w:val="24"/>
          <w:rtl/>
        </w:rPr>
        <w:t xml:space="preserve"> </w:t>
      </w:r>
      <w:r w:rsidR="00BA2507">
        <w:rPr>
          <w:rFonts w:ascii="David" w:hAnsi="David" w:cs="David" w:hint="cs"/>
          <w:sz w:val="24"/>
          <w:szCs w:val="24"/>
          <w:rtl/>
        </w:rPr>
        <w:t>ב</w:t>
      </w:r>
      <w:r w:rsidR="002B09C1">
        <w:rPr>
          <w:rFonts w:ascii="David" w:hAnsi="David" w:cs="David" w:hint="cs"/>
          <w:sz w:val="24"/>
          <w:szCs w:val="24"/>
          <w:rtl/>
        </w:rPr>
        <w:t>כבוד הקורבן. ה</w:t>
      </w:r>
      <w:r w:rsidR="003A501E">
        <w:rPr>
          <w:rFonts w:ascii="David" w:hAnsi="David" w:cs="David" w:hint="cs"/>
          <w:sz w:val="24"/>
          <w:szCs w:val="24"/>
          <w:rtl/>
        </w:rPr>
        <w:t>אחת</w:t>
      </w:r>
      <w:r w:rsidR="002B09C1">
        <w:rPr>
          <w:rFonts w:ascii="David" w:hAnsi="David" w:cs="David" w:hint="cs"/>
          <w:sz w:val="24"/>
          <w:szCs w:val="24"/>
          <w:rtl/>
        </w:rPr>
        <w:t xml:space="preserve">, אשר העסיקה </w:t>
      </w:r>
      <w:r w:rsidR="003A501E">
        <w:rPr>
          <w:rFonts w:ascii="David" w:hAnsi="David" w:cs="David" w:hint="cs"/>
          <w:sz w:val="24"/>
          <w:szCs w:val="24"/>
          <w:rtl/>
        </w:rPr>
        <w:t>את כותבי המאמר</w:t>
      </w:r>
      <w:r w:rsidR="002B09C1">
        <w:rPr>
          <w:rFonts w:ascii="David" w:hAnsi="David" w:cs="David" w:hint="cs"/>
          <w:sz w:val="24"/>
          <w:szCs w:val="24"/>
          <w:rtl/>
        </w:rPr>
        <w:t xml:space="preserve"> היא</w:t>
      </w:r>
      <w:r>
        <w:rPr>
          <w:rFonts w:ascii="David" w:hAnsi="David" w:cs="David" w:hint="cs"/>
          <w:sz w:val="24"/>
          <w:szCs w:val="24"/>
          <w:rtl/>
        </w:rPr>
        <w:t xml:space="preserve">: </w:t>
      </w:r>
      <w:r w:rsidR="002B09C1">
        <w:rPr>
          <w:rFonts w:ascii="David" w:hAnsi="David" w:cs="David" w:hint="cs"/>
          <w:sz w:val="24"/>
          <w:szCs w:val="24"/>
          <w:rtl/>
        </w:rPr>
        <w:t>מדוע</w:t>
      </w:r>
      <w:r w:rsidR="003A501E">
        <w:rPr>
          <w:rFonts w:ascii="David" w:hAnsi="David" w:cs="David" w:hint="cs"/>
          <w:sz w:val="24"/>
          <w:szCs w:val="24"/>
          <w:rtl/>
        </w:rPr>
        <w:t xml:space="preserve"> </w:t>
      </w:r>
      <w:r w:rsidR="003A501E" w:rsidRPr="00A76399">
        <w:rPr>
          <w:rFonts w:ascii="David" w:hAnsi="David" w:cs="David" w:hint="cs"/>
          <w:b/>
          <w:bCs/>
          <w:sz w:val="24"/>
          <w:szCs w:val="24"/>
          <w:rtl/>
        </w:rPr>
        <w:t>היקף האיסור</w:t>
      </w:r>
      <w:r w:rsidR="003A501E">
        <w:rPr>
          <w:rFonts w:ascii="David" w:hAnsi="David" w:cs="David" w:hint="cs"/>
          <w:sz w:val="24"/>
          <w:szCs w:val="24"/>
          <w:rtl/>
        </w:rPr>
        <w:t xml:space="preserve"> חל רק על פרסום תצלום, סרט או הקלטה של אדם</w:t>
      </w:r>
      <w:r w:rsidR="002B09C1">
        <w:rPr>
          <w:rFonts w:ascii="David" w:hAnsi="David" w:cs="David" w:hint="cs"/>
          <w:sz w:val="24"/>
          <w:szCs w:val="24"/>
          <w:rtl/>
        </w:rPr>
        <w:t>,</w:t>
      </w:r>
      <w:r w:rsidR="00DB698F">
        <w:rPr>
          <w:rFonts w:ascii="David" w:hAnsi="David" w:cs="David" w:hint="cs"/>
          <w:sz w:val="24"/>
          <w:szCs w:val="24"/>
          <w:rtl/>
        </w:rPr>
        <w:t xml:space="preserve"> ולא על תכתובת משפילה או מבזה על רקע מיני? הרי גם היא, כמו כל ה</w:t>
      </w:r>
      <w:r w:rsidR="00CB3F90">
        <w:rPr>
          <w:rFonts w:ascii="David" w:hAnsi="David" w:cs="David" w:hint="cs"/>
          <w:sz w:val="24"/>
          <w:szCs w:val="24"/>
          <w:rtl/>
        </w:rPr>
        <w:t>אפשרויות המנויות בסעיף</w:t>
      </w:r>
      <w:r w:rsidR="00DB698F">
        <w:rPr>
          <w:rFonts w:ascii="David" w:hAnsi="David" w:cs="David" w:hint="cs"/>
          <w:sz w:val="24"/>
          <w:szCs w:val="24"/>
          <w:rtl/>
        </w:rPr>
        <w:t>, עלולה לפגוע באופן בלתי הפיך בכבוד הנפגע</w:t>
      </w:r>
      <w:r w:rsidR="00CF2D8F">
        <w:rPr>
          <w:rFonts w:ascii="David" w:hAnsi="David" w:cs="David" w:hint="cs"/>
          <w:sz w:val="24"/>
          <w:szCs w:val="24"/>
          <w:rtl/>
        </w:rPr>
        <w:t>ת</w:t>
      </w:r>
      <w:r w:rsidR="00CF2D8F">
        <w:rPr>
          <w:rStyle w:val="a5"/>
          <w:rFonts w:ascii="David" w:hAnsi="David" w:cs="David"/>
          <w:sz w:val="24"/>
          <w:szCs w:val="24"/>
          <w:rtl/>
        </w:rPr>
        <w:footnoteReference w:id="4"/>
      </w:r>
      <w:r w:rsidR="00DB698F">
        <w:rPr>
          <w:rFonts w:ascii="David" w:hAnsi="David" w:cs="David" w:hint="cs"/>
          <w:sz w:val="24"/>
          <w:szCs w:val="24"/>
          <w:rtl/>
        </w:rPr>
        <w:t xml:space="preserve">. </w:t>
      </w:r>
      <w:r w:rsidR="00FA0809">
        <w:rPr>
          <w:rFonts w:ascii="David" w:hAnsi="David" w:cs="David" w:hint="cs"/>
          <w:sz w:val="24"/>
          <w:szCs w:val="24"/>
          <w:rtl/>
        </w:rPr>
        <w:t xml:space="preserve">אני סבורה כי יש להרחיב את היקף האיסור בכך שיחלוש </w:t>
      </w:r>
      <w:r w:rsidR="00FA0809" w:rsidRPr="00FA0809">
        <w:rPr>
          <w:rFonts w:ascii="David" w:hAnsi="David" w:cs="David" w:hint="cs"/>
          <w:b/>
          <w:bCs/>
          <w:sz w:val="24"/>
          <w:szCs w:val="24"/>
          <w:rtl/>
        </w:rPr>
        <w:t>על כל</w:t>
      </w:r>
      <w:r w:rsidR="00FA0809">
        <w:rPr>
          <w:rFonts w:ascii="David" w:hAnsi="David" w:cs="David" w:hint="cs"/>
          <w:sz w:val="24"/>
          <w:szCs w:val="24"/>
          <w:rtl/>
        </w:rPr>
        <w:t xml:space="preserve"> האפשרויות לפרסום דבר בעל אופי מיני </w:t>
      </w:r>
      <w:r w:rsidR="002B09C1">
        <w:rPr>
          <w:rFonts w:ascii="David" w:hAnsi="David" w:cs="David" w:hint="cs"/>
          <w:sz w:val="24"/>
          <w:szCs w:val="24"/>
          <w:rtl/>
        </w:rPr>
        <w:t xml:space="preserve">אשר עלולות לפגוע </w:t>
      </w:r>
      <w:r w:rsidR="00CB3F90">
        <w:rPr>
          <w:rFonts w:ascii="David" w:hAnsi="David" w:cs="David" w:hint="cs"/>
          <w:sz w:val="24"/>
          <w:szCs w:val="24"/>
          <w:rtl/>
        </w:rPr>
        <w:t>ב</w:t>
      </w:r>
      <w:r>
        <w:rPr>
          <w:rFonts w:ascii="David" w:hAnsi="David" w:cs="David" w:hint="cs"/>
          <w:sz w:val="24"/>
          <w:szCs w:val="24"/>
          <w:rtl/>
        </w:rPr>
        <w:t>קורבן.</w:t>
      </w:r>
      <w:r w:rsidR="00FA0809">
        <w:rPr>
          <w:rFonts w:ascii="David" w:hAnsi="David" w:cs="David" w:hint="cs"/>
          <w:sz w:val="24"/>
          <w:szCs w:val="24"/>
          <w:rtl/>
        </w:rPr>
        <w:t xml:space="preserve"> ברצוני</w:t>
      </w:r>
      <w:r w:rsidR="00DB698F">
        <w:rPr>
          <w:rFonts w:ascii="David" w:hAnsi="David" w:cs="David" w:hint="cs"/>
          <w:sz w:val="24"/>
          <w:szCs w:val="24"/>
          <w:rtl/>
        </w:rPr>
        <w:t xml:space="preserve"> להרחיב את הדיון </w:t>
      </w:r>
      <w:r>
        <w:rPr>
          <w:rFonts w:ascii="David" w:hAnsi="David" w:cs="David" w:hint="cs"/>
          <w:sz w:val="24"/>
          <w:szCs w:val="24"/>
          <w:rtl/>
        </w:rPr>
        <w:t>ב</w:t>
      </w:r>
      <w:r w:rsidR="00680B99">
        <w:rPr>
          <w:rFonts w:ascii="David" w:hAnsi="David" w:cs="David" w:hint="cs"/>
          <w:sz w:val="24"/>
          <w:szCs w:val="24"/>
          <w:rtl/>
        </w:rPr>
        <w:t>שאלה</w:t>
      </w:r>
      <w:r w:rsidR="00DB698F">
        <w:rPr>
          <w:rFonts w:ascii="David" w:hAnsi="David" w:cs="David" w:hint="cs"/>
          <w:sz w:val="24"/>
          <w:szCs w:val="24"/>
          <w:rtl/>
        </w:rPr>
        <w:t xml:space="preserve"> נוספת</w:t>
      </w:r>
      <w:r>
        <w:rPr>
          <w:rFonts w:ascii="David" w:hAnsi="David" w:cs="David" w:hint="cs"/>
          <w:sz w:val="24"/>
          <w:szCs w:val="24"/>
          <w:rtl/>
        </w:rPr>
        <w:t>,</w:t>
      </w:r>
      <w:r w:rsidR="00A76399">
        <w:rPr>
          <w:rFonts w:ascii="David" w:hAnsi="David" w:cs="David" w:hint="cs"/>
          <w:sz w:val="24"/>
          <w:szCs w:val="24"/>
          <w:rtl/>
        </w:rPr>
        <w:t xml:space="preserve"> </w:t>
      </w:r>
      <w:r w:rsidR="00DB698F">
        <w:rPr>
          <w:rFonts w:ascii="David" w:hAnsi="David" w:cs="David" w:hint="cs"/>
          <w:sz w:val="24"/>
          <w:szCs w:val="24"/>
          <w:rtl/>
        </w:rPr>
        <w:t xml:space="preserve">שלא הוצגה מספיק במאמר לדעתי, והיא </w:t>
      </w:r>
      <w:r w:rsidR="00DB698F" w:rsidRPr="00DB698F">
        <w:rPr>
          <w:rFonts w:ascii="David" w:hAnsi="David" w:cs="David" w:hint="cs"/>
          <w:b/>
          <w:bCs/>
          <w:sz w:val="24"/>
          <w:szCs w:val="24"/>
          <w:rtl/>
        </w:rPr>
        <w:t>היקף הפרסום</w:t>
      </w:r>
      <w:r w:rsidR="00DB698F">
        <w:rPr>
          <w:rFonts w:ascii="David" w:hAnsi="David" w:cs="David" w:hint="cs"/>
          <w:sz w:val="24"/>
          <w:szCs w:val="24"/>
          <w:rtl/>
        </w:rPr>
        <w:t xml:space="preserve"> המוזכר בהגנת תום הלב. גם כאן ניתן לשאול </w:t>
      </w:r>
      <w:r w:rsidR="00680B99">
        <w:rPr>
          <w:rFonts w:ascii="David" w:hAnsi="David" w:cs="David" w:hint="cs"/>
          <w:sz w:val="24"/>
          <w:szCs w:val="24"/>
          <w:rtl/>
        </w:rPr>
        <w:t>את השאלה הנוגעת בערך המוגן:</w:t>
      </w:r>
      <w:r w:rsidR="00DB698F">
        <w:rPr>
          <w:rFonts w:ascii="David" w:hAnsi="David" w:cs="David" w:hint="cs"/>
          <w:sz w:val="24"/>
          <w:szCs w:val="24"/>
          <w:rtl/>
        </w:rPr>
        <w:t xml:space="preserve"> אם המטרה היא הגנה על כבוד הנפגע</w:t>
      </w:r>
      <w:r w:rsidR="00D35EC1">
        <w:rPr>
          <w:rFonts w:ascii="David" w:hAnsi="David" w:cs="David" w:hint="cs"/>
          <w:sz w:val="24"/>
          <w:szCs w:val="24"/>
          <w:rtl/>
        </w:rPr>
        <w:t>ת</w:t>
      </w:r>
      <w:r w:rsidR="00DB698F">
        <w:rPr>
          <w:rFonts w:ascii="David" w:hAnsi="David" w:cs="David" w:hint="cs"/>
          <w:sz w:val="24"/>
          <w:szCs w:val="24"/>
          <w:rtl/>
        </w:rPr>
        <w:t xml:space="preserve">, האם ישנה חשיבות להיקף הפרסום? האם יש להקל במתחם הענישה לפוגע מכיוון והתמזל מזלו והפרסום לא נהיה ויראלי ברשת? אני סבורה כי נסיבה זו </w:t>
      </w:r>
      <w:r w:rsidR="00DB698F" w:rsidRPr="00A76399">
        <w:rPr>
          <w:rFonts w:ascii="David" w:hAnsi="David" w:cs="David" w:hint="cs"/>
          <w:b/>
          <w:bCs/>
          <w:sz w:val="24"/>
          <w:szCs w:val="24"/>
          <w:rtl/>
        </w:rPr>
        <w:t xml:space="preserve">אינה </w:t>
      </w:r>
      <w:r w:rsidR="00DB698F">
        <w:rPr>
          <w:rFonts w:ascii="David" w:hAnsi="David" w:cs="David" w:hint="cs"/>
          <w:sz w:val="24"/>
          <w:szCs w:val="24"/>
          <w:rtl/>
        </w:rPr>
        <w:t>צריכה להשפיע לקולא על מתחם הענישה</w:t>
      </w:r>
      <w:r w:rsidR="00665948">
        <w:rPr>
          <w:rFonts w:ascii="David" w:hAnsi="David" w:cs="David" w:hint="cs"/>
          <w:sz w:val="24"/>
          <w:szCs w:val="24"/>
          <w:rtl/>
        </w:rPr>
        <w:t xml:space="preserve">. נפגעות "פורנוגרפיית </w:t>
      </w:r>
      <w:r>
        <w:rPr>
          <w:rFonts w:ascii="David" w:hAnsi="David" w:cs="David" w:hint="cs"/>
          <w:sz w:val="24"/>
          <w:szCs w:val="24"/>
          <w:rtl/>
        </w:rPr>
        <w:t>ה</w:t>
      </w:r>
      <w:r w:rsidR="00665948">
        <w:rPr>
          <w:rFonts w:ascii="David" w:hAnsi="David" w:cs="David" w:hint="cs"/>
          <w:sz w:val="24"/>
          <w:szCs w:val="24"/>
          <w:rtl/>
        </w:rPr>
        <w:t xml:space="preserve">נקמה" מתארות </w:t>
      </w:r>
      <w:r w:rsidR="00665948" w:rsidRPr="00913ADB">
        <w:rPr>
          <w:rFonts w:ascii="David" w:hAnsi="David" w:cs="David" w:hint="cs"/>
          <w:b/>
          <w:bCs/>
          <w:sz w:val="24"/>
          <w:szCs w:val="24"/>
          <w:rtl/>
        </w:rPr>
        <w:t>מצב נפשי קשה</w:t>
      </w:r>
      <w:r w:rsidR="00665948">
        <w:rPr>
          <w:rFonts w:ascii="David" w:hAnsi="David" w:cs="David" w:hint="cs"/>
          <w:sz w:val="24"/>
          <w:szCs w:val="24"/>
          <w:rtl/>
        </w:rPr>
        <w:t xml:space="preserve"> </w:t>
      </w:r>
      <w:r w:rsidR="00665948" w:rsidRPr="00913ADB">
        <w:rPr>
          <w:rFonts w:ascii="David" w:hAnsi="David" w:cs="David" w:hint="cs"/>
          <w:b/>
          <w:bCs/>
          <w:sz w:val="24"/>
          <w:szCs w:val="24"/>
          <w:rtl/>
        </w:rPr>
        <w:t>מאוד</w:t>
      </w:r>
      <w:r w:rsidR="00665948">
        <w:rPr>
          <w:rFonts w:ascii="David" w:hAnsi="David" w:cs="David" w:hint="cs"/>
          <w:sz w:val="24"/>
          <w:szCs w:val="24"/>
          <w:rtl/>
        </w:rPr>
        <w:t>- כיצד איבדו את יכולתן להמשיך במשרה הקבועה שלהן ואת האפשרות להמשיך לחיות את חייהן כפי שעשו עד לנקודת גילוי הפרסום</w:t>
      </w:r>
      <w:r w:rsidR="00A76399">
        <w:rPr>
          <w:rFonts w:ascii="David" w:hAnsi="David" w:cs="David" w:hint="cs"/>
          <w:sz w:val="24"/>
          <w:szCs w:val="24"/>
          <w:rtl/>
        </w:rPr>
        <w:t xml:space="preserve">. חשוב להדגיש כי ההשלכות רלוונטיות </w:t>
      </w:r>
      <w:r w:rsidR="00665948">
        <w:rPr>
          <w:rFonts w:ascii="David" w:hAnsi="David" w:cs="David" w:hint="cs"/>
          <w:sz w:val="24"/>
          <w:szCs w:val="24"/>
          <w:rtl/>
        </w:rPr>
        <w:t xml:space="preserve">גם </w:t>
      </w:r>
      <w:r w:rsidR="0051558B">
        <w:rPr>
          <w:rFonts w:ascii="David" w:hAnsi="David" w:cs="David" w:hint="cs"/>
          <w:sz w:val="24"/>
          <w:szCs w:val="24"/>
          <w:rtl/>
        </w:rPr>
        <w:t>במקרים בהם ה</w:t>
      </w:r>
      <w:r w:rsidR="00A76399">
        <w:rPr>
          <w:rFonts w:ascii="David" w:hAnsi="David" w:cs="David" w:hint="cs"/>
          <w:sz w:val="24"/>
          <w:szCs w:val="24"/>
          <w:rtl/>
        </w:rPr>
        <w:t xml:space="preserve">פרסום </w:t>
      </w:r>
      <w:r>
        <w:rPr>
          <w:rFonts w:ascii="David" w:hAnsi="David" w:cs="David" w:hint="cs"/>
          <w:sz w:val="24"/>
          <w:szCs w:val="24"/>
          <w:rtl/>
        </w:rPr>
        <w:t xml:space="preserve">הגיע </w:t>
      </w:r>
      <w:r w:rsidR="0051558B">
        <w:rPr>
          <w:rFonts w:ascii="David" w:hAnsi="David" w:cs="David" w:hint="cs"/>
          <w:sz w:val="24"/>
          <w:szCs w:val="24"/>
          <w:rtl/>
        </w:rPr>
        <w:t xml:space="preserve">לכמות </w:t>
      </w:r>
      <w:r>
        <w:rPr>
          <w:rFonts w:ascii="David" w:hAnsi="David" w:cs="David" w:hint="cs"/>
          <w:sz w:val="24"/>
          <w:szCs w:val="24"/>
          <w:rtl/>
        </w:rPr>
        <w:t xml:space="preserve">מצומצמת </w:t>
      </w:r>
      <w:r w:rsidR="0051558B">
        <w:rPr>
          <w:rFonts w:ascii="David" w:hAnsi="David" w:cs="David" w:hint="cs"/>
          <w:sz w:val="24"/>
          <w:szCs w:val="24"/>
          <w:rtl/>
        </w:rPr>
        <w:t>של אנשים</w:t>
      </w:r>
      <w:r w:rsidR="00665948">
        <w:rPr>
          <w:rStyle w:val="a5"/>
          <w:rFonts w:ascii="David" w:hAnsi="David" w:cs="David"/>
          <w:sz w:val="24"/>
          <w:szCs w:val="24"/>
          <w:rtl/>
        </w:rPr>
        <w:footnoteReference w:id="5"/>
      </w:r>
      <w:r w:rsidR="0051558B">
        <w:rPr>
          <w:rFonts w:ascii="David" w:hAnsi="David" w:cs="David" w:hint="cs"/>
          <w:sz w:val="24"/>
          <w:szCs w:val="24"/>
          <w:rtl/>
        </w:rPr>
        <w:t>, וגם במקרים בהם נצפה על ידי יותר ממיליון איש</w:t>
      </w:r>
      <w:r w:rsidR="0051558B">
        <w:rPr>
          <w:rStyle w:val="a5"/>
          <w:rFonts w:ascii="David" w:hAnsi="David" w:cs="David"/>
          <w:sz w:val="24"/>
          <w:szCs w:val="24"/>
          <w:rtl/>
        </w:rPr>
        <w:footnoteReference w:id="6"/>
      </w:r>
      <w:r w:rsidR="00665948">
        <w:rPr>
          <w:rFonts w:ascii="David" w:hAnsi="David" w:cs="David" w:hint="cs"/>
          <w:sz w:val="24"/>
          <w:szCs w:val="24"/>
          <w:rtl/>
        </w:rPr>
        <w:t xml:space="preserve">. </w:t>
      </w:r>
      <w:r w:rsidR="009541A2">
        <w:rPr>
          <w:rFonts w:ascii="David" w:hAnsi="David" w:cs="David" w:hint="cs"/>
          <w:sz w:val="24"/>
          <w:szCs w:val="24"/>
          <w:rtl/>
        </w:rPr>
        <w:t>המקרים ה</w:t>
      </w:r>
      <w:r w:rsidR="003B0599">
        <w:rPr>
          <w:rFonts w:ascii="David" w:hAnsi="David" w:cs="David" w:hint="cs"/>
          <w:sz w:val="24"/>
          <w:szCs w:val="24"/>
          <w:rtl/>
        </w:rPr>
        <w:t>נפוצים יותר ויותר</w:t>
      </w:r>
      <w:r w:rsidR="009541A2">
        <w:rPr>
          <w:rFonts w:ascii="David" w:hAnsi="David" w:cs="David" w:hint="cs"/>
          <w:sz w:val="24"/>
          <w:szCs w:val="24"/>
          <w:rtl/>
        </w:rPr>
        <w:t xml:space="preserve"> והקלות הרבה שבה ניתן לבצע את העבירה</w:t>
      </w:r>
      <w:r>
        <w:rPr>
          <w:rFonts w:ascii="David" w:hAnsi="David" w:cs="David" w:hint="cs"/>
          <w:sz w:val="24"/>
          <w:szCs w:val="24"/>
          <w:rtl/>
        </w:rPr>
        <w:t>-</w:t>
      </w:r>
      <w:r w:rsidR="009541A2">
        <w:rPr>
          <w:rFonts w:ascii="David" w:hAnsi="David" w:cs="David" w:hint="cs"/>
          <w:sz w:val="24"/>
          <w:szCs w:val="24"/>
          <w:rtl/>
        </w:rPr>
        <w:t xml:space="preserve"> להעלות </w:t>
      </w:r>
      <w:r w:rsidR="009541A2" w:rsidRPr="00A76399">
        <w:rPr>
          <w:rFonts w:ascii="David" w:hAnsi="David" w:cs="David" w:hint="cs"/>
          <w:b/>
          <w:bCs/>
          <w:sz w:val="24"/>
          <w:szCs w:val="24"/>
          <w:rtl/>
        </w:rPr>
        <w:t xml:space="preserve">ברגע </w:t>
      </w:r>
      <w:r w:rsidR="009541A2">
        <w:rPr>
          <w:rFonts w:ascii="David" w:hAnsi="David" w:cs="David" w:hint="cs"/>
          <w:sz w:val="24"/>
          <w:szCs w:val="24"/>
          <w:rtl/>
        </w:rPr>
        <w:t>לרשת פרסום מיני שלא בהסכמת אדם, מעוררת בעתה וחלחלה, בעיקר מכיוון שהאינטרנט "זוכר הכול"</w:t>
      </w:r>
      <w:r w:rsidR="00B61F8A">
        <w:rPr>
          <w:rFonts w:ascii="David" w:hAnsi="David" w:cs="David" w:hint="cs"/>
          <w:sz w:val="24"/>
          <w:szCs w:val="24"/>
          <w:rtl/>
        </w:rPr>
        <w:t>.</w:t>
      </w:r>
      <w:r w:rsidR="009541A2">
        <w:rPr>
          <w:rFonts w:ascii="David" w:hAnsi="David" w:cs="David" w:hint="cs"/>
          <w:sz w:val="24"/>
          <w:szCs w:val="24"/>
          <w:rtl/>
        </w:rPr>
        <w:t xml:space="preserve"> התמונות או הסרטונים נשארים </w:t>
      </w:r>
      <w:r w:rsidR="00B61F8A">
        <w:rPr>
          <w:rFonts w:ascii="David" w:hAnsi="David" w:cs="David" w:hint="cs"/>
          <w:sz w:val="24"/>
          <w:szCs w:val="24"/>
          <w:rtl/>
        </w:rPr>
        <w:t>לנצח במרחב האינטרנטי, אין דרך להגיע לכל הצופים שהורידו את הפרסום למכשירם הפרטי, ואין דרך לדעת בוודאות שהפרסום לא יצוף שנית במקום</w:t>
      </w:r>
      <w:r w:rsidR="00A76399">
        <w:rPr>
          <w:rFonts w:ascii="David" w:hAnsi="David" w:cs="David" w:hint="cs"/>
          <w:sz w:val="24"/>
          <w:szCs w:val="24"/>
          <w:rtl/>
        </w:rPr>
        <w:t xml:space="preserve"> ובזמן</w:t>
      </w:r>
      <w:r w:rsidR="00B61F8A">
        <w:rPr>
          <w:rFonts w:ascii="David" w:hAnsi="David" w:cs="David" w:hint="cs"/>
          <w:sz w:val="24"/>
          <w:szCs w:val="24"/>
          <w:rtl/>
        </w:rPr>
        <w:t xml:space="preserve"> אחר במרחב הדיגיטלי</w:t>
      </w:r>
      <w:r w:rsidR="00555900">
        <w:rPr>
          <w:rFonts w:ascii="David" w:hAnsi="David" w:cs="David" w:hint="cs"/>
          <w:sz w:val="24"/>
          <w:szCs w:val="24"/>
          <w:rtl/>
        </w:rPr>
        <w:t xml:space="preserve">. </w:t>
      </w:r>
      <w:r w:rsidR="00B61F8A">
        <w:rPr>
          <w:rFonts w:ascii="David" w:hAnsi="David" w:cs="David" w:hint="cs"/>
          <w:sz w:val="24"/>
          <w:szCs w:val="24"/>
          <w:rtl/>
        </w:rPr>
        <w:t xml:space="preserve">ייתכן </w:t>
      </w:r>
      <w:r w:rsidR="00555900">
        <w:rPr>
          <w:rFonts w:ascii="David" w:hAnsi="David" w:cs="David" w:hint="cs"/>
          <w:sz w:val="24"/>
          <w:szCs w:val="24"/>
          <w:rtl/>
        </w:rPr>
        <w:t>וההפצה החוזרת תתרחש גם</w:t>
      </w:r>
      <w:r w:rsidR="00B61F8A">
        <w:rPr>
          <w:rFonts w:ascii="David" w:hAnsi="David" w:cs="David" w:hint="cs"/>
          <w:sz w:val="24"/>
          <w:szCs w:val="24"/>
          <w:rtl/>
        </w:rPr>
        <w:t xml:space="preserve"> לאחר שנים רבות</w:t>
      </w:r>
      <w:r w:rsidR="00555900">
        <w:rPr>
          <w:rFonts w:ascii="David" w:hAnsi="David" w:cs="David" w:hint="cs"/>
          <w:sz w:val="24"/>
          <w:szCs w:val="24"/>
          <w:rtl/>
        </w:rPr>
        <w:t xml:space="preserve">, ואולי אף לאחר שהקורבן הצליחה לשקם את חייה ולהתגבר </w:t>
      </w:r>
      <w:r w:rsidR="002B3D75">
        <w:rPr>
          <w:rFonts w:ascii="David" w:hAnsi="David" w:cs="David" w:hint="cs"/>
          <w:sz w:val="24"/>
          <w:szCs w:val="24"/>
          <w:rtl/>
        </w:rPr>
        <w:t xml:space="preserve">בצורה מסוימת </w:t>
      </w:r>
      <w:r w:rsidR="00555900">
        <w:rPr>
          <w:rFonts w:ascii="David" w:hAnsi="David" w:cs="David" w:hint="cs"/>
          <w:sz w:val="24"/>
          <w:szCs w:val="24"/>
          <w:rtl/>
        </w:rPr>
        <w:t xml:space="preserve">על הקושי הנפשי הכבד מנשוא- היא תאלץ לעבור את </w:t>
      </w:r>
      <w:r w:rsidR="00555900" w:rsidRPr="00913ADB">
        <w:rPr>
          <w:rFonts w:ascii="David" w:hAnsi="David" w:cs="David" w:hint="cs"/>
          <w:b/>
          <w:bCs/>
          <w:sz w:val="24"/>
          <w:szCs w:val="24"/>
          <w:rtl/>
        </w:rPr>
        <w:t>חוויית ההשפלה והמצוקה בשנית</w:t>
      </w:r>
      <w:r w:rsidR="00B61F8A">
        <w:rPr>
          <w:rFonts w:ascii="David" w:hAnsi="David" w:cs="David" w:hint="cs"/>
          <w:sz w:val="24"/>
          <w:szCs w:val="24"/>
          <w:rtl/>
        </w:rPr>
        <w:t>. לדעתי, לא מדובר במצב ספקולטיבי-עתידי שלא ניתן לאבחן כלל את הסיכויים להסתברותו, אלא מצב התרחש</w:t>
      </w:r>
      <w:r w:rsidR="00B94270">
        <w:rPr>
          <w:rFonts w:ascii="David" w:hAnsi="David" w:cs="David" w:hint="cs"/>
          <w:sz w:val="24"/>
          <w:szCs w:val="24"/>
          <w:rtl/>
        </w:rPr>
        <w:t xml:space="preserve">ותי </w:t>
      </w:r>
      <w:r w:rsidR="00B61F8A">
        <w:rPr>
          <w:rFonts w:ascii="David" w:hAnsi="David" w:cs="David" w:hint="cs"/>
          <w:sz w:val="24"/>
          <w:szCs w:val="24"/>
          <w:rtl/>
        </w:rPr>
        <w:t>עתיר פוטנציאל להתממשות. אם כן,</w:t>
      </w:r>
      <w:r w:rsidR="00555900">
        <w:rPr>
          <w:rFonts w:ascii="David" w:hAnsi="David" w:cs="David" w:hint="cs"/>
          <w:sz w:val="24"/>
          <w:szCs w:val="24"/>
          <w:rtl/>
        </w:rPr>
        <w:t xml:space="preserve"> לדעתי</w:t>
      </w:r>
      <w:r w:rsidR="002B3D75">
        <w:rPr>
          <w:rFonts w:ascii="David" w:hAnsi="David" w:cs="David" w:hint="cs"/>
          <w:sz w:val="24"/>
          <w:szCs w:val="24"/>
          <w:rtl/>
        </w:rPr>
        <w:t>,</w:t>
      </w:r>
      <w:r w:rsidR="00B61F8A">
        <w:rPr>
          <w:rFonts w:ascii="David" w:hAnsi="David" w:cs="David" w:hint="cs"/>
          <w:sz w:val="24"/>
          <w:szCs w:val="24"/>
          <w:rtl/>
        </w:rPr>
        <w:t xml:space="preserve"> </w:t>
      </w:r>
      <w:r w:rsidR="00555900">
        <w:rPr>
          <w:rFonts w:ascii="David" w:hAnsi="David" w:cs="David" w:hint="cs"/>
          <w:sz w:val="24"/>
          <w:szCs w:val="24"/>
          <w:rtl/>
        </w:rPr>
        <w:t xml:space="preserve">גם אם בנקודת הזמן של מתן </w:t>
      </w:r>
      <w:r w:rsidR="00A76399">
        <w:rPr>
          <w:rFonts w:ascii="David" w:hAnsi="David" w:cs="David" w:hint="cs"/>
          <w:sz w:val="24"/>
          <w:szCs w:val="24"/>
          <w:rtl/>
        </w:rPr>
        <w:t>פסק הדין</w:t>
      </w:r>
      <w:r w:rsidR="00555900">
        <w:rPr>
          <w:rFonts w:ascii="David" w:hAnsi="David" w:cs="David" w:hint="cs"/>
          <w:sz w:val="24"/>
          <w:szCs w:val="24"/>
          <w:rtl/>
        </w:rPr>
        <w:t xml:space="preserve"> היקף ההפצה והפרסום לא היה גדול כל כך, לא צריכה להיות התייחסות לכך בעת מתן גזר הדין</w:t>
      </w:r>
      <w:r w:rsidR="002B3D75">
        <w:rPr>
          <w:rFonts w:ascii="David" w:hAnsi="David" w:cs="David" w:hint="cs"/>
          <w:sz w:val="24"/>
          <w:szCs w:val="24"/>
          <w:rtl/>
        </w:rPr>
        <w:t xml:space="preserve">. </w:t>
      </w:r>
      <w:r w:rsidR="00555900">
        <w:rPr>
          <w:rFonts w:ascii="David" w:hAnsi="David" w:cs="David" w:hint="cs"/>
          <w:sz w:val="24"/>
          <w:szCs w:val="24"/>
          <w:rtl/>
        </w:rPr>
        <w:t xml:space="preserve">ההתייחסות </w:t>
      </w:r>
      <w:r w:rsidR="002B3D75">
        <w:rPr>
          <w:rFonts w:ascii="David" w:hAnsi="David" w:cs="David" w:hint="cs"/>
          <w:sz w:val="24"/>
          <w:szCs w:val="24"/>
          <w:rtl/>
        </w:rPr>
        <w:t>להיקף</w:t>
      </w:r>
      <w:r w:rsidR="00555900">
        <w:rPr>
          <w:rFonts w:ascii="David" w:hAnsi="David" w:cs="David" w:hint="cs"/>
          <w:sz w:val="24"/>
          <w:szCs w:val="24"/>
          <w:rtl/>
        </w:rPr>
        <w:t xml:space="preserve"> אף עלולה להיתפס כזילות בקורב</w:t>
      </w:r>
      <w:r w:rsidR="002B3D75">
        <w:rPr>
          <w:rFonts w:ascii="David" w:hAnsi="David" w:cs="David" w:hint="cs"/>
          <w:sz w:val="24"/>
          <w:szCs w:val="24"/>
          <w:rtl/>
        </w:rPr>
        <w:t>ן</w:t>
      </w:r>
      <w:r w:rsidR="00A76399">
        <w:rPr>
          <w:rFonts w:ascii="David" w:hAnsi="David" w:cs="David" w:hint="cs"/>
          <w:sz w:val="24"/>
          <w:szCs w:val="24"/>
          <w:rtl/>
        </w:rPr>
        <w:t xml:space="preserve">- היא </w:t>
      </w:r>
      <w:r w:rsidR="002B3D75">
        <w:rPr>
          <w:rFonts w:ascii="David" w:hAnsi="David" w:cs="David" w:hint="cs"/>
          <w:sz w:val="24"/>
          <w:szCs w:val="24"/>
          <w:rtl/>
        </w:rPr>
        <w:t xml:space="preserve">תסחוב עמה </w:t>
      </w:r>
      <w:r w:rsidR="00A76399">
        <w:rPr>
          <w:rFonts w:ascii="David" w:hAnsi="David" w:cs="David" w:hint="cs"/>
          <w:sz w:val="24"/>
          <w:szCs w:val="24"/>
          <w:rtl/>
        </w:rPr>
        <w:t xml:space="preserve">לעד </w:t>
      </w:r>
      <w:r w:rsidR="002B3D75">
        <w:rPr>
          <w:rFonts w:ascii="David" w:hAnsi="David" w:cs="David" w:hint="cs"/>
          <w:sz w:val="24"/>
          <w:szCs w:val="24"/>
          <w:rtl/>
        </w:rPr>
        <w:t>פצע פנימי שלא יגליד</w:t>
      </w:r>
      <w:r w:rsidR="00A76399">
        <w:rPr>
          <w:rFonts w:ascii="David" w:hAnsi="David" w:cs="David" w:hint="cs"/>
          <w:sz w:val="24"/>
          <w:szCs w:val="24"/>
          <w:rtl/>
        </w:rPr>
        <w:t>,</w:t>
      </w:r>
      <w:r w:rsidR="002B3D75">
        <w:rPr>
          <w:rFonts w:ascii="David" w:hAnsi="David" w:cs="David" w:hint="cs"/>
          <w:sz w:val="24"/>
          <w:szCs w:val="24"/>
          <w:rtl/>
        </w:rPr>
        <w:t xml:space="preserve"> אשר עשוי לגרום לה </w:t>
      </w:r>
      <w:r w:rsidR="00A76399">
        <w:rPr>
          <w:rFonts w:ascii="David" w:hAnsi="David" w:cs="David" w:hint="cs"/>
          <w:sz w:val="24"/>
          <w:szCs w:val="24"/>
          <w:rtl/>
        </w:rPr>
        <w:t xml:space="preserve">גם </w:t>
      </w:r>
      <w:r w:rsidR="002B3D75">
        <w:rPr>
          <w:rFonts w:ascii="David" w:hAnsi="David" w:cs="David" w:hint="cs"/>
          <w:sz w:val="24"/>
          <w:szCs w:val="24"/>
          <w:rtl/>
        </w:rPr>
        <w:t xml:space="preserve">לפגיעה קשה באמון בבני זוג עתידיים, </w:t>
      </w:r>
      <w:r w:rsidR="002B3D75" w:rsidRPr="00A76399">
        <w:rPr>
          <w:rFonts w:ascii="David" w:hAnsi="David" w:cs="David" w:hint="cs"/>
          <w:b/>
          <w:bCs/>
          <w:sz w:val="24"/>
          <w:szCs w:val="24"/>
          <w:rtl/>
        </w:rPr>
        <w:t>מעבר</w:t>
      </w:r>
      <w:r w:rsidR="002B3D75">
        <w:rPr>
          <w:rFonts w:ascii="David" w:hAnsi="David" w:cs="David" w:hint="cs"/>
          <w:sz w:val="24"/>
          <w:szCs w:val="24"/>
          <w:rtl/>
        </w:rPr>
        <w:t xml:space="preserve"> לפגיעה הפיזית והנפשית</w:t>
      </w:r>
      <w:r w:rsidR="00CE7FA5">
        <w:rPr>
          <w:rFonts w:ascii="David" w:hAnsi="David" w:cs="David" w:hint="cs"/>
          <w:sz w:val="24"/>
          <w:szCs w:val="24"/>
          <w:rtl/>
        </w:rPr>
        <w:t xml:space="preserve"> בכבודה</w:t>
      </w:r>
      <w:r w:rsidR="002B3D75">
        <w:rPr>
          <w:rFonts w:ascii="David" w:hAnsi="David" w:cs="David" w:hint="cs"/>
          <w:sz w:val="24"/>
          <w:szCs w:val="24"/>
          <w:rtl/>
        </w:rPr>
        <w:t xml:space="preserve"> שחוותה בעת הפרסום</w:t>
      </w:r>
      <w:r w:rsidR="00555900">
        <w:rPr>
          <w:rFonts w:ascii="David" w:hAnsi="David" w:cs="David" w:hint="cs"/>
          <w:sz w:val="24"/>
          <w:szCs w:val="24"/>
          <w:rtl/>
        </w:rPr>
        <w:t xml:space="preserve">. </w:t>
      </w:r>
    </w:p>
    <w:p w:rsidR="00D006AA" w:rsidRDefault="00A76399" w:rsidP="00D006AA">
      <w:pPr>
        <w:spacing w:line="300" w:lineRule="auto"/>
        <w:jc w:val="both"/>
        <w:rPr>
          <w:rFonts w:ascii="David" w:hAnsi="David" w:cs="David"/>
          <w:sz w:val="24"/>
          <w:szCs w:val="24"/>
          <w:rtl/>
        </w:rPr>
      </w:pPr>
      <w:r>
        <w:rPr>
          <w:rFonts w:ascii="David" w:hAnsi="David" w:cs="David" w:hint="cs"/>
          <w:sz w:val="24"/>
          <w:szCs w:val="24"/>
          <w:rtl/>
        </w:rPr>
        <w:lastRenderedPageBreak/>
        <w:t>בנוגע לנסיבות הפרסום</w:t>
      </w:r>
      <w:r w:rsidR="00EC0601">
        <w:rPr>
          <w:rFonts w:ascii="David" w:hAnsi="David" w:cs="David" w:hint="cs"/>
          <w:sz w:val="24"/>
          <w:szCs w:val="24"/>
          <w:rtl/>
        </w:rPr>
        <w:t>,</w:t>
      </w:r>
      <w:r>
        <w:rPr>
          <w:rFonts w:ascii="David" w:hAnsi="David" w:cs="David" w:hint="cs"/>
          <w:sz w:val="24"/>
          <w:szCs w:val="24"/>
          <w:rtl/>
        </w:rPr>
        <w:t xml:space="preserve"> מתעוררת גם </w:t>
      </w:r>
      <w:r w:rsidRPr="00913ADB">
        <w:rPr>
          <w:rFonts w:ascii="David" w:hAnsi="David" w:cs="David" w:hint="cs"/>
          <w:sz w:val="24"/>
          <w:szCs w:val="24"/>
          <w:u w:val="single"/>
          <w:rtl/>
        </w:rPr>
        <w:t>שאלת אחריות המפיצים המשניים</w:t>
      </w:r>
      <w:r w:rsidR="00C84465">
        <w:rPr>
          <w:rFonts w:ascii="David" w:hAnsi="David" w:cs="David" w:hint="cs"/>
          <w:sz w:val="24"/>
          <w:szCs w:val="24"/>
          <w:rtl/>
        </w:rPr>
        <w:t>- כאלה שקיבלו את הפרסום מידיו של המפרסם הראשוני והעבירו אותו הלאה</w:t>
      </w:r>
      <w:r>
        <w:rPr>
          <w:rFonts w:ascii="David" w:hAnsi="David" w:cs="David" w:hint="cs"/>
          <w:sz w:val="24"/>
          <w:szCs w:val="24"/>
          <w:rtl/>
        </w:rPr>
        <w:t xml:space="preserve">. כותבי המאמר התייחסו לנקודה </w:t>
      </w:r>
      <w:r w:rsidR="005224CF">
        <w:rPr>
          <w:rFonts w:ascii="David" w:hAnsi="David" w:cs="David" w:hint="cs"/>
          <w:sz w:val="24"/>
          <w:szCs w:val="24"/>
          <w:rtl/>
        </w:rPr>
        <w:t>זו בצמצום לטעמי</w:t>
      </w:r>
      <w:r>
        <w:rPr>
          <w:rFonts w:ascii="David" w:hAnsi="David" w:cs="David" w:hint="cs"/>
          <w:sz w:val="24"/>
          <w:szCs w:val="24"/>
          <w:rtl/>
        </w:rPr>
        <w:t xml:space="preserve">, וטענו כי לדעתם, במקרים שבהם </w:t>
      </w:r>
      <w:r w:rsidR="005224CF">
        <w:rPr>
          <w:rFonts w:ascii="David" w:hAnsi="David" w:cs="David" w:hint="cs"/>
          <w:sz w:val="24"/>
          <w:szCs w:val="24"/>
          <w:rtl/>
        </w:rPr>
        <w:t xml:space="preserve">המפיץ היה מודע ליסודות העבירה ועוצמת הפגיעה בקורבן הייתה גבוהה- יש להחיל עליו אחריות פלילית. בנוסף, הם טוענים כי יש להחיל על המפיץ אחריות פלילית ולא לאפשר לו להנות מסייג תום הלב גם במקרים בהם </w:t>
      </w:r>
      <w:r w:rsidR="00EC0601">
        <w:rPr>
          <w:rFonts w:ascii="David" w:hAnsi="David" w:cs="David" w:hint="cs"/>
          <w:sz w:val="24"/>
          <w:szCs w:val="24"/>
          <w:rtl/>
        </w:rPr>
        <w:t>הפגיעה בקורבן הייתה גבוהה, והמפיץ</w:t>
      </w:r>
      <w:r w:rsidR="005224CF">
        <w:rPr>
          <w:rFonts w:ascii="David" w:hAnsi="David" w:cs="David" w:hint="cs"/>
          <w:sz w:val="24"/>
          <w:szCs w:val="24"/>
          <w:rtl/>
        </w:rPr>
        <w:t xml:space="preserve"> לא היה מודע </w:t>
      </w:r>
      <w:r w:rsidR="005224CF" w:rsidRPr="005224CF">
        <w:rPr>
          <w:rFonts w:ascii="David" w:hAnsi="David" w:cs="David" w:hint="cs"/>
          <w:b/>
          <w:bCs/>
          <w:sz w:val="24"/>
          <w:szCs w:val="24"/>
          <w:rtl/>
        </w:rPr>
        <w:t xml:space="preserve">בוודאות </w:t>
      </w:r>
      <w:r w:rsidR="005224CF">
        <w:rPr>
          <w:rFonts w:ascii="David" w:hAnsi="David" w:cs="David" w:hint="cs"/>
          <w:sz w:val="24"/>
          <w:szCs w:val="24"/>
          <w:rtl/>
        </w:rPr>
        <w:t xml:space="preserve">ליסודות העבירה, אך </w:t>
      </w:r>
      <w:r w:rsidR="005224CF">
        <w:rPr>
          <w:rFonts w:ascii="David" w:hAnsi="David" w:cs="David" w:hint="cs"/>
          <w:b/>
          <w:bCs/>
          <w:sz w:val="24"/>
          <w:szCs w:val="24"/>
          <w:rtl/>
        </w:rPr>
        <w:t>חשד</w:t>
      </w:r>
      <w:r w:rsidR="005224CF">
        <w:rPr>
          <w:rFonts w:ascii="David" w:hAnsi="David" w:cs="David" w:hint="cs"/>
          <w:sz w:val="24"/>
          <w:szCs w:val="24"/>
          <w:rtl/>
        </w:rPr>
        <w:t xml:space="preserve"> בדבר התקיימותן</w:t>
      </w:r>
      <w:r w:rsidR="00B62CDA">
        <w:rPr>
          <w:rFonts w:ascii="David" w:hAnsi="David" w:cs="David" w:hint="cs"/>
          <w:sz w:val="24"/>
          <w:szCs w:val="24"/>
          <w:rtl/>
        </w:rPr>
        <w:t>.</w:t>
      </w:r>
      <w:r w:rsidR="00913ADB">
        <w:rPr>
          <w:rFonts w:ascii="David" w:hAnsi="David" w:cs="David" w:hint="cs"/>
          <w:sz w:val="24"/>
          <w:szCs w:val="24"/>
          <w:rtl/>
        </w:rPr>
        <w:t xml:space="preserve"> המחברים</w:t>
      </w:r>
      <w:r w:rsidR="00B62CDA">
        <w:rPr>
          <w:rFonts w:ascii="David" w:hAnsi="David" w:cs="David" w:hint="cs"/>
          <w:sz w:val="24"/>
          <w:szCs w:val="24"/>
          <w:rtl/>
        </w:rPr>
        <w:t xml:space="preserve"> סבורים</w:t>
      </w:r>
      <w:r w:rsidR="00913ADB">
        <w:rPr>
          <w:rFonts w:ascii="David" w:hAnsi="David" w:cs="David" w:hint="cs"/>
          <w:sz w:val="24"/>
          <w:szCs w:val="24"/>
          <w:rtl/>
        </w:rPr>
        <w:t xml:space="preserve"> כי מידת אשמו של המפיץ פחותה משל המפרסם, מכיוון שהוא לא יצר את הסיכון הראשוני, אלא </w:t>
      </w:r>
      <w:r w:rsidR="001B077F">
        <w:rPr>
          <w:rFonts w:ascii="David" w:hAnsi="David" w:cs="David" w:hint="cs"/>
          <w:sz w:val="24"/>
          <w:szCs w:val="24"/>
          <w:rtl/>
        </w:rPr>
        <w:t xml:space="preserve">רק </w:t>
      </w:r>
      <w:r w:rsidR="00913ADB">
        <w:rPr>
          <w:rFonts w:ascii="David" w:hAnsi="David" w:cs="David" w:hint="cs"/>
          <w:sz w:val="24"/>
          <w:szCs w:val="24"/>
          <w:rtl/>
        </w:rPr>
        <w:t>העצים נזק שנוצר</w:t>
      </w:r>
      <w:r w:rsidR="00B62CDA">
        <w:rPr>
          <w:rFonts w:ascii="David" w:hAnsi="David" w:cs="David" w:hint="cs"/>
          <w:sz w:val="24"/>
          <w:szCs w:val="24"/>
          <w:rtl/>
        </w:rPr>
        <w:t xml:space="preserve">. אני </w:t>
      </w:r>
      <w:r w:rsidR="001B077F">
        <w:rPr>
          <w:rFonts w:ascii="David" w:hAnsi="David" w:cs="David" w:hint="cs"/>
          <w:sz w:val="24"/>
          <w:szCs w:val="24"/>
          <w:rtl/>
        </w:rPr>
        <w:t xml:space="preserve">מסכימה עם האמירה אך יחד עם זאת </w:t>
      </w:r>
      <w:r w:rsidR="00B62CDA">
        <w:rPr>
          <w:rFonts w:ascii="David" w:hAnsi="David" w:cs="David" w:hint="cs"/>
          <w:sz w:val="24"/>
          <w:szCs w:val="24"/>
          <w:rtl/>
        </w:rPr>
        <w:t xml:space="preserve">מסתייגת </w:t>
      </w:r>
      <w:r w:rsidR="001B077F">
        <w:rPr>
          <w:rFonts w:ascii="David" w:hAnsi="David" w:cs="David" w:hint="cs"/>
          <w:sz w:val="24"/>
          <w:szCs w:val="24"/>
          <w:rtl/>
        </w:rPr>
        <w:t xml:space="preserve">ממנה, </w:t>
      </w:r>
      <w:r w:rsidR="0029044F">
        <w:rPr>
          <w:rFonts w:ascii="David" w:hAnsi="David" w:cs="David" w:hint="cs"/>
          <w:sz w:val="24"/>
          <w:szCs w:val="24"/>
          <w:rtl/>
        </w:rPr>
        <w:t>מכיוון שהיא עלולה ליצור רושם מוטעה שהפצה היא לא מעשה חמור ובזוי חברתית, אשר עלול לפגוע בצורה בלתי הפיכה בערכים המוגנים עליהם התכוון המחוקק להגן בעת חקיקת החוק</w:t>
      </w:r>
      <w:r w:rsidR="00B62CDA">
        <w:rPr>
          <w:rFonts w:ascii="David" w:hAnsi="David" w:cs="David" w:hint="cs"/>
          <w:sz w:val="24"/>
          <w:szCs w:val="24"/>
          <w:rtl/>
        </w:rPr>
        <w:t xml:space="preserve">. </w:t>
      </w:r>
    </w:p>
    <w:p w:rsidR="00B65E97" w:rsidRDefault="00B62CDA" w:rsidP="00D006AA">
      <w:pPr>
        <w:spacing w:line="300" w:lineRule="auto"/>
        <w:jc w:val="both"/>
        <w:rPr>
          <w:rFonts w:ascii="David" w:hAnsi="David" w:cs="David"/>
          <w:sz w:val="24"/>
          <w:szCs w:val="24"/>
          <w:rtl/>
        </w:rPr>
      </w:pPr>
      <w:r>
        <w:rPr>
          <w:rFonts w:ascii="David" w:hAnsi="David" w:cs="David" w:hint="cs"/>
          <w:sz w:val="24"/>
          <w:szCs w:val="24"/>
          <w:rtl/>
        </w:rPr>
        <w:t xml:space="preserve">לאחרונה </w:t>
      </w:r>
      <w:r w:rsidR="000832C9">
        <w:rPr>
          <w:rFonts w:ascii="David" w:hAnsi="David" w:cs="David" w:hint="cs"/>
          <w:sz w:val="24"/>
          <w:szCs w:val="24"/>
          <w:rtl/>
        </w:rPr>
        <w:t xml:space="preserve">פסק </w:t>
      </w:r>
      <w:r>
        <w:rPr>
          <w:rFonts w:ascii="David" w:hAnsi="David" w:cs="David" w:hint="cs"/>
          <w:sz w:val="24"/>
          <w:szCs w:val="24"/>
          <w:rtl/>
        </w:rPr>
        <w:t>בית המשפט העליון</w:t>
      </w:r>
      <w:r w:rsidR="00A110F0">
        <w:rPr>
          <w:rFonts w:ascii="David" w:hAnsi="David" w:cs="David" w:hint="cs"/>
          <w:sz w:val="24"/>
          <w:szCs w:val="24"/>
          <w:rtl/>
        </w:rPr>
        <w:t xml:space="preserve"> </w:t>
      </w:r>
      <w:r w:rsidR="000832C9">
        <w:rPr>
          <w:rFonts w:ascii="David" w:hAnsi="David" w:cs="David" w:hint="cs"/>
          <w:sz w:val="24"/>
          <w:szCs w:val="24"/>
          <w:rtl/>
        </w:rPr>
        <w:t>בפרשה</w:t>
      </w:r>
      <w:r w:rsidR="000832C9">
        <w:rPr>
          <w:rStyle w:val="a5"/>
          <w:rFonts w:ascii="David" w:hAnsi="David" w:cs="David"/>
          <w:sz w:val="24"/>
          <w:szCs w:val="24"/>
          <w:rtl/>
        </w:rPr>
        <w:footnoteReference w:id="7"/>
      </w:r>
      <w:r w:rsidR="000832C9">
        <w:rPr>
          <w:rFonts w:ascii="David" w:hAnsi="David" w:cs="David" w:hint="cs"/>
          <w:sz w:val="24"/>
          <w:szCs w:val="24"/>
          <w:rtl/>
        </w:rPr>
        <w:t xml:space="preserve"> שעוררה תהודה רבה ברשתות החברתיות ובעיתונות, וקבע</w:t>
      </w:r>
      <w:r>
        <w:rPr>
          <w:rFonts w:ascii="David" w:hAnsi="David" w:cs="David" w:hint="cs"/>
          <w:sz w:val="24"/>
          <w:szCs w:val="24"/>
          <w:rtl/>
        </w:rPr>
        <w:t xml:space="preserve"> כי </w:t>
      </w:r>
      <w:r w:rsidR="00A110F0">
        <w:rPr>
          <w:rFonts w:ascii="David" w:hAnsi="David" w:cs="David" w:hint="cs"/>
          <w:sz w:val="24"/>
          <w:szCs w:val="24"/>
          <w:rtl/>
        </w:rPr>
        <w:t>"</w:t>
      </w:r>
      <w:r>
        <w:rPr>
          <w:rFonts w:ascii="David" w:hAnsi="David" w:cs="David" w:hint="cs"/>
          <w:sz w:val="24"/>
          <w:szCs w:val="24"/>
          <w:rtl/>
        </w:rPr>
        <w:t>שיתוף</w:t>
      </w:r>
      <w:r w:rsidR="00A110F0">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Pr>
        <w:t>share</w:t>
      </w:r>
      <w:r>
        <w:rPr>
          <w:rFonts w:ascii="David" w:hAnsi="David" w:cs="David" w:hint="cs"/>
          <w:sz w:val="24"/>
          <w:szCs w:val="24"/>
          <w:rtl/>
        </w:rPr>
        <w:t>) ב</w:t>
      </w:r>
      <w:r w:rsidR="00A110F0">
        <w:rPr>
          <w:rFonts w:ascii="David" w:hAnsi="David" w:cs="David" w:hint="cs"/>
          <w:sz w:val="24"/>
          <w:szCs w:val="24"/>
          <w:rtl/>
        </w:rPr>
        <w:t xml:space="preserve">רשת החברתית </w:t>
      </w:r>
      <w:proofErr w:type="spellStart"/>
      <w:r>
        <w:rPr>
          <w:rFonts w:ascii="David" w:hAnsi="David" w:cs="David" w:hint="cs"/>
          <w:sz w:val="24"/>
          <w:szCs w:val="24"/>
          <w:rtl/>
        </w:rPr>
        <w:t>פייסבוק</w:t>
      </w:r>
      <w:proofErr w:type="spellEnd"/>
      <w:r>
        <w:rPr>
          <w:rFonts w:ascii="David" w:hAnsi="David" w:cs="David" w:hint="cs"/>
          <w:sz w:val="24"/>
          <w:szCs w:val="24"/>
          <w:rtl/>
        </w:rPr>
        <w:t xml:space="preserve"> </w:t>
      </w:r>
      <w:r w:rsidR="00A110F0">
        <w:rPr>
          <w:rFonts w:ascii="David" w:hAnsi="David" w:cs="David" w:hint="cs"/>
          <w:sz w:val="24"/>
          <w:szCs w:val="24"/>
          <w:rtl/>
        </w:rPr>
        <w:t>יי</w:t>
      </w:r>
      <w:r>
        <w:rPr>
          <w:rFonts w:ascii="David" w:hAnsi="David" w:cs="David" w:hint="cs"/>
          <w:sz w:val="24"/>
          <w:szCs w:val="24"/>
          <w:rtl/>
        </w:rPr>
        <w:t>חשב כ"פרסום" ב</w:t>
      </w:r>
      <w:r w:rsidR="00A110F0">
        <w:rPr>
          <w:rFonts w:ascii="David" w:hAnsi="David" w:cs="David" w:hint="cs"/>
          <w:sz w:val="24"/>
          <w:szCs w:val="24"/>
          <w:rtl/>
        </w:rPr>
        <w:t xml:space="preserve">גדרי חוק </w:t>
      </w:r>
      <w:r>
        <w:rPr>
          <w:rFonts w:ascii="David" w:hAnsi="David" w:cs="David" w:hint="cs"/>
          <w:sz w:val="24"/>
          <w:szCs w:val="24"/>
          <w:rtl/>
        </w:rPr>
        <w:t>איסור לשון הרע</w:t>
      </w:r>
      <w:r>
        <w:rPr>
          <w:rStyle w:val="a5"/>
          <w:rFonts w:ascii="David" w:hAnsi="David" w:cs="David"/>
          <w:sz w:val="24"/>
          <w:szCs w:val="24"/>
          <w:rtl/>
        </w:rPr>
        <w:footnoteReference w:id="8"/>
      </w:r>
      <w:r w:rsidR="00A110F0">
        <w:rPr>
          <w:rFonts w:ascii="David" w:hAnsi="David" w:cs="David" w:hint="cs"/>
          <w:sz w:val="24"/>
          <w:szCs w:val="24"/>
          <w:rtl/>
        </w:rPr>
        <w:t xml:space="preserve">. </w:t>
      </w:r>
      <w:r w:rsidR="000832C9">
        <w:rPr>
          <w:rFonts w:ascii="David" w:hAnsi="David" w:cs="David" w:hint="cs"/>
          <w:sz w:val="24"/>
          <w:szCs w:val="24"/>
          <w:rtl/>
        </w:rPr>
        <w:t>מכאן נובעת השאלה, האם יש להקיש מהלכה זו גם לחוק למניעת הטרדות מיניות, ולקבוע כי גם שיתוף או הפצה בכל רשת חברתית במרחב האינטרנטי תחשב כ"שיתוף"?</w:t>
      </w:r>
      <w:r>
        <w:rPr>
          <w:rFonts w:ascii="David" w:hAnsi="David" w:cs="David" w:hint="cs"/>
          <w:sz w:val="24"/>
          <w:szCs w:val="24"/>
          <w:rtl/>
        </w:rPr>
        <w:t xml:space="preserve"> ברור כי ישנה בעייתיות באיתור כל מפיץ משני ברשת, </w:t>
      </w:r>
      <w:r w:rsidR="000832C9">
        <w:rPr>
          <w:rFonts w:ascii="David" w:hAnsi="David" w:cs="David" w:hint="cs"/>
          <w:sz w:val="24"/>
          <w:szCs w:val="24"/>
          <w:rtl/>
        </w:rPr>
        <w:t>מכיוון</w:t>
      </w:r>
      <w:r>
        <w:rPr>
          <w:rFonts w:ascii="David" w:hAnsi="David" w:cs="David" w:hint="cs"/>
          <w:sz w:val="24"/>
          <w:szCs w:val="24"/>
          <w:rtl/>
        </w:rPr>
        <w:t xml:space="preserve"> </w:t>
      </w:r>
      <w:r w:rsidR="000832C9">
        <w:rPr>
          <w:rFonts w:ascii="David" w:hAnsi="David" w:cs="David" w:hint="cs"/>
          <w:sz w:val="24"/>
          <w:szCs w:val="24"/>
          <w:rtl/>
        </w:rPr>
        <w:t>ו</w:t>
      </w:r>
      <w:r>
        <w:rPr>
          <w:rFonts w:ascii="David" w:hAnsi="David" w:cs="David" w:hint="cs"/>
          <w:sz w:val="24"/>
          <w:szCs w:val="24"/>
          <w:rtl/>
        </w:rPr>
        <w:t xml:space="preserve">כל אדם יכול בקלות למחוק את </w:t>
      </w:r>
      <w:r w:rsidR="000832C9">
        <w:rPr>
          <w:rFonts w:ascii="David" w:hAnsi="David" w:cs="David" w:hint="cs"/>
          <w:sz w:val="24"/>
          <w:szCs w:val="24"/>
          <w:rtl/>
        </w:rPr>
        <w:t>"</w:t>
      </w:r>
      <w:r>
        <w:rPr>
          <w:rFonts w:ascii="David" w:hAnsi="David" w:cs="David" w:hint="cs"/>
          <w:sz w:val="24"/>
          <w:szCs w:val="24"/>
          <w:rtl/>
        </w:rPr>
        <w:t>עקבותיו</w:t>
      </w:r>
      <w:r w:rsidR="000832C9">
        <w:rPr>
          <w:rFonts w:ascii="David" w:hAnsi="David" w:cs="David" w:hint="cs"/>
          <w:sz w:val="24"/>
          <w:szCs w:val="24"/>
          <w:rtl/>
        </w:rPr>
        <w:t>"</w:t>
      </w:r>
      <w:r>
        <w:rPr>
          <w:rFonts w:ascii="David" w:hAnsi="David" w:cs="David" w:hint="cs"/>
          <w:sz w:val="24"/>
          <w:szCs w:val="24"/>
          <w:rtl/>
        </w:rPr>
        <w:t xml:space="preserve"> או להפיץ דבר מה דרך משתמש אנונימי</w:t>
      </w:r>
      <w:r w:rsidR="000832C9">
        <w:rPr>
          <w:rFonts w:ascii="David" w:hAnsi="David" w:cs="David" w:hint="cs"/>
          <w:sz w:val="24"/>
          <w:szCs w:val="24"/>
          <w:rtl/>
        </w:rPr>
        <w:t xml:space="preserve">. למרות זאת, </w:t>
      </w:r>
      <w:r>
        <w:rPr>
          <w:rFonts w:ascii="David" w:hAnsi="David" w:cs="David" w:hint="cs"/>
          <w:sz w:val="24"/>
          <w:szCs w:val="24"/>
          <w:rtl/>
        </w:rPr>
        <w:t>ישנה חשיבות עליונה בעיניי לענישה מסוימת גם למפיצים</w:t>
      </w:r>
      <w:r w:rsidR="001B077F">
        <w:rPr>
          <w:rFonts w:ascii="David" w:hAnsi="David" w:cs="David" w:hint="cs"/>
          <w:sz w:val="24"/>
          <w:szCs w:val="24"/>
          <w:rtl/>
        </w:rPr>
        <w:t xml:space="preserve"> (שניתן וצריך לאתרם בגבולות האפשריים)</w:t>
      </w:r>
      <w:r>
        <w:rPr>
          <w:rFonts w:ascii="David" w:hAnsi="David" w:cs="David" w:hint="cs"/>
          <w:sz w:val="24"/>
          <w:szCs w:val="24"/>
          <w:rtl/>
        </w:rPr>
        <w:t>, אשר בלעדיהם הנזק לא היה מגיע לממדים שתפח</w:t>
      </w:r>
      <w:r w:rsidR="001B077F">
        <w:rPr>
          <w:rFonts w:ascii="David" w:hAnsi="David" w:cs="David" w:hint="cs"/>
          <w:sz w:val="24"/>
          <w:szCs w:val="24"/>
          <w:rtl/>
        </w:rPr>
        <w:t>.</w:t>
      </w:r>
      <w:r>
        <w:rPr>
          <w:rFonts w:ascii="David" w:hAnsi="David" w:cs="David" w:hint="cs"/>
          <w:sz w:val="24"/>
          <w:szCs w:val="24"/>
          <w:rtl/>
        </w:rPr>
        <w:t xml:space="preserve"> תוחלת נזקי הנפגע עולה</w:t>
      </w:r>
      <w:r w:rsidR="00C53C43">
        <w:rPr>
          <w:rFonts w:ascii="David" w:hAnsi="David" w:cs="David" w:hint="cs"/>
          <w:sz w:val="24"/>
          <w:szCs w:val="24"/>
          <w:rtl/>
        </w:rPr>
        <w:t xml:space="preserve"> משמעותית</w:t>
      </w:r>
      <w:r>
        <w:rPr>
          <w:rFonts w:ascii="David" w:hAnsi="David" w:cs="David" w:hint="cs"/>
          <w:sz w:val="24"/>
          <w:szCs w:val="24"/>
          <w:rtl/>
        </w:rPr>
        <w:t xml:space="preserve"> עקב ההפצה המשנית</w:t>
      </w:r>
      <w:r>
        <w:rPr>
          <w:rStyle w:val="a5"/>
          <w:rFonts w:ascii="David" w:hAnsi="David" w:cs="David"/>
          <w:sz w:val="24"/>
          <w:szCs w:val="24"/>
          <w:rtl/>
        </w:rPr>
        <w:footnoteReference w:id="9"/>
      </w:r>
      <w:r>
        <w:rPr>
          <w:rFonts w:ascii="David" w:hAnsi="David" w:cs="David" w:hint="cs"/>
          <w:sz w:val="24"/>
          <w:szCs w:val="24"/>
          <w:rtl/>
        </w:rPr>
        <w:t>.</w:t>
      </w:r>
      <w:r w:rsidR="000832C9">
        <w:rPr>
          <w:rFonts w:ascii="David" w:hAnsi="David" w:cs="David" w:hint="cs"/>
          <w:sz w:val="24"/>
          <w:szCs w:val="24"/>
          <w:rtl/>
        </w:rPr>
        <w:t xml:space="preserve"> </w:t>
      </w:r>
      <w:r w:rsidR="0029044F">
        <w:rPr>
          <w:rFonts w:ascii="David" w:hAnsi="David" w:cs="David" w:hint="cs"/>
          <w:sz w:val="24"/>
          <w:szCs w:val="24"/>
          <w:rtl/>
        </w:rPr>
        <w:t>לענישה הפלילית מטרות רבות, וביניהן הרתעה, מניעה ושיקום. לדעתי, יש</w:t>
      </w:r>
      <w:r w:rsidR="001B077F">
        <w:rPr>
          <w:rFonts w:ascii="David" w:hAnsi="David" w:cs="David" w:hint="cs"/>
          <w:sz w:val="24"/>
          <w:szCs w:val="24"/>
          <w:rtl/>
        </w:rPr>
        <w:t>נה</w:t>
      </w:r>
      <w:r w:rsidR="0029044F">
        <w:rPr>
          <w:rFonts w:ascii="David" w:hAnsi="David" w:cs="David" w:hint="cs"/>
          <w:sz w:val="24"/>
          <w:szCs w:val="24"/>
          <w:rtl/>
        </w:rPr>
        <w:t xml:space="preserve"> חשיבות עליונה בהגשמת מטרות אלו, ולכן, ע"מ לגרום להרתע</w:t>
      </w:r>
      <w:r w:rsidR="004C5DAD">
        <w:rPr>
          <w:rFonts w:ascii="David" w:hAnsi="David" w:cs="David" w:hint="cs"/>
          <w:sz w:val="24"/>
          <w:szCs w:val="24"/>
          <w:rtl/>
        </w:rPr>
        <w:t xml:space="preserve">ת </w:t>
      </w:r>
      <w:r w:rsidR="0029044F">
        <w:rPr>
          <w:rFonts w:ascii="David" w:hAnsi="David" w:cs="David" w:hint="cs"/>
          <w:sz w:val="24"/>
          <w:szCs w:val="24"/>
          <w:rtl/>
        </w:rPr>
        <w:t xml:space="preserve">מפיצים פוטנציאלים, מיגור התופעה החמורה ו"שיקום" המפיצים </w:t>
      </w:r>
      <w:r w:rsidR="0029044F">
        <w:rPr>
          <w:rFonts w:ascii="David" w:hAnsi="David" w:cs="David"/>
          <w:sz w:val="24"/>
          <w:szCs w:val="24"/>
          <w:rtl/>
        </w:rPr>
        <w:t>–</w:t>
      </w:r>
      <w:r w:rsidR="0029044F">
        <w:rPr>
          <w:rFonts w:ascii="David" w:hAnsi="David" w:cs="David" w:hint="cs"/>
          <w:sz w:val="24"/>
          <w:szCs w:val="24"/>
          <w:rtl/>
        </w:rPr>
        <w:t xml:space="preserve"> </w:t>
      </w:r>
      <w:r w:rsidR="0029044F" w:rsidRPr="001B077F">
        <w:rPr>
          <w:rFonts w:ascii="David" w:hAnsi="David" w:cs="David" w:hint="cs"/>
          <w:b/>
          <w:bCs/>
          <w:sz w:val="24"/>
          <w:szCs w:val="24"/>
          <w:rtl/>
        </w:rPr>
        <w:t>יש להחיל על המפיצים המשניים ענישה מיוחדת</w:t>
      </w:r>
      <w:r w:rsidR="0029044F">
        <w:rPr>
          <w:rFonts w:ascii="David" w:hAnsi="David" w:cs="David" w:hint="cs"/>
          <w:sz w:val="24"/>
          <w:szCs w:val="24"/>
          <w:rtl/>
        </w:rPr>
        <w:t xml:space="preserve"> שלא כוללת כליאה</w:t>
      </w:r>
      <w:r w:rsidR="00E01EA5">
        <w:rPr>
          <w:rFonts w:ascii="David" w:hAnsi="David" w:cs="David" w:hint="cs"/>
          <w:sz w:val="24"/>
          <w:szCs w:val="24"/>
          <w:rtl/>
        </w:rPr>
        <w:t xml:space="preserve"> והרשעה פלילי</w:t>
      </w:r>
      <w:r w:rsidR="001660D9">
        <w:rPr>
          <w:rFonts w:ascii="David" w:hAnsi="David" w:cs="David" w:hint="cs"/>
          <w:sz w:val="24"/>
          <w:szCs w:val="24"/>
          <w:rtl/>
        </w:rPr>
        <w:t>ת.</w:t>
      </w:r>
      <w:r w:rsidR="0029044F">
        <w:rPr>
          <w:rFonts w:ascii="David" w:hAnsi="David" w:cs="David" w:hint="cs"/>
          <w:sz w:val="24"/>
          <w:szCs w:val="24"/>
          <w:rtl/>
        </w:rPr>
        <w:t xml:space="preserve"> </w:t>
      </w:r>
      <w:r w:rsidR="00E01EA5">
        <w:rPr>
          <w:rFonts w:ascii="David" w:hAnsi="David" w:cs="David" w:hint="cs"/>
          <w:sz w:val="24"/>
          <w:szCs w:val="24"/>
          <w:rtl/>
        </w:rPr>
        <w:t>טשטוש הגבולות</w:t>
      </w:r>
      <w:r w:rsidR="00F575FA">
        <w:rPr>
          <w:rFonts w:ascii="David" w:hAnsi="David" w:cs="David" w:hint="cs"/>
          <w:sz w:val="24"/>
          <w:szCs w:val="24"/>
          <w:rtl/>
        </w:rPr>
        <w:t xml:space="preserve"> ברשתות החברתיות בין המותר לאסור, בין מעשה מקובל חברתית לכזה שאינו לגיטימי,</w:t>
      </w:r>
      <w:r w:rsidR="00E01EA5">
        <w:rPr>
          <w:rFonts w:ascii="David" w:hAnsi="David" w:cs="David" w:hint="cs"/>
          <w:sz w:val="24"/>
          <w:szCs w:val="24"/>
          <w:rtl/>
        </w:rPr>
        <w:t xml:space="preserve"> </w:t>
      </w:r>
      <w:r w:rsidR="00F575FA">
        <w:rPr>
          <w:rFonts w:ascii="David" w:hAnsi="David" w:cs="David" w:hint="cs"/>
          <w:sz w:val="24"/>
          <w:szCs w:val="24"/>
          <w:rtl/>
        </w:rPr>
        <w:t>הוא תופעה נפוצה. הוא נובע</w:t>
      </w:r>
      <w:r w:rsidR="00E01EA5">
        <w:rPr>
          <w:rFonts w:ascii="David" w:hAnsi="David" w:cs="David" w:hint="cs"/>
          <w:sz w:val="24"/>
          <w:szCs w:val="24"/>
          <w:rtl/>
        </w:rPr>
        <w:t xml:space="preserve"> בעיקר מהעבודה כי כל אדם יושב בביתו או במשרדו</w:t>
      </w:r>
      <w:r w:rsidR="00F575FA">
        <w:rPr>
          <w:rFonts w:ascii="David" w:hAnsi="David" w:cs="David" w:hint="cs"/>
          <w:sz w:val="24"/>
          <w:szCs w:val="24"/>
          <w:rtl/>
        </w:rPr>
        <w:t xml:space="preserve"> </w:t>
      </w:r>
      <w:r w:rsidR="00F575FA" w:rsidRPr="00F575FA">
        <w:rPr>
          <w:rFonts w:ascii="David" w:hAnsi="David" w:cs="David" w:hint="cs"/>
          <w:b/>
          <w:bCs/>
          <w:sz w:val="24"/>
          <w:szCs w:val="24"/>
          <w:rtl/>
        </w:rPr>
        <w:t xml:space="preserve">מול מסך </w:t>
      </w:r>
      <w:r w:rsidR="00F575FA">
        <w:rPr>
          <w:rFonts w:ascii="David" w:hAnsi="David" w:cs="David" w:hint="cs"/>
          <w:sz w:val="24"/>
          <w:szCs w:val="24"/>
          <w:rtl/>
        </w:rPr>
        <w:t>(ולא מול גורם אנושי),</w:t>
      </w:r>
      <w:r w:rsidR="00E01EA5">
        <w:rPr>
          <w:rFonts w:ascii="David" w:hAnsi="David" w:cs="David" w:hint="cs"/>
          <w:sz w:val="24"/>
          <w:szCs w:val="24"/>
          <w:rtl/>
        </w:rPr>
        <w:t xml:space="preserve"> ויכול לפרסם כל דבר </w:t>
      </w:r>
      <w:r w:rsidR="00F575FA">
        <w:rPr>
          <w:rFonts w:ascii="David" w:hAnsi="David" w:cs="David" w:hint="cs"/>
          <w:sz w:val="24"/>
          <w:szCs w:val="24"/>
          <w:rtl/>
        </w:rPr>
        <w:t>ה</w:t>
      </w:r>
      <w:r w:rsidR="00E01EA5">
        <w:rPr>
          <w:rFonts w:ascii="David" w:hAnsi="David" w:cs="David" w:hint="cs"/>
          <w:sz w:val="24"/>
          <w:szCs w:val="24"/>
          <w:rtl/>
        </w:rPr>
        <w:t>עולה על רוחו בלא שיצטרך להתמודד פיזית עם ההשלכות</w:t>
      </w:r>
      <w:r w:rsidR="00F575FA">
        <w:rPr>
          <w:rFonts w:ascii="David" w:hAnsi="David" w:cs="David" w:hint="cs"/>
          <w:sz w:val="24"/>
          <w:szCs w:val="24"/>
          <w:rtl/>
        </w:rPr>
        <w:t>.</w:t>
      </w:r>
      <w:r w:rsidR="00E01EA5">
        <w:rPr>
          <w:rFonts w:ascii="David" w:hAnsi="David" w:cs="David" w:hint="cs"/>
          <w:sz w:val="24"/>
          <w:szCs w:val="24"/>
          <w:rtl/>
        </w:rPr>
        <w:t xml:space="preserve"> לא מדובר באנשים המהווים סכנה לציבור באופן ממשי או בעבריינים סדרתיים, אלא אנשים נורמטיבי</w:t>
      </w:r>
      <w:r w:rsidR="001660D9">
        <w:rPr>
          <w:rFonts w:ascii="David" w:hAnsi="David" w:cs="David" w:hint="cs"/>
          <w:sz w:val="24"/>
          <w:szCs w:val="24"/>
          <w:rtl/>
        </w:rPr>
        <w:t>י</w:t>
      </w:r>
      <w:r w:rsidR="00E01EA5">
        <w:rPr>
          <w:rFonts w:ascii="David" w:hAnsi="David" w:cs="David" w:hint="cs"/>
          <w:sz w:val="24"/>
          <w:szCs w:val="24"/>
          <w:rtl/>
        </w:rPr>
        <w:t>ם</w:t>
      </w:r>
      <w:r w:rsidR="001660D9">
        <w:rPr>
          <w:rFonts w:ascii="David" w:hAnsi="David" w:cs="David" w:hint="cs"/>
          <w:sz w:val="24"/>
          <w:szCs w:val="24"/>
          <w:rtl/>
        </w:rPr>
        <w:t xml:space="preserve"> שתהיה זו טעות להכניסם בין שערי בית הכלא ולבצע להם רישום פלילי, אשר אך ורק יפגע בהם ולא ישרת את האינטרס הציבורי בעתיד (המטרה כאן היא לא "הרחקה" של אדם מסוכן). לדעתי, הדרך הטובה ביותר לנסות "לחנך" את המפיצים היא</w:t>
      </w:r>
      <w:r w:rsidR="00E01EA5">
        <w:rPr>
          <w:rFonts w:ascii="David" w:hAnsi="David" w:cs="David" w:hint="cs"/>
          <w:sz w:val="24"/>
          <w:szCs w:val="24"/>
          <w:rtl/>
        </w:rPr>
        <w:t xml:space="preserve"> </w:t>
      </w:r>
      <w:r w:rsidR="001660D9" w:rsidRPr="00E01EA5">
        <w:rPr>
          <w:rFonts w:ascii="David" w:hAnsi="David" w:cs="David" w:hint="cs"/>
          <w:b/>
          <w:bCs/>
          <w:sz w:val="24"/>
          <w:szCs w:val="24"/>
          <w:rtl/>
        </w:rPr>
        <w:t>שירות לציבור</w:t>
      </w:r>
      <w:r w:rsidR="001660D9">
        <w:rPr>
          <w:rStyle w:val="a5"/>
          <w:rFonts w:ascii="David" w:hAnsi="David" w:cs="David"/>
          <w:sz w:val="24"/>
          <w:szCs w:val="24"/>
          <w:rtl/>
        </w:rPr>
        <w:footnoteReference w:id="10"/>
      </w:r>
      <w:r w:rsidR="001660D9">
        <w:rPr>
          <w:rFonts w:ascii="David" w:hAnsi="David" w:cs="David" w:hint="cs"/>
          <w:b/>
          <w:bCs/>
          <w:sz w:val="24"/>
          <w:szCs w:val="24"/>
          <w:rtl/>
        </w:rPr>
        <w:t xml:space="preserve"> </w:t>
      </w:r>
      <w:r w:rsidR="001660D9">
        <w:rPr>
          <w:rFonts w:ascii="David" w:hAnsi="David" w:cs="David" w:hint="cs"/>
          <w:sz w:val="24"/>
          <w:szCs w:val="24"/>
          <w:rtl/>
        </w:rPr>
        <w:t xml:space="preserve">עם נפגעות תקיפה מינית. יש כאלה שוודאי יתנגדו לרעיון ויטענו </w:t>
      </w:r>
      <w:r w:rsidR="00D16B2A">
        <w:rPr>
          <w:rFonts w:ascii="David" w:hAnsi="David" w:cs="David" w:hint="cs"/>
          <w:sz w:val="24"/>
          <w:szCs w:val="24"/>
          <w:rtl/>
        </w:rPr>
        <w:t>ש</w:t>
      </w:r>
      <w:r w:rsidR="001660D9">
        <w:rPr>
          <w:rFonts w:ascii="David" w:hAnsi="David" w:cs="David" w:hint="cs"/>
          <w:sz w:val="24"/>
          <w:szCs w:val="24"/>
          <w:rtl/>
        </w:rPr>
        <w:t xml:space="preserve">אין </w:t>
      </w:r>
      <w:r w:rsidR="00D16B2A">
        <w:rPr>
          <w:rFonts w:ascii="David" w:hAnsi="David" w:cs="David" w:hint="cs"/>
          <w:sz w:val="24"/>
          <w:szCs w:val="24"/>
          <w:rtl/>
        </w:rPr>
        <w:t>זה תפקידו</w:t>
      </w:r>
      <w:r w:rsidR="001660D9">
        <w:rPr>
          <w:rFonts w:ascii="David" w:hAnsi="David" w:cs="David" w:hint="cs"/>
          <w:sz w:val="24"/>
          <w:szCs w:val="24"/>
          <w:rtl/>
        </w:rPr>
        <w:t xml:space="preserve"> של בית המשפט לחנך את הציבור לערכים מסוימים. אך עדיין, אני סבורה </w:t>
      </w:r>
      <w:r w:rsidR="00D16B2A">
        <w:rPr>
          <w:rFonts w:ascii="David" w:hAnsi="David" w:cs="David" w:hint="cs"/>
          <w:sz w:val="24"/>
          <w:szCs w:val="24"/>
          <w:rtl/>
        </w:rPr>
        <w:t>ש</w:t>
      </w:r>
      <w:r w:rsidR="001660D9">
        <w:rPr>
          <w:rFonts w:ascii="David" w:hAnsi="David" w:cs="David" w:hint="cs"/>
          <w:sz w:val="24"/>
          <w:szCs w:val="24"/>
          <w:rtl/>
        </w:rPr>
        <w:t>אין אדם שלא יסכים עמי כי הפצת הסרטונים ברשת הפכה לרעה חולה בשנים האחרונות</w:t>
      </w:r>
      <w:r w:rsidR="00FD44A2">
        <w:rPr>
          <w:rFonts w:ascii="David" w:hAnsi="David" w:cs="David" w:hint="cs"/>
          <w:sz w:val="24"/>
          <w:szCs w:val="24"/>
          <w:rtl/>
        </w:rPr>
        <w:t xml:space="preserve">. על כן, עלינו </w:t>
      </w:r>
      <w:r w:rsidR="001660D9">
        <w:rPr>
          <w:rFonts w:ascii="David" w:hAnsi="David" w:cs="David" w:hint="cs"/>
          <w:sz w:val="24"/>
          <w:szCs w:val="24"/>
          <w:rtl/>
        </w:rPr>
        <w:t>ל</w:t>
      </w:r>
      <w:r w:rsidR="00FD44A2">
        <w:rPr>
          <w:rFonts w:ascii="David" w:hAnsi="David" w:cs="David" w:hint="cs"/>
          <w:sz w:val="24"/>
          <w:szCs w:val="24"/>
          <w:rtl/>
        </w:rPr>
        <w:t xml:space="preserve">עקור </w:t>
      </w:r>
      <w:r w:rsidR="001660D9">
        <w:rPr>
          <w:rFonts w:ascii="David" w:hAnsi="David" w:cs="David" w:hint="cs"/>
          <w:sz w:val="24"/>
          <w:szCs w:val="24"/>
          <w:rtl/>
        </w:rPr>
        <w:t xml:space="preserve">תופעה הזו מן השורש. </w:t>
      </w:r>
      <w:proofErr w:type="spellStart"/>
      <w:r w:rsidR="001660D9">
        <w:rPr>
          <w:rFonts w:ascii="David" w:hAnsi="David" w:cs="David" w:hint="cs"/>
          <w:sz w:val="24"/>
          <w:szCs w:val="24"/>
          <w:rtl/>
        </w:rPr>
        <w:t>של"צ</w:t>
      </w:r>
      <w:proofErr w:type="spellEnd"/>
      <w:r w:rsidR="001660D9">
        <w:rPr>
          <w:rFonts w:ascii="David" w:hAnsi="David" w:cs="David" w:hint="cs"/>
          <w:sz w:val="24"/>
          <w:szCs w:val="24"/>
          <w:rtl/>
        </w:rPr>
        <w:t xml:space="preserve">, בניגוד לעבודות שירות, מוגבל עד לתקופה של שנה, אינו מחייב רישום פלילי כאמור, ואינו משבש לחלוטין את רוטינת החיים של המתנדב. להערכתי, כאשר אדם שהפיץ סרטון וגרם בכך נזק רב לקורבן העבירה ייפגש עם נפגעות תקיפה מינית וייחשף לעוצמת הפגיעה העמוקה שהן חוו </w:t>
      </w:r>
      <w:r w:rsidR="001660D9">
        <w:rPr>
          <w:rFonts w:ascii="David" w:hAnsi="David" w:cs="David"/>
          <w:sz w:val="24"/>
          <w:szCs w:val="24"/>
          <w:rtl/>
        </w:rPr>
        <w:t>–</w:t>
      </w:r>
      <w:r w:rsidR="001660D9">
        <w:rPr>
          <w:rFonts w:ascii="David" w:hAnsi="David" w:cs="David" w:hint="cs"/>
          <w:sz w:val="24"/>
          <w:szCs w:val="24"/>
          <w:rtl/>
        </w:rPr>
        <w:t xml:space="preserve"> הוא לא יבצע מעשה שכזה בשנית, ואף ייתכן וינסה להניא את חבריו מלעשות כן בעתיד. </w:t>
      </w:r>
      <w:r w:rsidR="001B077F">
        <w:rPr>
          <w:rFonts w:ascii="David" w:hAnsi="David" w:cs="David" w:hint="cs"/>
          <w:sz w:val="24"/>
          <w:szCs w:val="24"/>
          <w:rtl/>
        </w:rPr>
        <w:t xml:space="preserve">בעזרת רתימת שיתוף פעולה בין המשטרה (לאיתור ברשת של המפיצים), בית המשפט (במתן גזר דין של </w:t>
      </w:r>
      <w:proofErr w:type="spellStart"/>
      <w:r w:rsidR="001B077F">
        <w:rPr>
          <w:rFonts w:ascii="David" w:hAnsi="David" w:cs="David" w:hint="cs"/>
          <w:sz w:val="24"/>
          <w:szCs w:val="24"/>
          <w:rtl/>
        </w:rPr>
        <w:t>של"צ</w:t>
      </w:r>
      <w:proofErr w:type="spellEnd"/>
      <w:r w:rsidR="001B077F">
        <w:rPr>
          <w:rFonts w:ascii="David" w:hAnsi="David" w:cs="David" w:hint="cs"/>
          <w:sz w:val="24"/>
          <w:szCs w:val="24"/>
          <w:rtl/>
        </w:rPr>
        <w:t>) והמפיץ, ייתכן ונצליח ל</w:t>
      </w:r>
      <w:r w:rsidR="00AE0515">
        <w:rPr>
          <w:rFonts w:ascii="David" w:hAnsi="David" w:cs="David" w:hint="cs"/>
          <w:sz w:val="24"/>
          <w:szCs w:val="24"/>
          <w:rtl/>
        </w:rPr>
        <w:t>מנוע את התפשטות התופעה ולצמצמה.</w:t>
      </w:r>
    </w:p>
    <w:p w:rsidR="00F7735F" w:rsidRPr="000832C9" w:rsidRDefault="00AE0515" w:rsidP="00D006AA">
      <w:pPr>
        <w:spacing w:line="300" w:lineRule="auto"/>
        <w:jc w:val="both"/>
        <w:rPr>
          <w:rFonts w:ascii="David" w:hAnsi="David" w:cs="David"/>
          <w:sz w:val="24"/>
          <w:szCs w:val="24"/>
          <w:rtl/>
        </w:rPr>
      </w:pPr>
      <w:r>
        <w:rPr>
          <w:rFonts w:ascii="David" w:hAnsi="David" w:cs="David" w:hint="cs"/>
          <w:sz w:val="24"/>
          <w:szCs w:val="24"/>
          <w:rtl/>
        </w:rPr>
        <w:t>לסיכום, מאמרם של ד"ר הדר דנציג-רוזנברג וד"ר רוני רוזנברג</w:t>
      </w:r>
      <w:r w:rsidR="00F75461">
        <w:rPr>
          <w:rFonts w:ascii="David" w:hAnsi="David" w:cs="David" w:hint="cs"/>
          <w:sz w:val="24"/>
          <w:szCs w:val="24"/>
          <w:rtl/>
        </w:rPr>
        <w:t xml:space="preserve"> </w:t>
      </w:r>
      <w:r w:rsidR="00307EFA">
        <w:rPr>
          <w:rFonts w:ascii="David" w:hAnsi="David" w:cs="David" w:hint="cs"/>
          <w:sz w:val="24"/>
          <w:szCs w:val="24"/>
          <w:rtl/>
        </w:rPr>
        <w:t>דן</w:t>
      </w:r>
      <w:r w:rsidR="00F75461">
        <w:rPr>
          <w:rFonts w:ascii="David" w:hAnsi="David" w:cs="David" w:hint="cs"/>
          <w:sz w:val="24"/>
          <w:szCs w:val="24"/>
          <w:rtl/>
        </w:rPr>
        <w:t xml:space="preserve"> בנושא </w:t>
      </w:r>
      <w:r w:rsidR="00307EFA">
        <w:rPr>
          <w:rFonts w:ascii="David" w:hAnsi="David" w:cs="David" w:hint="cs"/>
          <w:sz w:val="24"/>
          <w:szCs w:val="24"/>
          <w:rtl/>
        </w:rPr>
        <w:t>חשוב</w:t>
      </w:r>
      <w:r w:rsidR="004A12A3">
        <w:rPr>
          <w:rFonts w:ascii="David" w:hAnsi="David" w:cs="David" w:hint="cs"/>
          <w:sz w:val="24"/>
          <w:szCs w:val="24"/>
          <w:rtl/>
        </w:rPr>
        <w:t>, כואב ו</w:t>
      </w:r>
      <w:r w:rsidR="00307EFA">
        <w:rPr>
          <w:rFonts w:ascii="David" w:hAnsi="David" w:cs="David" w:hint="cs"/>
          <w:sz w:val="24"/>
          <w:szCs w:val="24"/>
          <w:rtl/>
        </w:rPr>
        <w:t>רלוונטי מאוד לימינו</w:t>
      </w:r>
      <w:r w:rsidR="00D5360D">
        <w:rPr>
          <w:rFonts w:ascii="David" w:hAnsi="David" w:cs="David" w:hint="cs"/>
          <w:sz w:val="24"/>
          <w:szCs w:val="24"/>
          <w:rtl/>
        </w:rPr>
        <w:t>- פורנוגרפיית נקם</w:t>
      </w:r>
      <w:r w:rsidR="004A12A3">
        <w:rPr>
          <w:rFonts w:ascii="David" w:hAnsi="David" w:cs="David" w:hint="cs"/>
          <w:sz w:val="24"/>
          <w:szCs w:val="24"/>
          <w:rtl/>
        </w:rPr>
        <w:t>. הגדירה זאת הגמרא בצורה מדויקת: "</w:t>
      </w:r>
      <w:r w:rsidR="004A12A3" w:rsidRPr="004A12A3">
        <w:rPr>
          <w:rFonts w:ascii="David" w:hAnsi="David" w:cs="David"/>
          <w:sz w:val="24"/>
          <w:szCs w:val="24"/>
          <w:rtl/>
        </w:rPr>
        <w:t>כל המלבין פני חברו כאילו שופך דמים</w:t>
      </w:r>
      <w:r w:rsidR="004A12A3">
        <w:rPr>
          <w:rStyle w:val="a5"/>
          <w:rFonts w:ascii="David" w:hAnsi="David" w:cs="David"/>
          <w:sz w:val="24"/>
          <w:szCs w:val="24"/>
          <w:rtl/>
        </w:rPr>
        <w:footnoteReference w:id="11"/>
      </w:r>
      <w:r w:rsidR="004A12A3" w:rsidRPr="004A12A3">
        <w:rPr>
          <w:rFonts w:ascii="David" w:hAnsi="David" w:cs="David"/>
          <w:sz w:val="24"/>
          <w:szCs w:val="24"/>
          <w:rtl/>
        </w:rPr>
        <w:t>"</w:t>
      </w:r>
      <w:r w:rsidR="004A12A3">
        <w:rPr>
          <w:rFonts w:ascii="David" w:hAnsi="David" w:cs="David" w:hint="cs"/>
          <w:sz w:val="24"/>
          <w:szCs w:val="24"/>
          <w:rtl/>
        </w:rPr>
        <w:t xml:space="preserve">. </w:t>
      </w:r>
      <w:r w:rsidR="00307EFA">
        <w:rPr>
          <w:rFonts w:ascii="David" w:hAnsi="David" w:cs="David" w:hint="cs"/>
          <w:sz w:val="24"/>
          <w:szCs w:val="24"/>
          <w:rtl/>
        </w:rPr>
        <w:t>מכיוון</w:t>
      </w:r>
      <w:r w:rsidR="004A12A3">
        <w:rPr>
          <w:rFonts w:ascii="David" w:hAnsi="David" w:cs="David" w:hint="cs"/>
          <w:sz w:val="24"/>
          <w:szCs w:val="24"/>
          <w:rtl/>
        </w:rPr>
        <w:t xml:space="preserve"> שכותבי המאמר</w:t>
      </w:r>
      <w:r w:rsidR="00307EFA">
        <w:rPr>
          <w:rFonts w:ascii="David" w:hAnsi="David" w:cs="David" w:hint="cs"/>
          <w:sz w:val="24"/>
          <w:szCs w:val="24"/>
          <w:rtl/>
        </w:rPr>
        <w:t xml:space="preserve"> ניסו להתפרש על כמה שיותר סוגיות, המאמר לוקה ב</w:t>
      </w:r>
      <w:r w:rsidR="00D5360D">
        <w:rPr>
          <w:rFonts w:ascii="David" w:hAnsi="David" w:cs="David" w:hint="cs"/>
          <w:sz w:val="24"/>
          <w:szCs w:val="24"/>
          <w:rtl/>
        </w:rPr>
        <w:t>חבר ב</w:t>
      </w:r>
      <w:r w:rsidR="004A12A3">
        <w:rPr>
          <w:rFonts w:ascii="David" w:hAnsi="David" w:cs="David" w:hint="cs"/>
          <w:sz w:val="24"/>
          <w:szCs w:val="24"/>
          <w:rtl/>
        </w:rPr>
        <w:t>מספר נקודות לטעמ</w:t>
      </w:r>
      <w:r w:rsidR="00D5360D">
        <w:rPr>
          <w:rFonts w:ascii="David" w:hAnsi="David" w:cs="David" w:hint="cs"/>
          <w:sz w:val="24"/>
          <w:szCs w:val="24"/>
          <w:rtl/>
        </w:rPr>
        <w:t>י- ב</w:t>
      </w:r>
      <w:r w:rsidR="00307EFA">
        <w:rPr>
          <w:rFonts w:ascii="David" w:hAnsi="David" w:cs="David" w:hint="cs"/>
          <w:sz w:val="24"/>
          <w:szCs w:val="24"/>
          <w:rtl/>
        </w:rPr>
        <w:t>נוגע להיקף האיסור וההפצה</w:t>
      </w:r>
      <w:r w:rsidR="00D5360D">
        <w:rPr>
          <w:rFonts w:ascii="David" w:hAnsi="David" w:cs="David" w:hint="cs"/>
          <w:sz w:val="24"/>
          <w:szCs w:val="24"/>
          <w:rtl/>
        </w:rPr>
        <w:t xml:space="preserve">, </w:t>
      </w:r>
      <w:r w:rsidR="00307EFA">
        <w:rPr>
          <w:rFonts w:ascii="David" w:hAnsi="David" w:cs="David" w:hint="cs"/>
          <w:sz w:val="24"/>
          <w:szCs w:val="24"/>
          <w:rtl/>
        </w:rPr>
        <w:t xml:space="preserve">ובנוגע לאחריות פלילית וענישה מתאימה למפיצים משניים. </w:t>
      </w:r>
      <w:r w:rsidR="00D5360D">
        <w:rPr>
          <w:rFonts w:ascii="David" w:hAnsi="David" w:cs="David" w:hint="cs"/>
          <w:sz w:val="24"/>
          <w:szCs w:val="24"/>
          <w:rtl/>
        </w:rPr>
        <w:t>למרות זאת, אני מבינה</w:t>
      </w:r>
      <w:r w:rsidR="00D006AA">
        <w:rPr>
          <w:rFonts w:ascii="David" w:hAnsi="David" w:cs="David" w:hint="cs"/>
          <w:sz w:val="24"/>
          <w:szCs w:val="24"/>
          <w:rtl/>
        </w:rPr>
        <w:t xml:space="preserve"> </w:t>
      </w:r>
      <w:r w:rsidR="00D5360D">
        <w:rPr>
          <w:rFonts w:ascii="David" w:hAnsi="David" w:cs="David" w:hint="cs"/>
          <w:sz w:val="24"/>
          <w:szCs w:val="24"/>
          <w:rtl/>
        </w:rPr>
        <w:t xml:space="preserve">את האילוצים, הקושי והרצון לגעת בכמה שיותר נקודות, ובנוסף גם להעמיק בנקודות שלדעתם היו חשובות ומהותיות יותר. </w:t>
      </w:r>
    </w:p>
    <w:sectPr w:rsidR="00F7735F" w:rsidRPr="000832C9" w:rsidSect="007A161F">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32" w:rsidRDefault="00454F32" w:rsidP="005771C2">
      <w:pPr>
        <w:spacing w:after="0" w:line="240" w:lineRule="auto"/>
      </w:pPr>
      <w:r>
        <w:separator/>
      </w:r>
    </w:p>
  </w:endnote>
  <w:endnote w:type="continuationSeparator" w:id="0">
    <w:p w:rsidR="00454F32" w:rsidRDefault="00454F32" w:rsidP="0057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32" w:rsidRDefault="00454F32" w:rsidP="005771C2">
      <w:pPr>
        <w:spacing w:after="0" w:line="240" w:lineRule="auto"/>
      </w:pPr>
      <w:r>
        <w:separator/>
      </w:r>
    </w:p>
  </w:footnote>
  <w:footnote w:type="continuationSeparator" w:id="0">
    <w:p w:rsidR="00454F32" w:rsidRDefault="00454F32" w:rsidP="005771C2">
      <w:pPr>
        <w:spacing w:after="0" w:line="240" w:lineRule="auto"/>
      </w:pPr>
      <w:r>
        <w:continuationSeparator/>
      </w:r>
    </w:p>
  </w:footnote>
  <w:footnote w:id="1">
    <w:p w:rsidR="00CF2D8F" w:rsidRPr="0023054B" w:rsidRDefault="00CF2D8F">
      <w:pPr>
        <w:pStyle w:val="a3"/>
        <w:rPr>
          <w:rtl/>
        </w:rPr>
      </w:pPr>
      <w:r>
        <w:rPr>
          <w:rFonts w:cs="Arial"/>
        </w:rPr>
        <w:t xml:space="preserve"> </w:t>
      </w:r>
      <w:r>
        <w:rPr>
          <w:rStyle w:val="a5"/>
        </w:rPr>
        <w:footnoteRef/>
      </w:r>
      <w:r w:rsidRPr="0023054B">
        <w:rPr>
          <w:rFonts w:cs="Arial"/>
          <w:rtl/>
        </w:rPr>
        <w:t>הדר דנציג-רוזנברג, רוני רוזנברג</w:t>
      </w:r>
      <w:r>
        <w:rPr>
          <w:rFonts w:hint="cs"/>
          <w:rtl/>
        </w:rPr>
        <w:t xml:space="preserve"> "פורנוגרפיית נקם כהטרדה מינית" </w:t>
      </w:r>
      <w:r w:rsidRPr="00A242DE">
        <w:rPr>
          <w:rFonts w:cs="Arial"/>
          <w:b/>
          <w:bCs/>
          <w:rtl/>
        </w:rPr>
        <w:t>חוקים</w:t>
      </w:r>
      <w:r w:rsidRPr="00A242DE">
        <w:rPr>
          <w:rFonts w:cs="Arial"/>
          <w:rtl/>
        </w:rPr>
        <w:t xml:space="preserve"> ט 265</w:t>
      </w:r>
      <w:r>
        <w:rPr>
          <w:rFonts w:cs="Arial" w:hint="cs"/>
          <w:rtl/>
        </w:rPr>
        <w:t xml:space="preserve"> </w:t>
      </w:r>
      <w:r w:rsidRPr="00A242DE">
        <w:rPr>
          <w:rFonts w:cs="Arial"/>
          <w:rtl/>
        </w:rPr>
        <w:t>(2017)</w:t>
      </w:r>
      <w:r>
        <w:rPr>
          <w:rFonts w:hint="cs"/>
          <w:rtl/>
        </w:rPr>
        <w:t xml:space="preserve"> (להלן: המאמר).</w:t>
      </w:r>
    </w:p>
  </w:footnote>
  <w:footnote w:id="2">
    <w:p w:rsidR="00CF2D8F" w:rsidRDefault="00CF2D8F" w:rsidP="008F1C4D">
      <w:pPr>
        <w:pStyle w:val="a3"/>
        <w:rPr>
          <w:rtl/>
        </w:rPr>
      </w:pPr>
      <w:r>
        <w:rPr>
          <w:rStyle w:val="a5"/>
        </w:rPr>
        <w:footnoteRef/>
      </w:r>
      <w:r>
        <w:rPr>
          <w:rFonts w:hint="cs"/>
          <w:rtl/>
        </w:rPr>
        <w:t xml:space="preserve"> ס' 3(א)(5א) לחוק למניעת הטרדה מינית, </w:t>
      </w:r>
      <w:proofErr w:type="spellStart"/>
      <w:r>
        <w:rPr>
          <w:rFonts w:hint="cs"/>
          <w:rtl/>
        </w:rPr>
        <w:t>התשנ"ח</w:t>
      </w:r>
      <w:proofErr w:type="spellEnd"/>
      <w:r>
        <w:rPr>
          <w:rFonts w:hint="cs"/>
          <w:rtl/>
        </w:rPr>
        <w:t xml:space="preserve"> - 1998 (להלן: החוק).</w:t>
      </w:r>
    </w:p>
  </w:footnote>
  <w:footnote w:id="3">
    <w:p w:rsidR="00CF2D8F" w:rsidRDefault="00CF2D8F">
      <w:pPr>
        <w:pStyle w:val="a3"/>
      </w:pPr>
      <w:r>
        <w:rPr>
          <w:rStyle w:val="a5"/>
        </w:rPr>
        <w:footnoteRef/>
      </w:r>
      <w:r>
        <w:rPr>
          <w:rFonts w:hint="cs"/>
          <w:rtl/>
        </w:rPr>
        <w:t xml:space="preserve"> ס' 1 לחוק.</w:t>
      </w:r>
    </w:p>
  </w:footnote>
  <w:footnote w:id="4">
    <w:p w:rsidR="00CF2D8F" w:rsidRDefault="00CF2D8F" w:rsidP="00CF2D8F">
      <w:pPr>
        <w:pStyle w:val="a3"/>
      </w:pPr>
      <w:r>
        <w:rPr>
          <w:rStyle w:val="a5"/>
        </w:rPr>
        <w:footnoteRef/>
      </w:r>
      <w:r>
        <w:rPr>
          <w:rtl/>
        </w:rPr>
        <w:t xml:space="preserve"> </w:t>
      </w:r>
      <w:r>
        <w:rPr>
          <w:rFonts w:hint="cs"/>
          <w:rtl/>
        </w:rPr>
        <w:t xml:space="preserve">חשוב לי לציין כי מכאן והלאה אתייחס בלשון נקבה לנפגעי פורנוגרפיית הנקם, מתוך ההתייחסות של כותבי המאמר באותה הלשון לקורבנות (המאמר, לעיל </w:t>
      </w:r>
      <w:proofErr w:type="spellStart"/>
      <w:r>
        <w:rPr>
          <w:rFonts w:hint="cs"/>
          <w:rtl/>
        </w:rPr>
        <w:t>ה"ש</w:t>
      </w:r>
      <w:proofErr w:type="spellEnd"/>
      <w:r>
        <w:rPr>
          <w:rFonts w:hint="cs"/>
          <w:rtl/>
        </w:rPr>
        <w:t xml:space="preserve"> 36), ומתוך הסטטיסטיקות שהוצגו במאמרה של דפנה הקר </w:t>
      </w:r>
      <w:r>
        <w:rPr>
          <w:rFonts w:cs="Arial"/>
          <w:rtl/>
        </w:rPr>
        <w:t xml:space="preserve">"אלימות והטרדה: הטרדה מינית, מאפייני </w:t>
      </w:r>
      <w:proofErr w:type="spellStart"/>
      <w:r>
        <w:rPr>
          <w:rFonts w:cs="Arial"/>
          <w:rtl/>
        </w:rPr>
        <w:t>ומימדי</w:t>
      </w:r>
      <w:proofErr w:type="spellEnd"/>
      <w:r>
        <w:rPr>
          <w:rFonts w:cs="Arial"/>
          <w:rtl/>
        </w:rPr>
        <w:t xml:space="preserve"> התופעה" </w:t>
      </w:r>
      <w:r w:rsidRPr="00E45F11">
        <w:rPr>
          <w:rFonts w:cs="Arial"/>
          <w:b/>
          <w:bCs/>
          <w:rtl/>
        </w:rPr>
        <w:t>מילי</w:t>
      </w:r>
      <w:r w:rsidRPr="00E45F11">
        <w:rPr>
          <w:rFonts w:cs="Arial" w:hint="cs"/>
          <w:b/>
          <w:bCs/>
          <w:rtl/>
        </w:rPr>
        <w:t>ם</w:t>
      </w:r>
      <w:r w:rsidRPr="00E45F11">
        <w:rPr>
          <w:rFonts w:cs="Arial"/>
          <w:b/>
          <w:bCs/>
          <w:rtl/>
        </w:rPr>
        <w:t xml:space="preserve"> מטרידות: סוגיות בהטרדה מינית מילולית</w:t>
      </w:r>
      <w:r>
        <w:rPr>
          <w:rFonts w:cs="Arial"/>
          <w:rtl/>
        </w:rPr>
        <w:t xml:space="preserve"> 37 (ליאת </w:t>
      </w:r>
      <w:r>
        <w:rPr>
          <w:rFonts w:cs="Arial" w:hint="cs"/>
          <w:rtl/>
        </w:rPr>
        <w:t xml:space="preserve">לבנון </w:t>
      </w:r>
      <w:r>
        <w:rPr>
          <w:rFonts w:cs="Arial"/>
          <w:rtl/>
        </w:rPr>
        <w:t>עורכת, 2011</w:t>
      </w:r>
      <w:r>
        <w:rPr>
          <w:rFonts w:cs="Arial" w:hint="cs"/>
          <w:rtl/>
        </w:rPr>
        <w:t>).</w:t>
      </w:r>
    </w:p>
  </w:footnote>
  <w:footnote w:id="5">
    <w:p w:rsidR="00CF2D8F" w:rsidRDefault="00CF2D8F">
      <w:pPr>
        <w:pStyle w:val="a3"/>
        <w:rPr>
          <w:rtl/>
        </w:rPr>
      </w:pPr>
      <w:r>
        <w:rPr>
          <w:rStyle w:val="a5"/>
        </w:rPr>
        <w:footnoteRef/>
      </w:r>
      <w:r>
        <w:rPr>
          <w:rtl/>
        </w:rPr>
        <w:t xml:space="preserve"> </w:t>
      </w:r>
      <w:r w:rsidRPr="00D92DEB">
        <w:rPr>
          <w:rFonts w:cs="Arial"/>
          <w:rtl/>
        </w:rPr>
        <w:t xml:space="preserve">ע 45/19 </w:t>
      </w:r>
      <w:r w:rsidRPr="00D92DEB">
        <w:rPr>
          <w:rFonts w:cs="Arial"/>
          <w:b/>
          <w:bCs/>
          <w:rtl/>
        </w:rPr>
        <w:t xml:space="preserve">סמל מרון </w:t>
      </w:r>
      <w:proofErr w:type="spellStart"/>
      <w:r w:rsidRPr="00D92DEB">
        <w:rPr>
          <w:rFonts w:cs="Arial"/>
          <w:b/>
          <w:bCs/>
          <w:rtl/>
        </w:rPr>
        <w:t>כוהניאן</w:t>
      </w:r>
      <w:proofErr w:type="spellEnd"/>
      <w:r w:rsidRPr="00D92DEB">
        <w:rPr>
          <w:rFonts w:cs="Arial"/>
          <w:b/>
          <w:bCs/>
          <w:rtl/>
        </w:rPr>
        <w:t xml:space="preserve"> נ' התובע הצבאי הראשי</w:t>
      </w:r>
      <w:r w:rsidRPr="00D92DEB">
        <w:rPr>
          <w:rFonts w:cs="Arial"/>
          <w:rtl/>
        </w:rPr>
        <w:t xml:space="preserve"> (פורסם בנבו, 14.11.2019)</w:t>
      </w:r>
      <w:r>
        <w:rPr>
          <w:rFonts w:hint="cs"/>
          <w:rtl/>
        </w:rPr>
        <w:t>. במקרה זה, הסרטון נשלח ע"י המפרסם ל14 אנשים.</w:t>
      </w:r>
    </w:p>
  </w:footnote>
  <w:footnote w:id="6">
    <w:p w:rsidR="00CF2D8F" w:rsidRDefault="00CF2D8F">
      <w:pPr>
        <w:pStyle w:val="a3"/>
        <w:rPr>
          <w:rtl/>
        </w:rPr>
      </w:pPr>
      <w:r>
        <w:rPr>
          <w:rStyle w:val="a5"/>
        </w:rPr>
        <w:footnoteRef/>
      </w:r>
      <w:r>
        <w:rPr>
          <w:rtl/>
        </w:rPr>
        <w:t xml:space="preserve"> </w:t>
      </w:r>
      <w:r>
        <w:rPr>
          <w:rFonts w:hint="cs"/>
          <w:rtl/>
        </w:rPr>
        <w:t xml:space="preserve">שמעון </w:t>
      </w:r>
      <w:proofErr w:type="spellStart"/>
      <w:r>
        <w:rPr>
          <w:rFonts w:hint="cs"/>
          <w:rtl/>
        </w:rPr>
        <w:t>איפרגן</w:t>
      </w:r>
      <w:proofErr w:type="spellEnd"/>
      <w:r>
        <w:rPr>
          <w:rFonts w:hint="cs"/>
          <w:rtl/>
        </w:rPr>
        <w:t xml:space="preserve"> ""לכמה בחורות אחרות הוא עשה את זה?"" </w:t>
      </w:r>
      <w:r>
        <w:rPr>
          <w:rFonts w:hint="cs"/>
          <w:b/>
          <w:bCs/>
        </w:rPr>
        <w:t>MAKO</w:t>
      </w:r>
      <w:r w:rsidRPr="0051558B">
        <w:rPr>
          <w:rFonts w:hint="cs"/>
          <w:b/>
          <w:bCs/>
          <w:rtl/>
        </w:rPr>
        <w:t xml:space="preserve"> </w:t>
      </w:r>
      <w:r w:rsidRPr="0051558B">
        <w:rPr>
          <w:b/>
          <w:bCs/>
          <w:rtl/>
        </w:rPr>
        <w:t>–</w:t>
      </w:r>
      <w:r w:rsidRPr="0051558B">
        <w:rPr>
          <w:rFonts w:hint="cs"/>
          <w:b/>
          <w:bCs/>
          <w:rtl/>
        </w:rPr>
        <w:t xml:space="preserve"> נשים</w:t>
      </w:r>
      <w:r>
        <w:rPr>
          <w:rFonts w:hint="cs"/>
          <w:rtl/>
        </w:rPr>
        <w:t xml:space="preserve"> 20.12.19</w:t>
      </w:r>
      <w:hyperlink r:id="rId1" w:history="1">
        <w:r>
          <w:rPr>
            <w:rStyle w:val="Hyperlink"/>
          </w:rPr>
          <w:t>news.xoox.co.il/item_3523543.htm</w:t>
        </w:r>
      </w:hyperlink>
      <w:r>
        <w:t xml:space="preserve"> </w:t>
      </w:r>
    </w:p>
  </w:footnote>
  <w:footnote w:id="7">
    <w:p w:rsidR="00CF2D8F" w:rsidRDefault="00CF2D8F">
      <w:pPr>
        <w:pStyle w:val="a3"/>
        <w:rPr>
          <w:rtl/>
        </w:rPr>
      </w:pPr>
      <w:r>
        <w:rPr>
          <w:rStyle w:val="a5"/>
        </w:rPr>
        <w:footnoteRef/>
      </w:r>
      <w:r>
        <w:rPr>
          <w:rtl/>
        </w:rPr>
        <w:t xml:space="preserve"> </w:t>
      </w:r>
      <w:r w:rsidRPr="00190750">
        <w:rPr>
          <w:rFonts w:cs="Arial"/>
          <w:rtl/>
        </w:rPr>
        <w:t xml:space="preserve">רע"א 1239/19 </w:t>
      </w:r>
      <w:r w:rsidRPr="00190750">
        <w:rPr>
          <w:rFonts w:cs="Arial"/>
          <w:b/>
          <w:bCs/>
          <w:rtl/>
        </w:rPr>
        <w:t xml:space="preserve">יואל שאול נ' חברת </w:t>
      </w:r>
      <w:proofErr w:type="spellStart"/>
      <w:r w:rsidRPr="00190750">
        <w:rPr>
          <w:rFonts w:cs="Arial"/>
          <w:b/>
          <w:bCs/>
          <w:rtl/>
        </w:rPr>
        <w:t>ניידלי</w:t>
      </w:r>
      <w:proofErr w:type="spellEnd"/>
      <w:r w:rsidRPr="00190750">
        <w:rPr>
          <w:rFonts w:cs="Arial"/>
          <w:b/>
          <w:bCs/>
          <w:rtl/>
        </w:rPr>
        <w:t xml:space="preserve"> תקשורת בע"מ</w:t>
      </w:r>
      <w:r w:rsidRPr="00190750">
        <w:rPr>
          <w:rFonts w:cs="Arial"/>
          <w:rtl/>
        </w:rPr>
        <w:t xml:space="preserve"> (פורסם בנבו, 08.01.2020)</w:t>
      </w:r>
    </w:p>
  </w:footnote>
  <w:footnote w:id="8">
    <w:p w:rsidR="00CF2D8F" w:rsidRPr="000832C9" w:rsidRDefault="00CF2D8F">
      <w:pPr>
        <w:pStyle w:val="a3"/>
        <w:rPr>
          <w:rtl/>
        </w:rPr>
      </w:pPr>
      <w:r>
        <w:rPr>
          <w:rStyle w:val="a5"/>
        </w:rPr>
        <w:footnoteRef/>
      </w:r>
      <w:r w:rsidRPr="00190750">
        <w:rPr>
          <w:rtl/>
        </w:rPr>
        <w:t xml:space="preserve"> </w:t>
      </w:r>
      <w:r w:rsidRPr="000832C9">
        <w:rPr>
          <w:rFonts w:cs="Arial"/>
          <w:rtl/>
        </w:rPr>
        <w:t>חוק איסור לשון הרע, תשכ"ה</w:t>
      </w:r>
      <w:r>
        <w:rPr>
          <w:rFonts w:cs="Arial" w:hint="cs"/>
          <w:rtl/>
        </w:rPr>
        <w:t xml:space="preserve"> </w:t>
      </w:r>
      <w:r w:rsidRPr="000832C9">
        <w:rPr>
          <w:rFonts w:cs="Arial"/>
          <w:rtl/>
        </w:rPr>
        <w:t>-</w:t>
      </w:r>
      <w:r>
        <w:rPr>
          <w:rFonts w:cs="Arial" w:hint="cs"/>
          <w:rtl/>
        </w:rPr>
        <w:t xml:space="preserve"> </w:t>
      </w:r>
      <w:r w:rsidRPr="000832C9">
        <w:rPr>
          <w:rFonts w:cs="Arial"/>
          <w:rtl/>
        </w:rPr>
        <w:t>1965</w:t>
      </w:r>
    </w:p>
  </w:footnote>
  <w:footnote w:id="9">
    <w:p w:rsidR="00CF2D8F" w:rsidRDefault="00CF2D8F">
      <w:pPr>
        <w:pStyle w:val="a3"/>
      </w:pPr>
      <w:r>
        <w:rPr>
          <w:rStyle w:val="a5"/>
        </w:rPr>
        <w:footnoteRef/>
      </w:r>
      <w:r>
        <w:rPr>
          <w:rtl/>
        </w:rPr>
        <w:t xml:space="preserve"> </w:t>
      </w:r>
      <w:r w:rsidRPr="00190750">
        <w:rPr>
          <w:rFonts w:cs="Arial"/>
          <w:rtl/>
        </w:rPr>
        <w:t xml:space="preserve">מיכל לביא "התפשטות שמועות ולשון הרע ברשתות: הצעות לפעולה" </w:t>
      </w:r>
      <w:r w:rsidRPr="00190750">
        <w:rPr>
          <w:rFonts w:cs="Arial"/>
          <w:b/>
          <w:bCs/>
          <w:rtl/>
        </w:rPr>
        <w:t>מחקרי משפט</w:t>
      </w:r>
      <w:r w:rsidRPr="00190750">
        <w:rPr>
          <w:rFonts w:cs="Arial"/>
          <w:rtl/>
        </w:rPr>
        <w:t xml:space="preserve"> לא </w:t>
      </w:r>
      <w:r>
        <w:rPr>
          <w:rFonts w:hint="cs"/>
          <w:rtl/>
        </w:rPr>
        <w:t>491</w:t>
      </w:r>
      <w:r w:rsidRPr="00190750">
        <w:rPr>
          <w:rFonts w:cs="Arial"/>
          <w:rtl/>
        </w:rPr>
        <w:t xml:space="preserve"> (2018)</w:t>
      </w:r>
      <w:r>
        <w:rPr>
          <w:rFonts w:cs="Arial" w:hint="cs"/>
          <w:rtl/>
        </w:rPr>
        <w:t>. המחברת דנה במאמרה בהרחבה בשאלת הטלת אחריות על מפיצים משניים בנוגע לחוק איסור לשון הרע.</w:t>
      </w:r>
      <w:r>
        <w:rPr>
          <w:rFonts w:hint="cs"/>
          <w:rtl/>
        </w:rPr>
        <w:t xml:space="preserve"> </w:t>
      </w:r>
    </w:p>
  </w:footnote>
  <w:footnote w:id="10">
    <w:p w:rsidR="00CF2D8F" w:rsidRDefault="00CF2D8F" w:rsidP="001660D9">
      <w:pPr>
        <w:pStyle w:val="a3"/>
      </w:pPr>
      <w:r>
        <w:rPr>
          <w:rStyle w:val="a5"/>
        </w:rPr>
        <w:footnoteRef/>
      </w:r>
      <w:r>
        <w:rPr>
          <w:rtl/>
        </w:rPr>
        <w:t xml:space="preserve"> </w:t>
      </w:r>
      <w:r>
        <w:rPr>
          <w:rFonts w:hint="cs"/>
          <w:rtl/>
        </w:rPr>
        <w:t xml:space="preserve">ס' 71 א(ב) לחוק העונשין, </w:t>
      </w:r>
      <w:proofErr w:type="spellStart"/>
      <w:r>
        <w:rPr>
          <w:rFonts w:hint="cs"/>
          <w:rtl/>
        </w:rPr>
        <w:t>התשל"ז</w:t>
      </w:r>
      <w:proofErr w:type="spellEnd"/>
      <w:r>
        <w:rPr>
          <w:rFonts w:hint="cs"/>
          <w:rtl/>
        </w:rPr>
        <w:t xml:space="preserve"> </w:t>
      </w:r>
      <w:r>
        <w:rPr>
          <w:rtl/>
        </w:rPr>
        <w:t>–</w:t>
      </w:r>
      <w:r>
        <w:rPr>
          <w:rFonts w:hint="cs"/>
          <w:rtl/>
        </w:rPr>
        <w:t xml:space="preserve"> 1977</w:t>
      </w:r>
    </w:p>
  </w:footnote>
  <w:footnote w:id="11">
    <w:p w:rsidR="00CF2D8F" w:rsidRDefault="00CF2D8F">
      <w:pPr>
        <w:pStyle w:val="a3"/>
        <w:rPr>
          <w:rtl/>
        </w:rPr>
      </w:pPr>
      <w:r>
        <w:rPr>
          <w:rStyle w:val="a5"/>
        </w:rPr>
        <w:footnoteRef/>
      </w:r>
      <w:r>
        <w:rPr>
          <w:rtl/>
        </w:rPr>
        <w:t xml:space="preserve"> </w:t>
      </w:r>
      <w:r w:rsidRPr="004A12A3">
        <w:rPr>
          <w:rFonts w:cs="Arial"/>
          <w:rtl/>
        </w:rPr>
        <w:t>בבלי</w:t>
      </w:r>
      <w:r>
        <w:rPr>
          <w:rFonts w:cs="Arial" w:hint="cs"/>
          <w:rtl/>
        </w:rPr>
        <w:t xml:space="preserve">, </w:t>
      </w:r>
      <w:r w:rsidRPr="004A12A3">
        <w:rPr>
          <w:rFonts w:cs="Arial"/>
          <w:rtl/>
        </w:rPr>
        <w:t>בבא מציעא נח</w:t>
      </w:r>
      <w:r>
        <w:rPr>
          <w:rFonts w:cs="Arial" w:hint="cs"/>
          <w:rtl/>
        </w:rPr>
        <w:t>,</w:t>
      </w:r>
      <w:r w:rsidRPr="004A12A3">
        <w:rPr>
          <w:rFonts w:cs="Arial"/>
          <w:rtl/>
        </w:rPr>
        <w:t xml:space="preserve">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D8F" w:rsidRDefault="00CF2D8F">
    <w:pPr>
      <w:pStyle w:val="a6"/>
    </w:pPr>
    <w:r>
      <w:rPr>
        <w:rtl/>
      </w:rPr>
      <w:ptab w:relativeTo="margin" w:alignment="center" w:leader="none"/>
    </w:r>
    <w:r>
      <w:rPr>
        <w:rFonts w:hint="cs"/>
        <w:rtl/>
      </w:rPr>
      <w:t xml:space="preserve">עבודת מחצית </w:t>
    </w:r>
    <w:r>
      <w:rPr>
        <w:rtl/>
      </w:rPr>
      <w:t>–</w:t>
    </w:r>
    <w:r>
      <w:rPr>
        <w:rFonts w:hint="cs"/>
        <w:rtl/>
      </w:rPr>
      <w:t xml:space="preserve"> מיומנויות כתיבה</w:t>
    </w:r>
    <w:r>
      <w:rPr>
        <w:rt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1F"/>
    <w:rsid w:val="00006E3D"/>
    <w:rsid w:val="000832C9"/>
    <w:rsid w:val="00111E7C"/>
    <w:rsid w:val="001660D9"/>
    <w:rsid w:val="00190750"/>
    <w:rsid w:val="001B077F"/>
    <w:rsid w:val="0023054B"/>
    <w:rsid w:val="0029044F"/>
    <w:rsid w:val="002B09C1"/>
    <w:rsid w:val="002B3D75"/>
    <w:rsid w:val="00307EFA"/>
    <w:rsid w:val="0039583A"/>
    <w:rsid w:val="003A4925"/>
    <w:rsid w:val="003A501E"/>
    <w:rsid w:val="003B0599"/>
    <w:rsid w:val="003B5FEA"/>
    <w:rsid w:val="00454F32"/>
    <w:rsid w:val="004A12A3"/>
    <w:rsid w:val="004C5DAD"/>
    <w:rsid w:val="004E5D3D"/>
    <w:rsid w:val="00503F1C"/>
    <w:rsid w:val="0051558B"/>
    <w:rsid w:val="005224CF"/>
    <w:rsid w:val="00546BF8"/>
    <w:rsid w:val="00555900"/>
    <w:rsid w:val="0057510B"/>
    <w:rsid w:val="005771C2"/>
    <w:rsid w:val="005905A1"/>
    <w:rsid w:val="00665948"/>
    <w:rsid w:val="00680B99"/>
    <w:rsid w:val="006827DB"/>
    <w:rsid w:val="007818C5"/>
    <w:rsid w:val="007A161F"/>
    <w:rsid w:val="007E58A5"/>
    <w:rsid w:val="00856451"/>
    <w:rsid w:val="0087688D"/>
    <w:rsid w:val="008F1C4D"/>
    <w:rsid w:val="008F5580"/>
    <w:rsid w:val="00913ADB"/>
    <w:rsid w:val="009541A2"/>
    <w:rsid w:val="00A110F0"/>
    <w:rsid w:val="00A242DE"/>
    <w:rsid w:val="00A76399"/>
    <w:rsid w:val="00AB32BB"/>
    <w:rsid w:val="00AE0515"/>
    <w:rsid w:val="00B61F8A"/>
    <w:rsid w:val="00B62CDA"/>
    <w:rsid w:val="00B65E97"/>
    <w:rsid w:val="00B7656B"/>
    <w:rsid w:val="00B94270"/>
    <w:rsid w:val="00BA10F5"/>
    <w:rsid w:val="00BA2507"/>
    <w:rsid w:val="00C53C43"/>
    <w:rsid w:val="00C84465"/>
    <w:rsid w:val="00CB3F90"/>
    <w:rsid w:val="00CC6A37"/>
    <w:rsid w:val="00CE6461"/>
    <w:rsid w:val="00CE7FA5"/>
    <w:rsid w:val="00CF2D8F"/>
    <w:rsid w:val="00D006AA"/>
    <w:rsid w:val="00D16B2A"/>
    <w:rsid w:val="00D35EC1"/>
    <w:rsid w:val="00D5360D"/>
    <w:rsid w:val="00D87561"/>
    <w:rsid w:val="00D92DEB"/>
    <w:rsid w:val="00DB1831"/>
    <w:rsid w:val="00DB698F"/>
    <w:rsid w:val="00DC5590"/>
    <w:rsid w:val="00DD20D8"/>
    <w:rsid w:val="00DD5EC1"/>
    <w:rsid w:val="00DE6CAD"/>
    <w:rsid w:val="00E01EA5"/>
    <w:rsid w:val="00E45F11"/>
    <w:rsid w:val="00EB3C35"/>
    <w:rsid w:val="00EC0601"/>
    <w:rsid w:val="00EC7388"/>
    <w:rsid w:val="00F16F70"/>
    <w:rsid w:val="00F46E7E"/>
    <w:rsid w:val="00F575FA"/>
    <w:rsid w:val="00F75461"/>
    <w:rsid w:val="00F7735F"/>
    <w:rsid w:val="00FA0809"/>
    <w:rsid w:val="00FC1B97"/>
    <w:rsid w:val="00FD4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57BF"/>
  <w15:chartTrackingRefBased/>
  <w15:docId w15:val="{387FC963-30F5-476E-A8A6-9F423712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71C2"/>
    <w:pPr>
      <w:spacing w:after="0" w:line="240" w:lineRule="auto"/>
    </w:pPr>
    <w:rPr>
      <w:sz w:val="20"/>
      <w:szCs w:val="20"/>
    </w:rPr>
  </w:style>
  <w:style w:type="character" w:customStyle="1" w:styleId="a4">
    <w:name w:val="טקסט הערת שוליים תו"/>
    <w:basedOn w:val="a0"/>
    <w:link w:val="a3"/>
    <w:uiPriority w:val="99"/>
    <w:semiHidden/>
    <w:rsid w:val="005771C2"/>
    <w:rPr>
      <w:sz w:val="20"/>
      <w:szCs w:val="20"/>
    </w:rPr>
  </w:style>
  <w:style w:type="character" w:styleId="a5">
    <w:name w:val="footnote reference"/>
    <w:basedOn w:val="a0"/>
    <w:uiPriority w:val="99"/>
    <w:semiHidden/>
    <w:unhideWhenUsed/>
    <w:rsid w:val="005771C2"/>
    <w:rPr>
      <w:vertAlign w:val="superscript"/>
    </w:rPr>
  </w:style>
  <w:style w:type="paragraph" w:styleId="a6">
    <w:name w:val="header"/>
    <w:basedOn w:val="a"/>
    <w:link w:val="a7"/>
    <w:uiPriority w:val="99"/>
    <w:unhideWhenUsed/>
    <w:rsid w:val="007E58A5"/>
    <w:pPr>
      <w:tabs>
        <w:tab w:val="center" w:pos="4153"/>
        <w:tab w:val="right" w:pos="8306"/>
      </w:tabs>
      <w:spacing w:after="0" w:line="240" w:lineRule="auto"/>
    </w:pPr>
  </w:style>
  <w:style w:type="character" w:customStyle="1" w:styleId="a7">
    <w:name w:val="כותרת עליונה תו"/>
    <w:basedOn w:val="a0"/>
    <w:link w:val="a6"/>
    <w:uiPriority w:val="99"/>
    <w:rsid w:val="007E58A5"/>
  </w:style>
  <w:style w:type="paragraph" w:styleId="a8">
    <w:name w:val="footer"/>
    <w:basedOn w:val="a"/>
    <w:link w:val="a9"/>
    <w:uiPriority w:val="99"/>
    <w:unhideWhenUsed/>
    <w:rsid w:val="007E58A5"/>
    <w:pPr>
      <w:tabs>
        <w:tab w:val="center" w:pos="4153"/>
        <w:tab w:val="right" w:pos="8306"/>
      </w:tabs>
      <w:spacing w:after="0" w:line="240" w:lineRule="auto"/>
    </w:pPr>
  </w:style>
  <w:style w:type="character" w:customStyle="1" w:styleId="a9">
    <w:name w:val="כותרת תחתונה תו"/>
    <w:basedOn w:val="a0"/>
    <w:link w:val="a8"/>
    <w:uiPriority w:val="99"/>
    <w:rsid w:val="007E58A5"/>
  </w:style>
  <w:style w:type="character" w:styleId="Hyperlink">
    <w:name w:val="Hyperlink"/>
    <w:basedOn w:val="a0"/>
    <w:uiPriority w:val="99"/>
    <w:semiHidden/>
    <w:unhideWhenUsed/>
    <w:rsid w:val="00515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8651">
      <w:bodyDiv w:val="1"/>
      <w:marLeft w:val="0"/>
      <w:marRight w:val="0"/>
      <w:marTop w:val="0"/>
      <w:marBottom w:val="0"/>
      <w:divBdr>
        <w:top w:val="none" w:sz="0" w:space="0" w:color="auto"/>
        <w:left w:val="none" w:sz="0" w:space="0" w:color="auto"/>
        <w:bottom w:val="none" w:sz="0" w:space="0" w:color="auto"/>
        <w:right w:val="none" w:sz="0" w:space="0" w:color="auto"/>
      </w:divBdr>
    </w:div>
    <w:div w:id="15277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xoox.co.il/item_352354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6E04-83B3-4782-88A5-27EEA22D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2</Pages>
  <Words>1077</Words>
  <Characters>5390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shaiel tchercansky</dc:creator>
  <cp:keywords/>
  <dc:description/>
  <cp:lastModifiedBy>shaiel tchercansky</cp:lastModifiedBy>
  <cp:revision>42</cp:revision>
  <dcterms:created xsi:type="dcterms:W3CDTF">2020-02-23T08:59:00Z</dcterms:created>
  <dcterms:modified xsi:type="dcterms:W3CDTF">2020-10-13T20:04:00Z</dcterms:modified>
</cp:coreProperties>
</file>