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BD26B" w14:textId="45D1C09B" w:rsidR="006E0FC3" w:rsidRDefault="006E0FC3" w:rsidP="005A1E45">
      <w:pPr>
        <w:spacing w:line="480" w:lineRule="auto"/>
        <w:rPr>
          <w:rFonts w:ascii="David" w:hAnsi="David" w:cs="David"/>
          <w:b/>
          <w:bCs/>
          <w:sz w:val="28"/>
          <w:szCs w:val="28"/>
          <w:rtl/>
        </w:rPr>
      </w:pPr>
      <w:r w:rsidRPr="006E0FC3">
        <w:rPr>
          <w:rFonts w:ascii="David" w:hAnsi="David" w:cs="David" w:hint="cs"/>
          <w:b/>
          <w:bCs/>
          <w:sz w:val="28"/>
          <w:szCs w:val="28"/>
          <w:rtl/>
        </w:rPr>
        <w:t xml:space="preserve">עבודת בית </w:t>
      </w:r>
      <w:r w:rsidRPr="006E0FC3">
        <w:rPr>
          <w:rFonts w:ascii="David" w:hAnsi="David" w:cs="David"/>
          <w:b/>
          <w:bCs/>
          <w:sz w:val="28"/>
          <w:szCs w:val="28"/>
          <w:rtl/>
        </w:rPr>
        <w:t>–</w:t>
      </w:r>
      <w:r w:rsidRPr="006E0FC3">
        <w:rPr>
          <w:rFonts w:ascii="David" w:hAnsi="David" w:cs="David" w:hint="cs"/>
          <w:b/>
          <w:bCs/>
          <w:sz w:val="28"/>
          <w:szCs w:val="28"/>
          <w:rtl/>
        </w:rPr>
        <w:t xml:space="preserve"> קורס דיני חינוך</w:t>
      </w:r>
    </w:p>
    <w:p w14:paraId="1AD6DC3E" w14:textId="49B5C2EC" w:rsidR="00692C6D" w:rsidRPr="00692C6D" w:rsidRDefault="00692C6D" w:rsidP="005A1E45">
      <w:pPr>
        <w:spacing w:line="480" w:lineRule="auto"/>
        <w:rPr>
          <w:rFonts w:ascii="David" w:hAnsi="David" w:cs="David"/>
          <w:sz w:val="24"/>
          <w:szCs w:val="24"/>
          <w:rtl/>
        </w:rPr>
      </w:pPr>
      <w:r w:rsidRPr="00692C6D">
        <w:rPr>
          <w:rFonts w:ascii="David" w:hAnsi="David" w:cs="David" w:hint="cs"/>
          <w:sz w:val="24"/>
          <w:szCs w:val="24"/>
          <w:rtl/>
        </w:rPr>
        <w:t xml:space="preserve">שנה"ל </w:t>
      </w:r>
      <w:proofErr w:type="spellStart"/>
      <w:r w:rsidRPr="00692C6D">
        <w:rPr>
          <w:rFonts w:ascii="David" w:hAnsi="David" w:cs="David" w:hint="cs"/>
          <w:sz w:val="24"/>
          <w:szCs w:val="24"/>
          <w:rtl/>
        </w:rPr>
        <w:t>התש"ף</w:t>
      </w:r>
      <w:proofErr w:type="spellEnd"/>
    </w:p>
    <w:p w14:paraId="37557FD3" w14:textId="4AAB505C" w:rsidR="006E0FC3" w:rsidRDefault="006E0FC3" w:rsidP="005A1E45">
      <w:pPr>
        <w:spacing w:line="480" w:lineRule="auto"/>
        <w:rPr>
          <w:rFonts w:ascii="David" w:hAnsi="David" w:cs="David"/>
          <w:sz w:val="24"/>
          <w:szCs w:val="24"/>
          <w:rtl/>
        </w:rPr>
      </w:pPr>
      <w:r>
        <w:rPr>
          <w:rFonts w:ascii="David" w:hAnsi="David" w:cs="David" w:hint="cs"/>
          <w:sz w:val="24"/>
          <w:szCs w:val="24"/>
          <w:rtl/>
        </w:rPr>
        <w:t xml:space="preserve">ד"ר חגית </w:t>
      </w:r>
      <w:proofErr w:type="spellStart"/>
      <w:r>
        <w:rPr>
          <w:rFonts w:ascii="David" w:hAnsi="David" w:cs="David" w:hint="cs"/>
          <w:sz w:val="24"/>
          <w:szCs w:val="24"/>
          <w:rtl/>
        </w:rPr>
        <w:t>ברסטל</w:t>
      </w:r>
      <w:proofErr w:type="spellEnd"/>
      <w:r>
        <w:rPr>
          <w:rFonts w:ascii="David" w:hAnsi="David" w:cs="David" w:hint="cs"/>
          <w:sz w:val="24"/>
          <w:szCs w:val="24"/>
          <w:rtl/>
        </w:rPr>
        <w:t xml:space="preserve"> גינת</w:t>
      </w:r>
    </w:p>
    <w:p w14:paraId="2936BE47" w14:textId="342E7000" w:rsidR="006E0FC3" w:rsidRDefault="006E0FC3" w:rsidP="005A1E45">
      <w:pPr>
        <w:spacing w:line="480" w:lineRule="auto"/>
        <w:rPr>
          <w:rFonts w:ascii="David" w:hAnsi="David" w:cs="David"/>
          <w:sz w:val="24"/>
          <w:szCs w:val="24"/>
          <w:rtl/>
        </w:rPr>
      </w:pPr>
    </w:p>
    <w:p w14:paraId="748B9167" w14:textId="158538D1" w:rsidR="006E0FC3" w:rsidRDefault="006E0FC3" w:rsidP="005A1E45">
      <w:pPr>
        <w:spacing w:line="480" w:lineRule="auto"/>
        <w:rPr>
          <w:rFonts w:ascii="David" w:hAnsi="David" w:cs="David"/>
          <w:sz w:val="24"/>
          <w:szCs w:val="24"/>
          <w:u w:val="single"/>
          <w:rtl/>
        </w:rPr>
      </w:pPr>
      <w:r w:rsidRPr="006E0FC3">
        <w:rPr>
          <w:rFonts w:ascii="David" w:hAnsi="David" w:cs="David" w:hint="cs"/>
          <w:sz w:val="24"/>
          <w:szCs w:val="24"/>
          <w:u w:val="single"/>
          <w:rtl/>
        </w:rPr>
        <w:t>הוראות כלליות:</w:t>
      </w:r>
    </w:p>
    <w:p w14:paraId="32E163FF" w14:textId="14EB62FE" w:rsidR="006E0FC3" w:rsidRDefault="006E0FC3" w:rsidP="006E0FC3">
      <w:pPr>
        <w:pStyle w:val="a3"/>
        <w:numPr>
          <w:ilvl w:val="0"/>
          <w:numId w:val="2"/>
        </w:numPr>
        <w:spacing w:line="480" w:lineRule="auto"/>
        <w:rPr>
          <w:rFonts w:ascii="David" w:hAnsi="David" w:cs="David"/>
          <w:sz w:val="24"/>
          <w:szCs w:val="24"/>
          <w:u w:val="single"/>
        </w:rPr>
      </w:pPr>
      <w:r>
        <w:rPr>
          <w:rFonts w:ascii="David" w:hAnsi="David" w:cs="David" w:hint="cs"/>
          <w:sz w:val="24"/>
          <w:szCs w:val="24"/>
          <w:rtl/>
        </w:rPr>
        <w:t>העבודה צריכה להיכת</w:t>
      </w:r>
      <w:r>
        <w:rPr>
          <w:rFonts w:ascii="David" w:hAnsi="David" w:cs="David" w:hint="eastAsia"/>
          <w:sz w:val="24"/>
          <w:szCs w:val="24"/>
          <w:rtl/>
        </w:rPr>
        <w:t>ב</w:t>
      </w:r>
      <w:r>
        <w:rPr>
          <w:rFonts w:ascii="David" w:hAnsi="David" w:cs="David" w:hint="cs"/>
          <w:sz w:val="24"/>
          <w:szCs w:val="24"/>
          <w:rtl/>
        </w:rPr>
        <w:t xml:space="preserve"> באופן אישי ועצמאי, ללא התייעצות</w:t>
      </w:r>
      <w:r w:rsidRPr="006E0FC3">
        <w:rPr>
          <w:rFonts w:ascii="David" w:hAnsi="David" w:cs="David" w:hint="cs"/>
          <w:sz w:val="24"/>
          <w:szCs w:val="24"/>
          <w:rtl/>
        </w:rPr>
        <w:t xml:space="preserve"> </w:t>
      </w:r>
      <w:r>
        <w:rPr>
          <w:rFonts w:ascii="David" w:hAnsi="David" w:cs="David" w:hint="cs"/>
          <w:sz w:val="24"/>
          <w:szCs w:val="24"/>
          <w:rtl/>
        </w:rPr>
        <w:t>עם אחרים.</w:t>
      </w:r>
      <w:r>
        <w:rPr>
          <w:rFonts w:ascii="David" w:hAnsi="David" w:cs="David"/>
          <w:sz w:val="24"/>
          <w:szCs w:val="24"/>
          <w:u w:val="single"/>
          <w:rtl/>
        </w:rPr>
        <w:br/>
      </w:r>
      <w:r>
        <w:rPr>
          <w:rFonts w:ascii="David" w:hAnsi="David" w:cs="David" w:hint="cs"/>
          <w:sz w:val="24"/>
          <w:szCs w:val="24"/>
          <w:u w:val="single"/>
          <w:rtl/>
        </w:rPr>
        <w:t>אנא שימרו על האמון שניתן בכם.</w:t>
      </w:r>
    </w:p>
    <w:p w14:paraId="25415F79" w14:textId="6E3E9E64" w:rsidR="006E0FC3" w:rsidRPr="006E0FC3" w:rsidRDefault="006E0FC3" w:rsidP="006E0FC3">
      <w:pPr>
        <w:pStyle w:val="a3"/>
        <w:numPr>
          <w:ilvl w:val="0"/>
          <w:numId w:val="2"/>
        </w:numPr>
        <w:spacing w:line="480" w:lineRule="auto"/>
        <w:rPr>
          <w:rFonts w:ascii="David" w:hAnsi="David" w:cs="David"/>
          <w:sz w:val="24"/>
          <w:szCs w:val="24"/>
          <w:u w:val="single"/>
        </w:rPr>
      </w:pPr>
      <w:r>
        <w:rPr>
          <w:rFonts w:ascii="David" w:hAnsi="David" w:cs="David" w:hint="cs"/>
          <w:sz w:val="24"/>
          <w:szCs w:val="24"/>
          <w:rtl/>
        </w:rPr>
        <w:t>יש להגיש דרך המודל, וחובה לשמור העתק של העבודה אצלכם שישלח במייל במקרה הצורך.</w:t>
      </w:r>
    </w:p>
    <w:p w14:paraId="332544B2" w14:textId="52C33CFF" w:rsidR="006E0FC3" w:rsidRDefault="006E0FC3" w:rsidP="006E0FC3">
      <w:pPr>
        <w:pStyle w:val="a3"/>
        <w:numPr>
          <w:ilvl w:val="0"/>
          <w:numId w:val="2"/>
        </w:numPr>
        <w:spacing w:line="480" w:lineRule="auto"/>
        <w:rPr>
          <w:rFonts w:ascii="David" w:hAnsi="David" w:cs="David"/>
          <w:sz w:val="24"/>
          <w:szCs w:val="24"/>
          <w:u w:val="single"/>
        </w:rPr>
      </w:pPr>
      <w:r>
        <w:rPr>
          <w:rFonts w:ascii="David" w:hAnsi="David" w:cs="David" w:hint="cs"/>
          <w:sz w:val="24"/>
          <w:szCs w:val="24"/>
          <w:rtl/>
        </w:rPr>
        <w:t xml:space="preserve">אורך כל תשובה לא יעלה על </w:t>
      </w:r>
      <w:r w:rsidR="00A03F8D">
        <w:rPr>
          <w:rFonts w:ascii="David" w:hAnsi="David" w:cs="David" w:hint="cs"/>
          <w:sz w:val="24"/>
          <w:szCs w:val="24"/>
          <w:rtl/>
        </w:rPr>
        <w:t>50 שורות</w:t>
      </w:r>
      <w:r>
        <w:rPr>
          <w:rFonts w:ascii="David" w:hAnsi="David" w:cs="David" w:hint="cs"/>
          <w:sz w:val="24"/>
          <w:szCs w:val="24"/>
          <w:rtl/>
        </w:rPr>
        <w:t>, גופן דוד, גודל 12, ורווח כפול בין השורות. חריגה לא תיבדק ותוביל לפסילת השאלה כולה.</w:t>
      </w:r>
    </w:p>
    <w:p w14:paraId="18A83213" w14:textId="30542660" w:rsidR="00967D15" w:rsidRPr="00967D15" w:rsidRDefault="00967D15" w:rsidP="006E0FC3">
      <w:pPr>
        <w:pStyle w:val="a3"/>
        <w:numPr>
          <w:ilvl w:val="0"/>
          <w:numId w:val="2"/>
        </w:numPr>
        <w:spacing w:line="480" w:lineRule="auto"/>
        <w:rPr>
          <w:rFonts w:ascii="David" w:hAnsi="David" w:cs="David"/>
          <w:sz w:val="24"/>
          <w:szCs w:val="24"/>
        </w:rPr>
      </w:pPr>
      <w:r w:rsidRPr="00967D15">
        <w:rPr>
          <w:rFonts w:ascii="David" w:hAnsi="David" w:cs="David" w:hint="cs"/>
          <w:sz w:val="24"/>
          <w:szCs w:val="24"/>
          <w:rtl/>
        </w:rPr>
        <w:t>יש לנמק כל תשובה.</w:t>
      </w:r>
    </w:p>
    <w:p w14:paraId="764A903C" w14:textId="7F57DD02" w:rsidR="00692C6D" w:rsidRPr="00692C6D" w:rsidRDefault="00692C6D" w:rsidP="006E0FC3">
      <w:pPr>
        <w:pStyle w:val="a3"/>
        <w:numPr>
          <w:ilvl w:val="0"/>
          <w:numId w:val="2"/>
        </w:numPr>
        <w:spacing w:line="480" w:lineRule="auto"/>
        <w:rPr>
          <w:rFonts w:ascii="David" w:hAnsi="David" w:cs="David"/>
          <w:sz w:val="24"/>
          <w:szCs w:val="24"/>
        </w:rPr>
      </w:pPr>
      <w:r w:rsidRPr="00692C6D">
        <w:rPr>
          <w:rFonts w:ascii="David" w:hAnsi="David" w:cs="David" w:hint="cs"/>
          <w:sz w:val="24"/>
          <w:szCs w:val="24"/>
          <w:rtl/>
        </w:rPr>
        <w:t xml:space="preserve">הניקוד </w:t>
      </w:r>
      <w:r w:rsidR="00967D15">
        <w:rPr>
          <w:rFonts w:ascii="David" w:hAnsi="David" w:cs="David" w:hint="cs"/>
          <w:sz w:val="24"/>
          <w:szCs w:val="24"/>
          <w:rtl/>
        </w:rPr>
        <w:t xml:space="preserve">לשאלה 1 הינו 40 נקודות; לשאלה 2 </w:t>
      </w:r>
      <w:r w:rsidR="00967D15">
        <w:rPr>
          <w:rFonts w:ascii="David" w:hAnsi="David" w:cs="David"/>
          <w:sz w:val="24"/>
          <w:szCs w:val="24"/>
          <w:rtl/>
        </w:rPr>
        <w:t>–</w:t>
      </w:r>
      <w:r w:rsidR="00967D15">
        <w:rPr>
          <w:rFonts w:ascii="David" w:hAnsi="David" w:cs="David" w:hint="cs"/>
          <w:sz w:val="24"/>
          <w:szCs w:val="24"/>
          <w:rtl/>
        </w:rPr>
        <w:t xml:space="preserve"> 40 נקודות; לשאלה 3 </w:t>
      </w:r>
      <w:r w:rsidR="00967D15">
        <w:rPr>
          <w:rFonts w:ascii="David" w:hAnsi="David" w:cs="David"/>
          <w:sz w:val="24"/>
          <w:szCs w:val="24"/>
          <w:rtl/>
        </w:rPr>
        <w:t>–</w:t>
      </w:r>
      <w:r w:rsidR="00967D15">
        <w:rPr>
          <w:rFonts w:ascii="David" w:hAnsi="David" w:cs="David" w:hint="cs"/>
          <w:sz w:val="24"/>
          <w:szCs w:val="24"/>
          <w:rtl/>
        </w:rPr>
        <w:t xml:space="preserve"> 20 נקודות.</w:t>
      </w:r>
    </w:p>
    <w:p w14:paraId="24C9D8F4" w14:textId="521A3722" w:rsidR="006E0FC3" w:rsidRPr="00692C6D" w:rsidRDefault="006E0FC3" w:rsidP="006E0FC3">
      <w:pPr>
        <w:pStyle w:val="a3"/>
        <w:numPr>
          <w:ilvl w:val="0"/>
          <w:numId w:val="2"/>
        </w:numPr>
        <w:spacing w:line="480" w:lineRule="auto"/>
        <w:rPr>
          <w:rFonts w:ascii="David" w:hAnsi="David" w:cs="David"/>
          <w:sz w:val="24"/>
          <w:szCs w:val="24"/>
          <w:u w:val="single"/>
        </w:rPr>
      </w:pPr>
      <w:r>
        <w:rPr>
          <w:rFonts w:ascii="David" w:hAnsi="David" w:cs="David" w:hint="cs"/>
          <w:sz w:val="24"/>
          <w:szCs w:val="24"/>
          <w:rtl/>
        </w:rPr>
        <w:t>במידת הצורך, ניתן לפנות אלי במייל לשאלות ביחס לעבודה</w:t>
      </w:r>
      <w:r>
        <w:rPr>
          <w:rFonts w:ascii="David" w:hAnsi="David" w:cs="David"/>
          <w:sz w:val="24"/>
          <w:szCs w:val="24"/>
          <w:rtl/>
        </w:rPr>
        <w:br/>
      </w:r>
      <w:r>
        <w:rPr>
          <w:rFonts w:ascii="David" w:hAnsi="David" w:cs="David" w:hint="cs"/>
          <w:sz w:val="24"/>
          <w:szCs w:val="24"/>
          <w:rtl/>
        </w:rPr>
        <w:t>תשובות תשלחנה במייל, ולפי שיקול דעתי, יועלו גם למודל</w:t>
      </w:r>
      <w:bookmarkStart w:id="0" w:name="_GoBack"/>
      <w:bookmarkEnd w:id="0"/>
      <w:r>
        <w:rPr>
          <w:rFonts w:ascii="David" w:hAnsi="David" w:cs="David"/>
          <w:sz w:val="24"/>
          <w:szCs w:val="24"/>
          <w:rtl/>
        </w:rPr>
        <w:br/>
      </w:r>
      <w:r>
        <w:rPr>
          <w:rFonts w:ascii="David" w:hAnsi="David" w:cs="David" w:hint="cs"/>
          <w:sz w:val="24"/>
          <w:szCs w:val="24"/>
          <w:rtl/>
        </w:rPr>
        <w:t xml:space="preserve">שאלות שתגענה סמוך למועד ההגשה, לא בהכרח </w:t>
      </w:r>
      <w:r w:rsidR="00692C6D">
        <w:rPr>
          <w:rFonts w:ascii="David" w:hAnsi="David" w:cs="David" w:hint="cs"/>
          <w:sz w:val="24"/>
          <w:szCs w:val="24"/>
          <w:rtl/>
        </w:rPr>
        <w:t>יספיקו לזכות למענה.</w:t>
      </w:r>
    </w:p>
    <w:p w14:paraId="1F428850" w14:textId="0BC20A09" w:rsidR="00692C6D" w:rsidRDefault="00692C6D" w:rsidP="006E0FC3">
      <w:pPr>
        <w:pStyle w:val="a3"/>
        <w:numPr>
          <w:ilvl w:val="0"/>
          <w:numId w:val="2"/>
        </w:numPr>
        <w:spacing w:line="480" w:lineRule="auto"/>
        <w:rPr>
          <w:rFonts w:ascii="David" w:hAnsi="David" w:cs="David"/>
          <w:sz w:val="24"/>
          <w:szCs w:val="24"/>
          <w:u w:val="single"/>
        </w:rPr>
      </w:pPr>
      <w:r>
        <w:rPr>
          <w:rFonts w:ascii="David" w:hAnsi="David" w:cs="David" w:hint="cs"/>
          <w:sz w:val="24"/>
          <w:szCs w:val="24"/>
          <w:rtl/>
        </w:rPr>
        <w:t xml:space="preserve">לאור בקשות שהופנו אלי, נדחה תאריך ההגשה, כמופיע </w:t>
      </w:r>
      <w:r w:rsidRPr="00692C6D">
        <w:rPr>
          <w:rFonts w:ascii="David" w:hAnsi="David" w:cs="David" w:hint="cs"/>
          <w:sz w:val="24"/>
          <w:szCs w:val="24"/>
          <w:rtl/>
        </w:rPr>
        <w:t xml:space="preserve">במודל </w:t>
      </w:r>
      <w:proofErr w:type="spellStart"/>
      <w:r w:rsidRPr="00692C6D">
        <w:rPr>
          <w:rFonts w:ascii="David" w:hAnsi="David" w:cs="David" w:hint="cs"/>
          <w:sz w:val="24"/>
          <w:szCs w:val="24"/>
          <w:rtl/>
        </w:rPr>
        <w:t>וקציבת</w:t>
      </w:r>
      <w:proofErr w:type="spellEnd"/>
      <w:r w:rsidRPr="00692C6D">
        <w:rPr>
          <w:rFonts w:ascii="David" w:hAnsi="David" w:cs="David" w:hint="cs"/>
          <w:sz w:val="24"/>
          <w:szCs w:val="24"/>
          <w:rtl/>
        </w:rPr>
        <w:t xml:space="preserve"> הזמנים לכל שאלה בוטלה. אשמח אם תציינו כמה זמן הקדשתם לכל שאלה,</w:t>
      </w:r>
      <w:r>
        <w:rPr>
          <w:rFonts w:ascii="David" w:hAnsi="David" w:cs="David" w:hint="cs"/>
          <w:sz w:val="24"/>
          <w:szCs w:val="24"/>
          <w:rtl/>
        </w:rPr>
        <w:t xml:space="preserve"> </w:t>
      </w:r>
      <w:r>
        <w:rPr>
          <w:rFonts w:ascii="David" w:hAnsi="David" w:cs="David" w:hint="cs"/>
          <w:sz w:val="24"/>
          <w:szCs w:val="24"/>
          <w:u w:val="single"/>
          <w:rtl/>
        </w:rPr>
        <w:t>אך אין חובה לציין זאת</w:t>
      </w:r>
    </w:p>
    <w:p w14:paraId="2E07A010" w14:textId="6EC419DB" w:rsidR="00692C6D" w:rsidRPr="00692C6D" w:rsidRDefault="00692C6D" w:rsidP="006E0FC3">
      <w:pPr>
        <w:pStyle w:val="a3"/>
        <w:numPr>
          <w:ilvl w:val="0"/>
          <w:numId w:val="2"/>
        </w:numPr>
        <w:spacing w:line="480" w:lineRule="auto"/>
        <w:rPr>
          <w:rFonts w:ascii="David" w:hAnsi="David" w:cs="David"/>
          <w:sz w:val="24"/>
          <w:szCs w:val="24"/>
        </w:rPr>
      </w:pPr>
      <w:r w:rsidRPr="00692C6D">
        <w:rPr>
          <w:rFonts w:ascii="David" w:hAnsi="David" w:cs="David" w:hint="cs"/>
          <w:sz w:val="24"/>
          <w:szCs w:val="24"/>
          <w:rtl/>
        </w:rPr>
        <w:t>בהצלחה וקיץ בריא לכולנו,</w:t>
      </w:r>
    </w:p>
    <w:p w14:paraId="7420D3E0" w14:textId="2A6D392E" w:rsidR="00692C6D" w:rsidRPr="00692C6D" w:rsidRDefault="00692C6D" w:rsidP="00692C6D">
      <w:pPr>
        <w:pStyle w:val="a3"/>
        <w:spacing w:line="480" w:lineRule="auto"/>
        <w:rPr>
          <w:rFonts w:ascii="David" w:hAnsi="David" w:cs="David"/>
          <w:sz w:val="24"/>
          <w:szCs w:val="24"/>
          <w:rtl/>
        </w:rPr>
      </w:pPr>
    </w:p>
    <w:p w14:paraId="3B37567A" w14:textId="2C70F4A4" w:rsidR="00692C6D" w:rsidRPr="00692C6D" w:rsidRDefault="00692C6D" w:rsidP="00692C6D">
      <w:pPr>
        <w:pStyle w:val="a3"/>
        <w:spacing w:line="480" w:lineRule="auto"/>
        <w:rPr>
          <w:rFonts w:ascii="David" w:hAnsi="David" w:cs="David"/>
          <w:sz w:val="24"/>
          <w:szCs w:val="24"/>
          <w:rtl/>
        </w:rPr>
      </w:pPr>
      <w:r w:rsidRPr="00692C6D">
        <w:rPr>
          <w:rFonts w:ascii="David" w:hAnsi="David" w:cs="David" w:hint="cs"/>
          <w:sz w:val="24"/>
          <w:szCs w:val="24"/>
          <w:rtl/>
        </w:rPr>
        <w:t>חגית</w:t>
      </w:r>
    </w:p>
    <w:p w14:paraId="5E438398" w14:textId="77777777" w:rsidR="006E0FC3" w:rsidRDefault="006E0FC3" w:rsidP="005A1E45">
      <w:pPr>
        <w:spacing w:line="480" w:lineRule="auto"/>
        <w:rPr>
          <w:rFonts w:ascii="David" w:hAnsi="David" w:cs="David"/>
          <w:sz w:val="24"/>
          <w:szCs w:val="24"/>
          <w:rtl/>
        </w:rPr>
      </w:pPr>
    </w:p>
    <w:p w14:paraId="22320DE7" w14:textId="77777777" w:rsidR="006E0FC3" w:rsidRDefault="006E0FC3">
      <w:pPr>
        <w:bidi w:val="0"/>
        <w:rPr>
          <w:rFonts w:ascii="David" w:hAnsi="David" w:cs="David"/>
          <w:sz w:val="24"/>
          <w:szCs w:val="24"/>
          <w:rtl/>
        </w:rPr>
      </w:pPr>
      <w:r>
        <w:rPr>
          <w:rFonts w:ascii="David" w:hAnsi="David" w:cs="David"/>
          <w:sz w:val="24"/>
          <w:szCs w:val="24"/>
          <w:rtl/>
        </w:rPr>
        <w:br w:type="page"/>
      </w:r>
    </w:p>
    <w:p w14:paraId="36E935DD" w14:textId="77777777" w:rsidR="005A1E45" w:rsidRDefault="005A1E45" w:rsidP="005A1E45">
      <w:pPr>
        <w:spacing w:line="480" w:lineRule="auto"/>
        <w:rPr>
          <w:rFonts w:ascii="David" w:hAnsi="David" w:cs="David"/>
          <w:sz w:val="24"/>
          <w:szCs w:val="24"/>
          <w:rtl/>
        </w:rPr>
      </w:pPr>
    </w:p>
    <w:p w14:paraId="2630531E" w14:textId="0C841C0F" w:rsidR="005A1E45" w:rsidRDefault="00692C6D" w:rsidP="005A1E45">
      <w:pPr>
        <w:spacing w:line="480" w:lineRule="auto"/>
        <w:rPr>
          <w:rtl/>
        </w:rPr>
      </w:pPr>
      <w:r>
        <w:rPr>
          <w:rFonts w:hint="cs"/>
          <w:rtl/>
        </w:rPr>
        <w:t xml:space="preserve">1. </w:t>
      </w:r>
      <w:r w:rsidR="005A1E45">
        <w:rPr>
          <w:rFonts w:hint="cs"/>
          <w:rtl/>
        </w:rPr>
        <w:t xml:space="preserve">פרופסור יוסי דהאן, </w:t>
      </w:r>
      <w:r w:rsidR="00395D61">
        <w:rPr>
          <w:rFonts w:hint="cs"/>
          <w:rtl/>
        </w:rPr>
        <w:t>קובע במאמרו את הקביעה הבאה:</w:t>
      </w:r>
    </w:p>
    <w:p w14:paraId="7586B5F1" w14:textId="70380183" w:rsidR="006E0FC3" w:rsidRDefault="00395D61" w:rsidP="00610022">
      <w:pPr>
        <w:spacing w:line="480" w:lineRule="auto"/>
        <w:rPr>
          <w:rtl/>
        </w:rPr>
      </w:pPr>
      <w:r>
        <w:rPr>
          <w:rFonts w:hint="cs"/>
          <w:rtl/>
        </w:rPr>
        <w:t>"</w:t>
      </w:r>
      <w:r w:rsidR="005A1E45">
        <w:rPr>
          <w:rtl/>
        </w:rPr>
        <w:t>ז</w:t>
      </w:r>
      <w:r w:rsidR="005A1E45">
        <w:rPr>
          <w:rFonts w:hint="cs"/>
          <w:rtl/>
        </w:rPr>
        <w:t>ה שלושה עשורים מתחוללים במערכת החינוך תהליכי הפרטה. קיימים כמה גורמים לתהליכים אלו, שאחד המרכזיים שבהם הוא תפיסה אידאולוגית נאו-ליבראלית העוינת את מעורבות המדינה בחיי החברה והכלכלה ומקדמת את החדרתם של עקרונותיו ומגמותיו של השוק לתחום החינוך"</w:t>
      </w:r>
    </w:p>
    <w:p w14:paraId="0AD42DF3" w14:textId="7B8C8F29" w:rsidR="006E0FC3" w:rsidRDefault="006E0FC3" w:rsidP="006E0FC3">
      <w:pPr>
        <w:pStyle w:val="a3"/>
        <w:numPr>
          <w:ilvl w:val="0"/>
          <w:numId w:val="1"/>
        </w:numPr>
        <w:spacing w:line="480" w:lineRule="auto"/>
      </w:pPr>
      <w:r>
        <w:rPr>
          <w:rFonts w:hint="cs"/>
          <w:rtl/>
        </w:rPr>
        <w:t>חוו דעתכם על טענה זו. האם לדעתכם מדובר בטענה נכונה? (יש כמובן לנמק ולהדגים)</w:t>
      </w:r>
    </w:p>
    <w:p w14:paraId="06286356" w14:textId="5E8ECB82" w:rsidR="006E0FC3" w:rsidRDefault="006E0FC3" w:rsidP="006E0FC3">
      <w:pPr>
        <w:pStyle w:val="a3"/>
        <w:numPr>
          <w:ilvl w:val="0"/>
          <w:numId w:val="1"/>
        </w:numPr>
        <w:spacing w:line="480" w:lineRule="auto"/>
      </w:pPr>
      <w:r>
        <w:rPr>
          <w:rFonts w:hint="cs"/>
          <w:rtl/>
        </w:rPr>
        <w:t>מהם היתרונות והחסרונות של הפרטת מערכת חינוך? (יש להתייחס בהקשר לנושאים שנלמדו)</w:t>
      </w:r>
    </w:p>
    <w:p w14:paraId="7547ABE1" w14:textId="05718CED" w:rsidR="00692C6D" w:rsidRDefault="006E0FC3" w:rsidP="00610022">
      <w:pPr>
        <w:pStyle w:val="a3"/>
        <w:numPr>
          <w:ilvl w:val="0"/>
          <w:numId w:val="1"/>
        </w:numPr>
        <w:spacing w:line="480" w:lineRule="auto"/>
        <w:rPr>
          <w:rtl/>
        </w:rPr>
      </w:pPr>
      <w:r>
        <w:rPr>
          <w:rFonts w:hint="cs"/>
          <w:rtl/>
        </w:rPr>
        <w:t>אלו שאלות משפטיות / בעיות עולות מהפרטת מערכת חינוך?</w:t>
      </w:r>
    </w:p>
    <w:p w14:paraId="0ED616D6" w14:textId="2859792C" w:rsidR="00692C6D" w:rsidRDefault="00967D15" w:rsidP="00610022">
      <w:pPr>
        <w:spacing w:line="480" w:lineRule="auto"/>
        <w:rPr>
          <w:rtl/>
        </w:rPr>
      </w:pPr>
      <w:r>
        <w:rPr>
          <w:rFonts w:hint="cs"/>
          <w:rtl/>
        </w:rPr>
        <w:t>***</w:t>
      </w:r>
    </w:p>
    <w:p w14:paraId="599152FA" w14:textId="77777777" w:rsidR="00E30EF5" w:rsidRDefault="00692C6D" w:rsidP="00E30EF5">
      <w:pPr>
        <w:spacing w:line="480" w:lineRule="auto"/>
        <w:rPr>
          <w:rFonts w:ascii="David" w:hAnsi="David" w:cs="David"/>
          <w:sz w:val="24"/>
          <w:szCs w:val="24"/>
          <w:rtl/>
        </w:rPr>
      </w:pPr>
      <w:r>
        <w:rPr>
          <w:rFonts w:hint="cs"/>
          <w:rtl/>
        </w:rPr>
        <w:t>2</w:t>
      </w:r>
      <w:r w:rsidRPr="00E30EF5">
        <w:rPr>
          <w:rFonts w:ascii="David" w:hAnsi="David" w:cs="David"/>
          <w:sz w:val="24"/>
          <w:szCs w:val="24"/>
          <w:rtl/>
        </w:rPr>
        <w:t xml:space="preserve">. </w:t>
      </w:r>
      <w:r w:rsidR="00E30EF5">
        <w:rPr>
          <w:rFonts w:ascii="David" w:hAnsi="David" w:cs="David" w:hint="cs"/>
          <w:sz w:val="24"/>
          <w:szCs w:val="24"/>
          <w:rtl/>
        </w:rPr>
        <w:t>בבג"ץ שמשון, מציג השופט עמית את הרקע לעתירה כך:</w:t>
      </w:r>
    </w:p>
    <w:p w14:paraId="3D1196D8" w14:textId="682FC6EC" w:rsidR="00692C6D" w:rsidRDefault="00E30EF5" w:rsidP="00E30EF5">
      <w:pPr>
        <w:spacing w:line="480" w:lineRule="auto"/>
        <w:rPr>
          <w:rFonts w:ascii="David" w:hAnsi="David" w:cs="David"/>
          <w:color w:val="000000"/>
          <w:sz w:val="24"/>
          <w:szCs w:val="24"/>
          <w:rtl/>
        </w:rPr>
      </w:pPr>
      <w:r w:rsidRPr="00E30EF5">
        <w:rPr>
          <w:rFonts w:ascii="David" w:hAnsi="David" w:cs="David"/>
          <w:color w:val="000000"/>
          <w:sz w:val="24"/>
          <w:szCs w:val="24"/>
          <w:rtl/>
        </w:rPr>
        <w:t xml:space="preserve">"אם כן, לסוגיה העקרונית של היקף הזכות לשוויון בחינוך יש פנים לכאן ולכאן, ואינני סבור כי העתירה שלפנינו מבססת פגיעה בזכות חוקתית. כל זאת, מבלי לגרוע מהעיקרון לפיו זכויות חברתיות, כמו הזכויות לחינוך ולבריאות, מטילות על המדינה חובה להבטיח הן רמה מינימלית של שירות והן שוויון בשירות, על מנת למנוע פער בין מי שידם משגת לבין אחרים. אך גם זכות זו לשוויון אינה מוחלטת </w:t>
      </w:r>
      <w:r>
        <w:rPr>
          <w:rFonts w:ascii="David" w:hAnsi="David" w:cs="David" w:hint="cs"/>
          <w:color w:val="000000"/>
          <w:sz w:val="24"/>
          <w:szCs w:val="24"/>
          <w:rtl/>
        </w:rPr>
        <w:t>...</w:t>
      </w:r>
      <w:r w:rsidRPr="00E30EF5">
        <w:rPr>
          <w:rFonts w:ascii="David" w:hAnsi="David" w:cs="David"/>
          <w:color w:val="000000"/>
          <w:sz w:val="24"/>
          <w:szCs w:val="24"/>
          <w:rtl/>
        </w:rPr>
        <w:t xml:space="preserve"> עם זאת, אוסיף להלן הערה בנוגע לאופן בו סברו העותרים כי יש לפתור פגיעה נטענת זו: באמצעות מדיניות של "השוואה כלפי מטה</w:t>
      </w:r>
      <w:r w:rsidRPr="00E30EF5">
        <w:rPr>
          <w:rFonts w:ascii="David" w:hAnsi="David" w:cs="David"/>
          <w:color w:val="000000"/>
          <w:sz w:val="24"/>
          <w:szCs w:val="24"/>
        </w:rPr>
        <w:t xml:space="preserve">" (leveling down), </w:t>
      </w:r>
      <w:r w:rsidRPr="00E30EF5">
        <w:rPr>
          <w:rFonts w:ascii="David" w:hAnsi="David" w:cs="David"/>
          <w:color w:val="000000"/>
          <w:sz w:val="24"/>
          <w:szCs w:val="24"/>
          <w:rtl/>
        </w:rPr>
        <w:t xml:space="preserve">דהיינו שלילת יתרונות חינוכיים מתלמידים בעלי אמצעים מפני שחבריהם לספסל הלימודים אינם יכולים לממנם (ראו תמי הראל בן שחר "השוואה כלפי מטה בחינוך" עיוני משפט מ 172-117 (2017) (להלן: הראל בן שחר)). בשלב זה אציין כי בחלק מהעתירות שנדונו יחד עם העתירות שלפנינו עובר למחיקתן, נתבקשו סעדים הפוכים שעיקרם כי תבוטלנה המגבלות על תשלומי ההורים, באשר יש במגבלות אלה פגיעה בזכות לאוטונומיה בחינוך: "משמעות הזכות לחינוך מנקודת ראותו של הפרט משתלבת בזכותם של הורים לגדל ולחנך את ילדיהם בהתאם להשקפת עולמם ואמונתם, בבחינת זכות טבעית העומדת להם מכוח קשר הטבע בינם לבין ילדם [...]" (עניין המרכז לפלורליזם יהודי, בעמ' 614). זכות זו, אשר זכתה אף היא להכרה חוקתית, כוללת במובנה הקלאסי את זכותם של הורים לעצב ולהשפיע על חינוך ילדיהם </w:t>
      </w:r>
      <w:r>
        <w:rPr>
          <w:rFonts w:ascii="David" w:hAnsi="David" w:cs="David" w:hint="cs"/>
          <w:color w:val="000000"/>
          <w:sz w:val="24"/>
          <w:szCs w:val="24"/>
          <w:rtl/>
        </w:rPr>
        <w:t>...</w:t>
      </w:r>
      <w:r w:rsidRPr="00E30EF5">
        <w:rPr>
          <w:rFonts w:ascii="David" w:hAnsi="David" w:cs="David"/>
          <w:color w:val="000000"/>
          <w:sz w:val="24"/>
          <w:szCs w:val="24"/>
          <w:rtl/>
        </w:rPr>
        <w:t xml:space="preserve"> במאמר מוסגר יצוין, כי יש המכירים גם בזכותם של הילדים, ההולכת ומתחזקת ככל שהם מתבגרים, להשפיע על חינוכם </w:t>
      </w:r>
      <w:r w:rsidRPr="00E30EF5">
        <w:rPr>
          <w:rFonts w:ascii="David" w:hAnsi="David" w:cs="David"/>
          <w:color w:val="000000"/>
          <w:sz w:val="24"/>
          <w:szCs w:val="24"/>
          <w:rtl/>
        </w:rPr>
        <w:lastRenderedPageBreak/>
        <w:t>שלהם</w:t>
      </w:r>
      <w:r>
        <w:rPr>
          <w:rFonts w:ascii="David" w:hAnsi="David" w:cs="David" w:hint="cs"/>
          <w:color w:val="000000"/>
          <w:sz w:val="24"/>
          <w:szCs w:val="24"/>
          <w:rtl/>
        </w:rPr>
        <w:t>...</w:t>
      </w:r>
      <w:r w:rsidRPr="00E30EF5">
        <w:rPr>
          <w:rFonts w:ascii="David" w:hAnsi="David" w:cs="David"/>
          <w:color w:val="000000"/>
          <w:sz w:val="24"/>
          <w:szCs w:val="24"/>
          <w:rtl/>
        </w:rPr>
        <w:t xml:space="preserve"> לפי גישה זו, המצדדת בזכות לאוטונומיה הורית בחינוך, הנכונות של הורים לשלם עבור חינוך נוסף ומשלים עבור ילדיהם, משקפת סדרי עדיפות. יש הורים שיעדיפו להשקיע בריהוט חדש ויש הורים שיעדיפו להשקיע בחינוך ילדיהם. העתירות הנוספות אמנם נמחקו בפסק הדין מיום 12.9.2017, אך יש בהן כדי להצביע על מורכבות השאלה בדבר "השוואה כלפי מטה" בחינוך, ועל עוצמת האינטרסים המתנגשים משני צדי המתרס – שוויון בחינוך מול הזכות לאוטונומיה הורית בחינוך. לא אכחד כי הפסיקה בנושא זה אינה חד-משמעית. </w:t>
      </w:r>
      <w:r>
        <w:rPr>
          <w:rFonts w:ascii="David" w:hAnsi="David" w:cs="David" w:hint="cs"/>
          <w:color w:val="000000"/>
          <w:sz w:val="24"/>
          <w:szCs w:val="24"/>
          <w:rtl/>
        </w:rPr>
        <w:t xml:space="preserve">..." </w:t>
      </w:r>
      <w:hyperlink r:id="rId5" w:history="1">
        <w:r w:rsidRPr="00E30EF5">
          <w:rPr>
            <w:rStyle w:val="Hyperlink"/>
            <w:rFonts w:ascii="David" w:hAnsi="David" w:cs="David"/>
            <w:color w:val="auto"/>
            <w:sz w:val="24"/>
            <w:szCs w:val="24"/>
            <w:u w:val="none"/>
            <w:rtl/>
          </w:rPr>
          <w:t>בג"ץ 5004/14 </w:t>
        </w:r>
        <w:r w:rsidRPr="00E30EF5">
          <w:rPr>
            <w:rStyle w:val="Hyperlink"/>
            <w:rFonts w:ascii="David" w:hAnsi="David" w:cs="David"/>
            <w:b/>
            <w:bCs/>
            <w:color w:val="auto"/>
            <w:sz w:val="24"/>
            <w:szCs w:val="24"/>
            <w:u w:val="none"/>
            <w:rtl/>
          </w:rPr>
          <w:t>שמשון ג'קלין ואח' נ' משרד החינוך</w:t>
        </w:r>
        <w:r w:rsidRPr="00E30EF5">
          <w:rPr>
            <w:rStyle w:val="Hyperlink"/>
            <w:rFonts w:ascii="David" w:hAnsi="David" w:cs="David"/>
            <w:color w:val="auto"/>
            <w:sz w:val="24"/>
            <w:szCs w:val="24"/>
            <w:u w:val="none"/>
            <w:rtl/>
          </w:rPr>
          <w:t> (07.08.2019)‏</w:t>
        </w:r>
      </w:hyperlink>
      <w:r w:rsidRPr="00E30EF5">
        <w:rPr>
          <w:rFonts w:ascii="David" w:hAnsi="David" w:cs="David"/>
          <w:sz w:val="24"/>
          <w:szCs w:val="24"/>
          <w:rtl/>
        </w:rPr>
        <w:t>‏</w:t>
      </w:r>
    </w:p>
    <w:p w14:paraId="0BEF41FA" w14:textId="7B6D32AB" w:rsidR="00E30EF5" w:rsidRDefault="00E30EF5" w:rsidP="00E30EF5">
      <w:pPr>
        <w:pStyle w:val="a3"/>
        <w:numPr>
          <w:ilvl w:val="0"/>
          <w:numId w:val="3"/>
        </w:numPr>
        <w:spacing w:line="480" w:lineRule="auto"/>
        <w:rPr>
          <w:rFonts w:ascii="David" w:hAnsi="David" w:cs="David"/>
          <w:color w:val="000000"/>
          <w:sz w:val="24"/>
          <w:szCs w:val="24"/>
        </w:rPr>
      </w:pPr>
      <w:r>
        <w:rPr>
          <w:rFonts w:ascii="David" w:hAnsi="David" w:cs="David" w:hint="cs"/>
          <w:color w:val="000000"/>
          <w:sz w:val="24"/>
          <w:szCs w:val="24"/>
          <w:rtl/>
        </w:rPr>
        <w:t>מהו לדעתך האיזון הנכון והראוי בין הזכות לשוויון בחינוך לזכויות אחרות המעורבות בה ומתנגשות בה?</w:t>
      </w:r>
    </w:p>
    <w:p w14:paraId="31A860A2" w14:textId="3C49283A" w:rsidR="00E30EF5" w:rsidRDefault="00E30EF5" w:rsidP="00E30EF5">
      <w:pPr>
        <w:pStyle w:val="a3"/>
        <w:numPr>
          <w:ilvl w:val="0"/>
          <w:numId w:val="3"/>
        </w:numPr>
        <w:spacing w:line="480" w:lineRule="auto"/>
        <w:rPr>
          <w:rFonts w:ascii="David" w:hAnsi="David" w:cs="David"/>
          <w:color w:val="000000"/>
          <w:sz w:val="24"/>
          <w:szCs w:val="24"/>
        </w:rPr>
      </w:pPr>
      <w:r>
        <w:rPr>
          <w:rFonts w:ascii="David" w:hAnsi="David" w:cs="David" w:hint="cs"/>
          <w:color w:val="000000"/>
          <w:sz w:val="24"/>
          <w:szCs w:val="24"/>
          <w:rtl/>
        </w:rPr>
        <w:t>כיצד לדעתך ישפיע שינוי מנקודת האיזון אותה הצגת בחלק א'?</w:t>
      </w:r>
    </w:p>
    <w:p w14:paraId="5D991CE0" w14:textId="2C6C974A" w:rsidR="00E30EF5" w:rsidRDefault="00E30EF5" w:rsidP="00E30EF5">
      <w:pPr>
        <w:pStyle w:val="a3"/>
        <w:numPr>
          <w:ilvl w:val="0"/>
          <w:numId w:val="3"/>
        </w:numPr>
        <w:spacing w:line="480" w:lineRule="auto"/>
        <w:rPr>
          <w:rFonts w:ascii="David" w:hAnsi="David" w:cs="David"/>
          <w:color w:val="000000"/>
          <w:sz w:val="24"/>
          <w:szCs w:val="24"/>
        </w:rPr>
      </w:pPr>
      <w:r>
        <w:rPr>
          <w:rFonts w:ascii="David" w:hAnsi="David" w:cs="David" w:hint="cs"/>
          <w:color w:val="000000"/>
          <w:sz w:val="24"/>
          <w:szCs w:val="24"/>
          <w:rtl/>
        </w:rPr>
        <w:t>אלו השלכות מעשיות ישנן לנקודת האיזון הראויה מחד ולבחירה בנקודות איזון אחרות?</w:t>
      </w:r>
    </w:p>
    <w:p w14:paraId="5CF4CD85" w14:textId="6616BD25" w:rsidR="00967D15" w:rsidRDefault="00967D15" w:rsidP="00E30EF5">
      <w:pPr>
        <w:pStyle w:val="a3"/>
        <w:numPr>
          <w:ilvl w:val="0"/>
          <w:numId w:val="3"/>
        </w:numPr>
        <w:spacing w:line="480" w:lineRule="auto"/>
        <w:rPr>
          <w:rFonts w:ascii="David" w:hAnsi="David" w:cs="David"/>
          <w:color w:val="000000"/>
          <w:sz w:val="24"/>
          <w:szCs w:val="24"/>
        </w:rPr>
      </w:pPr>
      <w:r>
        <w:rPr>
          <w:rFonts w:ascii="David" w:hAnsi="David" w:cs="David" w:hint="cs"/>
          <w:color w:val="000000"/>
          <w:sz w:val="24"/>
          <w:szCs w:val="24"/>
          <w:rtl/>
        </w:rPr>
        <w:t>כיצד באות לידי ביטוי זכויות ההורים במערכת החינוך הישראלית לרבדיה?</w:t>
      </w:r>
    </w:p>
    <w:p w14:paraId="505BB16E" w14:textId="55ACA61E" w:rsidR="00967D15" w:rsidRPr="00E30EF5" w:rsidRDefault="00967D15" w:rsidP="00E30EF5">
      <w:pPr>
        <w:pStyle w:val="a3"/>
        <w:numPr>
          <w:ilvl w:val="0"/>
          <w:numId w:val="3"/>
        </w:numPr>
        <w:spacing w:line="480" w:lineRule="auto"/>
        <w:rPr>
          <w:rFonts w:ascii="David" w:hAnsi="David" w:cs="David"/>
          <w:color w:val="000000"/>
          <w:sz w:val="24"/>
          <w:szCs w:val="24"/>
          <w:rtl/>
        </w:rPr>
      </w:pPr>
      <w:r>
        <w:rPr>
          <w:rFonts w:ascii="David" w:hAnsi="David" w:cs="David" w:hint="cs"/>
          <w:color w:val="000000"/>
          <w:sz w:val="24"/>
          <w:szCs w:val="24"/>
          <w:rtl/>
        </w:rPr>
        <w:t>דבריו של השופט עמית עוררו ביקורת ציבורית רבה, מה דעתך על ביקורת זו?</w:t>
      </w:r>
    </w:p>
    <w:p w14:paraId="16431E8F" w14:textId="57245839" w:rsidR="00967D15" w:rsidRDefault="00967D15" w:rsidP="00610022">
      <w:pPr>
        <w:tabs>
          <w:tab w:val="left" w:pos="976"/>
        </w:tabs>
        <w:spacing w:line="480" w:lineRule="auto"/>
        <w:rPr>
          <w:rFonts w:ascii="David" w:hAnsi="David" w:cs="David"/>
          <w:color w:val="000000"/>
          <w:sz w:val="24"/>
          <w:szCs w:val="24"/>
          <w:rtl/>
        </w:rPr>
      </w:pPr>
      <w:r>
        <w:rPr>
          <w:rFonts w:ascii="David" w:hAnsi="David" w:cs="David" w:hint="cs"/>
          <w:color w:val="000000"/>
          <w:sz w:val="24"/>
          <w:szCs w:val="24"/>
          <w:rtl/>
        </w:rPr>
        <w:t>***</w:t>
      </w:r>
    </w:p>
    <w:p w14:paraId="662473C8" w14:textId="7331282E" w:rsidR="00967D15" w:rsidRDefault="00967D15" w:rsidP="00E30EF5">
      <w:pPr>
        <w:spacing w:line="480" w:lineRule="auto"/>
        <w:rPr>
          <w:rFonts w:ascii="David" w:hAnsi="David" w:cs="David"/>
          <w:color w:val="000000"/>
          <w:sz w:val="24"/>
          <w:szCs w:val="24"/>
          <w:rtl/>
        </w:rPr>
      </w:pPr>
      <w:r>
        <w:rPr>
          <w:rFonts w:ascii="David" w:hAnsi="David" w:cs="David" w:hint="cs"/>
          <w:color w:val="000000"/>
          <w:sz w:val="24"/>
          <w:szCs w:val="24"/>
          <w:rtl/>
        </w:rPr>
        <w:t>3. בעקבות מצב החירום עקב התפרצות נגיף הקורונה, עברה מערכת החינוך במדינת ישראל למודל של למידה מרחוק.</w:t>
      </w:r>
    </w:p>
    <w:p w14:paraId="3FDF5E3A" w14:textId="1A717000" w:rsidR="00967D15" w:rsidRDefault="00967D15" w:rsidP="00E30EF5">
      <w:pPr>
        <w:spacing w:line="480" w:lineRule="auto"/>
        <w:rPr>
          <w:rFonts w:ascii="David" w:hAnsi="David" w:cs="David"/>
          <w:color w:val="000000"/>
          <w:sz w:val="24"/>
          <w:szCs w:val="24"/>
          <w:rtl/>
        </w:rPr>
      </w:pPr>
      <w:r>
        <w:rPr>
          <w:rFonts w:ascii="David" w:hAnsi="David" w:cs="David" w:hint="cs"/>
          <w:color w:val="000000"/>
          <w:sz w:val="24"/>
          <w:szCs w:val="24"/>
          <w:rtl/>
        </w:rPr>
        <w:t>א. אלו עקרונות ויעדים עמדו בבסיס המעבר למודל זה?</w:t>
      </w:r>
    </w:p>
    <w:p w14:paraId="101E34E3" w14:textId="496951BA" w:rsidR="00967D15" w:rsidRDefault="00967D15" w:rsidP="00E30EF5">
      <w:pPr>
        <w:spacing w:line="480" w:lineRule="auto"/>
        <w:rPr>
          <w:rFonts w:ascii="David" w:hAnsi="David" w:cs="David"/>
          <w:color w:val="000000"/>
          <w:sz w:val="24"/>
          <w:szCs w:val="24"/>
          <w:rtl/>
        </w:rPr>
      </w:pPr>
      <w:r>
        <w:rPr>
          <w:rFonts w:ascii="David" w:hAnsi="David" w:cs="David" w:hint="cs"/>
          <w:color w:val="000000"/>
          <w:sz w:val="24"/>
          <w:szCs w:val="24"/>
          <w:rtl/>
        </w:rPr>
        <w:t>ב. האם לדעתך המודל הצליח להשיג את המטרות המתוכננות?</w:t>
      </w:r>
    </w:p>
    <w:p w14:paraId="2CA17E25" w14:textId="65FF8514" w:rsidR="00623E2A" w:rsidRPr="00610022" w:rsidRDefault="00967D15" w:rsidP="00610022">
      <w:pPr>
        <w:spacing w:line="480" w:lineRule="auto"/>
        <w:rPr>
          <w:rFonts w:ascii="David" w:hAnsi="David" w:cs="David"/>
          <w:color w:val="000000"/>
          <w:sz w:val="24"/>
          <w:szCs w:val="24"/>
          <w:rtl/>
        </w:rPr>
      </w:pPr>
      <w:r>
        <w:rPr>
          <w:rFonts w:ascii="David" w:hAnsi="David" w:cs="David" w:hint="cs"/>
          <w:color w:val="000000"/>
          <w:sz w:val="24"/>
          <w:szCs w:val="24"/>
          <w:rtl/>
        </w:rPr>
        <w:t>ג. במידה ולא ניתן יהיה לקיים לימודים במסגרת בית ספרית כמקובל, מהו לדעתך דרך הפעולה הרצויה? מדוע?</w:t>
      </w:r>
    </w:p>
    <w:sectPr w:rsidR="00623E2A" w:rsidRPr="00610022" w:rsidSect="006100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72C69"/>
    <w:multiLevelType w:val="hybridMultilevel"/>
    <w:tmpl w:val="8CA6333C"/>
    <w:lvl w:ilvl="0" w:tplc="FF8C5D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96008"/>
    <w:multiLevelType w:val="hybridMultilevel"/>
    <w:tmpl w:val="761CA016"/>
    <w:lvl w:ilvl="0" w:tplc="FF8E73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BF295D"/>
    <w:multiLevelType w:val="hybridMultilevel"/>
    <w:tmpl w:val="2E3E7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45"/>
    <w:rsid w:val="00395D61"/>
    <w:rsid w:val="005A1E45"/>
    <w:rsid w:val="00610022"/>
    <w:rsid w:val="00692C6D"/>
    <w:rsid w:val="006E0FC3"/>
    <w:rsid w:val="008C6FA4"/>
    <w:rsid w:val="00967D15"/>
    <w:rsid w:val="00A03F8D"/>
    <w:rsid w:val="00B04AA6"/>
    <w:rsid w:val="00DD5D42"/>
    <w:rsid w:val="00E30E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94F3"/>
  <w15:chartTrackingRefBased/>
  <w15:docId w15:val="{8A4792C1-DDE5-444F-916E-DC3A6A70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FC3"/>
    <w:pPr>
      <w:ind w:left="720"/>
      <w:contextualSpacing/>
    </w:pPr>
  </w:style>
  <w:style w:type="character" w:styleId="Hyperlink">
    <w:name w:val="Hyperlink"/>
    <w:basedOn w:val="a0"/>
    <w:uiPriority w:val="99"/>
    <w:semiHidden/>
    <w:unhideWhenUsed/>
    <w:rsid w:val="00E30EF5"/>
    <w:rPr>
      <w:color w:val="0000FF"/>
      <w:u w:val="single"/>
    </w:rPr>
  </w:style>
  <w:style w:type="character" w:styleId="a4">
    <w:name w:val="line number"/>
    <w:basedOn w:val="a0"/>
    <w:uiPriority w:val="99"/>
    <w:semiHidden/>
    <w:unhideWhenUsed/>
    <w:rsid w:val="008C6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vo-co-il.eu1.proxy.openathens.net/psika_html/elyon/14050040-E62.htm"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661</Words>
  <Characters>3309</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Brestel</dc:creator>
  <cp:keywords/>
  <dc:description/>
  <cp:lastModifiedBy>רותם כהן</cp:lastModifiedBy>
  <cp:revision>8</cp:revision>
  <cp:lastPrinted>2020-07-14T07:23:00Z</cp:lastPrinted>
  <dcterms:created xsi:type="dcterms:W3CDTF">2020-07-07T18:38:00Z</dcterms:created>
  <dcterms:modified xsi:type="dcterms:W3CDTF">2020-07-14T07:25:00Z</dcterms:modified>
</cp:coreProperties>
</file>