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14" w:rsidRDefault="00F72D14" w:rsidP="00394018">
      <w:pPr>
        <w:spacing w:line="360" w:lineRule="auto"/>
        <w:rPr>
          <w:rFonts w:ascii="David" w:hAnsi="David" w:cs="David"/>
          <w:b/>
          <w:bCs/>
          <w:sz w:val="24"/>
          <w:szCs w:val="24"/>
          <w:u w:val="single"/>
          <w:rtl/>
        </w:rPr>
      </w:pPr>
      <w:r w:rsidRPr="00F72D14">
        <w:rPr>
          <w:rFonts w:ascii="David" w:hAnsi="David" w:cs="David" w:hint="cs"/>
          <w:b/>
          <w:bCs/>
          <w:sz w:val="24"/>
          <w:szCs w:val="24"/>
          <w:u w:val="single"/>
          <w:rtl/>
        </w:rPr>
        <w:t>פתרון למבחן</w:t>
      </w:r>
    </w:p>
    <w:p w:rsidR="00E80BF7" w:rsidRDefault="00E80BF7" w:rsidP="00394018">
      <w:pPr>
        <w:spacing w:line="360" w:lineRule="auto"/>
        <w:rPr>
          <w:rFonts w:ascii="David" w:hAnsi="David" w:cs="David"/>
          <w:sz w:val="24"/>
          <w:szCs w:val="24"/>
          <w:rtl/>
        </w:rPr>
      </w:pPr>
      <w:r>
        <w:rPr>
          <w:rFonts w:ascii="David" w:hAnsi="David" w:cs="David" w:hint="cs"/>
          <w:sz w:val="24"/>
          <w:szCs w:val="24"/>
          <w:rtl/>
        </w:rPr>
        <w:t>1</w:t>
      </w:r>
      <w:r w:rsidRPr="00CE1F42">
        <w:rPr>
          <w:rFonts w:ascii="David" w:hAnsi="David" w:cs="David" w:hint="cs"/>
          <w:sz w:val="24"/>
          <w:szCs w:val="24"/>
          <w:u w:val="single"/>
          <w:rtl/>
        </w:rPr>
        <w:t xml:space="preserve">.תקיפת התקנה- </w:t>
      </w:r>
      <w:r>
        <w:rPr>
          <w:rFonts w:ascii="David" w:hAnsi="David" w:cs="David"/>
          <w:sz w:val="24"/>
          <w:szCs w:val="24"/>
          <w:rtl/>
        </w:rPr>
        <w:br/>
      </w:r>
      <w:r w:rsidRPr="00CE1F42">
        <w:rPr>
          <w:rFonts w:ascii="David" w:hAnsi="David" w:cs="David" w:hint="cs"/>
          <w:sz w:val="24"/>
          <w:szCs w:val="24"/>
          <w:u w:val="single"/>
          <w:rtl/>
        </w:rPr>
        <w:t>תקיפה הליכית:</w:t>
      </w:r>
      <w:r>
        <w:rPr>
          <w:rFonts w:ascii="David" w:hAnsi="David" w:cs="David" w:hint="cs"/>
          <w:sz w:val="24"/>
          <w:szCs w:val="24"/>
          <w:rtl/>
        </w:rPr>
        <w:t xml:space="preserve"> ס'1י1(ה) מסמיך את השר להתקין הוראות לפטור מדמי ההיתר. </w:t>
      </w:r>
      <w:proofErr w:type="spellStart"/>
      <w:r>
        <w:rPr>
          <w:rFonts w:ascii="David" w:hAnsi="David" w:cs="David" w:hint="cs"/>
          <w:sz w:val="24"/>
          <w:szCs w:val="24"/>
          <w:rtl/>
        </w:rPr>
        <w:t>תותית</w:t>
      </w:r>
      <w:proofErr w:type="spellEnd"/>
      <w:r>
        <w:rPr>
          <w:rFonts w:ascii="David" w:hAnsi="David" w:cs="David" w:hint="cs"/>
          <w:sz w:val="24"/>
          <w:szCs w:val="24"/>
          <w:rtl/>
        </w:rPr>
        <w:t xml:space="preserve"> יכולה לטעון שהתקנה של השר סותרת את כלל ההסדרים הראשוניים. ע"פ כלל ההסדרים הראשוניים, </w:t>
      </w:r>
      <w:r w:rsidRPr="00E80BF7">
        <w:rPr>
          <w:rFonts w:ascii="David" w:hAnsi="David" w:cs="David"/>
          <w:sz w:val="24"/>
          <w:szCs w:val="24"/>
          <w:rtl/>
        </w:rPr>
        <w:t>הסדרים ראשוניים לא יקבעו בחקיקת משנה</w:t>
      </w:r>
      <w:r>
        <w:rPr>
          <w:rFonts w:ascii="David" w:hAnsi="David" w:cs="David" w:hint="cs"/>
          <w:sz w:val="24"/>
          <w:szCs w:val="24"/>
          <w:rtl/>
        </w:rPr>
        <w:t xml:space="preserve"> אלא </w:t>
      </w:r>
      <w:r w:rsidRPr="00E80BF7">
        <w:rPr>
          <w:rFonts w:ascii="David" w:hAnsi="David" w:cs="David"/>
          <w:sz w:val="24"/>
          <w:szCs w:val="24"/>
          <w:rtl/>
        </w:rPr>
        <w:t>רק בחקיקה ראשית.</w:t>
      </w:r>
      <w:r>
        <w:rPr>
          <w:rFonts w:ascii="David" w:hAnsi="David" w:cs="David" w:hint="cs"/>
          <w:sz w:val="24"/>
          <w:szCs w:val="24"/>
          <w:rtl/>
        </w:rPr>
        <w:t xml:space="preserve"> ביכולתו של השר לקבוע מי יקבל פטור ומי לא, מה שעלול לפגוע בשוויון בין חברות הבנייה השונות. שוויון הוא</w:t>
      </w:r>
      <w:r w:rsidRPr="00E80BF7">
        <w:rPr>
          <w:rFonts w:ascii="David" w:hAnsi="David" w:cs="David"/>
          <w:sz w:val="24"/>
          <w:szCs w:val="24"/>
          <w:rtl/>
        </w:rPr>
        <w:t xml:space="preserve"> נושא מהותי ולכן נדרשת לכך </w:t>
      </w:r>
      <w:commentRangeStart w:id="0"/>
      <w:r w:rsidRPr="00E80BF7">
        <w:rPr>
          <w:rFonts w:ascii="David" w:hAnsi="David" w:cs="David"/>
          <w:sz w:val="24"/>
          <w:szCs w:val="24"/>
          <w:rtl/>
        </w:rPr>
        <w:t>הסמכה מפורשת בחוק בהסדר ראשוני</w:t>
      </w:r>
      <w:commentRangeEnd w:id="0"/>
      <w:r w:rsidR="007D378E">
        <w:rPr>
          <w:rStyle w:val="CommentReference"/>
          <w:rtl/>
        </w:rPr>
        <w:commentReference w:id="0"/>
      </w:r>
      <w:r>
        <w:rPr>
          <w:rFonts w:ascii="David" w:hAnsi="David" w:cs="David" w:hint="cs"/>
          <w:sz w:val="24"/>
          <w:szCs w:val="24"/>
          <w:rtl/>
        </w:rPr>
        <w:t>(פס"ד רובינשטיין נ' שר הביטחון).</w:t>
      </w:r>
    </w:p>
    <w:p w:rsidR="00E80BF7" w:rsidRDefault="00E80BF7" w:rsidP="00394018">
      <w:pPr>
        <w:spacing w:line="360" w:lineRule="auto"/>
        <w:rPr>
          <w:rFonts w:ascii="David" w:hAnsi="David" w:cs="David"/>
          <w:sz w:val="24"/>
          <w:szCs w:val="24"/>
          <w:rtl/>
        </w:rPr>
      </w:pPr>
      <w:r>
        <w:rPr>
          <w:rFonts w:ascii="David" w:hAnsi="David" w:cs="David" w:hint="cs"/>
          <w:sz w:val="24"/>
          <w:szCs w:val="24"/>
          <w:rtl/>
        </w:rPr>
        <w:t xml:space="preserve">מנגד, המדינה תטען שהמחוקק הסמיך את השר לקבוע הוראות אלו ולכן יש לדחות את העתירה של </w:t>
      </w:r>
      <w:proofErr w:type="spellStart"/>
      <w:r>
        <w:rPr>
          <w:rFonts w:ascii="David" w:hAnsi="David" w:cs="David" w:hint="cs"/>
          <w:sz w:val="24"/>
          <w:szCs w:val="24"/>
          <w:rtl/>
        </w:rPr>
        <w:t>תותית</w:t>
      </w:r>
      <w:proofErr w:type="spellEnd"/>
      <w:r>
        <w:rPr>
          <w:rFonts w:ascii="David" w:hAnsi="David" w:cs="David" w:hint="cs"/>
          <w:sz w:val="24"/>
          <w:szCs w:val="24"/>
          <w:rtl/>
        </w:rPr>
        <w:t>(</w:t>
      </w:r>
      <w:r w:rsidRPr="00E80BF7">
        <w:rPr>
          <w:rFonts w:ascii="David" w:hAnsi="David" w:cs="David"/>
          <w:sz w:val="24"/>
          <w:szCs w:val="24"/>
          <w:rtl/>
        </w:rPr>
        <w:t>המרכז האקדמי למשפט ועסקים נ' ממשלת ישראל</w:t>
      </w:r>
      <w:r>
        <w:rPr>
          <w:rFonts w:ascii="David" w:hAnsi="David" w:cs="David" w:hint="cs"/>
          <w:sz w:val="24"/>
          <w:szCs w:val="24"/>
          <w:rtl/>
        </w:rPr>
        <w:t>).</w:t>
      </w:r>
    </w:p>
    <w:p w:rsidR="0055160C" w:rsidRDefault="00E80BF7" w:rsidP="00394018">
      <w:pPr>
        <w:spacing w:line="360" w:lineRule="auto"/>
        <w:rPr>
          <w:rFonts w:ascii="David" w:hAnsi="David" w:cs="David"/>
          <w:sz w:val="24"/>
          <w:szCs w:val="24"/>
          <w:rtl/>
        </w:rPr>
      </w:pPr>
      <w:r w:rsidRPr="00CE1F42">
        <w:rPr>
          <w:rFonts w:ascii="David" w:hAnsi="David" w:cs="David" w:hint="cs"/>
          <w:sz w:val="24"/>
          <w:szCs w:val="24"/>
          <w:u w:val="single"/>
          <w:rtl/>
        </w:rPr>
        <w:t>תקיפה תוכנית:</w:t>
      </w:r>
      <w:r w:rsidR="00CE1F42">
        <w:rPr>
          <w:rFonts w:ascii="David" w:hAnsi="David" w:cs="David" w:hint="cs"/>
          <w:sz w:val="24"/>
          <w:szCs w:val="24"/>
          <w:rtl/>
        </w:rPr>
        <w:t xml:space="preserve"> </w:t>
      </w:r>
      <w:r w:rsidR="0055160C">
        <w:rPr>
          <w:rFonts w:ascii="David" w:hAnsi="David" w:cs="David" w:hint="cs"/>
          <w:sz w:val="24"/>
          <w:szCs w:val="24"/>
          <w:rtl/>
        </w:rPr>
        <w:t xml:space="preserve">שינוי או פגיעה? במקרה שלפנינו מדובר בסטייה קלה בלבד, מכאן שזוהי פגיעה ולא שינוי(פס"ד דרור לישראל). </w:t>
      </w:r>
    </w:p>
    <w:p w:rsidR="00CE1F42" w:rsidRDefault="00CE1F42" w:rsidP="00394018">
      <w:pPr>
        <w:spacing w:line="360" w:lineRule="auto"/>
        <w:rPr>
          <w:rFonts w:ascii="David" w:hAnsi="David" w:cs="David"/>
          <w:sz w:val="24"/>
          <w:szCs w:val="24"/>
          <w:rtl/>
        </w:rPr>
      </w:pP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לפגיעה בזכות לשוויון, זכות זו הוכרה באופן רשמי בפס"ד התנועה  לאיכות השלטו נ' הכנסת, </w:t>
      </w:r>
      <w:r w:rsidRPr="00CE1F42">
        <w:rPr>
          <w:rFonts w:ascii="David" w:hAnsi="David" w:cs="David"/>
          <w:sz w:val="24"/>
          <w:szCs w:val="24"/>
          <w:rtl/>
        </w:rPr>
        <w:t xml:space="preserve">השוויון נקרא פנימה </w:t>
      </w:r>
      <w:proofErr w:type="spellStart"/>
      <w:r w:rsidRPr="00CE1F42">
        <w:rPr>
          <w:rFonts w:ascii="David" w:hAnsi="David" w:cs="David"/>
          <w:sz w:val="24"/>
          <w:szCs w:val="24"/>
          <w:rtl/>
        </w:rPr>
        <w:t>לחו"י</w:t>
      </w:r>
      <w:proofErr w:type="spellEnd"/>
      <w:r>
        <w:rPr>
          <w:rFonts w:ascii="David" w:hAnsi="David" w:cs="David" w:hint="cs"/>
          <w:sz w:val="24"/>
          <w:szCs w:val="24"/>
          <w:rtl/>
        </w:rPr>
        <w:t xml:space="preserve"> כבוד האדם וחירותו</w:t>
      </w:r>
      <w:r w:rsidRPr="00CE1F42">
        <w:rPr>
          <w:rFonts w:ascii="David" w:hAnsi="David" w:cs="David"/>
          <w:sz w:val="24"/>
          <w:szCs w:val="24"/>
          <w:rtl/>
        </w:rPr>
        <w:t>, ובשם הפגיעה בו ניתן לפסול חקיקה ראשית.</w:t>
      </w:r>
      <w:r w:rsidR="00504827">
        <w:rPr>
          <w:rFonts w:ascii="David" w:hAnsi="David" w:cs="David" w:hint="cs"/>
          <w:sz w:val="24"/>
          <w:szCs w:val="24"/>
          <w:rtl/>
        </w:rPr>
        <w:t xml:space="preserve"> לשוויון יש גישות שונות. הראשונה היא </w:t>
      </w:r>
      <w:r w:rsidR="00504827" w:rsidRPr="00504827">
        <w:rPr>
          <w:rFonts w:ascii="David" w:hAnsi="David" w:cs="David"/>
          <w:b/>
          <w:bCs/>
          <w:sz w:val="24"/>
          <w:szCs w:val="24"/>
          <w:rtl/>
        </w:rPr>
        <w:t xml:space="preserve">שוויון </w:t>
      </w:r>
      <w:r w:rsidR="00504827" w:rsidRPr="00504827">
        <w:rPr>
          <w:rFonts w:ascii="David" w:hAnsi="David" w:cs="David" w:hint="cs"/>
          <w:b/>
          <w:bCs/>
          <w:sz w:val="24"/>
          <w:szCs w:val="24"/>
          <w:rtl/>
        </w:rPr>
        <w:t>הזדמנויות</w:t>
      </w:r>
      <w:r w:rsidR="00504827">
        <w:rPr>
          <w:rFonts w:ascii="David" w:hAnsi="David" w:cs="David" w:hint="cs"/>
          <w:sz w:val="24"/>
          <w:szCs w:val="24"/>
          <w:rtl/>
        </w:rPr>
        <w:t>(</w:t>
      </w:r>
      <w:proofErr w:type="spellStart"/>
      <w:r w:rsidR="00504827">
        <w:rPr>
          <w:rFonts w:ascii="David" w:hAnsi="David" w:cs="David" w:hint="cs"/>
          <w:sz w:val="24"/>
          <w:szCs w:val="24"/>
          <w:rtl/>
        </w:rPr>
        <w:t>שטרסברג</w:t>
      </w:r>
      <w:proofErr w:type="spellEnd"/>
      <w:r w:rsidR="00504827">
        <w:rPr>
          <w:rFonts w:ascii="David" w:hAnsi="David" w:cs="David" w:hint="cs"/>
          <w:sz w:val="24"/>
          <w:szCs w:val="24"/>
          <w:rtl/>
        </w:rPr>
        <w:t xml:space="preserve">-כהן בפס"ד מילר), יש לאפשר לפרטים השונים להתחיל מאותה נקודה. כאשר נותנים לחברת בנייה מסוימת הטבה ופטור ולאחרות לא נותנים, זה פוגע בשוויון הזדמנויות. </w:t>
      </w:r>
      <w:r w:rsidR="00504827" w:rsidRPr="00504827">
        <w:rPr>
          <w:rFonts w:ascii="David" w:hAnsi="David" w:cs="David"/>
          <w:sz w:val="24"/>
          <w:szCs w:val="24"/>
          <w:rtl/>
        </w:rPr>
        <w:t>על המדינה להבטיח שוויון הזדמנויות בחברה גם אם הוא מצריך תקציב כספי גבוה יותר.</w:t>
      </w:r>
      <w:r w:rsidR="00504827">
        <w:rPr>
          <w:rFonts w:ascii="David" w:hAnsi="David" w:cs="David" w:hint="cs"/>
          <w:sz w:val="24"/>
          <w:szCs w:val="24"/>
          <w:rtl/>
        </w:rPr>
        <w:t xml:space="preserve"> אולם, המדינה תטען שאין לקבל את הטענה לשוויון הזדמנויות כאן, חברת שלד היא חברה ותיקה ומוערכת. מכאן שדווקא החברה מתחילה מנקודה גבוהה יותר מהחברות בנייה החדשות כיוון שאין חברות זרות שהציבור הישראלי לא מכיר. </w:t>
      </w:r>
    </w:p>
    <w:p w:rsidR="00504827" w:rsidRDefault="00504827" w:rsidP="00394018">
      <w:pPr>
        <w:spacing w:line="360" w:lineRule="auto"/>
        <w:rPr>
          <w:rFonts w:ascii="David" w:hAnsi="David" w:cs="David"/>
          <w:sz w:val="24"/>
          <w:szCs w:val="24"/>
          <w:rtl/>
        </w:rPr>
      </w:pPr>
      <w:r>
        <w:rPr>
          <w:rFonts w:ascii="David" w:hAnsi="David" w:cs="David" w:hint="cs"/>
          <w:sz w:val="24"/>
          <w:szCs w:val="24"/>
          <w:rtl/>
        </w:rPr>
        <w:t xml:space="preserve">טענה נוספת של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תתבסס על השוויון האריסטוטלי, לפיו יש להעניק יחס שווה לשווים. לפי פרופ' ספיר כאשר יש טענה לפגיעה בשוויון האריסטוטלי יש לבחון זאת כך: 1)שוני רלוונטי-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שאין שוני רלוונטי שכן כולן חברות בנייה. אולם המדינה תטען שקיים שוני, שכן בחברות הבנייה הזרות מועסקים עובדים זרים בלבד ולכן יצטרכו לשלם דמי היתר גבוהים מאוד.</w:t>
      </w:r>
      <w:r>
        <w:rPr>
          <w:rFonts w:ascii="David" w:hAnsi="David" w:cs="David"/>
          <w:sz w:val="24"/>
          <w:szCs w:val="24"/>
          <w:rtl/>
        </w:rPr>
        <w:br/>
      </w:r>
      <w:r>
        <w:rPr>
          <w:rFonts w:ascii="David" w:hAnsi="David" w:cs="David" w:hint="cs"/>
          <w:sz w:val="24"/>
          <w:szCs w:val="24"/>
          <w:rtl/>
        </w:rPr>
        <w:t xml:space="preserve">2) תכלית ראויה- המדינה תטען שמטרתם היא להעלות את היקף ורמת </w:t>
      </w:r>
      <w:r w:rsidR="0055160C">
        <w:rPr>
          <w:rFonts w:ascii="David" w:hAnsi="David" w:cs="David" w:hint="cs"/>
          <w:sz w:val="24"/>
          <w:szCs w:val="24"/>
          <w:rtl/>
        </w:rPr>
        <w:t xml:space="preserve">התיעוש בבניה למגורים. </w:t>
      </w:r>
      <w:proofErr w:type="spellStart"/>
      <w:r w:rsidR="0055160C">
        <w:rPr>
          <w:rFonts w:ascii="David" w:hAnsi="David" w:cs="David" w:hint="cs"/>
          <w:sz w:val="24"/>
          <w:szCs w:val="24"/>
          <w:rtl/>
        </w:rPr>
        <w:t>תותית</w:t>
      </w:r>
      <w:proofErr w:type="spellEnd"/>
      <w:r w:rsidR="0055160C">
        <w:rPr>
          <w:rFonts w:ascii="David" w:hAnsi="David" w:cs="David" w:hint="cs"/>
          <w:sz w:val="24"/>
          <w:szCs w:val="24"/>
          <w:rtl/>
        </w:rPr>
        <w:t xml:space="preserve"> תטען כי המדינה משתמשת בחברות בנייה כמו החברה שלה(שלד) להשגת מטרה זו. </w:t>
      </w:r>
      <w:commentRangeStart w:id="1"/>
      <w:r w:rsidR="0055160C" w:rsidRPr="0055160C">
        <w:rPr>
          <w:rFonts w:ascii="David" w:hAnsi="David" w:cs="David"/>
          <w:sz w:val="24"/>
          <w:szCs w:val="24"/>
          <w:rtl/>
        </w:rPr>
        <w:t xml:space="preserve">שימוש באנשים </w:t>
      </w:r>
      <w:commentRangeEnd w:id="1"/>
      <w:r w:rsidR="007D378E">
        <w:rPr>
          <w:rStyle w:val="CommentReference"/>
          <w:rtl/>
        </w:rPr>
        <w:commentReference w:id="1"/>
      </w:r>
      <w:r w:rsidR="0055160C" w:rsidRPr="0055160C">
        <w:rPr>
          <w:rFonts w:ascii="David" w:hAnsi="David" w:cs="David"/>
          <w:sz w:val="24"/>
          <w:szCs w:val="24"/>
          <w:rtl/>
        </w:rPr>
        <w:t xml:space="preserve">כאמצעי להשיג מטרה מסוימת אינו ראוי ולכן </w:t>
      </w:r>
      <w:r w:rsidR="0055160C">
        <w:rPr>
          <w:rFonts w:ascii="David" w:hAnsi="David" w:cs="David" w:hint="cs"/>
          <w:sz w:val="24"/>
          <w:szCs w:val="24"/>
          <w:rtl/>
        </w:rPr>
        <w:t xml:space="preserve">התכלית אינה ראויה(פס"ד </w:t>
      </w:r>
      <w:proofErr w:type="spellStart"/>
      <w:r w:rsidR="0055160C">
        <w:rPr>
          <w:rFonts w:ascii="David" w:hAnsi="David" w:cs="David" w:hint="cs"/>
          <w:sz w:val="24"/>
          <w:szCs w:val="24"/>
          <w:rtl/>
        </w:rPr>
        <w:t>א.ס.ף</w:t>
      </w:r>
      <w:proofErr w:type="spellEnd"/>
      <w:r w:rsidR="0055160C">
        <w:rPr>
          <w:rFonts w:ascii="David" w:hAnsi="David" w:cs="David" w:hint="cs"/>
          <w:sz w:val="24"/>
          <w:szCs w:val="24"/>
          <w:rtl/>
        </w:rPr>
        <w:t xml:space="preserve">). 3)קשר אמצעי-מטרה: המדינה תטען שהתקנה ראויה להגשים את מטרתם. אולם, </w:t>
      </w:r>
      <w:proofErr w:type="spellStart"/>
      <w:r w:rsidR="0055160C">
        <w:rPr>
          <w:rFonts w:ascii="David" w:hAnsi="David" w:cs="David" w:hint="cs"/>
          <w:sz w:val="24"/>
          <w:szCs w:val="24"/>
          <w:rtl/>
        </w:rPr>
        <w:t>תותית</w:t>
      </w:r>
      <w:proofErr w:type="spellEnd"/>
      <w:r w:rsidR="0055160C">
        <w:rPr>
          <w:rFonts w:ascii="David" w:hAnsi="David" w:cs="David" w:hint="cs"/>
          <w:sz w:val="24"/>
          <w:szCs w:val="24"/>
          <w:rtl/>
        </w:rPr>
        <w:t xml:space="preserve"> תטען ש</w:t>
      </w:r>
      <w:r w:rsidR="0055160C" w:rsidRPr="0055160C">
        <w:rPr>
          <w:rFonts w:ascii="David" w:hAnsi="David" w:cs="David"/>
          <w:sz w:val="24"/>
          <w:szCs w:val="24"/>
          <w:rtl/>
        </w:rPr>
        <w:t>התחשבות ב</w:t>
      </w:r>
      <w:r w:rsidR="0055160C">
        <w:rPr>
          <w:rFonts w:ascii="David" w:hAnsi="David" w:cs="David" w:hint="cs"/>
          <w:sz w:val="24"/>
          <w:szCs w:val="24"/>
          <w:rtl/>
        </w:rPr>
        <w:t>חברות השונות</w:t>
      </w:r>
      <w:r w:rsidR="0055160C" w:rsidRPr="0055160C">
        <w:rPr>
          <w:rFonts w:ascii="David" w:hAnsi="David" w:cs="David"/>
          <w:sz w:val="24"/>
          <w:szCs w:val="24"/>
          <w:rtl/>
        </w:rPr>
        <w:t xml:space="preserve"> היא הכרחית להגשמת תכלית החוק</w:t>
      </w:r>
      <w:r w:rsidR="0055160C">
        <w:rPr>
          <w:rFonts w:ascii="David" w:hAnsi="David" w:cs="David" w:hint="cs"/>
          <w:sz w:val="24"/>
          <w:szCs w:val="24"/>
          <w:rtl/>
        </w:rPr>
        <w:t>(לוי, עמותת מחויבות).</w:t>
      </w:r>
    </w:p>
    <w:p w:rsidR="00E80BF7" w:rsidRDefault="00E80BF7" w:rsidP="00394018">
      <w:pPr>
        <w:spacing w:line="360" w:lineRule="auto"/>
        <w:rPr>
          <w:rFonts w:ascii="David" w:hAnsi="David" w:cs="David"/>
          <w:sz w:val="24"/>
          <w:szCs w:val="24"/>
          <w:rtl/>
        </w:rPr>
      </w:pP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w:t>
      </w:r>
      <w:r w:rsidR="00740119">
        <w:rPr>
          <w:rFonts w:ascii="David" w:hAnsi="David" w:cs="David" w:hint="cs"/>
          <w:sz w:val="24"/>
          <w:szCs w:val="24"/>
          <w:rtl/>
        </w:rPr>
        <w:t xml:space="preserve">גם </w:t>
      </w:r>
      <w:r w:rsidR="00CE1F42">
        <w:rPr>
          <w:rFonts w:ascii="David" w:hAnsi="David" w:cs="David" w:hint="cs"/>
          <w:sz w:val="24"/>
          <w:szCs w:val="24"/>
          <w:rtl/>
        </w:rPr>
        <w:t xml:space="preserve">לפגיעה </w:t>
      </w:r>
      <w:r w:rsidR="00740119">
        <w:rPr>
          <w:rFonts w:ascii="David" w:hAnsi="David" w:cs="David" w:hint="cs"/>
          <w:sz w:val="24"/>
          <w:szCs w:val="24"/>
          <w:rtl/>
        </w:rPr>
        <w:t xml:space="preserve">ברציונל הפרנסה(פס"ד בז'רנו) והתחרות החופשית(פס"ד כלל ומגדל, מאמרו של </w:t>
      </w:r>
      <w:r w:rsidR="00740119" w:rsidRPr="00740119">
        <w:rPr>
          <w:rFonts w:ascii="David" w:hAnsi="David" w:cs="David" w:hint="cs"/>
          <w:sz w:val="24"/>
          <w:szCs w:val="24"/>
          <w:rtl/>
        </w:rPr>
        <w:t>אייל גרוס</w:t>
      </w:r>
      <w:r w:rsidR="00740119">
        <w:rPr>
          <w:rFonts w:ascii="David" w:hAnsi="David" w:cs="David" w:hint="cs"/>
          <w:sz w:val="24"/>
          <w:szCs w:val="24"/>
          <w:rtl/>
        </w:rPr>
        <w:t xml:space="preserve">) </w:t>
      </w:r>
      <w:r w:rsidR="00740119" w:rsidRPr="00CE1F42">
        <w:rPr>
          <w:rFonts w:ascii="David" w:hAnsi="David" w:cs="David" w:hint="cs"/>
          <w:b/>
          <w:bCs/>
          <w:sz w:val="24"/>
          <w:szCs w:val="24"/>
          <w:rtl/>
        </w:rPr>
        <w:t xml:space="preserve">שבחופש העיסוק. </w:t>
      </w:r>
      <w:r w:rsidR="00740119">
        <w:rPr>
          <w:rFonts w:ascii="David" w:hAnsi="David" w:cs="David" w:hint="cs"/>
          <w:sz w:val="24"/>
          <w:szCs w:val="24"/>
          <w:rtl/>
        </w:rPr>
        <w:t xml:space="preserve">חשוב לציין כי חופש העיסוק לא חל על העובדים הזרים אלא רק על אזרחי המדינה. אמנם חופש העיסוק כן חל על שאר העובדים בחברה שהם בעלי </w:t>
      </w:r>
      <w:commentRangeStart w:id="2"/>
      <w:r w:rsidR="00740119">
        <w:rPr>
          <w:rFonts w:ascii="David" w:hAnsi="David" w:cs="David" w:hint="cs"/>
          <w:sz w:val="24"/>
          <w:szCs w:val="24"/>
          <w:rtl/>
        </w:rPr>
        <w:t>אזרחות בישראל</w:t>
      </w:r>
      <w:commentRangeEnd w:id="2"/>
      <w:r w:rsidR="007D378E">
        <w:rPr>
          <w:rStyle w:val="CommentReference"/>
          <w:rtl/>
        </w:rPr>
        <w:commentReference w:id="2"/>
      </w:r>
      <w:r w:rsidR="00740119">
        <w:rPr>
          <w:rFonts w:ascii="David" w:hAnsi="David" w:cs="David" w:hint="cs"/>
          <w:sz w:val="24"/>
          <w:szCs w:val="24"/>
          <w:rtl/>
        </w:rPr>
        <w:t xml:space="preserve">. חופש העיסוק היא זכות מנויה בס'3 </w:t>
      </w:r>
      <w:proofErr w:type="spellStart"/>
      <w:r w:rsidR="00740119">
        <w:rPr>
          <w:rFonts w:ascii="David" w:hAnsi="David" w:cs="David" w:hint="cs"/>
          <w:sz w:val="24"/>
          <w:szCs w:val="24"/>
          <w:rtl/>
        </w:rPr>
        <w:t>לחו"י</w:t>
      </w:r>
      <w:proofErr w:type="spellEnd"/>
      <w:r w:rsidR="00740119">
        <w:rPr>
          <w:rFonts w:ascii="David" w:hAnsi="David" w:cs="David" w:hint="cs"/>
          <w:sz w:val="24"/>
          <w:szCs w:val="24"/>
          <w:rtl/>
        </w:rPr>
        <w:t xml:space="preserve"> חופש העיסוק. </w:t>
      </w:r>
      <w:r w:rsidR="00CE1F42">
        <w:rPr>
          <w:rFonts w:ascii="David" w:hAnsi="David" w:cs="David" w:hint="cs"/>
          <w:sz w:val="24"/>
          <w:szCs w:val="24"/>
          <w:rtl/>
        </w:rPr>
        <w:t xml:space="preserve">ראשית עלינו לבחון האם קיים כאן חוק חורג </w:t>
      </w:r>
      <w:proofErr w:type="spellStart"/>
      <w:r w:rsidR="00CE1F42">
        <w:rPr>
          <w:rFonts w:ascii="David" w:hAnsi="David" w:cs="David" w:hint="cs"/>
          <w:sz w:val="24"/>
          <w:szCs w:val="24"/>
          <w:rtl/>
        </w:rPr>
        <w:t>לחו"י</w:t>
      </w:r>
      <w:proofErr w:type="spellEnd"/>
      <w:r w:rsidR="00CE1F42">
        <w:rPr>
          <w:rFonts w:ascii="David" w:hAnsi="David" w:cs="David" w:hint="cs"/>
          <w:sz w:val="24"/>
          <w:szCs w:val="24"/>
          <w:rtl/>
        </w:rPr>
        <w:t xml:space="preserve"> חופש העיסוק. על פניו נראה שלא, לתקנה</w:t>
      </w:r>
      <w:commentRangeStart w:id="3"/>
      <w:r w:rsidR="00CE1F42">
        <w:rPr>
          <w:rFonts w:ascii="David" w:hAnsi="David" w:cs="David" w:hint="cs"/>
          <w:sz w:val="24"/>
          <w:szCs w:val="24"/>
          <w:rtl/>
        </w:rPr>
        <w:t xml:space="preserve"> ולחוק </w:t>
      </w:r>
      <w:commentRangeEnd w:id="3"/>
      <w:r w:rsidR="007D378E">
        <w:rPr>
          <w:rStyle w:val="CommentReference"/>
          <w:rtl/>
        </w:rPr>
        <w:commentReference w:id="3"/>
      </w:r>
      <w:r w:rsidR="00CE1F42">
        <w:rPr>
          <w:rFonts w:ascii="David" w:hAnsi="David" w:cs="David" w:hint="cs"/>
          <w:sz w:val="24"/>
          <w:szCs w:val="24"/>
          <w:rtl/>
        </w:rPr>
        <w:t xml:space="preserve">אין תוקף ל4 שנים , לא נאמר בהם "על אף האמור..." ולא נתון לנו שעברו ברוב של מעל 61 בכנסת. מבחינת שמירת הדינים, לתקנה ולחוק אין תאריך </w:t>
      </w:r>
      <w:commentRangeStart w:id="4"/>
      <w:r w:rsidR="00CE1F42">
        <w:rPr>
          <w:rFonts w:ascii="David" w:hAnsi="David" w:cs="David" w:hint="cs"/>
          <w:sz w:val="24"/>
          <w:szCs w:val="24"/>
          <w:rtl/>
        </w:rPr>
        <w:t xml:space="preserve">ולכן אין צורך לבחון האם עומד בשמירת הדינים. </w:t>
      </w:r>
      <w:commentRangeEnd w:id="4"/>
      <w:r w:rsidR="007D378E">
        <w:rPr>
          <w:rStyle w:val="CommentReference"/>
          <w:rtl/>
        </w:rPr>
        <w:commentReference w:id="4"/>
      </w:r>
    </w:p>
    <w:p w:rsidR="00CE1F42" w:rsidRDefault="00CE1F42" w:rsidP="00394018">
      <w:pPr>
        <w:spacing w:line="360" w:lineRule="auto"/>
        <w:rPr>
          <w:rFonts w:ascii="David" w:hAnsi="David" w:cs="David"/>
          <w:sz w:val="24"/>
          <w:szCs w:val="24"/>
          <w:rtl/>
        </w:rPr>
      </w:pPr>
      <w:r>
        <w:rPr>
          <w:rFonts w:ascii="David" w:hAnsi="David" w:cs="David" w:hint="cs"/>
          <w:sz w:val="24"/>
          <w:szCs w:val="24"/>
          <w:rtl/>
        </w:rPr>
        <w:lastRenderedPageBreak/>
        <w:t xml:space="preserve">בנוגע לפגיעה בחופש העיסוק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שהתקנה החדשה פוגעת בתחרות חופשית שווה בין פרטים בחברה. כיוון שחברות הבנייה שנהנות מהפטור יוכלו להצליח ולהתקדם יותר מחברות הבנייה שלא נהנות מהפטור. כמו כן דמי ההיתר הם גבוהים מאוד ולכן נפגע הרציונל לפרנסה, שכן דמי ההיתר פוגעים באופן מהותי בפרנסת חברת הבנייה. </w:t>
      </w:r>
      <w:r w:rsidR="0055160C">
        <w:rPr>
          <w:rFonts w:ascii="David" w:hAnsi="David" w:cs="David" w:hint="cs"/>
          <w:sz w:val="24"/>
          <w:szCs w:val="24"/>
          <w:rtl/>
        </w:rPr>
        <w:t>לפיכך יש לבחון את הפגיעה בפסקת ההגבלה.</w:t>
      </w:r>
    </w:p>
    <w:p w:rsidR="0055160C" w:rsidRDefault="0055160C" w:rsidP="00394018">
      <w:pPr>
        <w:spacing w:line="360" w:lineRule="auto"/>
        <w:rPr>
          <w:rFonts w:ascii="David" w:hAnsi="David" w:cs="David"/>
          <w:sz w:val="24"/>
          <w:szCs w:val="24"/>
          <w:rtl/>
        </w:rPr>
      </w:pPr>
      <w:r w:rsidRPr="0055160C">
        <w:rPr>
          <w:rFonts w:ascii="David" w:hAnsi="David" w:cs="David" w:hint="cs"/>
          <w:b/>
          <w:bCs/>
          <w:sz w:val="24"/>
          <w:szCs w:val="24"/>
          <w:rtl/>
        </w:rPr>
        <w:t>תכלית ראויה-</w:t>
      </w:r>
      <w:r>
        <w:rPr>
          <w:rFonts w:ascii="David" w:hAnsi="David" w:cs="David" w:hint="cs"/>
          <w:sz w:val="24"/>
          <w:szCs w:val="24"/>
          <w:rtl/>
        </w:rPr>
        <w:t xml:space="preserve"> </w:t>
      </w:r>
      <w:r w:rsidRPr="0055160C">
        <w:rPr>
          <w:rFonts w:ascii="David" w:hAnsi="David" w:cs="David"/>
          <w:sz w:val="24"/>
          <w:szCs w:val="24"/>
          <w:rtl/>
        </w:rPr>
        <w:t xml:space="preserve">המדינה תטען שמטרתם היא להעלות את היקף ורמת התיעוש בבניה למגורים. </w:t>
      </w:r>
      <w:proofErr w:type="spellStart"/>
      <w:r w:rsidRPr="0055160C">
        <w:rPr>
          <w:rFonts w:ascii="David" w:hAnsi="David" w:cs="David"/>
          <w:sz w:val="24"/>
          <w:szCs w:val="24"/>
          <w:rtl/>
        </w:rPr>
        <w:t>תותית</w:t>
      </w:r>
      <w:proofErr w:type="spellEnd"/>
      <w:r w:rsidRPr="0055160C">
        <w:rPr>
          <w:rFonts w:ascii="David" w:hAnsi="David" w:cs="David"/>
          <w:sz w:val="24"/>
          <w:szCs w:val="24"/>
          <w:rtl/>
        </w:rPr>
        <w:t xml:space="preserve"> תטען כי המדינה משתמשת בחברות בנייה כמו החברה שלה(שלד) להשגת מטרה זו. שימוש באנשים כאמצעי להשיג מטרה מסוימת אינו ראוי ולכן התכלית אינה ראויה(פס"ד </w:t>
      </w:r>
      <w:proofErr w:type="spellStart"/>
      <w:r w:rsidRPr="0055160C">
        <w:rPr>
          <w:rFonts w:ascii="David" w:hAnsi="David" w:cs="David"/>
          <w:sz w:val="24"/>
          <w:szCs w:val="24"/>
          <w:rtl/>
        </w:rPr>
        <w:t>א.ס.ף</w:t>
      </w:r>
      <w:proofErr w:type="spellEnd"/>
      <w:r w:rsidRPr="0055160C">
        <w:rPr>
          <w:rFonts w:ascii="David" w:hAnsi="David" w:cs="David"/>
          <w:sz w:val="24"/>
          <w:szCs w:val="24"/>
          <w:rtl/>
        </w:rPr>
        <w:t>).</w:t>
      </w:r>
      <w:r>
        <w:rPr>
          <w:rFonts w:ascii="David" w:hAnsi="David" w:cs="David" w:hint="cs"/>
          <w:sz w:val="24"/>
          <w:szCs w:val="24"/>
          <w:rtl/>
        </w:rPr>
        <w:t xml:space="preserve"> </w:t>
      </w:r>
      <w:r w:rsidRPr="0055160C">
        <w:rPr>
          <w:rFonts w:ascii="David" w:hAnsi="David" w:cs="David" w:hint="cs"/>
          <w:b/>
          <w:bCs/>
          <w:sz w:val="24"/>
          <w:szCs w:val="24"/>
          <w:rtl/>
        </w:rPr>
        <w:t>הלימה לערכי המדינה-</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שפעולה אי-שוויונית נוגדת לערך </w:t>
      </w:r>
      <w:proofErr w:type="spellStart"/>
      <w:r>
        <w:rPr>
          <w:rFonts w:ascii="David" w:hAnsi="David" w:cs="David" w:hint="cs"/>
          <w:sz w:val="24"/>
          <w:szCs w:val="24"/>
          <w:rtl/>
        </w:rPr>
        <w:t>הדימוקרטיה</w:t>
      </w:r>
      <w:proofErr w:type="spellEnd"/>
      <w:r>
        <w:rPr>
          <w:rFonts w:ascii="David" w:hAnsi="David" w:cs="David" w:hint="cs"/>
          <w:sz w:val="24"/>
          <w:szCs w:val="24"/>
          <w:rtl/>
        </w:rPr>
        <w:t xml:space="preserve">. המדינה תטען כי </w:t>
      </w:r>
      <w:r w:rsidRPr="0055160C">
        <w:rPr>
          <w:rFonts w:ascii="David" w:hAnsi="David" w:cs="David"/>
          <w:sz w:val="24"/>
          <w:szCs w:val="24"/>
          <w:rtl/>
        </w:rPr>
        <w:t>רק בנסיבות חריגות ניתן יהיה להכריז על אי-חוקיותו של חוק עקב פגיעה בערכי המדינה כדמוקרטית</w:t>
      </w:r>
      <w:r>
        <w:rPr>
          <w:rFonts w:ascii="David" w:hAnsi="David" w:cs="David" w:hint="cs"/>
          <w:sz w:val="24"/>
          <w:szCs w:val="24"/>
          <w:rtl/>
        </w:rPr>
        <w:t xml:space="preserve">(פס"ד חטיבת זכויות האדם).  </w:t>
      </w:r>
      <w:r w:rsidRPr="0055160C">
        <w:rPr>
          <w:rFonts w:ascii="David" w:hAnsi="David" w:cs="David" w:hint="cs"/>
          <w:b/>
          <w:bCs/>
          <w:sz w:val="24"/>
          <w:szCs w:val="24"/>
          <w:rtl/>
        </w:rPr>
        <w:t>הסמכה-</w:t>
      </w:r>
      <w:r>
        <w:rPr>
          <w:rFonts w:ascii="David" w:hAnsi="David" w:cs="David" w:hint="cs"/>
          <w:sz w:val="24"/>
          <w:szCs w:val="24"/>
          <w:rtl/>
        </w:rPr>
        <w:t xml:space="preserve"> המדינה: החוק מסמיך את השר להתקין תקנות </w:t>
      </w:r>
      <w:commentRangeStart w:id="5"/>
      <w:r>
        <w:rPr>
          <w:rFonts w:ascii="David" w:hAnsi="David" w:cs="David" w:hint="cs"/>
          <w:sz w:val="24"/>
          <w:szCs w:val="24"/>
          <w:rtl/>
        </w:rPr>
        <w:t xml:space="preserve">בצורה מפורשת </w:t>
      </w:r>
      <w:commentRangeEnd w:id="5"/>
      <w:r w:rsidR="007D378E">
        <w:rPr>
          <w:rStyle w:val="CommentReference"/>
          <w:rtl/>
        </w:rPr>
        <w:commentReference w:id="5"/>
      </w:r>
      <w:r>
        <w:rPr>
          <w:rFonts w:ascii="David" w:hAnsi="David" w:cs="David" w:hint="cs"/>
          <w:sz w:val="24"/>
          <w:szCs w:val="24"/>
          <w:rtl/>
        </w:rPr>
        <w:t xml:space="preserve">בנוגע למתן פטור לדמי היתר. </w:t>
      </w:r>
    </w:p>
    <w:p w:rsidR="0055160C" w:rsidRDefault="0055160C" w:rsidP="00394018">
      <w:pPr>
        <w:spacing w:line="360" w:lineRule="auto"/>
        <w:rPr>
          <w:rFonts w:ascii="David" w:hAnsi="David" w:cs="David"/>
          <w:sz w:val="24"/>
          <w:szCs w:val="24"/>
          <w:rtl/>
        </w:rPr>
      </w:pPr>
      <w:r w:rsidRPr="00A6295E">
        <w:rPr>
          <w:rFonts w:ascii="David" w:hAnsi="David" w:cs="David" w:hint="cs"/>
          <w:b/>
          <w:bCs/>
          <w:sz w:val="24"/>
          <w:szCs w:val="24"/>
          <w:rtl/>
        </w:rPr>
        <w:t>מבחני המידתיות(פס"ד לשכת מנהלי השקעות)- קשר אמצעי מטרה:</w:t>
      </w:r>
      <w:r>
        <w:rPr>
          <w:rFonts w:ascii="David" w:hAnsi="David" w:cs="David" w:hint="cs"/>
          <w:sz w:val="24"/>
          <w:szCs w:val="24"/>
          <w:rtl/>
        </w:rPr>
        <w:t xml:space="preserve"> </w:t>
      </w:r>
      <w:r w:rsidRPr="0055160C">
        <w:rPr>
          <w:rFonts w:ascii="David" w:hAnsi="David" w:cs="David"/>
          <w:sz w:val="24"/>
          <w:szCs w:val="24"/>
          <w:rtl/>
        </w:rPr>
        <w:t xml:space="preserve">המדינה תטען שהתקנה ראויה להגשים את מטרתם. אולם, </w:t>
      </w:r>
      <w:proofErr w:type="spellStart"/>
      <w:r w:rsidRPr="0055160C">
        <w:rPr>
          <w:rFonts w:ascii="David" w:hAnsi="David" w:cs="David"/>
          <w:sz w:val="24"/>
          <w:szCs w:val="24"/>
          <w:rtl/>
        </w:rPr>
        <w:t>תותית</w:t>
      </w:r>
      <w:proofErr w:type="spellEnd"/>
      <w:r w:rsidRPr="0055160C">
        <w:rPr>
          <w:rFonts w:ascii="David" w:hAnsi="David" w:cs="David"/>
          <w:sz w:val="24"/>
          <w:szCs w:val="24"/>
          <w:rtl/>
        </w:rPr>
        <w:t xml:space="preserve"> תטען שהתחשבות בחברות השונות היא הכרחית להגשמת תכלית החוק(לוי, עמותת מחויבות).</w:t>
      </w:r>
      <w:r>
        <w:rPr>
          <w:rFonts w:ascii="David" w:hAnsi="David" w:cs="David" w:hint="cs"/>
          <w:sz w:val="24"/>
          <w:szCs w:val="24"/>
          <w:rtl/>
        </w:rPr>
        <w:t xml:space="preserve"> </w:t>
      </w:r>
      <w:r w:rsidRPr="00A6295E">
        <w:rPr>
          <w:rFonts w:ascii="David" w:hAnsi="David" w:cs="David" w:hint="cs"/>
          <w:b/>
          <w:bCs/>
          <w:sz w:val="24"/>
          <w:szCs w:val="24"/>
          <w:rtl/>
        </w:rPr>
        <w:t>אמצעי שפגיעתו פחותה-</w:t>
      </w:r>
      <w:r>
        <w:rPr>
          <w:rFonts w:ascii="David" w:hAnsi="David" w:cs="David" w:hint="cs"/>
          <w:sz w:val="24"/>
          <w:szCs w:val="24"/>
          <w:rtl/>
        </w:rPr>
        <w:t xml:space="preserve"> בהתבסס על פס"ד </w:t>
      </w:r>
      <w:proofErr w:type="spellStart"/>
      <w:r>
        <w:rPr>
          <w:rFonts w:ascii="David" w:hAnsi="David" w:cs="David" w:hint="cs"/>
          <w:sz w:val="24"/>
          <w:szCs w:val="24"/>
          <w:rtl/>
        </w:rPr>
        <w:t>א.ס.ף</w:t>
      </w:r>
      <w:proofErr w:type="spellEnd"/>
      <w:r>
        <w:rPr>
          <w:rFonts w:ascii="David" w:hAnsi="David" w:cs="David" w:hint="cs"/>
          <w:sz w:val="24"/>
          <w:szCs w:val="24"/>
          <w:rtl/>
        </w:rPr>
        <w:t xml:space="preserve"> ועל פרופ' ספיר, נוסיף כאן מבחן משנה- תוספת תועלת מול תוספת נזק</w:t>
      </w:r>
      <w:r w:rsidR="00A6295E" w:rsidRPr="00A6295E">
        <w:rPr>
          <w:rFonts w:ascii="David" w:hAnsi="David" w:cs="David" w:hint="cs"/>
          <w:sz w:val="24"/>
          <w:szCs w:val="24"/>
          <w:rtl/>
        </w:rPr>
        <w:t>,</w:t>
      </w:r>
      <w:r w:rsidR="00A6295E" w:rsidRPr="00A6295E">
        <w:rPr>
          <w:rFonts w:ascii="David" w:hAnsi="David" w:cs="David"/>
          <w:sz w:val="24"/>
          <w:szCs w:val="24"/>
          <w:rtl/>
        </w:rPr>
        <w:t xml:space="preserve"> דורש מהמדינה למצוא אמצעי חלופי </w:t>
      </w:r>
      <w:r w:rsidR="00A6295E" w:rsidRPr="00A6295E">
        <w:rPr>
          <w:rFonts w:ascii="David" w:hAnsi="David" w:cs="David" w:hint="cs"/>
          <w:sz w:val="24"/>
          <w:szCs w:val="24"/>
          <w:rtl/>
        </w:rPr>
        <w:t>ופוגעני פחות. גם אם אמצעי זה לא יביא את אותה התועלת</w:t>
      </w:r>
      <w:r w:rsidRPr="00A6295E">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כי יש אמצעי פוגעני פחות</w:t>
      </w:r>
      <w:r w:rsidR="00A6295E">
        <w:rPr>
          <w:rFonts w:ascii="David" w:hAnsi="David" w:cs="David" w:hint="cs"/>
          <w:sz w:val="24"/>
          <w:szCs w:val="24"/>
          <w:rtl/>
        </w:rPr>
        <w:t xml:space="preserve"> שהוא פטור חלקי מדמי היתר למשך השנתיים הראשונות לכל עובד זר גם בחברת בנייה זרה וגם בחברת בנייה ישראלית. </w:t>
      </w:r>
      <w:r w:rsidR="00A6295E" w:rsidRPr="00A6295E">
        <w:rPr>
          <w:rFonts w:ascii="David" w:hAnsi="David" w:cs="David" w:hint="cs"/>
          <w:b/>
          <w:bCs/>
          <w:sz w:val="24"/>
          <w:szCs w:val="24"/>
          <w:rtl/>
        </w:rPr>
        <w:t>תועלת מול נזק-</w:t>
      </w:r>
      <w:r w:rsidR="00A6295E">
        <w:rPr>
          <w:rFonts w:ascii="David" w:hAnsi="David" w:cs="David" w:hint="cs"/>
          <w:sz w:val="24"/>
          <w:szCs w:val="24"/>
          <w:rtl/>
        </w:rPr>
        <w:t xml:space="preserve"> המדינה תטען שהתקנה תביא תועלת רבה </w:t>
      </w:r>
      <w:commentRangeStart w:id="6"/>
      <w:r w:rsidR="00A6295E">
        <w:rPr>
          <w:rFonts w:ascii="David" w:hAnsi="David" w:cs="David" w:hint="cs"/>
          <w:sz w:val="24"/>
          <w:szCs w:val="24"/>
          <w:rtl/>
        </w:rPr>
        <w:t xml:space="preserve">ל6 החברות </w:t>
      </w:r>
      <w:commentRangeEnd w:id="6"/>
      <w:r w:rsidR="007D378E">
        <w:rPr>
          <w:rStyle w:val="CommentReference"/>
          <w:rtl/>
        </w:rPr>
        <w:commentReference w:id="6"/>
      </w:r>
      <w:r w:rsidR="00A6295E">
        <w:rPr>
          <w:rFonts w:ascii="David" w:hAnsi="David" w:cs="David" w:hint="cs"/>
          <w:sz w:val="24"/>
          <w:szCs w:val="24"/>
          <w:rtl/>
        </w:rPr>
        <w:t xml:space="preserve">בנייה הזרות שהגיעו למדינה. אולם </w:t>
      </w:r>
      <w:proofErr w:type="spellStart"/>
      <w:r w:rsidR="00A6295E">
        <w:rPr>
          <w:rFonts w:ascii="David" w:hAnsi="David" w:cs="David" w:hint="cs"/>
          <w:sz w:val="24"/>
          <w:szCs w:val="24"/>
          <w:rtl/>
        </w:rPr>
        <w:t>תותית</w:t>
      </w:r>
      <w:proofErr w:type="spellEnd"/>
      <w:r w:rsidR="00A6295E">
        <w:rPr>
          <w:rFonts w:ascii="David" w:hAnsi="David" w:cs="David" w:hint="cs"/>
          <w:sz w:val="24"/>
          <w:szCs w:val="24"/>
          <w:rtl/>
        </w:rPr>
        <w:t xml:space="preserve"> תטען לפגיעה</w:t>
      </w:r>
      <w:r w:rsidR="007D378E">
        <w:rPr>
          <w:rFonts w:ascii="David" w:hAnsi="David" w:cs="David" w:hint="cs"/>
          <w:sz w:val="24"/>
          <w:szCs w:val="24"/>
          <w:rtl/>
        </w:rPr>
        <w:t xml:space="preserve"> קשה בכל החברות הישראליות. לפיכ</w:t>
      </w:r>
      <w:r w:rsidR="00A6295E">
        <w:rPr>
          <w:rFonts w:ascii="David" w:hAnsi="David" w:cs="David" w:hint="cs"/>
          <w:sz w:val="24"/>
          <w:szCs w:val="24"/>
          <w:rtl/>
        </w:rPr>
        <w:t xml:space="preserve">ך, הנזק עולה על התועלת. </w:t>
      </w:r>
    </w:p>
    <w:p w:rsidR="00456331" w:rsidRDefault="00456331" w:rsidP="00394018">
      <w:pPr>
        <w:spacing w:line="360" w:lineRule="auto"/>
        <w:rPr>
          <w:rFonts w:ascii="David" w:hAnsi="David" w:cs="David"/>
          <w:sz w:val="24"/>
          <w:szCs w:val="24"/>
          <w:rtl/>
        </w:rPr>
      </w:pPr>
      <w:r w:rsidRPr="00456331">
        <w:rPr>
          <w:rFonts w:ascii="David" w:hAnsi="David" w:cs="David" w:hint="cs"/>
          <w:b/>
          <w:bCs/>
          <w:sz w:val="24"/>
          <w:szCs w:val="24"/>
          <w:rtl/>
        </w:rPr>
        <w:t>סעדים אפשריים:</w:t>
      </w:r>
      <w:r>
        <w:rPr>
          <w:rFonts w:ascii="David" w:hAnsi="David" w:cs="David" w:hint="cs"/>
          <w:sz w:val="24"/>
          <w:szCs w:val="24"/>
          <w:rtl/>
        </w:rPr>
        <w:t xml:space="preserve"> על ביהמ"ש יהיה להחליט האם התקנה אכן פוגעת פגיעה שאינה חוקתית בזכות לשוויון ובחופש העיסוק, והאם הפגיעה מוצדקת לפי פסקת ההגבלה(פס"ד </w:t>
      </w:r>
      <w:proofErr w:type="spellStart"/>
      <w:r>
        <w:rPr>
          <w:rFonts w:ascii="David" w:hAnsi="David" w:cs="David" w:hint="cs"/>
          <w:sz w:val="24"/>
          <w:szCs w:val="24"/>
          <w:rtl/>
        </w:rPr>
        <w:t>הופנונג</w:t>
      </w:r>
      <w:proofErr w:type="spellEnd"/>
      <w:r>
        <w:rPr>
          <w:rFonts w:ascii="David" w:hAnsi="David" w:cs="David" w:hint="cs"/>
          <w:sz w:val="24"/>
          <w:szCs w:val="24"/>
          <w:rtl/>
        </w:rPr>
        <w:t xml:space="preserve">). </w:t>
      </w:r>
      <w:r w:rsidRPr="00254E23">
        <w:rPr>
          <w:rFonts w:ascii="David" w:hAnsi="David" w:cs="David" w:hint="cs"/>
          <w:b/>
          <w:bCs/>
          <w:sz w:val="24"/>
          <w:szCs w:val="24"/>
          <w:rtl/>
        </w:rPr>
        <w:t>בטלות-</w:t>
      </w:r>
      <w:r>
        <w:rPr>
          <w:rFonts w:ascii="David" w:hAnsi="David" w:cs="David" w:hint="cs"/>
          <w:sz w:val="24"/>
          <w:szCs w:val="24"/>
          <w:rtl/>
        </w:rPr>
        <w:t xml:space="preserve"> התקנה בטלה מלכתחילה בשל הפגיעה בזכויות אדם חוקתיות. </w:t>
      </w:r>
      <w:r w:rsidRPr="00254E23">
        <w:rPr>
          <w:rFonts w:ascii="David" w:hAnsi="David" w:cs="David" w:hint="cs"/>
          <w:b/>
          <w:bCs/>
          <w:sz w:val="24"/>
          <w:szCs w:val="24"/>
          <w:rtl/>
        </w:rPr>
        <w:t>נפסדות-</w:t>
      </w:r>
      <w:r>
        <w:rPr>
          <w:rFonts w:ascii="David" w:hAnsi="David" w:cs="David" w:hint="cs"/>
          <w:sz w:val="24"/>
          <w:szCs w:val="24"/>
          <w:rtl/>
        </w:rPr>
        <w:t xml:space="preserve"> צעד אקטיבי של ביהמ"ש בו הוא יבטל את התקנה בשל הפגיעה הקשה בזכויות. </w:t>
      </w:r>
      <w:r w:rsidR="00254E23" w:rsidRPr="00254E23">
        <w:rPr>
          <w:rFonts w:ascii="David" w:hAnsi="David" w:cs="David" w:hint="cs"/>
          <w:b/>
          <w:bCs/>
          <w:sz w:val="24"/>
          <w:szCs w:val="24"/>
          <w:rtl/>
        </w:rPr>
        <w:t>בטלות יחסית:</w:t>
      </w:r>
      <w:r w:rsidR="00254E23" w:rsidRPr="00254E23">
        <w:rPr>
          <w:rtl/>
        </w:rPr>
        <w:t xml:space="preserve"> </w:t>
      </w:r>
      <w:r w:rsidR="00254E23">
        <w:rPr>
          <w:rFonts w:ascii="David" w:hAnsi="David" w:cs="David" w:hint="cs"/>
          <w:sz w:val="24"/>
          <w:szCs w:val="24"/>
          <w:rtl/>
        </w:rPr>
        <w:t xml:space="preserve">אם </w:t>
      </w:r>
      <w:r w:rsidR="00254E23" w:rsidRPr="00254E23">
        <w:rPr>
          <w:rFonts w:ascii="David" w:hAnsi="David" w:cs="David"/>
          <w:sz w:val="24"/>
          <w:szCs w:val="24"/>
          <w:rtl/>
        </w:rPr>
        <w:t>הפגם לא חמור</w:t>
      </w:r>
      <w:r w:rsidR="00254E23">
        <w:rPr>
          <w:rFonts w:ascii="David" w:hAnsi="David" w:cs="David" w:hint="cs"/>
          <w:sz w:val="24"/>
          <w:szCs w:val="24"/>
          <w:rtl/>
        </w:rPr>
        <w:t xml:space="preserve">, התקנה </w:t>
      </w:r>
      <w:r w:rsidR="00254E23" w:rsidRPr="00254E23">
        <w:rPr>
          <w:rFonts w:ascii="David" w:hAnsi="David" w:cs="David"/>
          <w:sz w:val="24"/>
          <w:szCs w:val="24"/>
          <w:rtl/>
        </w:rPr>
        <w:t>נית</w:t>
      </w:r>
      <w:r w:rsidR="00254E23">
        <w:rPr>
          <w:rFonts w:ascii="David" w:hAnsi="David" w:cs="David" w:hint="cs"/>
          <w:sz w:val="24"/>
          <w:szCs w:val="24"/>
          <w:rtl/>
        </w:rPr>
        <w:t>נת</w:t>
      </w:r>
      <w:r w:rsidR="00254E23" w:rsidRPr="00254E23">
        <w:rPr>
          <w:rFonts w:ascii="David" w:hAnsi="David" w:cs="David"/>
          <w:sz w:val="24"/>
          <w:szCs w:val="24"/>
          <w:rtl/>
        </w:rPr>
        <w:t xml:space="preserve"> לביטול לפי החלטת ביהמ"ש</w:t>
      </w:r>
      <w:r w:rsidR="00254E23">
        <w:rPr>
          <w:rFonts w:ascii="David" w:hAnsi="David" w:cs="David" w:hint="cs"/>
          <w:sz w:val="24"/>
          <w:szCs w:val="24"/>
          <w:rtl/>
        </w:rPr>
        <w:t xml:space="preserve">(זמיר, האגודה לזכויות האזרח), הבטלות היחסית גמישה יותר. </w:t>
      </w:r>
      <w:r w:rsidR="00254E23" w:rsidRPr="00254E23">
        <w:rPr>
          <w:rFonts w:ascii="David" w:hAnsi="David" w:cs="David" w:hint="cs"/>
          <w:b/>
          <w:bCs/>
          <w:sz w:val="24"/>
          <w:szCs w:val="24"/>
          <w:rtl/>
        </w:rPr>
        <w:t>צו למחוקק(בייניש בפס"ד נסר נ' ממשלת ישראל)-</w:t>
      </w:r>
      <w:r w:rsidR="00254E23">
        <w:rPr>
          <w:rFonts w:ascii="David" w:hAnsi="David" w:cs="David" w:hint="cs"/>
          <w:sz w:val="24"/>
          <w:szCs w:val="24"/>
          <w:rtl/>
        </w:rPr>
        <w:t xml:space="preserve"> ביהמ"ש יכול להוציא צו לשנות את התקנה כך שלא תפגע בחברות בנייה כמו שלד. </w:t>
      </w:r>
      <w:r w:rsidR="00254E23" w:rsidRPr="00254E23">
        <w:rPr>
          <w:rFonts w:ascii="David" w:hAnsi="David" w:cs="David" w:hint="cs"/>
          <w:b/>
          <w:bCs/>
          <w:sz w:val="24"/>
          <w:szCs w:val="24"/>
          <w:rtl/>
        </w:rPr>
        <w:t>קריאה לתוך החוק(חיות בפס"ד ליאת משה)-</w:t>
      </w:r>
      <w:r w:rsidR="00254E23">
        <w:rPr>
          <w:rFonts w:ascii="David" w:hAnsi="David" w:cs="David" w:hint="cs"/>
          <w:sz w:val="24"/>
          <w:szCs w:val="24"/>
          <w:rtl/>
        </w:rPr>
        <w:t xml:space="preserve"> ביהמ"ש יכול להשתמש בדוקטרינה זו ולקבוע כי הפטור חל גם על חברות בנייה ישראליות שעובדיהם הם עובדים זרים. </w:t>
      </w:r>
      <w:r w:rsidR="00254E23" w:rsidRPr="00254E23">
        <w:rPr>
          <w:rFonts w:ascii="David" w:hAnsi="David" w:cs="David" w:hint="cs"/>
          <w:b/>
          <w:bCs/>
          <w:sz w:val="24"/>
          <w:szCs w:val="24"/>
          <w:rtl/>
        </w:rPr>
        <w:t>פיצויים(נאור בפס"ד ישועה)-</w:t>
      </w:r>
      <w:r w:rsidR="00254E23">
        <w:rPr>
          <w:rFonts w:ascii="David" w:hAnsi="David" w:cs="David" w:hint="cs"/>
          <w:sz w:val="24"/>
          <w:szCs w:val="24"/>
          <w:rtl/>
        </w:rPr>
        <w:t xml:space="preserve"> ביהמ"ש יכולים לקבוע מתן פיצויים לחברת שלד בשל הפגיעה החוקתית והנזק הכלכלי שיגרם לחברה בעקבות תקנת השר. </w:t>
      </w:r>
    </w:p>
    <w:p w:rsidR="00254E23" w:rsidRDefault="00254E23" w:rsidP="00394018">
      <w:pPr>
        <w:spacing w:line="360" w:lineRule="auto"/>
        <w:rPr>
          <w:rFonts w:ascii="David" w:hAnsi="David" w:cs="David"/>
          <w:sz w:val="24"/>
          <w:szCs w:val="24"/>
          <w:rtl/>
        </w:rPr>
      </w:pPr>
      <w:r w:rsidRPr="00254E23">
        <w:rPr>
          <w:rFonts w:ascii="David" w:hAnsi="David" w:cs="David" w:hint="cs"/>
          <w:b/>
          <w:bCs/>
          <w:sz w:val="24"/>
          <w:szCs w:val="24"/>
          <w:rtl/>
        </w:rPr>
        <w:t>סיכויי הצלחה-</w:t>
      </w:r>
      <w:r>
        <w:rPr>
          <w:rFonts w:ascii="David" w:hAnsi="David" w:cs="David" w:hint="cs"/>
          <w:sz w:val="24"/>
          <w:szCs w:val="24"/>
          <w:rtl/>
        </w:rPr>
        <w:t xml:space="preserve"> לטעמי, סיכויי ההצלחה לא מאוד גבוהים. התקנה נועדה למטרה חיובית </w:t>
      </w:r>
      <w:commentRangeStart w:id="7"/>
      <w:r>
        <w:rPr>
          <w:rFonts w:ascii="David" w:hAnsi="David" w:cs="David" w:hint="cs"/>
          <w:sz w:val="24"/>
          <w:szCs w:val="24"/>
          <w:rtl/>
        </w:rPr>
        <w:t>שהיא העלאת היקף ורמת התיעוש בבניה למגורים</w:t>
      </w:r>
      <w:commentRangeEnd w:id="7"/>
      <w:r w:rsidR="007D378E">
        <w:rPr>
          <w:rStyle w:val="CommentReference"/>
          <w:rtl/>
        </w:rPr>
        <w:commentReference w:id="7"/>
      </w:r>
      <w:r>
        <w:rPr>
          <w:rFonts w:ascii="David" w:hAnsi="David" w:cs="David" w:hint="cs"/>
          <w:sz w:val="24"/>
          <w:szCs w:val="24"/>
          <w:rtl/>
        </w:rPr>
        <w:t xml:space="preserve">. זוהי מטרה חברתית שנועדה לקדם זכויות חברתיות ולאפשר לציבור רמת חיים גבוהה יותר. בסופו של דבר החוק והתקנה הם </w:t>
      </w:r>
      <w:r w:rsidRPr="00254E23">
        <w:rPr>
          <w:rFonts w:ascii="David" w:hAnsi="David" w:cs="David"/>
          <w:sz w:val="24"/>
          <w:szCs w:val="24"/>
          <w:rtl/>
        </w:rPr>
        <w:t>דוגמא המשקפת את חובתו של השלטון לפעול באופן אקטיבי למען קידום ההגנה על זכויות יסוד</w:t>
      </w:r>
      <w:r>
        <w:rPr>
          <w:rFonts w:ascii="David" w:hAnsi="David" w:cs="David" w:hint="cs"/>
          <w:sz w:val="24"/>
          <w:szCs w:val="24"/>
          <w:rtl/>
        </w:rPr>
        <w:t xml:space="preserve">(השופטת ברק-ארז בפס"ד </w:t>
      </w:r>
      <w:proofErr w:type="spellStart"/>
      <w:r>
        <w:rPr>
          <w:rFonts w:ascii="David" w:hAnsi="David" w:cs="David" w:hint="cs"/>
          <w:sz w:val="24"/>
          <w:szCs w:val="24"/>
          <w:rtl/>
        </w:rPr>
        <w:t>עדאלה</w:t>
      </w:r>
      <w:proofErr w:type="spellEnd"/>
      <w:r>
        <w:rPr>
          <w:rFonts w:ascii="David" w:hAnsi="David" w:cs="David" w:hint="cs"/>
          <w:sz w:val="24"/>
          <w:szCs w:val="24"/>
          <w:rtl/>
        </w:rPr>
        <w:t>).</w:t>
      </w:r>
    </w:p>
    <w:p w:rsidR="001A6419" w:rsidRDefault="00A6295E" w:rsidP="00394018">
      <w:pPr>
        <w:spacing w:line="360" w:lineRule="auto"/>
        <w:rPr>
          <w:rFonts w:ascii="David" w:hAnsi="David" w:cs="David"/>
          <w:sz w:val="24"/>
          <w:szCs w:val="24"/>
          <w:rtl/>
        </w:rPr>
      </w:pPr>
      <w:r w:rsidRPr="00FD3053">
        <w:rPr>
          <w:rFonts w:ascii="David" w:hAnsi="David" w:cs="David" w:hint="cs"/>
          <w:sz w:val="24"/>
          <w:szCs w:val="24"/>
          <w:u w:val="single"/>
          <w:rtl/>
        </w:rPr>
        <w:lastRenderedPageBreak/>
        <w:t xml:space="preserve">2.פיטורייה של </w:t>
      </w:r>
      <w:proofErr w:type="spellStart"/>
      <w:r w:rsidRPr="00FD3053">
        <w:rPr>
          <w:rFonts w:ascii="David" w:hAnsi="David" w:cs="David" w:hint="cs"/>
          <w:sz w:val="24"/>
          <w:szCs w:val="24"/>
          <w:u w:val="single"/>
          <w:rtl/>
        </w:rPr>
        <w:t>מילעל</w:t>
      </w:r>
      <w:proofErr w:type="spellEnd"/>
      <w:r>
        <w:rPr>
          <w:rFonts w:ascii="David" w:hAnsi="David" w:cs="David" w:hint="cs"/>
          <w:sz w:val="24"/>
          <w:szCs w:val="24"/>
          <w:rtl/>
        </w:rPr>
        <w:t xml:space="preserve">- </w:t>
      </w:r>
      <w:proofErr w:type="spellStart"/>
      <w:r>
        <w:rPr>
          <w:rFonts w:ascii="David" w:hAnsi="David" w:cs="David" w:hint="cs"/>
          <w:sz w:val="24"/>
          <w:szCs w:val="24"/>
          <w:rtl/>
        </w:rPr>
        <w:t>מילעל</w:t>
      </w:r>
      <w:proofErr w:type="spellEnd"/>
      <w:r>
        <w:rPr>
          <w:rFonts w:ascii="David" w:hAnsi="David" w:cs="David" w:hint="cs"/>
          <w:sz w:val="24"/>
          <w:szCs w:val="24"/>
          <w:rtl/>
        </w:rPr>
        <w:t xml:space="preserve"> מגישה תביעה לביטול הפיטורין. </w:t>
      </w:r>
      <w:proofErr w:type="spellStart"/>
      <w:r>
        <w:rPr>
          <w:rFonts w:ascii="David" w:hAnsi="David" w:cs="David" w:hint="cs"/>
          <w:sz w:val="24"/>
          <w:szCs w:val="24"/>
          <w:rtl/>
        </w:rPr>
        <w:t>מילעל</w:t>
      </w:r>
      <w:proofErr w:type="spellEnd"/>
      <w:r>
        <w:rPr>
          <w:rFonts w:ascii="David" w:hAnsi="David" w:cs="David" w:hint="cs"/>
          <w:sz w:val="24"/>
          <w:szCs w:val="24"/>
          <w:rtl/>
        </w:rPr>
        <w:t xml:space="preserve"> יכולה לבסס את תביעתה על הפגיעה בחופש הביטוי, שכן החברה מונעת ממנה להתבטא ובכך פוגעת </w:t>
      </w:r>
      <w:commentRangeStart w:id="8"/>
      <w:r>
        <w:rPr>
          <w:rFonts w:ascii="David" w:hAnsi="David" w:cs="David" w:hint="cs"/>
          <w:sz w:val="24"/>
          <w:szCs w:val="24"/>
          <w:rtl/>
        </w:rPr>
        <w:t xml:space="preserve">בהגשמה העצמית </w:t>
      </w:r>
      <w:commentRangeEnd w:id="8"/>
      <w:r w:rsidR="007D378E">
        <w:rPr>
          <w:rStyle w:val="CommentReference"/>
          <w:rtl/>
        </w:rPr>
        <w:commentReference w:id="8"/>
      </w:r>
      <w:r>
        <w:rPr>
          <w:rFonts w:ascii="David" w:hAnsi="David" w:cs="David" w:hint="cs"/>
          <w:sz w:val="24"/>
          <w:szCs w:val="24"/>
          <w:rtl/>
        </w:rPr>
        <w:t xml:space="preserve">ובטיעון הדמוקרטי (המאמר של אילנה דיין). חופש הביטוי הוכרה כזכות חוקתית בפס"ד קול העם. יש קושי בכך </w:t>
      </w:r>
      <w:proofErr w:type="spellStart"/>
      <w:r>
        <w:rPr>
          <w:rFonts w:ascii="David" w:hAnsi="David" w:cs="David" w:hint="cs"/>
          <w:sz w:val="24"/>
          <w:szCs w:val="24"/>
          <w:rtl/>
        </w:rPr>
        <w:t>שמילעל</w:t>
      </w:r>
      <w:proofErr w:type="spellEnd"/>
      <w:r>
        <w:rPr>
          <w:rFonts w:ascii="David" w:hAnsi="David" w:cs="David" w:hint="cs"/>
          <w:sz w:val="24"/>
          <w:szCs w:val="24"/>
          <w:rtl/>
        </w:rPr>
        <w:t xml:space="preserve"> תתבע את החברה בצורה ישירה על הפגיעה בזכות, כיוון שזוהי חברה פרטית שאינה מחויבת בהגשמת זכויות. </w:t>
      </w:r>
      <w:r w:rsidRPr="00A6295E">
        <w:rPr>
          <w:rFonts w:ascii="David" w:hAnsi="David" w:cs="David" w:hint="cs"/>
          <w:b/>
          <w:bCs/>
          <w:sz w:val="24"/>
          <w:szCs w:val="24"/>
          <w:rtl/>
        </w:rPr>
        <w:t>האם החברה היא גוף דו-מהותי?</w:t>
      </w:r>
      <w:r>
        <w:rPr>
          <w:rFonts w:ascii="David" w:hAnsi="David" w:cs="David" w:hint="cs"/>
          <w:sz w:val="24"/>
          <w:szCs w:val="24"/>
          <w:rtl/>
        </w:rPr>
        <w:t xml:space="preserve"> על פי הנתונים שלפנינו נראה כי אינה מקיימת התנאים לגוף דו-מהותי שבפס"ד קדישא: </w:t>
      </w:r>
      <w:r w:rsidRPr="00A6295E">
        <w:rPr>
          <w:rFonts w:ascii="David" w:hAnsi="David" w:cs="David"/>
          <w:sz w:val="24"/>
          <w:szCs w:val="24"/>
          <w:rtl/>
        </w:rPr>
        <w:t>1) קיומן של סמכויות סטטוטוריות 2) זיכיון בלעדי מהמדינה</w:t>
      </w:r>
      <w:commentRangeStart w:id="9"/>
      <w:r w:rsidRPr="00A6295E">
        <w:rPr>
          <w:rFonts w:ascii="David" w:hAnsi="David" w:cs="David"/>
          <w:sz w:val="24"/>
          <w:szCs w:val="24"/>
          <w:rtl/>
        </w:rPr>
        <w:t>. 3) שליטה על אמצעי ייצור חיוני</w:t>
      </w:r>
      <w:r>
        <w:rPr>
          <w:rFonts w:ascii="David" w:hAnsi="David" w:cs="David" w:hint="cs"/>
          <w:sz w:val="24"/>
          <w:szCs w:val="24"/>
          <w:rtl/>
        </w:rPr>
        <w:t xml:space="preserve">. </w:t>
      </w:r>
      <w:commentRangeEnd w:id="9"/>
      <w:r w:rsidR="007D378E">
        <w:rPr>
          <w:rStyle w:val="CommentReference"/>
          <w:rtl/>
        </w:rPr>
        <w:commentReference w:id="9"/>
      </w:r>
    </w:p>
    <w:p w:rsidR="00A6295E" w:rsidRDefault="00A6295E" w:rsidP="00394018">
      <w:pPr>
        <w:spacing w:line="360" w:lineRule="auto"/>
        <w:rPr>
          <w:rFonts w:ascii="David" w:hAnsi="David" w:cs="David"/>
          <w:sz w:val="24"/>
          <w:szCs w:val="24"/>
          <w:rtl/>
        </w:rPr>
      </w:pPr>
      <w:r>
        <w:rPr>
          <w:rFonts w:ascii="David" w:hAnsi="David" w:cs="David" w:hint="cs"/>
          <w:sz w:val="24"/>
          <w:szCs w:val="24"/>
          <w:rtl/>
        </w:rPr>
        <w:t xml:space="preserve">האפשרות השנייה של </w:t>
      </w:r>
      <w:proofErr w:type="spellStart"/>
      <w:r>
        <w:rPr>
          <w:rFonts w:ascii="David" w:hAnsi="David" w:cs="David" w:hint="cs"/>
          <w:sz w:val="24"/>
          <w:szCs w:val="24"/>
          <w:rtl/>
        </w:rPr>
        <w:t>מילעל</w:t>
      </w:r>
      <w:proofErr w:type="spellEnd"/>
      <w:r>
        <w:rPr>
          <w:rFonts w:ascii="David" w:hAnsi="David" w:cs="David" w:hint="cs"/>
          <w:sz w:val="24"/>
          <w:szCs w:val="24"/>
          <w:rtl/>
        </w:rPr>
        <w:t xml:space="preserve"> היא </w:t>
      </w:r>
      <w:r w:rsidRPr="00FD3053">
        <w:rPr>
          <w:rFonts w:ascii="David" w:hAnsi="David" w:cs="David" w:hint="cs"/>
          <w:b/>
          <w:bCs/>
          <w:sz w:val="24"/>
          <w:szCs w:val="24"/>
          <w:rtl/>
        </w:rPr>
        <w:t>ת</w:t>
      </w:r>
      <w:r w:rsidR="001A6419">
        <w:rPr>
          <w:rFonts w:ascii="David" w:hAnsi="David" w:cs="David" w:hint="cs"/>
          <w:b/>
          <w:bCs/>
          <w:sz w:val="24"/>
          <w:szCs w:val="24"/>
          <w:rtl/>
        </w:rPr>
        <w:t>חולה</w:t>
      </w:r>
      <w:r w:rsidRPr="00FD3053">
        <w:rPr>
          <w:rFonts w:ascii="David" w:hAnsi="David" w:cs="David" w:hint="cs"/>
          <w:b/>
          <w:bCs/>
          <w:sz w:val="24"/>
          <w:szCs w:val="24"/>
          <w:rtl/>
        </w:rPr>
        <w:t xml:space="preserve"> עקיפה</w:t>
      </w:r>
      <w:r w:rsidR="00FD3053">
        <w:rPr>
          <w:rFonts w:ascii="David" w:hAnsi="David" w:cs="David" w:hint="cs"/>
          <w:sz w:val="24"/>
          <w:szCs w:val="24"/>
          <w:rtl/>
        </w:rPr>
        <w:t xml:space="preserve">(פס"ד בית </w:t>
      </w:r>
      <w:proofErr w:type="spellStart"/>
      <w:r w:rsidR="00FD3053">
        <w:rPr>
          <w:rFonts w:ascii="David" w:hAnsi="David" w:cs="David" w:hint="cs"/>
          <w:sz w:val="24"/>
          <w:szCs w:val="24"/>
          <w:rtl/>
        </w:rPr>
        <w:t>יולס</w:t>
      </w:r>
      <w:proofErr w:type="spellEnd"/>
      <w:r w:rsidR="00FD3053">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מילעל</w:t>
      </w:r>
      <w:proofErr w:type="spellEnd"/>
      <w:r>
        <w:rPr>
          <w:rFonts w:ascii="David" w:hAnsi="David" w:cs="David" w:hint="cs"/>
          <w:sz w:val="24"/>
          <w:szCs w:val="24"/>
          <w:rtl/>
        </w:rPr>
        <w:t xml:space="preserve"> יכולה להגיש תביעה לבית הדין לעבודה </w:t>
      </w:r>
      <w:r w:rsidR="00FD3053">
        <w:rPr>
          <w:rFonts w:ascii="David" w:hAnsi="David" w:cs="David" w:hint="cs"/>
          <w:sz w:val="24"/>
          <w:szCs w:val="24"/>
          <w:rtl/>
        </w:rPr>
        <w:t>ולטעון שהתנאי בחוזה פוגע באופן משמעותי בחופש הביטוי ולכן הוא נוגד את תקנת הציבור ועליו להיות בטל.</w:t>
      </w:r>
      <w:r w:rsidR="001A6419">
        <w:rPr>
          <w:rFonts w:ascii="David" w:hAnsi="David" w:cs="David" w:hint="cs"/>
          <w:sz w:val="24"/>
          <w:szCs w:val="24"/>
          <w:rtl/>
        </w:rPr>
        <w:t xml:space="preserve"> בנוסף, </w:t>
      </w:r>
      <w:proofErr w:type="spellStart"/>
      <w:r w:rsidR="001A6419">
        <w:rPr>
          <w:rFonts w:ascii="David" w:hAnsi="David" w:cs="David" w:hint="cs"/>
          <w:sz w:val="24"/>
          <w:szCs w:val="24"/>
          <w:rtl/>
        </w:rPr>
        <w:t>מילעל</w:t>
      </w:r>
      <w:proofErr w:type="spellEnd"/>
      <w:r w:rsidR="001A6419">
        <w:rPr>
          <w:rFonts w:ascii="David" w:hAnsi="David" w:cs="David" w:hint="cs"/>
          <w:sz w:val="24"/>
          <w:szCs w:val="24"/>
          <w:rtl/>
        </w:rPr>
        <w:t xml:space="preserve"> תטען </w:t>
      </w:r>
      <w:proofErr w:type="spellStart"/>
      <w:r w:rsidR="001A6419">
        <w:rPr>
          <w:rFonts w:ascii="David" w:hAnsi="David" w:cs="David" w:hint="cs"/>
          <w:sz w:val="24"/>
          <w:szCs w:val="24"/>
          <w:rtl/>
        </w:rPr>
        <w:t>שדברייה</w:t>
      </w:r>
      <w:proofErr w:type="spellEnd"/>
      <w:r w:rsidR="001A6419">
        <w:rPr>
          <w:rFonts w:ascii="David" w:hAnsi="David" w:cs="David" w:hint="cs"/>
          <w:sz w:val="24"/>
          <w:szCs w:val="24"/>
          <w:rtl/>
        </w:rPr>
        <w:t xml:space="preserve"> הוצאו מהקשרם בכתבה שפרסם העיתון ואינה התכוונה לפגוע בחברה. מכאן שהחברה פעלה בחוסר תו"ל כאשר פיטרה אותה ועלייה להחזיר את </w:t>
      </w:r>
      <w:proofErr w:type="spellStart"/>
      <w:r w:rsidR="001A6419">
        <w:rPr>
          <w:rFonts w:ascii="David" w:hAnsi="David" w:cs="David" w:hint="cs"/>
          <w:sz w:val="24"/>
          <w:szCs w:val="24"/>
          <w:rtl/>
        </w:rPr>
        <w:t>מילעל</w:t>
      </w:r>
      <w:proofErr w:type="spellEnd"/>
      <w:r w:rsidR="001A6419">
        <w:rPr>
          <w:rFonts w:ascii="David" w:hAnsi="David" w:cs="David" w:hint="cs"/>
          <w:sz w:val="24"/>
          <w:szCs w:val="24"/>
          <w:rtl/>
        </w:rPr>
        <w:t xml:space="preserve"> לעבודה.</w:t>
      </w:r>
      <w:r w:rsidR="00FD3053">
        <w:rPr>
          <w:rFonts w:ascii="David" w:hAnsi="David" w:cs="David" w:hint="cs"/>
          <w:sz w:val="24"/>
          <w:szCs w:val="24"/>
          <w:rtl/>
        </w:rPr>
        <w:t xml:space="preserve"> אולם החברה תוכל לטעון </w:t>
      </w:r>
      <w:proofErr w:type="spellStart"/>
      <w:r w:rsidR="00FD3053">
        <w:rPr>
          <w:rFonts w:ascii="David" w:hAnsi="David" w:cs="David" w:hint="cs"/>
          <w:sz w:val="24"/>
          <w:szCs w:val="24"/>
          <w:rtl/>
        </w:rPr>
        <w:t>שמילעל</w:t>
      </w:r>
      <w:proofErr w:type="spellEnd"/>
      <w:r w:rsidR="00FD3053">
        <w:rPr>
          <w:rFonts w:ascii="David" w:hAnsi="David" w:cs="David" w:hint="cs"/>
          <w:sz w:val="24"/>
          <w:szCs w:val="24"/>
          <w:rtl/>
        </w:rPr>
        <w:t xml:space="preserve"> פוטרה בשל הפרת חוזה. יתרה מזאת, במשפט הפרטי החירות הוא הכלל</w:t>
      </w:r>
      <w:r w:rsidR="001A6419">
        <w:rPr>
          <w:rFonts w:ascii="David" w:hAnsi="David" w:cs="David" w:hint="cs"/>
          <w:sz w:val="24"/>
          <w:szCs w:val="24"/>
          <w:rtl/>
        </w:rPr>
        <w:t xml:space="preserve"> ואם רוצים לחייב בזכות חוקתית </w:t>
      </w:r>
      <w:r w:rsidR="001A6419" w:rsidRPr="001A6419">
        <w:rPr>
          <w:rFonts w:ascii="David" w:hAnsi="David" w:cs="David"/>
          <w:sz w:val="24"/>
          <w:szCs w:val="24"/>
          <w:rtl/>
        </w:rPr>
        <w:t>יש לעשות זאת בחקיקה</w:t>
      </w:r>
      <w:r w:rsidR="001A6419">
        <w:rPr>
          <w:rFonts w:ascii="David" w:hAnsi="David" w:cs="David" w:hint="cs"/>
          <w:sz w:val="24"/>
          <w:szCs w:val="24"/>
          <w:rtl/>
        </w:rPr>
        <w:t xml:space="preserve"> ישירה</w:t>
      </w:r>
      <w:r w:rsidR="001A6419" w:rsidRPr="001A6419">
        <w:rPr>
          <w:rFonts w:ascii="David" w:hAnsi="David" w:cs="David"/>
          <w:sz w:val="24"/>
          <w:szCs w:val="24"/>
          <w:rtl/>
        </w:rPr>
        <w:t xml:space="preserve"> ולא דרך תחולה עקיפה</w:t>
      </w:r>
      <w:r w:rsidR="00FD3053">
        <w:rPr>
          <w:rFonts w:ascii="David" w:hAnsi="David" w:cs="David" w:hint="cs"/>
          <w:sz w:val="24"/>
          <w:szCs w:val="24"/>
          <w:rtl/>
        </w:rPr>
        <w:t>(</w:t>
      </w:r>
      <w:proofErr w:type="spellStart"/>
      <w:r w:rsidR="00FD3053">
        <w:rPr>
          <w:rFonts w:ascii="David" w:hAnsi="David" w:cs="David" w:hint="cs"/>
          <w:sz w:val="24"/>
          <w:szCs w:val="24"/>
          <w:rtl/>
        </w:rPr>
        <w:t>דנצינגר</w:t>
      </w:r>
      <w:proofErr w:type="spellEnd"/>
      <w:r w:rsidR="00FD3053">
        <w:rPr>
          <w:rFonts w:ascii="David" w:hAnsi="David" w:cs="David" w:hint="cs"/>
          <w:sz w:val="24"/>
          <w:szCs w:val="24"/>
          <w:rtl/>
        </w:rPr>
        <w:t xml:space="preserve"> </w:t>
      </w:r>
      <w:proofErr w:type="spellStart"/>
      <w:r w:rsidR="00FD3053">
        <w:rPr>
          <w:rFonts w:ascii="David" w:hAnsi="David" w:cs="David" w:hint="cs"/>
          <w:sz w:val="24"/>
          <w:szCs w:val="24"/>
          <w:rtl/>
        </w:rPr>
        <w:t>בפרוז'אנסקי</w:t>
      </w:r>
      <w:proofErr w:type="spellEnd"/>
      <w:r w:rsidR="00FD3053">
        <w:rPr>
          <w:rFonts w:ascii="David" w:hAnsi="David" w:cs="David" w:hint="cs"/>
          <w:sz w:val="24"/>
          <w:szCs w:val="24"/>
          <w:rtl/>
        </w:rPr>
        <w:t xml:space="preserve">) ולכן אין לחייב את החברה להחזיר את </w:t>
      </w:r>
      <w:proofErr w:type="spellStart"/>
      <w:r w:rsidR="00FD3053">
        <w:rPr>
          <w:rFonts w:ascii="David" w:hAnsi="David" w:cs="David" w:hint="cs"/>
          <w:sz w:val="24"/>
          <w:szCs w:val="24"/>
          <w:rtl/>
        </w:rPr>
        <w:t>מילעל</w:t>
      </w:r>
      <w:proofErr w:type="spellEnd"/>
      <w:r w:rsidR="00FD3053">
        <w:rPr>
          <w:rFonts w:ascii="David" w:hAnsi="David" w:cs="David" w:hint="cs"/>
          <w:sz w:val="24"/>
          <w:szCs w:val="24"/>
          <w:rtl/>
        </w:rPr>
        <w:t xml:space="preserve"> לעבודה ולאפשר ביטוי שעלול לגרום נזק לחברה. </w:t>
      </w:r>
    </w:p>
    <w:p w:rsidR="001A6419" w:rsidRDefault="001A6419" w:rsidP="00394018">
      <w:pPr>
        <w:spacing w:line="360" w:lineRule="auto"/>
        <w:rPr>
          <w:rFonts w:ascii="David" w:hAnsi="David" w:cs="David"/>
          <w:sz w:val="24"/>
          <w:szCs w:val="24"/>
          <w:rtl/>
        </w:rPr>
      </w:pPr>
      <w:r>
        <w:rPr>
          <w:rFonts w:ascii="David" w:hAnsi="David" w:cs="David" w:hint="cs"/>
          <w:sz w:val="24"/>
          <w:szCs w:val="24"/>
          <w:rtl/>
        </w:rPr>
        <w:t xml:space="preserve">אפשרות נוספת שעומדת בפני </w:t>
      </w:r>
      <w:proofErr w:type="spellStart"/>
      <w:r>
        <w:rPr>
          <w:rFonts w:ascii="David" w:hAnsi="David" w:cs="David" w:hint="cs"/>
          <w:sz w:val="24"/>
          <w:szCs w:val="24"/>
          <w:rtl/>
        </w:rPr>
        <w:t>מילעל</w:t>
      </w:r>
      <w:proofErr w:type="spellEnd"/>
      <w:r>
        <w:rPr>
          <w:rFonts w:ascii="David" w:hAnsi="David" w:cs="David" w:hint="cs"/>
          <w:sz w:val="24"/>
          <w:szCs w:val="24"/>
          <w:rtl/>
        </w:rPr>
        <w:t xml:space="preserve"> היא </w:t>
      </w:r>
      <w:r w:rsidRPr="001A6419">
        <w:rPr>
          <w:rFonts w:ascii="David" w:hAnsi="David" w:cs="David" w:hint="cs"/>
          <w:b/>
          <w:bCs/>
          <w:sz w:val="24"/>
          <w:szCs w:val="24"/>
          <w:rtl/>
        </w:rPr>
        <w:t>תחולה ישירה</w:t>
      </w:r>
      <w:r>
        <w:rPr>
          <w:rFonts w:ascii="David" w:hAnsi="David" w:cs="David" w:hint="cs"/>
          <w:sz w:val="24"/>
          <w:szCs w:val="24"/>
          <w:rtl/>
        </w:rPr>
        <w:t xml:space="preserve"> דרך חקיקה ספציפית בדיני עבודה.  </w:t>
      </w:r>
    </w:p>
    <w:p w:rsidR="001A6419" w:rsidRDefault="001A6419" w:rsidP="00394018">
      <w:pPr>
        <w:spacing w:line="360" w:lineRule="auto"/>
        <w:rPr>
          <w:rFonts w:ascii="David" w:hAnsi="David" w:cs="David"/>
          <w:sz w:val="24"/>
          <w:szCs w:val="24"/>
          <w:rtl/>
        </w:rPr>
      </w:pPr>
      <w:r w:rsidRPr="001A6419">
        <w:rPr>
          <w:rFonts w:ascii="David" w:hAnsi="David" w:cs="David" w:hint="cs"/>
          <w:b/>
          <w:bCs/>
          <w:sz w:val="24"/>
          <w:szCs w:val="24"/>
          <w:rtl/>
        </w:rPr>
        <w:t>סיכויי ההצלחה-</w:t>
      </w:r>
      <w:r>
        <w:rPr>
          <w:rFonts w:ascii="David" w:hAnsi="David" w:cs="David" w:hint="cs"/>
          <w:sz w:val="24"/>
          <w:szCs w:val="24"/>
          <w:rtl/>
        </w:rPr>
        <w:t xml:space="preserve"> לטעמי סיכויי ההתגוננות של </w:t>
      </w:r>
      <w:proofErr w:type="spellStart"/>
      <w:r>
        <w:rPr>
          <w:rFonts w:ascii="David" w:hAnsi="David" w:cs="David" w:hint="cs"/>
          <w:sz w:val="24"/>
          <w:szCs w:val="24"/>
          <w:rtl/>
        </w:rPr>
        <w:t>תותית</w:t>
      </w:r>
      <w:proofErr w:type="spellEnd"/>
      <w:r>
        <w:rPr>
          <w:rFonts w:ascii="David" w:hAnsi="David" w:cs="David" w:hint="cs"/>
          <w:sz w:val="24"/>
          <w:szCs w:val="24"/>
          <w:rtl/>
        </w:rPr>
        <w:t xml:space="preserve"> מפני התביעה של </w:t>
      </w:r>
      <w:proofErr w:type="spellStart"/>
      <w:r>
        <w:rPr>
          <w:rFonts w:ascii="David" w:hAnsi="David" w:cs="David" w:hint="cs"/>
          <w:sz w:val="24"/>
          <w:szCs w:val="24"/>
          <w:rtl/>
        </w:rPr>
        <w:t>מילעל</w:t>
      </w:r>
      <w:proofErr w:type="spellEnd"/>
      <w:r>
        <w:rPr>
          <w:rFonts w:ascii="David" w:hAnsi="David" w:cs="David" w:hint="cs"/>
          <w:sz w:val="24"/>
          <w:szCs w:val="24"/>
          <w:rtl/>
        </w:rPr>
        <w:t xml:space="preserve"> אינם גבוהים, כיוון שפיטור אדם בשל התבטאותו פוגע בגרעין הקשה של חופש הביטוי במיוחד בשל העובדה שדבריה של </w:t>
      </w:r>
      <w:proofErr w:type="spellStart"/>
      <w:r>
        <w:rPr>
          <w:rFonts w:ascii="David" w:hAnsi="David" w:cs="David" w:hint="cs"/>
          <w:sz w:val="24"/>
          <w:szCs w:val="24"/>
          <w:rtl/>
        </w:rPr>
        <w:t>מילעל</w:t>
      </w:r>
      <w:proofErr w:type="spellEnd"/>
      <w:r>
        <w:rPr>
          <w:rFonts w:ascii="David" w:hAnsi="David" w:cs="David" w:hint="cs"/>
          <w:sz w:val="24"/>
          <w:szCs w:val="24"/>
          <w:rtl/>
        </w:rPr>
        <w:t xml:space="preserve"> הוקצנו בכתבה. </w:t>
      </w:r>
      <w:commentRangeStart w:id="10"/>
      <w:r>
        <w:rPr>
          <w:rFonts w:ascii="David" w:hAnsi="David" w:cs="David" w:hint="cs"/>
          <w:sz w:val="24"/>
          <w:szCs w:val="24"/>
          <w:rtl/>
        </w:rPr>
        <w:t>מפני שכך</w:t>
      </w:r>
      <w:commentRangeEnd w:id="10"/>
      <w:r w:rsidR="007D378E">
        <w:rPr>
          <w:rStyle w:val="CommentReference"/>
          <w:rtl/>
        </w:rPr>
        <w:commentReference w:id="10"/>
      </w:r>
      <w:r>
        <w:rPr>
          <w:rFonts w:ascii="David" w:hAnsi="David" w:cs="David" w:hint="cs"/>
          <w:sz w:val="24"/>
          <w:szCs w:val="24"/>
          <w:rtl/>
        </w:rPr>
        <w:t xml:space="preserve">, הפיטורים שנעשו בחוסר תו"ל נוגדים את תקנת הציבור. </w:t>
      </w:r>
    </w:p>
    <w:p w:rsidR="00FD3053" w:rsidRPr="00AC7EAD" w:rsidRDefault="00FD3053" w:rsidP="00394018">
      <w:pPr>
        <w:spacing w:line="360" w:lineRule="auto"/>
        <w:rPr>
          <w:rFonts w:ascii="David" w:hAnsi="David" w:cs="David"/>
          <w:sz w:val="24"/>
          <w:szCs w:val="24"/>
          <w:u w:val="single"/>
          <w:rtl/>
        </w:rPr>
      </w:pPr>
      <w:r w:rsidRPr="00AC7EAD">
        <w:rPr>
          <w:rFonts w:ascii="David" w:hAnsi="David" w:cs="David" w:hint="cs"/>
          <w:sz w:val="24"/>
          <w:szCs w:val="24"/>
          <w:u w:val="single"/>
          <w:rtl/>
        </w:rPr>
        <w:t xml:space="preserve">3.תקיפה של החלטת שר הפנים בעניינו של </w:t>
      </w:r>
      <w:proofErr w:type="spellStart"/>
      <w:r w:rsidR="00AC7EAD" w:rsidRPr="00AC7EAD">
        <w:rPr>
          <w:rFonts w:ascii="David" w:hAnsi="David" w:cs="David" w:hint="cs"/>
          <w:sz w:val="24"/>
          <w:szCs w:val="24"/>
          <w:u w:val="single"/>
          <w:rtl/>
        </w:rPr>
        <w:t>אנדריי</w:t>
      </w:r>
      <w:proofErr w:type="spellEnd"/>
      <w:r w:rsidR="00AC7EAD" w:rsidRPr="00AC7EAD">
        <w:rPr>
          <w:rFonts w:ascii="David" w:hAnsi="David" w:cs="David" w:hint="cs"/>
          <w:sz w:val="24"/>
          <w:szCs w:val="24"/>
          <w:u w:val="single"/>
          <w:rtl/>
        </w:rPr>
        <w:t>-</w:t>
      </w:r>
    </w:p>
    <w:p w:rsidR="00AC7EAD" w:rsidRDefault="00AC7EAD" w:rsidP="00394018">
      <w:pPr>
        <w:spacing w:line="360" w:lineRule="auto"/>
        <w:rPr>
          <w:rFonts w:ascii="David" w:hAnsi="David" w:cs="David"/>
          <w:sz w:val="24"/>
          <w:szCs w:val="24"/>
          <w:rtl/>
        </w:rPr>
      </w:pPr>
      <w:r w:rsidRPr="00AC7EAD">
        <w:rPr>
          <w:rFonts w:ascii="David" w:hAnsi="David" w:cs="David" w:hint="cs"/>
          <w:b/>
          <w:bCs/>
          <w:sz w:val="24"/>
          <w:szCs w:val="24"/>
          <w:rtl/>
        </w:rPr>
        <w:t>עמדת היועמ"ש:</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תטען </w:t>
      </w:r>
      <w:proofErr w:type="spellStart"/>
      <w:r>
        <w:rPr>
          <w:rFonts w:ascii="David" w:hAnsi="David" w:cs="David" w:hint="cs"/>
          <w:sz w:val="24"/>
          <w:szCs w:val="24"/>
          <w:rtl/>
        </w:rPr>
        <w:t>שבהתבסס</w:t>
      </w:r>
      <w:proofErr w:type="spellEnd"/>
      <w:r>
        <w:rPr>
          <w:rFonts w:ascii="David" w:hAnsi="David" w:cs="David" w:hint="cs"/>
          <w:sz w:val="24"/>
          <w:szCs w:val="24"/>
          <w:rtl/>
        </w:rPr>
        <w:t xml:space="preserve"> על ועדת </w:t>
      </w:r>
      <w:proofErr w:type="spellStart"/>
      <w:r>
        <w:rPr>
          <w:rFonts w:ascii="David" w:hAnsi="David" w:cs="David" w:hint="cs"/>
          <w:sz w:val="24"/>
          <w:szCs w:val="24"/>
          <w:rtl/>
        </w:rPr>
        <w:t>ארגנט</w:t>
      </w:r>
      <w:proofErr w:type="spellEnd"/>
      <w:r>
        <w:rPr>
          <w:rFonts w:ascii="David" w:hAnsi="David" w:cs="David" w:hint="cs"/>
          <w:sz w:val="24"/>
          <w:szCs w:val="24"/>
          <w:rtl/>
        </w:rPr>
        <w:t xml:space="preserve"> </w:t>
      </w:r>
      <w:r w:rsidRPr="00AC7EAD">
        <w:rPr>
          <w:rFonts w:ascii="David" w:hAnsi="David" w:cs="David"/>
          <w:sz w:val="24"/>
          <w:szCs w:val="24"/>
          <w:rtl/>
        </w:rPr>
        <w:t>היועץ המשפטי לממשלה הוא הפרשן המוסמך של הדין כלפי הרשות המבצעת וייצוג המדינה מופקד על היועמ"ש לפי הדרך שהוא סובר שמצדיקה את פעולות הרשות</w:t>
      </w:r>
      <w:r>
        <w:rPr>
          <w:rFonts w:ascii="David" w:hAnsi="David" w:cs="David" w:hint="cs"/>
          <w:sz w:val="24"/>
          <w:szCs w:val="24"/>
          <w:rtl/>
        </w:rPr>
        <w:t xml:space="preserve">(פס"ד אמיתי נ' רה"מ), כמו כן בפס"ד התנועה לאיכות השלטון, השופט מצא רואה את חוות דעתו של היועמ"ש כמחייבת. לפיכך, על השר לאפשר </w:t>
      </w:r>
      <w:proofErr w:type="spellStart"/>
      <w:r>
        <w:rPr>
          <w:rFonts w:ascii="David" w:hAnsi="David" w:cs="David" w:hint="cs"/>
          <w:sz w:val="24"/>
          <w:szCs w:val="24"/>
          <w:rtl/>
        </w:rPr>
        <w:t>לאנדריי</w:t>
      </w:r>
      <w:proofErr w:type="spellEnd"/>
      <w:r>
        <w:rPr>
          <w:rFonts w:ascii="David" w:hAnsi="David" w:cs="David" w:hint="cs"/>
          <w:sz w:val="24"/>
          <w:szCs w:val="24"/>
          <w:rtl/>
        </w:rPr>
        <w:t xml:space="preserve"> לקבל אזרחות ישראלית מכוח חוק השבות ולהירשם כיהודי במרשם האוכלוסין. </w:t>
      </w:r>
      <w:r w:rsidRPr="00AC7EAD">
        <w:rPr>
          <w:rFonts w:ascii="David" w:hAnsi="David" w:cs="David" w:hint="cs"/>
          <w:b/>
          <w:bCs/>
          <w:sz w:val="24"/>
          <w:szCs w:val="24"/>
          <w:rtl/>
        </w:rPr>
        <w:t>מנגד,</w:t>
      </w:r>
      <w:r>
        <w:rPr>
          <w:rFonts w:ascii="David" w:hAnsi="David" w:cs="David" w:hint="cs"/>
          <w:sz w:val="24"/>
          <w:szCs w:val="24"/>
          <w:rtl/>
        </w:rPr>
        <w:t xml:space="preserve"> השר יטען כי היועמ"ש אינו </w:t>
      </w:r>
      <w:proofErr w:type="spellStart"/>
      <w:r>
        <w:rPr>
          <w:rFonts w:ascii="David" w:hAnsi="David" w:cs="David" w:hint="cs"/>
          <w:sz w:val="24"/>
          <w:szCs w:val="24"/>
          <w:rtl/>
        </w:rPr>
        <w:t>מחוייב</w:t>
      </w:r>
      <w:proofErr w:type="spellEnd"/>
      <w:r>
        <w:rPr>
          <w:rFonts w:ascii="David" w:hAnsi="David" w:cs="David" w:hint="cs"/>
          <w:sz w:val="24"/>
          <w:szCs w:val="24"/>
          <w:rtl/>
        </w:rPr>
        <w:t xml:space="preserve"> לטעון לשר, והוא יכול להציג את עמדותיו באמצעות עורך דין אחר. על השר להציג את טענותיו שלו על מנת </w:t>
      </w:r>
      <w:commentRangeStart w:id="11"/>
      <w:r>
        <w:rPr>
          <w:rFonts w:ascii="David" w:hAnsi="David" w:cs="David" w:hint="cs"/>
          <w:sz w:val="24"/>
          <w:szCs w:val="24"/>
          <w:rtl/>
        </w:rPr>
        <w:t>להגשים את חופש הביטוי שלו(</w:t>
      </w:r>
      <w:commentRangeEnd w:id="11"/>
      <w:r w:rsidR="007D378E">
        <w:rPr>
          <w:rStyle w:val="CommentReference"/>
          <w:rtl/>
        </w:rPr>
        <w:commentReference w:id="11"/>
      </w:r>
      <w:r>
        <w:rPr>
          <w:rFonts w:ascii="David" w:hAnsi="David" w:cs="David" w:hint="cs"/>
          <w:sz w:val="24"/>
          <w:szCs w:val="24"/>
          <w:rtl/>
        </w:rPr>
        <w:t xml:space="preserve">השופט שטיין בפס"ד אמיתי נ' שר המדע והטכנולוגיה). </w:t>
      </w:r>
    </w:p>
    <w:p w:rsidR="00AC7EAD" w:rsidRDefault="00AC7EAD" w:rsidP="00394018">
      <w:pPr>
        <w:spacing w:line="360" w:lineRule="auto"/>
        <w:rPr>
          <w:rFonts w:ascii="David" w:hAnsi="David" w:cs="David"/>
          <w:sz w:val="24"/>
          <w:szCs w:val="24"/>
          <w:rtl/>
        </w:rPr>
      </w:pPr>
      <w:r w:rsidRPr="000F0906">
        <w:rPr>
          <w:rFonts w:ascii="David" w:hAnsi="David" w:cs="David" w:hint="cs"/>
          <w:b/>
          <w:bCs/>
          <w:sz w:val="24"/>
          <w:szCs w:val="24"/>
          <w:rtl/>
        </w:rPr>
        <w:t>יהודי למרשם האוכלוסין:</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w:t>
      </w:r>
      <w:proofErr w:type="spellStart"/>
      <w:r>
        <w:rPr>
          <w:rFonts w:ascii="David" w:hAnsi="David" w:cs="David" w:hint="cs"/>
          <w:sz w:val="24"/>
          <w:szCs w:val="24"/>
          <w:rtl/>
        </w:rPr>
        <w:t>ואנדריי</w:t>
      </w:r>
      <w:proofErr w:type="spellEnd"/>
      <w:r>
        <w:rPr>
          <w:rFonts w:ascii="David" w:hAnsi="David" w:cs="David" w:hint="cs"/>
          <w:sz w:val="24"/>
          <w:szCs w:val="24"/>
          <w:rtl/>
        </w:rPr>
        <w:t xml:space="preserve"> יטענו כי יש לאפשר </w:t>
      </w:r>
      <w:proofErr w:type="spellStart"/>
      <w:r>
        <w:rPr>
          <w:rFonts w:ascii="David" w:hAnsi="David" w:cs="David" w:hint="cs"/>
          <w:sz w:val="24"/>
          <w:szCs w:val="24"/>
          <w:rtl/>
        </w:rPr>
        <w:t>לאנדריי</w:t>
      </w:r>
      <w:proofErr w:type="spellEnd"/>
      <w:r>
        <w:rPr>
          <w:rFonts w:ascii="David" w:hAnsi="David" w:cs="David" w:hint="cs"/>
          <w:sz w:val="24"/>
          <w:szCs w:val="24"/>
          <w:rtl/>
        </w:rPr>
        <w:t xml:space="preserve"> להירשם במרשם האוכלוסין כיהודי כיוון שלרישום אין משמעות מיוחדת(דעת רוב בפס"ד שליט). אולם, השר יטען </w:t>
      </w:r>
      <w:r w:rsidR="000F0906">
        <w:rPr>
          <w:rFonts w:ascii="David" w:hAnsi="David" w:cs="David" w:hint="cs"/>
          <w:sz w:val="24"/>
          <w:szCs w:val="24"/>
          <w:rtl/>
        </w:rPr>
        <w:t xml:space="preserve">כי יש משמעות לרישום, אם לא היה משמעות </w:t>
      </w:r>
      <w:proofErr w:type="spellStart"/>
      <w:r w:rsidR="000F0906">
        <w:rPr>
          <w:rFonts w:ascii="David" w:hAnsi="David" w:cs="David" w:hint="cs"/>
          <w:sz w:val="24"/>
          <w:szCs w:val="24"/>
          <w:rtl/>
        </w:rPr>
        <w:t>לאנדריי</w:t>
      </w:r>
      <w:proofErr w:type="spellEnd"/>
      <w:r w:rsidR="000F0906">
        <w:rPr>
          <w:rFonts w:ascii="David" w:hAnsi="David" w:cs="David" w:hint="cs"/>
          <w:sz w:val="24"/>
          <w:szCs w:val="24"/>
          <w:rtl/>
        </w:rPr>
        <w:t xml:space="preserve"> לא היה אכפת כיצד הוא נרשם(</w:t>
      </w:r>
      <w:proofErr w:type="spellStart"/>
      <w:r w:rsidR="000F0906">
        <w:rPr>
          <w:rFonts w:ascii="David" w:hAnsi="David" w:cs="David" w:hint="cs"/>
          <w:sz w:val="24"/>
          <w:szCs w:val="24"/>
          <w:rtl/>
        </w:rPr>
        <w:t>לנדוי</w:t>
      </w:r>
      <w:proofErr w:type="spellEnd"/>
      <w:r w:rsidR="000F0906">
        <w:rPr>
          <w:rFonts w:ascii="David" w:hAnsi="David" w:cs="David" w:hint="cs"/>
          <w:sz w:val="24"/>
          <w:szCs w:val="24"/>
          <w:rtl/>
        </w:rPr>
        <w:t xml:space="preserve"> בפס"ד שליט). כמו כן, </w:t>
      </w:r>
      <w:proofErr w:type="spellStart"/>
      <w:r w:rsidR="000F0906">
        <w:rPr>
          <w:rFonts w:ascii="David" w:hAnsi="David" w:cs="David" w:hint="cs"/>
          <w:sz w:val="24"/>
          <w:szCs w:val="24"/>
          <w:rtl/>
        </w:rPr>
        <w:t>אנדריי</w:t>
      </w:r>
      <w:proofErr w:type="spellEnd"/>
      <w:r w:rsidR="000F0906">
        <w:rPr>
          <w:rFonts w:ascii="David" w:hAnsi="David" w:cs="David" w:hint="cs"/>
          <w:sz w:val="24"/>
          <w:szCs w:val="24"/>
          <w:rtl/>
        </w:rPr>
        <w:t xml:space="preserve"> הוא עובד זר ואין להפריד בין דת ללאום(</w:t>
      </w:r>
      <w:proofErr w:type="spellStart"/>
      <w:r w:rsidR="000F0906">
        <w:rPr>
          <w:rFonts w:ascii="David" w:hAnsi="David" w:cs="David" w:hint="cs"/>
          <w:sz w:val="24"/>
          <w:szCs w:val="24"/>
          <w:rtl/>
        </w:rPr>
        <w:t>זילברג</w:t>
      </w:r>
      <w:proofErr w:type="spellEnd"/>
      <w:r w:rsidR="000F0906">
        <w:rPr>
          <w:rFonts w:ascii="David" w:hAnsi="David" w:cs="David" w:hint="cs"/>
          <w:sz w:val="24"/>
          <w:szCs w:val="24"/>
          <w:rtl/>
        </w:rPr>
        <w:t xml:space="preserve"> בפס"ד שליט).</w:t>
      </w:r>
    </w:p>
    <w:p w:rsidR="000F0906" w:rsidRDefault="000F0906" w:rsidP="00394018">
      <w:pPr>
        <w:spacing w:line="360" w:lineRule="auto"/>
        <w:rPr>
          <w:rFonts w:ascii="David" w:hAnsi="David" w:cs="David"/>
          <w:sz w:val="24"/>
          <w:szCs w:val="24"/>
          <w:rtl/>
        </w:rPr>
      </w:pPr>
      <w:r w:rsidRPr="000F0906">
        <w:rPr>
          <w:rFonts w:ascii="David" w:hAnsi="David" w:cs="David" w:hint="cs"/>
          <w:b/>
          <w:bCs/>
          <w:sz w:val="24"/>
          <w:szCs w:val="24"/>
          <w:rtl/>
        </w:rPr>
        <w:t>יהודי לחוק השבות:</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w:t>
      </w:r>
      <w:proofErr w:type="spellStart"/>
      <w:r>
        <w:rPr>
          <w:rFonts w:ascii="David" w:hAnsi="David" w:cs="David" w:hint="cs"/>
          <w:sz w:val="24"/>
          <w:szCs w:val="24"/>
          <w:rtl/>
        </w:rPr>
        <w:t>ואנדריי</w:t>
      </w:r>
      <w:proofErr w:type="spellEnd"/>
      <w:r>
        <w:rPr>
          <w:rFonts w:ascii="David" w:hAnsi="David" w:cs="David" w:hint="cs"/>
          <w:sz w:val="24"/>
          <w:szCs w:val="24"/>
          <w:rtl/>
        </w:rPr>
        <w:t xml:space="preserve"> יטענו כי יש לקבל גיור שנעשה בארץ לחוק השבות כדיי לעודד עלייה לארץ(נאור, פס"ד </w:t>
      </w:r>
      <w:proofErr w:type="spellStart"/>
      <w:r>
        <w:rPr>
          <w:rFonts w:ascii="David" w:hAnsi="David" w:cs="David" w:hint="cs"/>
          <w:sz w:val="24"/>
          <w:szCs w:val="24"/>
          <w:rtl/>
        </w:rPr>
        <w:t>רוגצ'ובה</w:t>
      </w:r>
      <w:proofErr w:type="spellEnd"/>
      <w:r>
        <w:rPr>
          <w:rFonts w:ascii="David" w:hAnsi="David" w:cs="David" w:hint="cs"/>
          <w:sz w:val="24"/>
          <w:szCs w:val="24"/>
          <w:rtl/>
        </w:rPr>
        <w:t xml:space="preserve">) אם המתגייר עומד במבחן הקהילה היהודית </w:t>
      </w:r>
      <w:r>
        <w:rPr>
          <w:rFonts w:ascii="David" w:hAnsi="David" w:cs="David" w:hint="cs"/>
          <w:sz w:val="24"/>
          <w:szCs w:val="24"/>
          <w:rtl/>
        </w:rPr>
        <w:lastRenderedPageBreak/>
        <w:t xml:space="preserve">המוכרת(פס"ד טושביים2). מכאן שיש להכיר בגיורו של </w:t>
      </w:r>
      <w:proofErr w:type="spellStart"/>
      <w:r>
        <w:rPr>
          <w:rFonts w:ascii="David" w:hAnsi="David" w:cs="David" w:hint="cs"/>
          <w:sz w:val="24"/>
          <w:szCs w:val="24"/>
          <w:rtl/>
        </w:rPr>
        <w:t>אנדריי</w:t>
      </w:r>
      <w:proofErr w:type="spellEnd"/>
      <w:r>
        <w:rPr>
          <w:rFonts w:ascii="David" w:hAnsi="David" w:cs="David" w:hint="cs"/>
          <w:sz w:val="24"/>
          <w:szCs w:val="24"/>
          <w:rtl/>
        </w:rPr>
        <w:t xml:space="preserve"> ולהעניק לו אזרחות מכוח חוק השבות. </w:t>
      </w:r>
      <w:r w:rsidRPr="00456331">
        <w:rPr>
          <w:rFonts w:ascii="David" w:hAnsi="David" w:cs="David" w:hint="cs"/>
          <w:b/>
          <w:bCs/>
          <w:sz w:val="24"/>
          <w:szCs w:val="24"/>
          <w:rtl/>
        </w:rPr>
        <w:t>בניגוד לכך</w:t>
      </w:r>
      <w:r>
        <w:rPr>
          <w:rFonts w:ascii="David" w:hAnsi="David" w:cs="David" w:hint="cs"/>
          <w:sz w:val="24"/>
          <w:szCs w:val="24"/>
          <w:rtl/>
        </w:rPr>
        <w:t xml:space="preserve">, המדינה תטען שגיור בארץ יהיה רק לפי הרבנות(פס"ד </w:t>
      </w:r>
      <w:proofErr w:type="spellStart"/>
      <w:r>
        <w:rPr>
          <w:rFonts w:ascii="David" w:hAnsi="David" w:cs="David" w:hint="cs"/>
          <w:sz w:val="24"/>
          <w:szCs w:val="24"/>
          <w:rtl/>
        </w:rPr>
        <w:t>רוגצ'ובה</w:t>
      </w:r>
      <w:proofErr w:type="spellEnd"/>
      <w:r>
        <w:rPr>
          <w:rFonts w:ascii="David" w:hAnsi="David" w:cs="David" w:hint="cs"/>
          <w:sz w:val="24"/>
          <w:szCs w:val="24"/>
          <w:rtl/>
        </w:rPr>
        <w:t xml:space="preserve">). </w:t>
      </w:r>
      <w:proofErr w:type="spellStart"/>
      <w:r>
        <w:rPr>
          <w:rFonts w:ascii="David" w:hAnsi="David" w:cs="David" w:hint="cs"/>
          <w:sz w:val="24"/>
          <w:szCs w:val="24"/>
          <w:rtl/>
        </w:rPr>
        <w:t>אנדריי</w:t>
      </w:r>
      <w:proofErr w:type="spellEnd"/>
      <w:r>
        <w:rPr>
          <w:rFonts w:ascii="David" w:hAnsi="David" w:cs="David" w:hint="cs"/>
          <w:sz w:val="24"/>
          <w:szCs w:val="24"/>
          <w:rtl/>
        </w:rPr>
        <w:t xml:space="preserve"> עבר גיור דרך התנועה </w:t>
      </w:r>
      <w:proofErr w:type="spellStart"/>
      <w:r>
        <w:rPr>
          <w:rFonts w:ascii="David" w:hAnsi="David" w:cs="David" w:hint="cs"/>
          <w:sz w:val="24"/>
          <w:szCs w:val="24"/>
          <w:rtl/>
        </w:rPr>
        <w:t>הקונסרטיבית</w:t>
      </w:r>
      <w:proofErr w:type="spellEnd"/>
      <w:r>
        <w:rPr>
          <w:rFonts w:ascii="David" w:hAnsi="David" w:cs="David" w:hint="cs"/>
          <w:sz w:val="24"/>
          <w:szCs w:val="24"/>
          <w:rtl/>
        </w:rPr>
        <w:t xml:space="preserve"> ולכן הגיור שלו לא תקף ע"פ הרבנות. </w:t>
      </w:r>
    </w:p>
    <w:p w:rsidR="000F0906" w:rsidRDefault="000F0906" w:rsidP="00394018">
      <w:pPr>
        <w:spacing w:line="360" w:lineRule="auto"/>
        <w:rPr>
          <w:rFonts w:ascii="David" w:hAnsi="David" w:cs="David"/>
          <w:sz w:val="24"/>
          <w:szCs w:val="24"/>
          <w:rtl/>
        </w:rPr>
      </w:pPr>
      <w:r w:rsidRPr="00456331">
        <w:rPr>
          <w:rFonts w:ascii="David" w:hAnsi="David" w:cs="David" w:hint="cs"/>
          <w:b/>
          <w:bCs/>
          <w:sz w:val="24"/>
          <w:szCs w:val="24"/>
          <w:rtl/>
        </w:rPr>
        <w:t>בנוסף,</w:t>
      </w:r>
      <w:r>
        <w:rPr>
          <w:rFonts w:ascii="David" w:hAnsi="David" w:cs="David" w:hint="cs"/>
          <w:sz w:val="24"/>
          <w:szCs w:val="24"/>
          <w:rtl/>
        </w:rPr>
        <w:t xml:space="preserve"> </w:t>
      </w:r>
      <w:proofErr w:type="spellStart"/>
      <w:r>
        <w:rPr>
          <w:rFonts w:ascii="David" w:hAnsi="David" w:cs="David" w:hint="cs"/>
          <w:sz w:val="24"/>
          <w:szCs w:val="24"/>
          <w:rtl/>
        </w:rPr>
        <w:t>תותית</w:t>
      </w:r>
      <w:proofErr w:type="spellEnd"/>
      <w:r>
        <w:rPr>
          <w:rFonts w:ascii="David" w:hAnsi="David" w:cs="David" w:hint="cs"/>
          <w:sz w:val="24"/>
          <w:szCs w:val="24"/>
          <w:rtl/>
        </w:rPr>
        <w:t xml:space="preserve"> </w:t>
      </w:r>
      <w:proofErr w:type="spellStart"/>
      <w:r>
        <w:rPr>
          <w:rFonts w:ascii="David" w:hAnsi="David" w:cs="David" w:hint="cs"/>
          <w:sz w:val="24"/>
          <w:szCs w:val="24"/>
          <w:rtl/>
        </w:rPr>
        <w:t>ואנדריי</w:t>
      </w:r>
      <w:proofErr w:type="spellEnd"/>
      <w:r>
        <w:rPr>
          <w:rFonts w:ascii="David" w:hAnsi="David" w:cs="David" w:hint="cs"/>
          <w:sz w:val="24"/>
          <w:szCs w:val="24"/>
          <w:rtl/>
        </w:rPr>
        <w:t xml:space="preserve"> יטענו </w:t>
      </w:r>
      <w:r w:rsidR="00456331">
        <w:rPr>
          <w:rFonts w:ascii="David" w:hAnsi="David" w:cs="David" w:hint="cs"/>
          <w:sz w:val="24"/>
          <w:szCs w:val="24"/>
          <w:rtl/>
        </w:rPr>
        <w:t xml:space="preserve">כי מה שעומד בבסיס החלטת השר היא התכלית </w:t>
      </w:r>
      <w:r w:rsidR="00456331" w:rsidRPr="00456331">
        <w:rPr>
          <w:rFonts w:ascii="David" w:hAnsi="David" w:cs="David" w:hint="cs"/>
          <w:b/>
          <w:bCs/>
          <w:sz w:val="24"/>
          <w:szCs w:val="24"/>
          <w:rtl/>
        </w:rPr>
        <w:t>הדמוגרפית</w:t>
      </w:r>
      <w:r w:rsidR="00456331">
        <w:rPr>
          <w:rFonts w:ascii="David" w:hAnsi="David" w:cs="David" w:hint="cs"/>
          <w:sz w:val="24"/>
          <w:szCs w:val="24"/>
          <w:rtl/>
        </w:rPr>
        <w:t xml:space="preserve">. השר טען שמתן אזרחות לעובדים זרים מכוח גיור תביא לגל גיורים של עובדים זרים. אין ספק כי הוא החליט לדחות את בקשתו של </w:t>
      </w:r>
      <w:proofErr w:type="spellStart"/>
      <w:r w:rsidR="00456331">
        <w:rPr>
          <w:rFonts w:ascii="David" w:hAnsi="David" w:cs="David" w:hint="cs"/>
          <w:sz w:val="24"/>
          <w:szCs w:val="24"/>
          <w:rtl/>
        </w:rPr>
        <w:t>אנדריי</w:t>
      </w:r>
      <w:proofErr w:type="spellEnd"/>
      <w:r w:rsidR="00456331">
        <w:rPr>
          <w:rFonts w:ascii="David" w:hAnsi="David" w:cs="David" w:hint="cs"/>
          <w:sz w:val="24"/>
          <w:szCs w:val="24"/>
          <w:rtl/>
        </w:rPr>
        <w:t xml:space="preserve"> על בסיס שיקול זה ולכן החלטתו אינה ראויה(</w:t>
      </w:r>
      <w:proofErr w:type="spellStart"/>
      <w:r w:rsidR="00456331">
        <w:rPr>
          <w:rFonts w:ascii="David" w:hAnsi="David" w:cs="David" w:hint="cs"/>
          <w:sz w:val="24"/>
          <w:szCs w:val="24"/>
          <w:rtl/>
        </w:rPr>
        <w:t>פרוקצ'יה</w:t>
      </w:r>
      <w:proofErr w:type="spellEnd"/>
      <w:r w:rsidR="00456331">
        <w:rPr>
          <w:rFonts w:ascii="David" w:hAnsi="David" w:cs="David" w:hint="cs"/>
          <w:sz w:val="24"/>
          <w:szCs w:val="24"/>
          <w:rtl/>
        </w:rPr>
        <w:t xml:space="preserve">, פס"ד </w:t>
      </w:r>
      <w:proofErr w:type="spellStart"/>
      <w:r w:rsidR="00456331">
        <w:rPr>
          <w:rFonts w:ascii="David" w:hAnsi="David" w:cs="David" w:hint="cs"/>
          <w:sz w:val="24"/>
          <w:szCs w:val="24"/>
          <w:rtl/>
        </w:rPr>
        <w:t>עדאלה</w:t>
      </w:r>
      <w:proofErr w:type="spellEnd"/>
      <w:r w:rsidR="00456331">
        <w:rPr>
          <w:rFonts w:ascii="David" w:hAnsi="David" w:cs="David" w:hint="cs"/>
          <w:sz w:val="24"/>
          <w:szCs w:val="24"/>
          <w:rtl/>
        </w:rPr>
        <w:t xml:space="preserve">). </w:t>
      </w:r>
      <w:r w:rsidR="00456331" w:rsidRPr="00456331">
        <w:rPr>
          <w:rFonts w:ascii="David" w:hAnsi="David" w:cs="David" w:hint="cs"/>
          <w:b/>
          <w:bCs/>
          <w:sz w:val="24"/>
          <w:szCs w:val="24"/>
          <w:rtl/>
        </w:rPr>
        <w:t>מנגד,</w:t>
      </w:r>
      <w:r w:rsidR="00456331">
        <w:rPr>
          <w:rFonts w:ascii="David" w:hAnsi="David" w:cs="David" w:hint="cs"/>
          <w:sz w:val="24"/>
          <w:szCs w:val="24"/>
          <w:rtl/>
        </w:rPr>
        <w:t xml:space="preserve"> השר יטען לדעת היועמ"ש במסמך התגובה שלו לפס"ד </w:t>
      </w:r>
      <w:proofErr w:type="spellStart"/>
      <w:r w:rsidR="00456331">
        <w:rPr>
          <w:rFonts w:ascii="David" w:hAnsi="David" w:cs="David" w:hint="cs"/>
          <w:sz w:val="24"/>
          <w:szCs w:val="24"/>
          <w:rtl/>
        </w:rPr>
        <w:t>עדאלה</w:t>
      </w:r>
      <w:proofErr w:type="spellEnd"/>
      <w:r w:rsidR="00456331">
        <w:rPr>
          <w:rFonts w:ascii="David" w:hAnsi="David" w:cs="David" w:hint="cs"/>
          <w:sz w:val="24"/>
          <w:szCs w:val="24"/>
          <w:rtl/>
        </w:rPr>
        <w:t xml:space="preserve">, כי תכלית דמוגרפית עולה בקנה אחד עם ערכי המדינה כיהודית ודמוקרטית. מכאן נובע שהתכלית הדמוגרפית הינה תכלית ראויה. </w:t>
      </w:r>
    </w:p>
    <w:p w:rsidR="001A6419" w:rsidRDefault="001A6419" w:rsidP="00394018">
      <w:pPr>
        <w:spacing w:line="360" w:lineRule="auto"/>
        <w:rPr>
          <w:rFonts w:ascii="David" w:hAnsi="David" w:cs="David"/>
          <w:sz w:val="24"/>
          <w:szCs w:val="24"/>
          <w:rtl/>
        </w:rPr>
      </w:pPr>
      <w:r w:rsidRPr="001A6419">
        <w:rPr>
          <w:rFonts w:ascii="David" w:hAnsi="David" w:cs="David"/>
          <w:b/>
          <w:bCs/>
          <w:sz w:val="24"/>
          <w:szCs w:val="24"/>
          <w:rtl/>
        </w:rPr>
        <w:t>סעדים אפשריים:</w:t>
      </w:r>
      <w:r w:rsidRPr="001A6419">
        <w:rPr>
          <w:rFonts w:ascii="David" w:hAnsi="David" w:cs="David"/>
          <w:sz w:val="24"/>
          <w:szCs w:val="24"/>
          <w:rtl/>
        </w:rPr>
        <w:t xml:space="preserve"> על ביהמ"ש יהיה להחליט האם </w:t>
      </w:r>
      <w:r w:rsidR="007F5079">
        <w:rPr>
          <w:rFonts w:ascii="David" w:hAnsi="David" w:cs="David" w:hint="cs"/>
          <w:sz w:val="24"/>
          <w:szCs w:val="24"/>
          <w:rtl/>
        </w:rPr>
        <w:t xml:space="preserve">החלטתו של השר מוצדקת בנסיבות העניין והאם יש לקבל את בקשתו של </w:t>
      </w:r>
      <w:proofErr w:type="spellStart"/>
      <w:r w:rsidR="007F5079">
        <w:rPr>
          <w:rFonts w:ascii="David" w:hAnsi="David" w:cs="David" w:hint="cs"/>
          <w:sz w:val="24"/>
          <w:szCs w:val="24"/>
          <w:rtl/>
        </w:rPr>
        <w:t>אנדריי</w:t>
      </w:r>
      <w:proofErr w:type="spellEnd"/>
      <w:r w:rsidR="007F5079">
        <w:rPr>
          <w:rFonts w:ascii="David" w:hAnsi="David" w:cs="David" w:hint="cs"/>
          <w:sz w:val="24"/>
          <w:szCs w:val="24"/>
          <w:rtl/>
        </w:rPr>
        <w:t xml:space="preserve">. </w:t>
      </w:r>
      <w:commentRangeStart w:id="12"/>
      <w:r w:rsidRPr="007E073D">
        <w:rPr>
          <w:rFonts w:ascii="David" w:hAnsi="David" w:cs="David"/>
          <w:b/>
          <w:bCs/>
          <w:sz w:val="24"/>
          <w:szCs w:val="24"/>
          <w:rtl/>
        </w:rPr>
        <w:t>בטלות</w:t>
      </w:r>
      <w:commentRangeEnd w:id="12"/>
      <w:r w:rsidR="007D378E">
        <w:rPr>
          <w:rStyle w:val="CommentReference"/>
          <w:rtl/>
        </w:rPr>
        <w:commentReference w:id="12"/>
      </w:r>
      <w:r w:rsidRPr="007E073D">
        <w:rPr>
          <w:rFonts w:ascii="David" w:hAnsi="David" w:cs="David"/>
          <w:b/>
          <w:bCs/>
          <w:sz w:val="24"/>
          <w:szCs w:val="24"/>
          <w:rtl/>
        </w:rPr>
        <w:t>-</w:t>
      </w:r>
      <w:r w:rsidRPr="001A6419">
        <w:rPr>
          <w:rFonts w:ascii="David" w:hAnsi="David" w:cs="David"/>
          <w:sz w:val="24"/>
          <w:szCs w:val="24"/>
          <w:rtl/>
        </w:rPr>
        <w:t xml:space="preserve"> </w:t>
      </w:r>
      <w:r w:rsidR="007F5079">
        <w:rPr>
          <w:rFonts w:ascii="David" w:hAnsi="David" w:cs="David" w:hint="cs"/>
          <w:sz w:val="24"/>
          <w:szCs w:val="24"/>
          <w:rtl/>
        </w:rPr>
        <w:t>במקרה שלפנינו אין פגיעה בעקרון יסוד(פס"ד לאור) ולכן אין בטלות ישירה.</w:t>
      </w:r>
      <w:r w:rsidRPr="001A6419">
        <w:rPr>
          <w:rFonts w:ascii="David" w:hAnsi="David" w:cs="David"/>
          <w:sz w:val="24"/>
          <w:szCs w:val="24"/>
          <w:rtl/>
        </w:rPr>
        <w:t xml:space="preserve"> </w:t>
      </w:r>
      <w:r w:rsidRPr="007E073D">
        <w:rPr>
          <w:rFonts w:ascii="David" w:hAnsi="David" w:cs="David"/>
          <w:b/>
          <w:bCs/>
          <w:sz w:val="24"/>
          <w:szCs w:val="24"/>
          <w:rtl/>
        </w:rPr>
        <w:t>נפסדות-</w:t>
      </w:r>
      <w:r w:rsidRPr="001A6419">
        <w:rPr>
          <w:rFonts w:ascii="David" w:hAnsi="David" w:cs="David"/>
          <w:sz w:val="24"/>
          <w:szCs w:val="24"/>
          <w:rtl/>
        </w:rPr>
        <w:t xml:space="preserve"> צעד אקטיבי של ביהמ"ש בו </w:t>
      </w:r>
      <w:r w:rsidR="007F5079">
        <w:rPr>
          <w:rFonts w:ascii="David" w:hAnsi="David" w:cs="David" w:hint="cs"/>
          <w:sz w:val="24"/>
          <w:szCs w:val="24"/>
          <w:rtl/>
        </w:rPr>
        <w:t xml:space="preserve">הוא יבטל את החלטת השר ויקבל את בקשתו של </w:t>
      </w:r>
      <w:proofErr w:type="spellStart"/>
      <w:r w:rsidR="007F5079">
        <w:rPr>
          <w:rFonts w:ascii="David" w:hAnsi="David" w:cs="David" w:hint="cs"/>
          <w:sz w:val="24"/>
          <w:szCs w:val="24"/>
          <w:rtl/>
        </w:rPr>
        <w:t>אנדריי</w:t>
      </w:r>
      <w:proofErr w:type="spellEnd"/>
      <w:r w:rsidR="007F5079">
        <w:rPr>
          <w:rFonts w:ascii="David" w:hAnsi="David" w:cs="David" w:hint="cs"/>
          <w:sz w:val="24"/>
          <w:szCs w:val="24"/>
          <w:rtl/>
        </w:rPr>
        <w:t>.</w:t>
      </w:r>
      <w:r w:rsidRPr="001A6419">
        <w:rPr>
          <w:rFonts w:ascii="David" w:hAnsi="David" w:cs="David"/>
          <w:sz w:val="24"/>
          <w:szCs w:val="24"/>
          <w:rtl/>
        </w:rPr>
        <w:t xml:space="preserve"> </w:t>
      </w:r>
      <w:commentRangeStart w:id="13"/>
      <w:r w:rsidRPr="007E073D">
        <w:rPr>
          <w:rFonts w:ascii="David" w:hAnsi="David" w:cs="David"/>
          <w:b/>
          <w:bCs/>
          <w:sz w:val="24"/>
          <w:szCs w:val="24"/>
          <w:rtl/>
        </w:rPr>
        <w:t>צו למחוקק(</w:t>
      </w:r>
      <w:commentRangeEnd w:id="13"/>
      <w:r w:rsidR="007D378E">
        <w:rPr>
          <w:rStyle w:val="CommentReference"/>
          <w:rtl/>
        </w:rPr>
        <w:commentReference w:id="13"/>
      </w:r>
      <w:r w:rsidRPr="007E073D">
        <w:rPr>
          <w:rFonts w:ascii="David" w:hAnsi="David" w:cs="David"/>
          <w:b/>
          <w:bCs/>
          <w:sz w:val="24"/>
          <w:szCs w:val="24"/>
          <w:rtl/>
        </w:rPr>
        <w:t>בייניש בפס"ד נסר נ' ממשלת ישראל)-</w:t>
      </w:r>
      <w:r w:rsidRPr="001A6419">
        <w:rPr>
          <w:rFonts w:ascii="David" w:hAnsi="David" w:cs="David"/>
          <w:sz w:val="24"/>
          <w:szCs w:val="24"/>
          <w:rtl/>
        </w:rPr>
        <w:t xml:space="preserve"> ביהמ"ש יכול להוציא צו לשנות את </w:t>
      </w:r>
      <w:r w:rsidR="007F5079">
        <w:rPr>
          <w:rFonts w:ascii="David" w:hAnsi="David" w:cs="David" w:hint="cs"/>
          <w:sz w:val="24"/>
          <w:szCs w:val="24"/>
          <w:rtl/>
        </w:rPr>
        <w:t xml:space="preserve">החלטת השר, כך שתתקבל בקשתו של </w:t>
      </w:r>
      <w:proofErr w:type="spellStart"/>
      <w:r w:rsidR="007F5079">
        <w:rPr>
          <w:rFonts w:ascii="David" w:hAnsi="David" w:cs="David" w:hint="cs"/>
          <w:sz w:val="24"/>
          <w:szCs w:val="24"/>
          <w:rtl/>
        </w:rPr>
        <w:t>אנדריי</w:t>
      </w:r>
      <w:proofErr w:type="spellEnd"/>
      <w:r w:rsidR="007F5079">
        <w:rPr>
          <w:rFonts w:ascii="David" w:hAnsi="David" w:cs="David" w:hint="cs"/>
          <w:sz w:val="24"/>
          <w:szCs w:val="24"/>
          <w:rtl/>
        </w:rPr>
        <w:t>.</w:t>
      </w:r>
      <w:r w:rsidRPr="001A6419">
        <w:rPr>
          <w:rFonts w:ascii="David" w:hAnsi="David" w:cs="David"/>
          <w:sz w:val="24"/>
          <w:szCs w:val="24"/>
          <w:rtl/>
        </w:rPr>
        <w:t xml:space="preserve"> </w:t>
      </w:r>
    </w:p>
    <w:p w:rsidR="007F5079" w:rsidRDefault="007F5079" w:rsidP="00394018">
      <w:pPr>
        <w:spacing w:line="360" w:lineRule="auto"/>
        <w:rPr>
          <w:rFonts w:ascii="David" w:hAnsi="David" w:cs="David" w:hint="cs"/>
          <w:sz w:val="24"/>
          <w:szCs w:val="24"/>
          <w:rtl/>
        </w:rPr>
      </w:pPr>
      <w:r w:rsidRPr="007F5079">
        <w:rPr>
          <w:rFonts w:ascii="David" w:hAnsi="David" w:cs="David" w:hint="cs"/>
          <w:b/>
          <w:bCs/>
          <w:sz w:val="24"/>
          <w:szCs w:val="24"/>
          <w:rtl/>
        </w:rPr>
        <w:t>סיכויי ההצלחה</w:t>
      </w:r>
      <w:r>
        <w:rPr>
          <w:rFonts w:ascii="David" w:hAnsi="David" w:cs="David" w:hint="cs"/>
          <w:sz w:val="24"/>
          <w:szCs w:val="24"/>
          <w:rtl/>
        </w:rPr>
        <w:t xml:space="preserve">- לטעמי, סיכויי ההצלחה של התביעה של </w:t>
      </w:r>
      <w:proofErr w:type="spellStart"/>
      <w:r>
        <w:rPr>
          <w:rFonts w:ascii="David" w:hAnsi="David" w:cs="David" w:hint="cs"/>
          <w:sz w:val="24"/>
          <w:szCs w:val="24"/>
          <w:rtl/>
        </w:rPr>
        <w:t>אנדריי</w:t>
      </w:r>
      <w:proofErr w:type="spellEnd"/>
      <w:r>
        <w:rPr>
          <w:rFonts w:ascii="David" w:hAnsi="David" w:cs="David" w:hint="cs"/>
          <w:sz w:val="24"/>
          <w:szCs w:val="24"/>
          <w:rtl/>
        </w:rPr>
        <w:t xml:space="preserve"> </w:t>
      </w:r>
      <w:proofErr w:type="spellStart"/>
      <w:r>
        <w:rPr>
          <w:rFonts w:ascii="David" w:hAnsi="David" w:cs="David" w:hint="cs"/>
          <w:sz w:val="24"/>
          <w:szCs w:val="24"/>
          <w:rtl/>
        </w:rPr>
        <w:t>ותותית</w:t>
      </w:r>
      <w:proofErr w:type="spellEnd"/>
      <w:r>
        <w:rPr>
          <w:rFonts w:ascii="David" w:hAnsi="David" w:cs="David" w:hint="cs"/>
          <w:sz w:val="24"/>
          <w:szCs w:val="24"/>
          <w:rtl/>
        </w:rPr>
        <w:t xml:space="preserve"> אינם גבוהים בעקבות הפסיקה והחקיקה בנושא חוק השבות והמרשם. בפסקי הדין השונים נראה כי ביהמ"ש בוחר בגישה מצמצמת(פס"ד </w:t>
      </w:r>
      <w:proofErr w:type="spellStart"/>
      <w:r>
        <w:rPr>
          <w:rFonts w:ascii="David" w:hAnsi="David" w:cs="David" w:hint="cs"/>
          <w:sz w:val="24"/>
          <w:szCs w:val="24"/>
          <w:rtl/>
        </w:rPr>
        <w:t>סטמקה</w:t>
      </w:r>
      <w:proofErr w:type="spellEnd"/>
      <w:r>
        <w:rPr>
          <w:rFonts w:ascii="David" w:hAnsi="David" w:cs="David" w:hint="cs"/>
          <w:sz w:val="24"/>
          <w:szCs w:val="24"/>
          <w:rtl/>
        </w:rPr>
        <w:t xml:space="preserve">) ונוטה לא להתערב בהחלטות המנהל והמחוקק(פס"ד טושביים1). </w:t>
      </w:r>
    </w:p>
    <w:p w:rsidR="003E4124" w:rsidRDefault="003E4124" w:rsidP="00394018">
      <w:pPr>
        <w:spacing w:line="360" w:lineRule="auto"/>
        <w:rPr>
          <w:rFonts w:ascii="David" w:hAnsi="David" w:cs="David" w:hint="cs"/>
          <w:sz w:val="24"/>
          <w:szCs w:val="24"/>
          <w:rtl/>
        </w:rPr>
      </w:pPr>
    </w:p>
    <w:p w:rsidR="003E4124" w:rsidRPr="003E4124" w:rsidRDefault="003E4124" w:rsidP="00394018">
      <w:pPr>
        <w:spacing w:line="360" w:lineRule="auto"/>
        <w:rPr>
          <w:rFonts w:ascii="David" w:hAnsi="David" w:cs="David" w:hint="cs"/>
          <w:sz w:val="24"/>
          <w:szCs w:val="24"/>
          <w:highlight w:val="yellow"/>
          <w:rtl/>
        </w:rPr>
      </w:pPr>
      <w:r w:rsidRPr="003E4124">
        <w:rPr>
          <w:rFonts w:ascii="David" w:hAnsi="David" w:cs="David" w:hint="cs"/>
          <w:sz w:val="24"/>
          <w:szCs w:val="24"/>
          <w:highlight w:val="yellow"/>
          <w:rtl/>
        </w:rPr>
        <w:t>הערות בדיקה:</w:t>
      </w:r>
    </w:p>
    <w:p w:rsidR="003E4124" w:rsidRPr="003E4124" w:rsidRDefault="003E4124" w:rsidP="003E4124">
      <w:pPr>
        <w:pStyle w:val="ListParagraph"/>
        <w:numPr>
          <w:ilvl w:val="0"/>
          <w:numId w:val="2"/>
        </w:numPr>
        <w:spacing w:line="360" w:lineRule="auto"/>
        <w:rPr>
          <w:rFonts w:ascii="David" w:hAnsi="David" w:cs="David" w:hint="cs"/>
          <w:sz w:val="24"/>
          <w:szCs w:val="24"/>
          <w:highlight w:val="yellow"/>
        </w:rPr>
      </w:pPr>
      <w:r w:rsidRPr="003E4124">
        <w:rPr>
          <w:rFonts w:ascii="David" w:hAnsi="David" w:cs="David" w:hint="cs"/>
          <w:sz w:val="24"/>
          <w:szCs w:val="24"/>
          <w:highlight w:val="yellow"/>
          <w:rtl/>
        </w:rPr>
        <w:t xml:space="preserve">תקנה </w:t>
      </w:r>
      <w:r w:rsidRPr="003E4124">
        <w:rPr>
          <w:rFonts w:ascii="David" w:hAnsi="David" w:cs="David"/>
          <w:sz w:val="24"/>
          <w:szCs w:val="24"/>
          <w:highlight w:val="yellow"/>
          <w:rtl/>
        </w:rPr>
        <w:t>–</w:t>
      </w:r>
      <w:r w:rsidRPr="003E4124">
        <w:rPr>
          <w:rFonts w:ascii="David" w:hAnsi="David" w:cs="David" w:hint="cs"/>
          <w:sz w:val="24"/>
          <w:szCs w:val="24"/>
          <w:highlight w:val="yellow"/>
          <w:rtl/>
        </w:rPr>
        <w:t xml:space="preserve"> חסר: היחס שבין זכויות לא מנויות ותקנות. סוגי עבודה מול סוגי מעסיקים בחוק. דיון בדרישת ההסמכה </w:t>
      </w:r>
      <w:r w:rsidRPr="003E4124">
        <w:rPr>
          <w:rFonts w:ascii="David" w:hAnsi="David" w:cs="David"/>
          <w:sz w:val="24"/>
          <w:szCs w:val="24"/>
          <w:highlight w:val="yellow"/>
          <w:rtl/>
        </w:rPr>
        <w:t>–</w:t>
      </w:r>
      <w:r w:rsidRPr="003E4124">
        <w:rPr>
          <w:rFonts w:ascii="David" w:hAnsi="David" w:cs="David" w:hint="cs"/>
          <w:sz w:val="24"/>
          <w:szCs w:val="24"/>
          <w:highlight w:val="yellow"/>
          <w:rtl/>
        </w:rPr>
        <w:t xml:space="preserve"> עמדת בג"ץ והתכלית. </w:t>
      </w:r>
    </w:p>
    <w:p w:rsidR="003E4124" w:rsidRPr="003E4124" w:rsidRDefault="003E4124" w:rsidP="003E4124">
      <w:pPr>
        <w:pStyle w:val="ListParagraph"/>
        <w:numPr>
          <w:ilvl w:val="0"/>
          <w:numId w:val="2"/>
        </w:numPr>
        <w:spacing w:line="360" w:lineRule="auto"/>
        <w:rPr>
          <w:rFonts w:ascii="David" w:hAnsi="David" w:cs="David" w:hint="cs"/>
          <w:sz w:val="24"/>
          <w:szCs w:val="24"/>
          <w:highlight w:val="yellow"/>
        </w:rPr>
      </w:pPr>
      <w:r w:rsidRPr="003E4124">
        <w:rPr>
          <w:rFonts w:ascii="David" w:hAnsi="David" w:cs="David" w:hint="cs"/>
          <w:sz w:val="24"/>
          <w:szCs w:val="24"/>
          <w:highlight w:val="yellow"/>
          <w:rtl/>
        </w:rPr>
        <w:t xml:space="preserve">פיטורין </w:t>
      </w:r>
      <w:r w:rsidRPr="003E4124">
        <w:rPr>
          <w:rFonts w:ascii="David" w:hAnsi="David" w:cs="David"/>
          <w:sz w:val="24"/>
          <w:szCs w:val="24"/>
          <w:highlight w:val="yellow"/>
          <w:rtl/>
        </w:rPr>
        <w:t>–</w:t>
      </w:r>
      <w:r w:rsidRPr="003E4124">
        <w:rPr>
          <w:rFonts w:ascii="David" w:hAnsi="David" w:cs="David" w:hint="cs"/>
          <w:sz w:val="24"/>
          <w:szCs w:val="24"/>
          <w:highlight w:val="yellow"/>
          <w:rtl/>
        </w:rPr>
        <w:t xml:space="preserve"> חסר: עמידה על כך שלא מדובר בביטוי פוליטי. היחס שבין זכות לא מנויה ותחולה במשפט הפרטי. דיון </w:t>
      </w:r>
      <w:proofErr w:type="spellStart"/>
      <w:r w:rsidRPr="003E4124">
        <w:rPr>
          <w:rFonts w:ascii="David" w:hAnsi="David" w:cs="David" w:hint="cs"/>
          <w:sz w:val="24"/>
          <w:szCs w:val="24"/>
          <w:highlight w:val="yellow"/>
          <w:rtl/>
        </w:rPr>
        <w:t>באיזונים</w:t>
      </w:r>
      <w:proofErr w:type="spellEnd"/>
      <w:r w:rsidRPr="003E4124">
        <w:rPr>
          <w:rFonts w:ascii="David" w:hAnsi="David" w:cs="David" w:hint="cs"/>
          <w:sz w:val="24"/>
          <w:szCs w:val="24"/>
          <w:highlight w:val="yellow"/>
          <w:rtl/>
        </w:rPr>
        <w:t xml:space="preserve"> ו</w:t>
      </w:r>
      <w:bookmarkStart w:id="14" w:name="_GoBack"/>
      <w:bookmarkEnd w:id="14"/>
      <w:r w:rsidRPr="003E4124">
        <w:rPr>
          <w:rFonts w:ascii="David" w:hAnsi="David" w:cs="David" w:hint="cs"/>
          <w:sz w:val="24"/>
          <w:szCs w:val="24"/>
          <w:highlight w:val="yellow"/>
          <w:rtl/>
        </w:rPr>
        <w:t>בתוצאותיהן, בין זכויות ואינטרסים סותרים.</w:t>
      </w:r>
    </w:p>
    <w:p w:rsidR="003E4124" w:rsidRPr="003E4124" w:rsidRDefault="003E4124" w:rsidP="003E4124">
      <w:pPr>
        <w:pStyle w:val="ListParagraph"/>
        <w:numPr>
          <w:ilvl w:val="0"/>
          <w:numId w:val="2"/>
        </w:numPr>
        <w:spacing w:line="360" w:lineRule="auto"/>
        <w:rPr>
          <w:rFonts w:ascii="David" w:hAnsi="David" w:cs="David" w:hint="cs"/>
          <w:sz w:val="24"/>
          <w:szCs w:val="24"/>
          <w:highlight w:val="yellow"/>
        </w:rPr>
      </w:pPr>
      <w:r w:rsidRPr="003E4124">
        <w:rPr>
          <w:rFonts w:ascii="David" w:hAnsi="David" w:cs="David" w:hint="cs"/>
          <w:sz w:val="24"/>
          <w:szCs w:val="24"/>
          <w:highlight w:val="yellow"/>
          <w:rtl/>
        </w:rPr>
        <w:t xml:space="preserve">גיור </w:t>
      </w:r>
      <w:r w:rsidRPr="003E4124">
        <w:rPr>
          <w:rFonts w:ascii="David" w:hAnsi="David" w:cs="David"/>
          <w:sz w:val="24"/>
          <w:szCs w:val="24"/>
          <w:highlight w:val="yellow"/>
          <w:rtl/>
        </w:rPr>
        <w:t>–</w:t>
      </w:r>
      <w:r w:rsidRPr="003E4124">
        <w:rPr>
          <w:rFonts w:ascii="David" w:hAnsi="David" w:cs="David" w:hint="cs"/>
          <w:sz w:val="24"/>
          <w:szCs w:val="24"/>
          <w:highlight w:val="yellow"/>
          <w:rtl/>
        </w:rPr>
        <w:t xml:space="preserve"> חסר: דהאן. התייחסות לאבחנה בין גיור לנישואין (הזוג לא נישא </w:t>
      </w:r>
      <w:proofErr w:type="spellStart"/>
      <w:r w:rsidRPr="003E4124">
        <w:rPr>
          <w:rFonts w:ascii="David" w:hAnsi="David" w:cs="David" w:hint="cs"/>
          <w:sz w:val="24"/>
          <w:szCs w:val="24"/>
          <w:highlight w:val="yellow"/>
          <w:rtl/>
        </w:rPr>
        <w:t>בקייס</w:t>
      </w:r>
      <w:proofErr w:type="spellEnd"/>
      <w:r w:rsidRPr="003E4124">
        <w:rPr>
          <w:rFonts w:ascii="David" w:hAnsi="David" w:cs="David" w:hint="cs"/>
          <w:sz w:val="24"/>
          <w:szCs w:val="24"/>
          <w:highlight w:val="yellow"/>
          <w:rtl/>
        </w:rPr>
        <w:t>)</w:t>
      </w:r>
    </w:p>
    <w:p w:rsidR="003E4124" w:rsidRPr="003E4124" w:rsidRDefault="003E4124" w:rsidP="003E4124">
      <w:pPr>
        <w:pStyle w:val="ListParagraph"/>
        <w:numPr>
          <w:ilvl w:val="0"/>
          <w:numId w:val="2"/>
        </w:numPr>
        <w:spacing w:line="360" w:lineRule="auto"/>
        <w:rPr>
          <w:rFonts w:ascii="David" w:hAnsi="David" w:cs="David"/>
          <w:sz w:val="24"/>
          <w:szCs w:val="24"/>
          <w:highlight w:val="yellow"/>
          <w:rtl/>
        </w:rPr>
      </w:pPr>
      <w:r w:rsidRPr="003E4124">
        <w:rPr>
          <w:rFonts w:ascii="David" w:hAnsi="David" w:cs="David" w:hint="cs"/>
          <w:sz w:val="24"/>
          <w:szCs w:val="24"/>
          <w:highlight w:val="yellow"/>
          <w:rtl/>
        </w:rPr>
        <w:t xml:space="preserve">יועמ"ש </w:t>
      </w:r>
      <w:r w:rsidRPr="003E4124">
        <w:rPr>
          <w:rFonts w:ascii="David" w:hAnsi="David" w:cs="David"/>
          <w:sz w:val="24"/>
          <w:szCs w:val="24"/>
          <w:highlight w:val="yellow"/>
          <w:rtl/>
        </w:rPr>
        <w:t>–</w:t>
      </w:r>
      <w:r w:rsidRPr="003E4124">
        <w:rPr>
          <w:rFonts w:ascii="David" w:hAnsi="David" w:cs="David" w:hint="cs"/>
          <w:sz w:val="24"/>
          <w:szCs w:val="24"/>
          <w:highlight w:val="yellow"/>
          <w:rtl/>
        </w:rPr>
        <w:t xml:space="preserve"> חסר: יישום שגוי של עמדת שטיין.</w:t>
      </w:r>
    </w:p>
    <w:sectPr w:rsidR="003E4124" w:rsidRPr="003E4124" w:rsidSect="002407D2">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imon&amp;Tami" w:date="2020-05-08T12:00:00Z" w:initials="S">
    <w:p w:rsidR="007D378E" w:rsidRDefault="007D378E">
      <w:pPr>
        <w:pStyle w:val="CommentText"/>
      </w:pPr>
      <w:r>
        <w:rPr>
          <w:rStyle w:val="CommentReference"/>
        </w:rPr>
        <w:annotationRef/>
      </w:r>
      <w:r>
        <w:rPr>
          <w:rFonts w:hint="cs"/>
          <w:rtl/>
        </w:rPr>
        <w:t xml:space="preserve">האם יש הסמכה מפורשת או לא? ומדוע הסדר כל כך נקודתי בנוגע למתן פטורים מאגרה הוא הסדר ראשוני? </w:t>
      </w:r>
      <w:r>
        <w:rPr>
          <w:rtl/>
        </w:rPr>
        <w:br/>
      </w:r>
      <w:r>
        <w:rPr>
          <w:rFonts w:hint="cs"/>
          <w:rtl/>
        </w:rPr>
        <w:t>הדיון בהסדרים ראשוניים מאולץ מאד. הייתי מקבל דיון כזה אם המסקנה הברורה היתה שאין לו מקום</w:t>
      </w:r>
    </w:p>
  </w:comment>
  <w:comment w:id="1" w:author="Shimon&amp;Tami" w:date="2020-05-08T15:45:00Z" w:initials="S">
    <w:p w:rsidR="007D378E" w:rsidRDefault="007D378E">
      <w:pPr>
        <w:pStyle w:val="CommentText"/>
      </w:pPr>
      <w:r>
        <w:rPr>
          <w:rStyle w:val="CommentReference"/>
        </w:rPr>
        <w:annotationRef/>
      </w:r>
      <w:r>
        <w:rPr>
          <w:rFonts w:hint="cs"/>
          <w:rtl/>
        </w:rPr>
        <w:t>מאד לא משכנע שיש כאן שימוש באנשים</w:t>
      </w:r>
    </w:p>
  </w:comment>
  <w:comment w:id="2" w:author="Shimon&amp;Tami" w:date="2020-05-08T15:46:00Z" w:initials="S">
    <w:p w:rsidR="007D378E" w:rsidRDefault="007D378E">
      <w:pPr>
        <w:pStyle w:val="CommentText"/>
      </w:pPr>
      <w:r>
        <w:rPr>
          <w:rStyle w:val="CommentReference"/>
        </w:rPr>
        <w:annotationRef/>
      </w:r>
      <w:r>
        <w:rPr>
          <w:rFonts w:hint="cs"/>
          <w:rtl/>
        </w:rPr>
        <w:t xml:space="preserve">הוא בוודאי חל על החברה </w:t>
      </w:r>
    </w:p>
  </w:comment>
  <w:comment w:id="3" w:author="Shimon&amp;Tami" w:date="2020-05-08T15:46:00Z" w:initials="S">
    <w:p w:rsidR="007D378E" w:rsidRDefault="007D378E">
      <w:pPr>
        <w:pStyle w:val="CommentText"/>
      </w:pPr>
      <w:r>
        <w:rPr>
          <w:rStyle w:val="CommentReference"/>
        </w:rPr>
        <w:annotationRef/>
      </w:r>
      <w:r>
        <w:rPr>
          <w:rFonts w:hint="cs"/>
          <w:rtl/>
        </w:rPr>
        <w:t>הדיון בתקנה לא בחוק</w:t>
      </w:r>
    </w:p>
  </w:comment>
  <w:comment w:id="4" w:author="Shimon&amp;Tami" w:date="2020-05-08T15:47:00Z" w:initials="S">
    <w:p w:rsidR="007D378E" w:rsidRDefault="007D378E">
      <w:pPr>
        <w:pStyle w:val="CommentText"/>
      </w:pPr>
      <w:r>
        <w:rPr>
          <w:rStyle w:val="CommentReference"/>
        </w:rPr>
        <w:annotationRef/>
      </w:r>
      <w:r>
        <w:rPr>
          <w:rFonts w:hint="cs"/>
          <w:rtl/>
        </w:rPr>
        <w:t>מה? לא. התקנה הותקנה עכשיו</w:t>
      </w:r>
    </w:p>
  </w:comment>
  <w:comment w:id="5" w:author="Shimon&amp;Tami" w:date="2020-05-08T15:47:00Z" w:initials="S">
    <w:p w:rsidR="007D378E" w:rsidRDefault="007D378E">
      <w:pPr>
        <w:pStyle w:val="CommentText"/>
      </w:pPr>
      <w:r>
        <w:rPr>
          <w:rStyle w:val="CommentReference"/>
        </w:rPr>
        <w:annotationRef/>
      </w:r>
      <w:r>
        <w:rPr>
          <w:rFonts w:hint="cs"/>
          <w:rtl/>
        </w:rPr>
        <w:t>לא נכון. החוק עוסק בסוגי עבודה לא מעסיקים</w:t>
      </w:r>
    </w:p>
  </w:comment>
  <w:comment w:id="6" w:author="Shimon&amp;Tami" w:date="2020-05-08T15:49:00Z" w:initials="S">
    <w:p w:rsidR="007D378E" w:rsidRDefault="007D378E">
      <w:pPr>
        <w:pStyle w:val="CommentText"/>
      </w:pPr>
      <w:r>
        <w:rPr>
          <w:rStyle w:val="CommentReference"/>
        </w:rPr>
        <w:annotationRef/>
      </w:r>
      <w:r>
        <w:rPr>
          <w:rFonts w:hint="cs"/>
          <w:rtl/>
        </w:rPr>
        <w:t>התועלת הנדרשת צריכה להיות לאינטרסים של המדינה לא לפינוק של חברות זרות. הופחת ניקוד על יישום שגוי של החומר בנקודה זו</w:t>
      </w:r>
    </w:p>
  </w:comment>
  <w:comment w:id="7" w:author="Shimon&amp;Tami" w:date="2020-05-08T15:50:00Z" w:initials="S">
    <w:p w:rsidR="007D378E" w:rsidRDefault="007D378E">
      <w:pPr>
        <w:pStyle w:val="CommentText"/>
      </w:pPr>
      <w:r>
        <w:rPr>
          <w:rStyle w:val="CommentReference"/>
        </w:rPr>
        <w:annotationRef/>
      </w:r>
      <w:r>
        <w:rPr>
          <w:rFonts w:hint="cs"/>
          <w:rtl/>
        </w:rPr>
        <w:t>למה לא הזכרת את זה בעניין התועלת? חבל</w:t>
      </w:r>
    </w:p>
  </w:comment>
  <w:comment w:id="8" w:author="Shimon&amp;Tami" w:date="2020-05-08T15:52:00Z" w:initials="S">
    <w:p w:rsidR="007D378E" w:rsidRDefault="007D378E">
      <w:pPr>
        <w:pStyle w:val="CommentText"/>
      </w:pPr>
      <w:r>
        <w:rPr>
          <w:rStyle w:val="CommentReference"/>
        </w:rPr>
        <w:annotationRef/>
      </w:r>
      <w:r>
        <w:rPr>
          <w:rFonts w:hint="cs"/>
          <w:rtl/>
        </w:rPr>
        <w:t xml:space="preserve">האם רלוונטי </w:t>
      </w:r>
      <w:proofErr w:type="spellStart"/>
      <w:r>
        <w:rPr>
          <w:rFonts w:hint="cs"/>
          <w:rtl/>
        </w:rPr>
        <w:t>לקייס</w:t>
      </w:r>
      <w:proofErr w:type="spellEnd"/>
      <w:r>
        <w:rPr>
          <w:rFonts w:hint="cs"/>
          <w:rtl/>
        </w:rPr>
        <w:t>? לא</w:t>
      </w:r>
    </w:p>
  </w:comment>
  <w:comment w:id="9" w:author="Shimon&amp;Tami" w:date="2020-05-08T15:50:00Z" w:initials="S">
    <w:p w:rsidR="007D378E" w:rsidRDefault="007D378E">
      <w:pPr>
        <w:pStyle w:val="CommentText"/>
      </w:pPr>
      <w:r>
        <w:rPr>
          <w:rStyle w:val="CommentReference"/>
        </w:rPr>
        <w:annotationRef/>
      </w:r>
      <w:r>
        <w:rPr>
          <w:rFonts w:hint="cs"/>
          <w:rtl/>
        </w:rPr>
        <w:t>לכאורה החברה מונופול</w:t>
      </w:r>
    </w:p>
  </w:comment>
  <w:comment w:id="10" w:author="Shimon&amp;Tami" w:date="2020-05-08T15:53:00Z" w:initials="S">
    <w:p w:rsidR="007D378E" w:rsidRDefault="007D378E">
      <w:pPr>
        <w:pStyle w:val="CommentText"/>
      </w:pPr>
      <w:r>
        <w:rPr>
          <w:rStyle w:val="CommentReference"/>
        </w:rPr>
        <w:annotationRef/>
      </w:r>
      <w:r>
        <w:rPr>
          <w:rFonts w:hint="cs"/>
          <w:rtl/>
        </w:rPr>
        <w:t>לא הופחתו נקודות אבל אמור להיות ברור שהיגיון בריא יאשר את הסעיף בחוזה</w:t>
      </w:r>
    </w:p>
  </w:comment>
  <w:comment w:id="11" w:author="Shimon&amp;Tami" w:date="2020-05-08T15:58:00Z" w:initials="S">
    <w:p w:rsidR="007D378E" w:rsidRDefault="007D378E">
      <w:pPr>
        <w:pStyle w:val="CommentText"/>
      </w:pPr>
      <w:r>
        <w:rPr>
          <w:rStyle w:val="CommentReference"/>
        </w:rPr>
        <w:annotationRef/>
      </w:r>
      <w:r>
        <w:rPr>
          <w:rFonts w:hint="cs"/>
          <w:rtl/>
        </w:rPr>
        <w:t xml:space="preserve">תיאור לא </w:t>
      </w:r>
      <w:proofErr w:type="spellStart"/>
      <w:r>
        <w:rPr>
          <w:rFonts w:hint="cs"/>
          <w:rtl/>
        </w:rPr>
        <w:t>מדוייק</w:t>
      </w:r>
      <w:proofErr w:type="spellEnd"/>
      <w:r>
        <w:rPr>
          <w:rFonts w:hint="cs"/>
          <w:rtl/>
        </w:rPr>
        <w:t xml:space="preserve"> של עמדת שטיין בפסק הדין</w:t>
      </w:r>
    </w:p>
  </w:comment>
  <w:comment w:id="12" w:author="Shimon&amp;Tami" w:date="2020-05-08T16:01:00Z" w:initials="S">
    <w:p w:rsidR="007D378E" w:rsidRDefault="007D378E">
      <w:pPr>
        <w:pStyle w:val="CommentText"/>
      </w:pPr>
      <w:r>
        <w:rPr>
          <w:rStyle w:val="CommentReference"/>
        </w:rPr>
        <w:annotationRef/>
      </w:r>
      <w:r>
        <w:rPr>
          <w:rFonts w:hint="cs"/>
          <w:rtl/>
        </w:rPr>
        <w:t>זו החלטה של שר זה לא רלוונטי</w:t>
      </w:r>
    </w:p>
  </w:comment>
  <w:comment w:id="13" w:author="Shimon&amp;Tami" w:date="2020-05-08T16:01:00Z" w:initials="S">
    <w:p w:rsidR="007D378E" w:rsidRDefault="007D378E">
      <w:pPr>
        <w:pStyle w:val="CommentText"/>
      </w:pPr>
      <w:r>
        <w:rPr>
          <w:rStyle w:val="CommentReference"/>
        </w:rPr>
        <w:annotationRef/>
      </w:r>
      <w:r>
        <w:rPr>
          <w:rFonts w:hint="cs"/>
          <w:rtl/>
        </w:rPr>
        <w:t>לא רלוונטי</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2530"/>
    <w:multiLevelType w:val="hybridMultilevel"/>
    <w:tmpl w:val="6CD6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97E51"/>
    <w:multiLevelType w:val="hybridMultilevel"/>
    <w:tmpl w:val="6176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F2"/>
    <w:rsid w:val="000F0906"/>
    <w:rsid w:val="001A6419"/>
    <w:rsid w:val="002407D2"/>
    <w:rsid w:val="00254E23"/>
    <w:rsid w:val="00394018"/>
    <w:rsid w:val="003E4124"/>
    <w:rsid w:val="00456331"/>
    <w:rsid w:val="00504827"/>
    <w:rsid w:val="0055160C"/>
    <w:rsid w:val="00661872"/>
    <w:rsid w:val="00740119"/>
    <w:rsid w:val="007D378E"/>
    <w:rsid w:val="007E073D"/>
    <w:rsid w:val="007F5079"/>
    <w:rsid w:val="00A6295E"/>
    <w:rsid w:val="00AC7EAD"/>
    <w:rsid w:val="00CE1F42"/>
    <w:rsid w:val="00E80BF7"/>
    <w:rsid w:val="00EC21F2"/>
    <w:rsid w:val="00F72D14"/>
    <w:rsid w:val="00FD3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F7"/>
    <w:pPr>
      <w:ind w:left="720"/>
      <w:contextualSpacing/>
    </w:pPr>
  </w:style>
  <w:style w:type="character" w:styleId="CommentReference">
    <w:name w:val="annotation reference"/>
    <w:basedOn w:val="DefaultParagraphFont"/>
    <w:uiPriority w:val="99"/>
    <w:semiHidden/>
    <w:unhideWhenUsed/>
    <w:rsid w:val="007D378E"/>
    <w:rPr>
      <w:sz w:val="16"/>
      <w:szCs w:val="16"/>
    </w:rPr>
  </w:style>
  <w:style w:type="paragraph" w:styleId="CommentText">
    <w:name w:val="annotation text"/>
    <w:basedOn w:val="Normal"/>
    <w:link w:val="CommentTextChar"/>
    <w:uiPriority w:val="99"/>
    <w:semiHidden/>
    <w:unhideWhenUsed/>
    <w:rsid w:val="007D378E"/>
    <w:pPr>
      <w:spacing w:line="240" w:lineRule="auto"/>
    </w:pPr>
    <w:rPr>
      <w:sz w:val="20"/>
      <w:szCs w:val="20"/>
    </w:rPr>
  </w:style>
  <w:style w:type="character" w:customStyle="1" w:styleId="CommentTextChar">
    <w:name w:val="Comment Text Char"/>
    <w:basedOn w:val="DefaultParagraphFont"/>
    <w:link w:val="CommentText"/>
    <w:uiPriority w:val="99"/>
    <w:semiHidden/>
    <w:rsid w:val="007D378E"/>
    <w:rPr>
      <w:sz w:val="20"/>
      <w:szCs w:val="20"/>
    </w:rPr>
  </w:style>
  <w:style w:type="paragraph" w:styleId="CommentSubject">
    <w:name w:val="annotation subject"/>
    <w:basedOn w:val="CommentText"/>
    <w:next w:val="CommentText"/>
    <w:link w:val="CommentSubjectChar"/>
    <w:uiPriority w:val="99"/>
    <w:semiHidden/>
    <w:unhideWhenUsed/>
    <w:rsid w:val="007D378E"/>
    <w:rPr>
      <w:b/>
      <w:bCs/>
    </w:rPr>
  </w:style>
  <w:style w:type="character" w:customStyle="1" w:styleId="CommentSubjectChar">
    <w:name w:val="Comment Subject Char"/>
    <w:basedOn w:val="CommentTextChar"/>
    <w:link w:val="CommentSubject"/>
    <w:uiPriority w:val="99"/>
    <w:semiHidden/>
    <w:rsid w:val="007D378E"/>
    <w:rPr>
      <w:b/>
      <w:bCs/>
      <w:sz w:val="20"/>
      <w:szCs w:val="20"/>
    </w:rPr>
  </w:style>
  <w:style w:type="paragraph" w:styleId="BalloonText">
    <w:name w:val="Balloon Text"/>
    <w:basedOn w:val="Normal"/>
    <w:link w:val="BalloonTextChar"/>
    <w:uiPriority w:val="99"/>
    <w:semiHidden/>
    <w:unhideWhenUsed/>
    <w:rsid w:val="007D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F7"/>
    <w:pPr>
      <w:ind w:left="720"/>
      <w:contextualSpacing/>
    </w:pPr>
  </w:style>
  <w:style w:type="character" w:styleId="CommentReference">
    <w:name w:val="annotation reference"/>
    <w:basedOn w:val="DefaultParagraphFont"/>
    <w:uiPriority w:val="99"/>
    <w:semiHidden/>
    <w:unhideWhenUsed/>
    <w:rsid w:val="007D378E"/>
    <w:rPr>
      <w:sz w:val="16"/>
      <w:szCs w:val="16"/>
    </w:rPr>
  </w:style>
  <w:style w:type="paragraph" w:styleId="CommentText">
    <w:name w:val="annotation text"/>
    <w:basedOn w:val="Normal"/>
    <w:link w:val="CommentTextChar"/>
    <w:uiPriority w:val="99"/>
    <w:semiHidden/>
    <w:unhideWhenUsed/>
    <w:rsid w:val="007D378E"/>
    <w:pPr>
      <w:spacing w:line="240" w:lineRule="auto"/>
    </w:pPr>
    <w:rPr>
      <w:sz w:val="20"/>
      <w:szCs w:val="20"/>
    </w:rPr>
  </w:style>
  <w:style w:type="character" w:customStyle="1" w:styleId="CommentTextChar">
    <w:name w:val="Comment Text Char"/>
    <w:basedOn w:val="DefaultParagraphFont"/>
    <w:link w:val="CommentText"/>
    <w:uiPriority w:val="99"/>
    <w:semiHidden/>
    <w:rsid w:val="007D378E"/>
    <w:rPr>
      <w:sz w:val="20"/>
      <w:szCs w:val="20"/>
    </w:rPr>
  </w:style>
  <w:style w:type="paragraph" w:styleId="CommentSubject">
    <w:name w:val="annotation subject"/>
    <w:basedOn w:val="CommentText"/>
    <w:next w:val="CommentText"/>
    <w:link w:val="CommentSubjectChar"/>
    <w:uiPriority w:val="99"/>
    <w:semiHidden/>
    <w:unhideWhenUsed/>
    <w:rsid w:val="007D378E"/>
    <w:rPr>
      <w:b/>
      <w:bCs/>
    </w:rPr>
  </w:style>
  <w:style w:type="character" w:customStyle="1" w:styleId="CommentSubjectChar">
    <w:name w:val="Comment Subject Char"/>
    <w:basedOn w:val="CommentTextChar"/>
    <w:link w:val="CommentSubject"/>
    <w:uiPriority w:val="99"/>
    <w:semiHidden/>
    <w:rsid w:val="007D378E"/>
    <w:rPr>
      <w:b/>
      <w:bCs/>
      <w:sz w:val="20"/>
      <w:szCs w:val="20"/>
    </w:rPr>
  </w:style>
  <w:style w:type="paragraph" w:styleId="BalloonText">
    <w:name w:val="Balloon Text"/>
    <w:basedOn w:val="Normal"/>
    <w:link w:val="BalloonTextChar"/>
    <w:uiPriority w:val="99"/>
    <w:semiHidden/>
    <w:unhideWhenUsed/>
    <w:rsid w:val="007D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B6D3-5A9E-4D7C-A662-2457996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4</Pages>
  <Words>1608</Words>
  <Characters>8042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Telias</dc:creator>
  <cp:keywords/>
  <dc:description/>
  <cp:lastModifiedBy>Shimon&amp;Tami</cp:lastModifiedBy>
  <cp:revision>8</cp:revision>
  <dcterms:created xsi:type="dcterms:W3CDTF">2020-04-23T09:01:00Z</dcterms:created>
  <dcterms:modified xsi:type="dcterms:W3CDTF">2020-05-08T13:04:00Z</dcterms:modified>
</cp:coreProperties>
</file>