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E2" w:rsidRDefault="002D50E2" w:rsidP="002D50E2">
      <w:pPr>
        <w:bidi/>
        <w:ind w:left="720" w:hanging="360"/>
        <w:jc w:val="both"/>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b/>
          <w:bCs/>
          <w:rtl/>
        </w:rPr>
      </w:pPr>
    </w:p>
    <w:p w:rsidR="002D50E2" w:rsidRDefault="002D50E2" w:rsidP="002D50E2">
      <w:pPr>
        <w:bidi/>
        <w:ind w:left="720" w:hanging="360"/>
        <w:jc w:val="center"/>
        <w:rPr>
          <w:b/>
          <w:bCs/>
          <w:sz w:val="56"/>
          <w:szCs w:val="56"/>
          <w:rtl/>
        </w:rPr>
      </w:pPr>
      <w:r>
        <w:rPr>
          <w:rFonts w:hint="cs"/>
          <w:b/>
          <w:bCs/>
          <w:sz w:val="56"/>
          <w:szCs w:val="56"/>
          <w:rtl/>
        </w:rPr>
        <w:t>דיני חוזים – כפייה ועושק</w:t>
      </w:r>
    </w:p>
    <w:p w:rsidR="002D50E2" w:rsidRDefault="002D50E2" w:rsidP="002D50E2">
      <w:pPr>
        <w:bidi/>
        <w:ind w:left="720" w:hanging="360"/>
        <w:jc w:val="center"/>
        <w:rPr>
          <w:b/>
          <w:bCs/>
          <w:sz w:val="56"/>
          <w:szCs w:val="56"/>
          <w:rtl/>
        </w:rPr>
      </w:pPr>
      <w:r>
        <w:rPr>
          <w:rFonts w:hint="cs"/>
          <w:b/>
          <w:bCs/>
          <w:sz w:val="56"/>
          <w:szCs w:val="56"/>
          <w:rtl/>
        </w:rPr>
        <w:t>עבודה # 1</w:t>
      </w:r>
    </w:p>
    <w:p w:rsidR="002D50E2" w:rsidRDefault="002D50E2" w:rsidP="002D50E2">
      <w:pPr>
        <w:bidi/>
        <w:ind w:left="720" w:hanging="360"/>
        <w:jc w:val="center"/>
        <w:rPr>
          <w:sz w:val="48"/>
          <w:szCs w:val="48"/>
          <w:rtl/>
        </w:rPr>
      </w:pPr>
    </w:p>
    <w:p w:rsidR="002D50E2" w:rsidRDefault="002D50E2" w:rsidP="002D50E2">
      <w:pPr>
        <w:bidi/>
        <w:ind w:left="720" w:hanging="360"/>
        <w:jc w:val="center"/>
        <w:rPr>
          <w:sz w:val="48"/>
          <w:szCs w:val="48"/>
          <w:rtl/>
        </w:rPr>
      </w:pPr>
    </w:p>
    <w:p w:rsidR="002D50E2" w:rsidRDefault="002D50E2" w:rsidP="002D50E2">
      <w:pPr>
        <w:bidi/>
        <w:ind w:left="720" w:hanging="360"/>
        <w:jc w:val="center"/>
        <w:rPr>
          <w:sz w:val="48"/>
          <w:szCs w:val="48"/>
          <w:rtl/>
        </w:rPr>
      </w:pPr>
    </w:p>
    <w:p w:rsidR="002D50E2" w:rsidRDefault="002D50E2" w:rsidP="002D50E2">
      <w:pPr>
        <w:bidi/>
        <w:ind w:left="720" w:hanging="360"/>
        <w:jc w:val="both"/>
        <w:rPr>
          <w:rtl/>
        </w:rPr>
      </w:pPr>
      <w:bookmarkStart w:id="0" w:name="_GoBack"/>
      <w:bookmarkEnd w:id="0"/>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ind w:left="720" w:hanging="360"/>
        <w:jc w:val="both"/>
        <w:rPr>
          <w:rtl/>
        </w:rPr>
      </w:pPr>
    </w:p>
    <w:p w:rsidR="002D50E2" w:rsidRDefault="002D50E2" w:rsidP="002D50E2">
      <w:pPr>
        <w:bidi/>
        <w:jc w:val="both"/>
        <w:rPr>
          <w:rtl/>
        </w:rPr>
      </w:pPr>
    </w:p>
    <w:p w:rsidR="002D50E2" w:rsidRDefault="002D50E2" w:rsidP="002D50E2">
      <w:pPr>
        <w:bidi/>
        <w:jc w:val="both"/>
        <w:rPr>
          <w:rtl/>
        </w:rPr>
      </w:pPr>
    </w:p>
    <w:p w:rsidR="002D50E2" w:rsidRDefault="002D50E2" w:rsidP="002D50E2">
      <w:pPr>
        <w:bidi/>
        <w:ind w:left="720" w:hanging="360"/>
        <w:jc w:val="both"/>
        <w:rPr>
          <w:rtl/>
        </w:rPr>
      </w:pPr>
    </w:p>
    <w:p w:rsidR="00C56AE5" w:rsidRDefault="00C56AE5" w:rsidP="00C56AE5">
      <w:pPr>
        <w:bidi/>
        <w:spacing w:after="0" w:line="360" w:lineRule="auto"/>
        <w:jc w:val="both"/>
        <w:rPr>
          <w:b/>
          <w:bCs/>
          <w:sz w:val="24"/>
          <w:szCs w:val="24"/>
          <w:rtl/>
        </w:rPr>
      </w:pPr>
      <w:r>
        <w:rPr>
          <w:rFonts w:hint="cs"/>
          <w:b/>
          <w:bCs/>
          <w:sz w:val="24"/>
          <w:szCs w:val="24"/>
        </w:rPr>
        <w:t>I</w:t>
      </w:r>
      <w:r>
        <w:rPr>
          <w:rFonts w:hint="cs"/>
          <w:b/>
          <w:bCs/>
          <w:sz w:val="24"/>
          <w:szCs w:val="24"/>
          <w:rtl/>
        </w:rPr>
        <w:t xml:space="preserve">. </w:t>
      </w:r>
      <w:r w:rsidRPr="00F10153">
        <w:rPr>
          <w:rFonts w:hint="cs"/>
          <w:sz w:val="24"/>
          <w:szCs w:val="24"/>
          <w:rtl/>
        </w:rPr>
        <w:t xml:space="preserve">חוות דעתי אשר אשלח לאמנון </w:t>
      </w:r>
      <w:r>
        <w:rPr>
          <w:rFonts w:hint="cs"/>
          <w:sz w:val="24"/>
          <w:szCs w:val="24"/>
          <w:rtl/>
        </w:rPr>
        <w:t>ת</w:t>
      </w:r>
      <w:r w:rsidRPr="00F10153">
        <w:rPr>
          <w:rFonts w:hint="cs"/>
          <w:sz w:val="24"/>
          <w:szCs w:val="24"/>
          <w:rtl/>
        </w:rPr>
        <w:t xml:space="preserve">היה שבהנחה והחוזה שנחתם בין תלמה לבין מרי עובר את רף המסוימות, הוא מהווה חוזה לכל דבר, </w:t>
      </w:r>
      <w:r w:rsidRPr="00A20517">
        <w:rPr>
          <w:rFonts w:hint="cs"/>
          <w:b/>
          <w:bCs/>
          <w:sz w:val="24"/>
          <w:szCs w:val="24"/>
          <w:rtl/>
        </w:rPr>
        <w:t>אולם</w:t>
      </w:r>
      <w:r w:rsidRPr="00F10153">
        <w:rPr>
          <w:rFonts w:hint="cs"/>
          <w:sz w:val="24"/>
          <w:szCs w:val="24"/>
          <w:rtl/>
        </w:rPr>
        <w:t xml:space="preserve"> עם פגמים </w:t>
      </w:r>
      <w:r>
        <w:rPr>
          <w:rFonts w:hint="cs"/>
          <w:sz w:val="24"/>
          <w:szCs w:val="24"/>
          <w:rtl/>
        </w:rPr>
        <w:t>אשר מקנים לתלמה את האפשרות</w:t>
      </w:r>
      <w:r w:rsidRPr="00F10153">
        <w:rPr>
          <w:rFonts w:hint="cs"/>
          <w:sz w:val="24"/>
          <w:szCs w:val="24"/>
          <w:rtl/>
        </w:rPr>
        <w:t xml:space="preserve"> </w:t>
      </w:r>
      <w:r>
        <w:rPr>
          <w:rFonts w:hint="cs"/>
          <w:sz w:val="24"/>
          <w:szCs w:val="24"/>
          <w:rtl/>
        </w:rPr>
        <w:t>ל</w:t>
      </w:r>
      <w:r w:rsidRPr="00F10153">
        <w:rPr>
          <w:rFonts w:hint="cs"/>
          <w:sz w:val="24"/>
          <w:szCs w:val="24"/>
          <w:rtl/>
        </w:rPr>
        <w:t xml:space="preserve">בטלו. </w:t>
      </w:r>
      <w:r>
        <w:rPr>
          <w:rFonts w:hint="cs"/>
          <w:sz w:val="24"/>
          <w:szCs w:val="24"/>
          <w:rtl/>
        </w:rPr>
        <w:t xml:space="preserve">לתלמה עומדת עילה לטענות של עושק וכפיה </w:t>
      </w:r>
      <w:r w:rsidRPr="00F10153">
        <w:rPr>
          <w:rFonts w:hint="cs"/>
          <w:sz w:val="24"/>
          <w:szCs w:val="24"/>
          <w:rtl/>
        </w:rPr>
        <w:t>ע"פ ס' 17(א) ו-18 לחוק החוזים (חלק כללי)</w:t>
      </w:r>
      <w:r>
        <w:rPr>
          <w:rStyle w:val="a5"/>
          <w:sz w:val="24"/>
          <w:szCs w:val="24"/>
          <w:rtl/>
        </w:rPr>
        <w:footnoteReference w:id="1"/>
      </w:r>
      <w:r>
        <w:rPr>
          <w:rFonts w:hint="cs"/>
          <w:sz w:val="24"/>
          <w:szCs w:val="24"/>
          <w:rtl/>
        </w:rPr>
        <w:t xml:space="preserve">, אשר בפועל מקנות לה הזכות לביטול </w:t>
      </w:r>
      <w:r>
        <w:rPr>
          <w:rFonts w:hint="cs"/>
          <w:sz w:val="24"/>
          <w:szCs w:val="24"/>
          <w:rtl/>
        </w:rPr>
        <w:lastRenderedPageBreak/>
        <w:t xml:space="preserve">החוזה (בכפוף לסעיף 20 לחוה"ח) וע"כ המלצתי היא שתשלח הודעת ביטול למרי </w:t>
      </w:r>
      <w:r w:rsidRPr="006E4BCD">
        <w:rPr>
          <w:rFonts w:hint="cs"/>
          <w:sz w:val="24"/>
          <w:szCs w:val="24"/>
          <w:u w:val="single"/>
          <w:rtl/>
        </w:rPr>
        <w:t>בהקדם האפשרי</w:t>
      </w:r>
      <w:r>
        <w:rPr>
          <w:rFonts w:hint="cs"/>
          <w:sz w:val="24"/>
          <w:szCs w:val="24"/>
          <w:rtl/>
        </w:rPr>
        <w:t>. כע</w:t>
      </w:r>
      <w:r>
        <w:rPr>
          <w:rFonts w:hint="cs"/>
          <w:sz w:val="24"/>
          <w:szCs w:val="24"/>
          <w:rtl/>
          <w:lang w:val="en-GB"/>
        </w:rPr>
        <w:t>ת</w:t>
      </w:r>
      <w:r>
        <w:rPr>
          <w:rFonts w:hint="cs"/>
          <w:sz w:val="24"/>
          <w:szCs w:val="24"/>
          <w:rtl/>
        </w:rPr>
        <w:t xml:space="preserve"> ניתן להעלות את הטענות אחת אחת ולהשליך אותן על המקרה דנן.</w:t>
      </w:r>
      <w:r w:rsidRPr="006E4BCD">
        <w:rPr>
          <w:rFonts w:hint="cs"/>
          <w:b/>
          <w:bCs/>
          <w:sz w:val="24"/>
          <w:szCs w:val="24"/>
          <w:rtl/>
        </w:rPr>
        <w:t xml:space="preserve"> </w:t>
      </w:r>
    </w:p>
    <w:p w:rsidR="00C56AE5" w:rsidRPr="00C56AE5" w:rsidRDefault="00C56AE5" w:rsidP="00C56AE5">
      <w:pPr>
        <w:bidi/>
        <w:spacing w:after="0" w:line="360" w:lineRule="auto"/>
        <w:jc w:val="both"/>
        <w:rPr>
          <w:sz w:val="24"/>
          <w:szCs w:val="24"/>
          <w:rtl/>
        </w:rPr>
      </w:pPr>
      <w:r>
        <w:rPr>
          <w:rFonts w:hint="cs"/>
          <w:b/>
          <w:bCs/>
          <w:sz w:val="24"/>
          <w:szCs w:val="24"/>
          <w:u w:val="single"/>
          <w:rtl/>
        </w:rPr>
        <w:t>כפיה:</w:t>
      </w:r>
      <w:r>
        <w:rPr>
          <w:rFonts w:hint="cs"/>
          <w:sz w:val="24"/>
          <w:szCs w:val="24"/>
          <w:rtl/>
        </w:rPr>
        <w:t xml:space="preserve"> בכדי שתקום לתלמה עילת הביטול מתוקף טענת הכפיה שבס' 17(א) לחוה"ח, צריכים להתקיים שלושה יסודות מצטברים</w:t>
      </w:r>
      <w:r>
        <w:rPr>
          <w:rStyle w:val="a5"/>
          <w:sz w:val="24"/>
          <w:szCs w:val="24"/>
          <w:rtl/>
        </w:rPr>
        <w:footnoteReference w:id="2"/>
      </w:r>
      <w:r>
        <w:rPr>
          <w:rFonts w:hint="cs"/>
          <w:sz w:val="24"/>
          <w:szCs w:val="24"/>
          <w:rtl/>
        </w:rPr>
        <w:t xml:space="preserve">: קשר חוזי, קיומה של הכפיה </w:t>
      </w:r>
      <w:proofErr w:type="spellStart"/>
      <w:r>
        <w:rPr>
          <w:rFonts w:hint="cs"/>
          <w:sz w:val="24"/>
          <w:szCs w:val="24"/>
          <w:rtl/>
        </w:rPr>
        <w:t>וקש"ס</w:t>
      </w:r>
      <w:proofErr w:type="spellEnd"/>
      <w:r>
        <w:rPr>
          <w:rFonts w:hint="cs"/>
          <w:sz w:val="24"/>
          <w:szCs w:val="24"/>
          <w:rtl/>
        </w:rPr>
        <w:t xml:space="preserve"> בין הכפיה להתקשרות בחוזה. נדרשנו לדון רק בכפיה ועושק ע"כ נעבור ישר ליסוד השני. את </w:t>
      </w:r>
      <w:r w:rsidRPr="00B10DF2">
        <w:rPr>
          <w:rFonts w:hint="cs"/>
          <w:b/>
          <w:bCs/>
          <w:sz w:val="24"/>
          <w:szCs w:val="24"/>
          <w:rtl/>
        </w:rPr>
        <w:t>היסוד השני</w:t>
      </w:r>
      <w:r>
        <w:rPr>
          <w:rFonts w:hint="cs"/>
          <w:sz w:val="24"/>
          <w:szCs w:val="24"/>
          <w:rtl/>
        </w:rPr>
        <w:t xml:space="preserve"> ניתן לבסס על האיומים המילוליים בדבר נטישתה, דבר אשר ללא ספק ביכולתו לגרום לנזק בלתי הפיך לתלמה </w:t>
      </w:r>
      <w:r>
        <w:rPr>
          <w:sz w:val="24"/>
          <w:szCs w:val="24"/>
          <w:rtl/>
        </w:rPr>
        <w:t>–</w:t>
      </w:r>
      <w:r>
        <w:rPr>
          <w:rFonts w:hint="cs"/>
          <w:sz w:val="24"/>
          <w:szCs w:val="24"/>
          <w:rtl/>
        </w:rPr>
        <w:t xml:space="preserve"> כפיה אשר לא מקוטלגת בברור אולם לדעתי היא משיקה לאיום אלים כלפי גופו של אדם ורחוקה ממעשי הכפיה "הרכים" יותר כמוגדר בדברי </w:t>
      </w:r>
      <w:proofErr w:type="spellStart"/>
      <w:r>
        <w:rPr>
          <w:rFonts w:hint="cs"/>
          <w:sz w:val="24"/>
          <w:szCs w:val="24"/>
          <w:rtl/>
        </w:rPr>
        <w:t>הש</w:t>
      </w:r>
      <w:proofErr w:type="spellEnd"/>
      <w:r>
        <w:rPr>
          <w:rFonts w:hint="cs"/>
          <w:sz w:val="24"/>
          <w:szCs w:val="24"/>
          <w:rtl/>
        </w:rPr>
        <w:t xml:space="preserve">' חשין בפס"ד </w:t>
      </w:r>
      <w:r w:rsidRPr="00922DB7">
        <w:rPr>
          <w:sz w:val="24"/>
          <w:szCs w:val="24"/>
          <w:rtl/>
        </w:rPr>
        <w:t>מאיה</w:t>
      </w:r>
      <w:r>
        <w:rPr>
          <w:rStyle w:val="a5"/>
          <w:sz w:val="24"/>
          <w:szCs w:val="24"/>
          <w:rtl/>
        </w:rPr>
        <w:footnoteReference w:id="3"/>
      </w:r>
      <w:r>
        <w:rPr>
          <w:rFonts w:hint="cs"/>
          <w:sz w:val="24"/>
          <w:szCs w:val="24"/>
          <w:rtl/>
        </w:rPr>
        <w:t>. מרי תטען שאיומה לא מבטא כוח ממשי או איום להפעלת כוח שכזה כדרוש לפי גבריאלה שלו</w:t>
      </w:r>
      <w:r>
        <w:rPr>
          <w:rStyle w:val="a5"/>
          <w:sz w:val="24"/>
          <w:szCs w:val="24"/>
          <w:rtl/>
        </w:rPr>
        <w:footnoteReference w:id="4"/>
      </w:r>
      <w:r>
        <w:rPr>
          <w:rFonts w:hint="cs"/>
          <w:sz w:val="24"/>
          <w:szCs w:val="24"/>
          <w:rtl/>
        </w:rPr>
        <w:t xml:space="preserve"> ושאין בו האי-חוקיות הדרושה כדברי שלו כיסוד לקיומה של כפיה ע"פ ס' 17 לחוה"ח. תלמה תוכל לסתור זאת עם טענה </w:t>
      </w:r>
      <w:r w:rsidRPr="00611554">
        <w:rPr>
          <w:rFonts w:hint="cs"/>
          <w:sz w:val="24"/>
          <w:szCs w:val="24"/>
          <w:u w:val="single"/>
          <w:rtl/>
        </w:rPr>
        <w:t>שבנסיבות המקרה</w:t>
      </w:r>
      <w:r>
        <w:rPr>
          <w:rFonts w:hint="cs"/>
          <w:sz w:val="24"/>
          <w:szCs w:val="24"/>
          <w:rtl/>
        </w:rPr>
        <w:t xml:space="preserve"> אין להבדיל בין נטישת חסר ישע לבין הפעלת כוח ממשי לפגיעה בו, </w:t>
      </w:r>
      <w:r w:rsidRPr="00ED5D28">
        <w:rPr>
          <w:rFonts w:hint="cs"/>
          <w:sz w:val="24"/>
          <w:szCs w:val="24"/>
          <w:u w:val="single"/>
          <w:rtl/>
        </w:rPr>
        <w:t>וברור שמימוש איום זה יהווה מעשה אי-חוקי אשר יוביל לפגיעה גופנית באישה סיעודית</w:t>
      </w:r>
      <w:r>
        <w:rPr>
          <w:rFonts w:hint="cs"/>
          <w:sz w:val="24"/>
          <w:szCs w:val="24"/>
          <w:rtl/>
        </w:rPr>
        <w:t xml:space="preserve"> התלויה בעוזר למימוש כל צרכיה החיוניי</w:t>
      </w:r>
      <w:r>
        <w:rPr>
          <w:rFonts w:hint="eastAsia"/>
          <w:sz w:val="24"/>
          <w:szCs w:val="24"/>
          <w:rtl/>
        </w:rPr>
        <w:t>ם</w:t>
      </w:r>
      <w:r>
        <w:rPr>
          <w:rFonts w:hint="cs"/>
          <w:sz w:val="24"/>
          <w:szCs w:val="24"/>
          <w:rtl/>
        </w:rPr>
        <w:t xml:space="preserve">. זאת ועוד, ניתן להביא כתימוכין את דבריה של מרי עצמה, שבהם היא העריכה שבנה של תלמה ימצא רק את 'גופתה'. לקיומו של </w:t>
      </w:r>
      <w:r>
        <w:rPr>
          <w:rFonts w:hint="cs"/>
          <w:b/>
          <w:bCs/>
          <w:sz w:val="24"/>
          <w:szCs w:val="24"/>
          <w:rtl/>
        </w:rPr>
        <w:t>היסוד השלישי</w:t>
      </w:r>
      <w:r>
        <w:rPr>
          <w:rFonts w:hint="cs"/>
          <w:sz w:val="24"/>
          <w:szCs w:val="24"/>
          <w:rtl/>
        </w:rPr>
        <w:t xml:space="preserve"> ניתן להביא ראיות מעובדות המקרה. </w:t>
      </w:r>
      <w:r w:rsidRPr="00B53B51">
        <w:rPr>
          <w:sz w:val="24"/>
          <w:szCs w:val="24"/>
          <w:rtl/>
        </w:rPr>
        <w:t>תלמה</w:t>
      </w:r>
      <w:r w:rsidRPr="00B53B51">
        <w:rPr>
          <w:rFonts w:hint="cs"/>
          <w:sz w:val="24"/>
          <w:szCs w:val="24"/>
          <w:rtl/>
        </w:rPr>
        <w:t xml:space="preserve"> </w:t>
      </w:r>
      <w:r>
        <w:rPr>
          <w:rFonts w:hint="cs"/>
          <w:sz w:val="24"/>
          <w:szCs w:val="24"/>
          <w:rtl/>
        </w:rPr>
        <w:t xml:space="preserve">הכריזה </w:t>
      </w:r>
      <w:r w:rsidRPr="00DD392D">
        <w:rPr>
          <w:sz w:val="24"/>
          <w:szCs w:val="24"/>
          <w:rtl/>
        </w:rPr>
        <w:t>כי אין לה כל כוונה ל</w:t>
      </w:r>
      <w:r>
        <w:rPr>
          <w:rFonts w:hint="cs"/>
          <w:sz w:val="24"/>
          <w:szCs w:val="24"/>
          <w:rtl/>
        </w:rPr>
        <w:t>התקשר בחוזה המוצע, ואילו רק אחרי האיום גישתה נהפכה. מרי תתגונן ותטען שהיית</w:t>
      </w:r>
      <w:r>
        <w:rPr>
          <w:rFonts w:hint="eastAsia"/>
          <w:sz w:val="24"/>
          <w:szCs w:val="24"/>
          <w:rtl/>
        </w:rPr>
        <w:t>ה</w:t>
      </w:r>
      <w:r>
        <w:rPr>
          <w:rFonts w:hint="cs"/>
          <w:sz w:val="24"/>
          <w:szCs w:val="24"/>
          <w:rtl/>
        </w:rPr>
        <w:t xml:space="preserve"> לתלמה האפשרות להסיר את האיום בדרך אחרת(אולי קריאה לעזרה/התקשרות עם בנה) </w:t>
      </w:r>
      <w:r>
        <w:rPr>
          <w:sz w:val="24"/>
          <w:szCs w:val="24"/>
          <w:rtl/>
        </w:rPr>
        <w:t>–</w:t>
      </w:r>
      <w:r>
        <w:rPr>
          <w:rFonts w:hint="cs"/>
          <w:sz w:val="24"/>
          <w:szCs w:val="24"/>
          <w:rtl/>
        </w:rPr>
        <w:t xml:space="preserve"> טענה אשר סותרת את קיום עילת הכפיה כמובא בפס"ד </w:t>
      </w:r>
      <w:r w:rsidRPr="009B74BF">
        <w:rPr>
          <w:sz w:val="24"/>
          <w:szCs w:val="24"/>
          <w:rtl/>
        </w:rPr>
        <w:t>רחמים</w:t>
      </w:r>
      <w:r>
        <w:rPr>
          <w:rStyle w:val="a5"/>
          <w:sz w:val="24"/>
          <w:szCs w:val="24"/>
          <w:rtl/>
        </w:rPr>
        <w:t xml:space="preserve"> </w:t>
      </w:r>
      <w:r>
        <w:rPr>
          <w:rStyle w:val="a5"/>
          <w:sz w:val="24"/>
          <w:szCs w:val="24"/>
          <w:rtl/>
        </w:rPr>
        <w:footnoteReference w:id="5"/>
      </w:r>
      <w:r>
        <w:rPr>
          <w:rFonts w:hint="cs"/>
          <w:sz w:val="24"/>
          <w:szCs w:val="24"/>
          <w:rtl/>
        </w:rPr>
        <w:t xml:space="preserve">. אולם, באותה נשימה </w:t>
      </w:r>
      <w:proofErr w:type="spellStart"/>
      <w:r>
        <w:rPr>
          <w:rFonts w:hint="cs"/>
          <w:sz w:val="24"/>
          <w:szCs w:val="24"/>
          <w:rtl/>
        </w:rPr>
        <w:t>הש</w:t>
      </w:r>
      <w:proofErr w:type="spellEnd"/>
      <w:r>
        <w:rPr>
          <w:rFonts w:hint="cs"/>
          <w:sz w:val="24"/>
          <w:szCs w:val="24"/>
          <w:rtl/>
        </w:rPr>
        <w:t xml:space="preserve">' י' מלץ גם סותר גישה זו ומורה על דיוק, שבכדי שתעמוד למרי הגנה זו צריכה להיות חלופה סבירה וממשית למאוים, ואילו במקרה שלנו ובהתחשב במצבה הסיעודי, לתלמה </w:t>
      </w:r>
      <w:r w:rsidRPr="00364E38">
        <w:rPr>
          <w:rFonts w:hint="cs"/>
          <w:b/>
          <w:bCs/>
          <w:sz w:val="24"/>
          <w:szCs w:val="24"/>
          <w:rtl/>
        </w:rPr>
        <w:t>לא עמדה חלופה סבירה להסרת האיום</w:t>
      </w:r>
      <w:r>
        <w:rPr>
          <w:rFonts w:hint="cs"/>
          <w:sz w:val="24"/>
          <w:szCs w:val="24"/>
          <w:rtl/>
        </w:rPr>
        <w:t xml:space="preserve">. יתרה מזאת, מוטב לציין </w:t>
      </w:r>
      <w:proofErr w:type="spellStart"/>
      <w:r>
        <w:rPr>
          <w:rFonts w:hint="cs"/>
          <w:sz w:val="24"/>
          <w:szCs w:val="24"/>
          <w:rtl/>
        </w:rPr>
        <w:t>שבהתחשב</w:t>
      </w:r>
      <w:proofErr w:type="spellEnd"/>
      <w:r>
        <w:rPr>
          <w:rFonts w:hint="cs"/>
          <w:sz w:val="24"/>
          <w:szCs w:val="24"/>
          <w:rtl/>
        </w:rPr>
        <w:t xml:space="preserve"> בדברי פרופ' שלו</w:t>
      </w:r>
      <w:r>
        <w:rPr>
          <w:rStyle w:val="a5"/>
          <w:sz w:val="24"/>
          <w:szCs w:val="24"/>
          <w:rtl/>
        </w:rPr>
        <w:footnoteReference w:id="6"/>
      </w:r>
      <w:r>
        <w:rPr>
          <w:rFonts w:hint="cs"/>
          <w:sz w:val="24"/>
          <w:szCs w:val="24"/>
          <w:rtl/>
        </w:rPr>
        <w:t xml:space="preserve"> אין דרישה </w:t>
      </w:r>
      <w:proofErr w:type="spellStart"/>
      <w:r>
        <w:rPr>
          <w:rFonts w:hint="cs"/>
          <w:sz w:val="24"/>
          <w:szCs w:val="24"/>
          <w:rtl/>
        </w:rPr>
        <w:t>שהכפיה</w:t>
      </w:r>
      <w:proofErr w:type="spellEnd"/>
      <w:r>
        <w:rPr>
          <w:rFonts w:hint="cs"/>
          <w:sz w:val="24"/>
          <w:szCs w:val="24"/>
          <w:rtl/>
        </w:rPr>
        <w:t xml:space="preserve"> תהיה הסיבה </w:t>
      </w:r>
      <w:r w:rsidRPr="006E4BCD">
        <w:rPr>
          <w:rFonts w:hint="eastAsia"/>
          <w:b/>
          <w:bCs/>
          <w:sz w:val="24"/>
          <w:szCs w:val="24"/>
          <w:rtl/>
        </w:rPr>
        <w:t>המכרעת</w:t>
      </w:r>
      <w:r>
        <w:rPr>
          <w:rFonts w:hint="cs"/>
          <w:sz w:val="24"/>
          <w:szCs w:val="24"/>
          <w:rtl/>
        </w:rPr>
        <w:t xml:space="preserve"> או </w:t>
      </w:r>
      <w:r w:rsidRPr="006E4BCD">
        <w:rPr>
          <w:rFonts w:hint="eastAsia"/>
          <w:b/>
          <w:bCs/>
          <w:sz w:val="24"/>
          <w:szCs w:val="24"/>
          <w:rtl/>
        </w:rPr>
        <w:t>הבלעדית</w:t>
      </w:r>
      <w:r>
        <w:rPr>
          <w:rFonts w:hint="cs"/>
          <w:sz w:val="24"/>
          <w:szCs w:val="24"/>
          <w:rtl/>
        </w:rPr>
        <w:t xml:space="preserve"> להתקשרות בחוזה; מדובר כאן </w:t>
      </w:r>
      <w:r w:rsidRPr="009C68E1">
        <w:rPr>
          <w:rFonts w:hint="cs"/>
          <w:sz w:val="24"/>
          <w:szCs w:val="24"/>
          <w:u w:val="single"/>
          <w:rtl/>
        </w:rPr>
        <w:t>במבחן סובייקטיבי</w:t>
      </w:r>
      <w:r>
        <w:rPr>
          <w:rFonts w:hint="cs"/>
          <w:sz w:val="24"/>
          <w:szCs w:val="24"/>
          <w:rtl/>
        </w:rPr>
        <w:t xml:space="preserve"> כך שמספיק הוכחה שאלמלא הייתה הכפיה לא הייתה תלמה מתקשרת בחוזה, דבר המקל על הוכחת </w:t>
      </w:r>
      <w:proofErr w:type="spellStart"/>
      <w:r>
        <w:rPr>
          <w:rFonts w:hint="cs"/>
          <w:sz w:val="24"/>
          <w:szCs w:val="24"/>
          <w:rtl/>
        </w:rPr>
        <w:t>הקש"ס</w:t>
      </w:r>
      <w:proofErr w:type="spellEnd"/>
      <w:r>
        <w:rPr>
          <w:rFonts w:hint="cs"/>
          <w:sz w:val="24"/>
          <w:szCs w:val="24"/>
          <w:rtl/>
        </w:rPr>
        <w:t xml:space="preserve">. מרי יכולה לנסות לטעון שדבריה נופלים בגדר האמור בס' 17(ב) לחו"הח, על פיו </w:t>
      </w:r>
      <w:r w:rsidRPr="00BC5BE5">
        <w:rPr>
          <w:rFonts w:hint="cs"/>
          <w:sz w:val="24"/>
          <w:szCs w:val="24"/>
          <w:u w:val="single"/>
          <w:rtl/>
        </w:rPr>
        <w:t>אזהרה</w:t>
      </w:r>
      <w:r>
        <w:rPr>
          <w:rFonts w:hint="cs"/>
          <w:sz w:val="24"/>
          <w:szCs w:val="24"/>
          <w:rtl/>
        </w:rPr>
        <w:t xml:space="preserve"> בתו"ל על הפעלתה של זכות לא תיכלל בגדר איום לעניין עילת הכפיה</w:t>
      </w:r>
      <w:r>
        <w:rPr>
          <w:sz w:val="24"/>
          <w:szCs w:val="24"/>
          <w:lang w:val="en-GB"/>
        </w:rPr>
        <w:t>;</w:t>
      </w:r>
      <w:r>
        <w:rPr>
          <w:rFonts w:hint="cs"/>
          <w:sz w:val="24"/>
          <w:szCs w:val="24"/>
          <w:rtl/>
          <w:lang w:val="en-GB"/>
        </w:rPr>
        <w:t xml:space="preserve"> אולי אף יתרה מזאת, שתכפור בכוונותיה ותאמר שאין לראות בדיבוריה כ"כפיה המקנה זכות" שהרי היא בעצם רק הפעילה על תלמה לחץ בכדי להשיג מחיר מוזל,</w:t>
      </w:r>
      <w:r w:rsidRPr="007A43D7">
        <w:rPr>
          <w:rFonts w:hint="cs"/>
          <w:sz w:val="24"/>
          <w:szCs w:val="24"/>
          <w:rtl/>
          <w:lang w:val="en-GB"/>
        </w:rPr>
        <w:t xml:space="preserve"> </w:t>
      </w:r>
      <w:r>
        <w:rPr>
          <w:rFonts w:hint="cs"/>
          <w:sz w:val="24"/>
          <w:szCs w:val="24"/>
          <w:rtl/>
          <w:lang w:val="en-GB"/>
        </w:rPr>
        <w:t>דבר המקובל במו"מ עסקי, אך בכלל לא התכוונה לקיים את האיום</w:t>
      </w:r>
      <w:r>
        <w:rPr>
          <w:rFonts w:hint="cs"/>
          <w:sz w:val="24"/>
          <w:szCs w:val="24"/>
          <w:rtl/>
        </w:rPr>
        <w:t xml:space="preserve">. אולם לדידי, גינונים אלו חלשים מאוד, משתי סיבות: </w:t>
      </w:r>
      <w:r>
        <w:rPr>
          <w:rFonts w:hint="cs"/>
          <w:b/>
          <w:bCs/>
          <w:sz w:val="24"/>
          <w:szCs w:val="24"/>
          <w:rtl/>
        </w:rPr>
        <w:t>א)</w:t>
      </w:r>
      <w:r>
        <w:rPr>
          <w:rFonts w:hint="cs"/>
          <w:sz w:val="24"/>
          <w:szCs w:val="24"/>
          <w:rtl/>
        </w:rPr>
        <w:t xml:space="preserve"> ה"אזהרה" בזכות המדוברת נופלת בגדר "הכפיה הגסה" כלומר כפיה אשר אופייה אלים וגופני, ולכולי עלמא שוללת את הרצון החופשי של האדם</w:t>
      </w:r>
      <w:r>
        <w:rPr>
          <w:rStyle w:val="a5"/>
          <w:sz w:val="24"/>
          <w:szCs w:val="24"/>
          <w:rtl/>
        </w:rPr>
        <w:footnoteReference w:id="7"/>
      </w:r>
      <w:r>
        <w:rPr>
          <w:rFonts w:hint="cs"/>
          <w:sz w:val="24"/>
          <w:szCs w:val="24"/>
          <w:rtl/>
        </w:rPr>
        <w:t>, מה גם שחסרה כאן "החובה" של תלמה כלפי מרי שבגינה כביכול מרי מזהירה במימוש זכותה</w:t>
      </w:r>
      <w:r>
        <w:rPr>
          <w:rStyle w:val="a5"/>
          <w:sz w:val="24"/>
          <w:szCs w:val="24"/>
          <w:rtl/>
        </w:rPr>
        <w:footnoteReference w:id="8"/>
      </w:r>
      <w:r>
        <w:rPr>
          <w:rFonts w:hint="cs"/>
          <w:sz w:val="24"/>
          <w:szCs w:val="24"/>
          <w:rtl/>
        </w:rPr>
        <w:t xml:space="preserve">. </w:t>
      </w:r>
      <w:r>
        <w:rPr>
          <w:rFonts w:hint="cs"/>
          <w:b/>
          <w:bCs/>
          <w:sz w:val="24"/>
          <w:szCs w:val="24"/>
          <w:rtl/>
        </w:rPr>
        <w:t xml:space="preserve">ב) </w:t>
      </w:r>
      <w:r>
        <w:rPr>
          <w:rFonts w:hint="cs"/>
          <w:sz w:val="24"/>
          <w:szCs w:val="24"/>
          <w:rtl/>
        </w:rPr>
        <w:t xml:space="preserve">כאמור, המבחן הקובע לקיום </w:t>
      </w:r>
      <w:proofErr w:type="spellStart"/>
      <w:r>
        <w:rPr>
          <w:rFonts w:hint="cs"/>
          <w:sz w:val="24"/>
          <w:szCs w:val="24"/>
          <w:rtl/>
        </w:rPr>
        <w:t>הקש"ס</w:t>
      </w:r>
      <w:proofErr w:type="spellEnd"/>
      <w:r>
        <w:rPr>
          <w:rFonts w:hint="cs"/>
          <w:sz w:val="24"/>
          <w:szCs w:val="24"/>
          <w:rtl/>
        </w:rPr>
        <w:t xml:space="preserve"> לענייננו הינו מבחן סובייקטיבי, על-כן אין כוונתה של מרי משנה את תוקף האיום, אם "האזהרה" הייתה אי-חוקית ובהעדרה תלמה לא הייתה חותמת על החוזה, מדובר כאן בכפיה! זו דעתי לעניין הכפיה, שטענותיה של מרי לא תצלחנה ושתלמה אכן תהיה רשאית לבטל את החוזה מתוקף ס' 17(א) לחוה"ח. </w:t>
      </w:r>
      <w:r>
        <w:rPr>
          <w:rFonts w:hint="cs"/>
          <w:b/>
          <w:bCs/>
          <w:sz w:val="24"/>
          <w:szCs w:val="24"/>
          <w:u w:val="single"/>
          <w:rtl/>
        </w:rPr>
        <w:t>עושק:</w:t>
      </w:r>
      <w:r>
        <w:rPr>
          <w:rFonts w:hint="cs"/>
          <w:sz w:val="24"/>
          <w:szCs w:val="24"/>
          <w:rtl/>
        </w:rPr>
        <w:t xml:space="preserve"> בכדי שתקום עילת הביטול מתוקף טענת העושק שבס' 18 לחוה"ח, צריכים להתקיים שלושה יסודות מצטברים המוזכרים בפס"ד </w:t>
      </w:r>
      <w:proofErr w:type="spellStart"/>
      <w:r>
        <w:rPr>
          <w:rFonts w:hint="cs"/>
          <w:sz w:val="24"/>
          <w:szCs w:val="24"/>
          <w:rtl/>
        </w:rPr>
        <w:t>איליט</w:t>
      </w:r>
      <w:proofErr w:type="spellEnd"/>
      <w:r>
        <w:rPr>
          <w:rStyle w:val="a5"/>
          <w:sz w:val="24"/>
          <w:szCs w:val="24"/>
          <w:rtl/>
        </w:rPr>
        <w:footnoteReference w:id="9"/>
      </w:r>
      <w:r>
        <w:rPr>
          <w:rFonts w:hint="cs"/>
          <w:sz w:val="24"/>
          <w:szCs w:val="24"/>
          <w:rtl/>
        </w:rPr>
        <w:t xml:space="preserve"> והם: קיום קשר חוזי, </w:t>
      </w:r>
      <w:r w:rsidRPr="00BA3556">
        <w:rPr>
          <w:sz w:val="24"/>
          <w:szCs w:val="24"/>
          <w:rtl/>
        </w:rPr>
        <w:t>עקב ניצול מ</w:t>
      </w:r>
      <w:r>
        <w:rPr>
          <w:rFonts w:hint="cs"/>
          <w:sz w:val="24"/>
          <w:szCs w:val="24"/>
          <w:rtl/>
        </w:rPr>
        <w:t xml:space="preserve">צוקה שהיא </w:t>
      </w:r>
      <w:r w:rsidRPr="00BA3556">
        <w:rPr>
          <w:sz w:val="24"/>
          <w:szCs w:val="24"/>
          <w:rtl/>
        </w:rPr>
        <w:t>חולשה שכלית או גופנית או חוסר נ</w:t>
      </w:r>
      <w:r>
        <w:rPr>
          <w:rFonts w:hint="cs"/>
          <w:sz w:val="24"/>
          <w:szCs w:val="24"/>
          <w:rtl/>
        </w:rPr>
        <w:t>י</w:t>
      </w:r>
      <w:r w:rsidRPr="00BA3556">
        <w:rPr>
          <w:sz w:val="24"/>
          <w:szCs w:val="24"/>
          <w:rtl/>
        </w:rPr>
        <w:t>סיון</w:t>
      </w:r>
      <w:r>
        <w:rPr>
          <w:rFonts w:hint="cs"/>
          <w:sz w:val="24"/>
          <w:szCs w:val="24"/>
          <w:rtl/>
        </w:rPr>
        <w:t xml:space="preserve"> של המנוצל ו</w:t>
      </w:r>
      <w:r w:rsidRPr="00BA3556">
        <w:rPr>
          <w:sz w:val="24"/>
          <w:szCs w:val="24"/>
          <w:rtl/>
        </w:rPr>
        <w:t xml:space="preserve">תנאי החוזה גרועים במידה בלתי </w:t>
      </w:r>
      <w:r w:rsidRPr="00BA3556">
        <w:rPr>
          <w:sz w:val="24"/>
          <w:szCs w:val="24"/>
          <w:rtl/>
        </w:rPr>
        <w:lastRenderedPageBreak/>
        <w:t>סבירה מן המקובל.</w:t>
      </w:r>
      <w:r>
        <w:rPr>
          <w:rFonts w:hint="cs"/>
          <w:sz w:val="24"/>
          <w:szCs w:val="24"/>
          <w:rtl/>
        </w:rPr>
        <w:t xml:space="preserve"> לעניין </w:t>
      </w:r>
      <w:r>
        <w:rPr>
          <w:rFonts w:hint="cs"/>
          <w:b/>
          <w:bCs/>
          <w:sz w:val="24"/>
          <w:szCs w:val="24"/>
          <w:rtl/>
        </w:rPr>
        <w:t xml:space="preserve">היסוד הראשון, </w:t>
      </w:r>
      <w:r>
        <w:rPr>
          <w:rFonts w:hint="cs"/>
          <w:sz w:val="24"/>
          <w:szCs w:val="24"/>
          <w:rtl/>
        </w:rPr>
        <w:t xml:space="preserve">אין אנו נדרשים לו בעבודה זו. לעניין </w:t>
      </w:r>
      <w:r>
        <w:rPr>
          <w:rFonts w:hint="cs"/>
          <w:b/>
          <w:bCs/>
          <w:sz w:val="24"/>
          <w:szCs w:val="24"/>
          <w:rtl/>
        </w:rPr>
        <w:t xml:space="preserve">היסוד השני </w:t>
      </w:r>
      <w:r>
        <w:rPr>
          <w:rFonts w:hint="cs"/>
          <w:sz w:val="24"/>
          <w:szCs w:val="24"/>
          <w:rtl/>
        </w:rPr>
        <w:t xml:space="preserve">כאן כמו בכפיה, מבחן </w:t>
      </w:r>
      <w:proofErr w:type="spellStart"/>
      <w:r>
        <w:rPr>
          <w:rFonts w:hint="cs"/>
          <w:sz w:val="24"/>
          <w:szCs w:val="24"/>
          <w:rtl/>
        </w:rPr>
        <w:t>הקש"ס</w:t>
      </w:r>
      <w:proofErr w:type="spellEnd"/>
      <w:r>
        <w:rPr>
          <w:rFonts w:hint="cs"/>
          <w:sz w:val="24"/>
          <w:szCs w:val="24"/>
          <w:rtl/>
        </w:rPr>
        <w:t xml:space="preserve"> הינו סובייקטיבי ונבחן במועד ההתקשרות. תלמה תטען לניצול מצוקתה שמתבטאת </w:t>
      </w:r>
      <w:r w:rsidRPr="005941D8">
        <w:rPr>
          <w:rFonts w:hint="cs"/>
          <w:sz w:val="24"/>
          <w:szCs w:val="24"/>
          <w:u w:val="single"/>
          <w:rtl/>
        </w:rPr>
        <w:t>ב</w:t>
      </w:r>
      <w:r w:rsidRPr="009371AF">
        <w:rPr>
          <w:rFonts w:hint="cs"/>
          <w:sz w:val="24"/>
          <w:szCs w:val="24"/>
          <w:u w:val="single"/>
          <w:rtl/>
        </w:rPr>
        <w:t>חולשה גופנית</w:t>
      </w:r>
      <w:r>
        <w:rPr>
          <w:rFonts w:hint="cs"/>
          <w:sz w:val="24"/>
          <w:szCs w:val="24"/>
          <w:u w:val="single"/>
          <w:rtl/>
        </w:rPr>
        <w:t>,</w:t>
      </w:r>
      <w:r>
        <w:rPr>
          <w:rFonts w:hint="cs"/>
          <w:sz w:val="24"/>
          <w:szCs w:val="24"/>
          <w:rtl/>
        </w:rPr>
        <w:t xml:space="preserve"> כלומר שמרי השתמשה </w:t>
      </w:r>
      <w:r w:rsidRPr="00D32834">
        <w:rPr>
          <w:rFonts w:hint="cs"/>
          <w:b/>
          <w:bCs/>
          <w:sz w:val="24"/>
          <w:szCs w:val="24"/>
          <w:rtl/>
        </w:rPr>
        <w:t xml:space="preserve">במודעות </w:t>
      </w:r>
      <w:r>
        <w:rPr>
          <w:rFonts w:hint="cs"/>
          <w:sz w:val="24"/>
          <w:szCs w:val="24"/>
          <w:rtl/>
        </w:rPr>
        <w:t>מוחלטת במצוקתה ובעקבות זאת התקשרה בחוזה, וכדברי פרופ' שלו</w:t>
      </w:r>
      <w:r>
        <w:rPr>
          <w:rStyle w:val="a5"/>
          <w:sz w:val="24"/>
          <w:szCs w:val="24"/>
          <w:rtl/>
        </w:rPr>
        <w:footnoteReference w:id="10"/>
      </w:r>
      <w:r>
        <w:rPr>
          <w:rFonts w:hint="cs"/>
          <w:sz w:val="24"/>
          <w:szCs w:val="24"/>
          <w:rtl/>
        </w:rPr>
        <w:t xml:space="preserve">, להעדר אלטרנטיבה ממשית סבירה להתקשרות. (טענתה של מרי בעניין האלטרנטיבה תתכן ותחזור על עצמה כאן ועמה הפרכתה). </w:t>
      </w:r>
      <w:r>
        <w:rPr>
          <w:rFonts w:hint="cs"/>
          <w:b/>
          <w:bCs/>
          <w:sz w:val="24"/>
          <w:szCs w:val="24"/>
          <w:rtl/>
        </w:rPr>
        <w:t>ביסוד השלישי</w:t>
      </w:r>
      <w:r>
        <w:rPr>
          <w:rFonts w:hint="cs"/>
          <w:rtl/>
        </w:rPr>
        <w:t xml:space="preserve"> </w:t>
      </w:r>
      <w:r>
        <w:rPr>
          <w:rFonts w:hint="cs"/>
          <w:sz w:val="24"/>
          <w:szCs w:val="24"/>
          <w:rtl/>
        </w:rPr>
        <w:t xml:space="preserve">תלמה צריכה להוכיח שתנאי החוזה </w:t>
      </w:r>
      <w:r>
        <w:rPr>
          <w:sz w:val="24"/>
          <w:szCs w:val="24"/>
          <w:rtl/>
        </w:rPr>
        <w:t>–</w:t>
      </w:r>
      <w:r>
        <w:rPr>
          <w:rFonts w:hint="cs"/>
          <w:sz w:val="24"/>
          <w:szCs w:val="24"/>
          <w:rtl/>
        </w:rPr>
        <w:t xml:space="preserve"> מכירת הדירה ב-20% נמוך ממחיר השוק </w:t>
      </w:r>
      <w:r>
        <w:rPr>
          <w:sz w:val="24"/>
          <w:szCs w:val="24"/>
          <w:rtl/>
        </w:rPr>
        <w:t>–</w:t>
      </w:r>
      <w:r>
        <w:rPr>
          <w:rFonts w:hint="cs"/>
          <w:sz w:val="24"/>
          <w:szCs w:val="24"/>
          <w:rtl/>
        </w:rPr>
        <w:t xml:space="preserve"> הם גרועים במידה בלתי סבירה מן המקובל. </w:t>
      </w:r>
      <w:proofErr w:type="spellStart"/>
      <w:r>
        <w:rPr>
          <w:rFonts w:hint="cs"/>
          <w:sz w:val="24"/>
          <w:szCs w:val="24"/>
          <w:rtl/>
        </w:rPr>
        <w:t>הש</w:t>
      </w:r>
      <w:proofErr w:type="spellEnd"/>
      <w:r>
        <w:rPr>
          <w:rFonts w:hint="cs"/>
          <w:sz w:val="24"/>
          <w:szCs w:val="24"/>
          <w:rtl/>
        </w:rPr>
        <w:t xml:space="preserve">' י' </w:t>
      </w:r>
      <w:proofErr w:type="spellStart"/>
      <w:r>
        <w:rPr>
          <w:rFonts w:hint="cs"/>
          <w:sz w:val="24"/>
          <w:szCs w:val="24"/>
          <w:rtl/>
        </w:rPr>
        <w:t>טירקל</w:t>
      </w:r>
      <w:proofErr w:type="spellEnd"/>
      <w:r>
        <w:rPr>
          <w:rFonts w:hint="cs"/>
          <w:sz w:val="24"/>
          <w:szCs w:val="24"/>
          <w:rtl/>
        </w:rPr>
        <w:t xml:space="preserve"> בפס"ד </w:t>
      </w:r>
      <w:proofErr w:type="spellStart"/>
      <w:r>
        <w:rPr>
          <w:rFonts w:hint="cs"/>
          <w:sz w:val="24"/>
          <w:szCs w:val="24"/>
          <w:rtl/>
        </w:rPr>
        <w:t>סאסי</w:t>
      </w:r>
      <w:proofErr w:type="spellEnd"/>
      <w:r>
        <w:rPr>
          <w:rStyle w:val="a5"/>
          <w:sz w:val="24"/>
          <w:szCs w:val="24"/>
          <w:rtl/>
        </w:rPr>
        <w:footnoteReference w:id="11"/>
      </w:r>
      <w:r>
        <w:rPr>
          <w:rFonts w:hint="cs"/>
          <w:sz w:val="24"/>
          <w:szCs w:val="24"/>
          <w:rtl/>
        </w:rPr>
        <w:t xml:space="preserve"> מציין</w:t>
      </w:r>
      <w:r w:rsidRPr="00104898">
        <w:rPr>
          <w:rtl/>
        </w:rPr>
        <w:t xml:space="preserve"> </w:t>
      </w:r>
      <w:r w:rsidRPr="00104898">
        <w:rPr>
          <w:sz w:val="24"/>
          <w:szCs w:val="24"/>
          <w:rtl/>
        </w:rPr>
        <w:t>כי ככל ש</w:t>
      </w:r>
      <w:r>
        <w:rPr>
          <w:rFonts w:hint="cs"/>
          <w:sz w:val="24"/>
          <w:szCs w:val="24"/>
          <w:rtl/>
        </w:rPr>
        <w:t xml:space="preserve">היסודות </w:t>
      </w:r>
      <w:r w:rsidRPr="00104898">
        <w:rPr>
          <w:sz w:val="24"/>
          <w:szCs w:val="24"/>
          <w:rtl/>
        </w:rPr>
        <w:t>נוט</w:t>
      </w:r>
      <w:r>
        <w:rPr>
          <w:rFonts w:hint="cs"/>
          <w:sz w:val="24"/>
          <w:szCs w:val="24"/>
          <w:rtl/>
        </w:rPr>
        <w:t>ים</w:t>
      </w:r>
      <w:r w:rsidRPr="00104898">
        <w:rPr>
          <w:sz w:val="24"/>
          <w:szCs w:val="24"/>
          <w:rtl/>
        </w:rPr>
        <w:t xml:space="preserve"> לרעתו של העשוק, ייטה ב</w:t>
      </w:r>
      <w:r>
        <w:rPr>
          <w:rFonts w:hint="cs"/>
          <w:sz w:val="24"/>
          <w:szCs w:val="24"/>
          <w:rtl/>
        </w:rPr>
        <w:t>יהמ"ש</w:t>
      </w:r>
      <w:r w:rsidRPr="00104898">
        <w:rPr>
          <w:sz w:val="24"/>
          <w:szCs w:val="24"/>
          <w:rtl/>
        </w:rPr>
        <w:t xml:space="preserve"> יותר לשעות לשוועתו</w:t>
      </w:r>
      <w:r>
        <w:rPr>
          <w:rFonts w:hint="cs"/>
          <w:sz w:val="24"/>
          <w:szCs w:val="24"/>
          <w:rtl/>
        </w:rPr>
        <w:t xml:space="preserve"> ויקל על דרישות היסודות נותרים, מה שלדעתי יבוא לתלמה לעזר ביסוד זה, כי מאחר ומצוקתה הייתה ללא ספק קשה וגופנית, בייחוד בהשוואה למקרה בפס"ד </w:t>
      </w:r>
      <w:proofErr w:type="spellStart"/>
      <w:r>
        <w:rPr>
          <w:rFonts w:hint="cs"/>
          <w:sz w:val="24"/>
          <w:szCs w:val="24"/>
          <w:rtl/>
        </w:rPr>
        <w:t>סאסי</w:t>
      </w:r>
      <w:proofErr w:type="spellEnd"/>
      <w:r>
        <w:rPr>
          <w:rFonts w:hint="cs"/>
          <w:sz w:val="24"/>
          <w:szCs w:val="24"/>
          <w:rtl/>
        </w:rPr>
        <w:t xml:space="preserve"> (המדובר מצוקה של אופי נפשי), מוצדקת הנטייה לצד העשוק</w:t>
      </w:r>
      <w:r w:rsidRPr="00104898">
        <w:rPr>
          <w:sz w:val="24"/>
          <w:szCs w:val="24"/>
          <w:rtl/>
        </w:rPr>
        <w:t>.</w:t>
      </w:r>
      <w:r>
        <w:rPr>
          <w:rFonts w:hint="cs"/>
          <w:sz w:val="24"/>
          <w:szCs w:val="24"/>
          <w:rtl/>
        </w:rPr>
        <w:t xml:space="preserve"> מבחן הסבירות היחסית הוא </w:t>
      </w:r>
      <w:r w:rsidRPr="001456D2">
        <w:rPr>
          <w:rFonts w:hint="cs"/>
          <w:sz w:val="24"/>
          <w:szCs w:val="24"/>
          <w:u w:val="single"/>
          <w:rtl/>
        </w:rPr>
        <w:t>מבחן אובייקטיבי</w:t>
      </w:r>
      <w:r>
        <w:rPr>
          <w:rFonts w:hint="cs"/>
          <w:sz w:val="24"/>
          <w:szCs w:val="24"/>
          <w:rtl/>
        </w:rPr>
        <w:t xml:space="preserve"> ומרי תכפור בכך שהתנאים אי-סבירים מן המקובל, המחיר עצמו אף שהוא נמוך אינו נופל בגדר הלא סביר ועוד, אל לנו לשכוח שמרי הוסיפה והעניקה לתלמה זכות להתגורר בבית לשארית חייה, ולכן כמו בפס"ד</w:t>
      </w:r>
      <w:r w:rsidRPr="00B11CF0">
        <w:rPr>
          <w:rtl/>
        </w:rPr>
        <w:t xml:space="preserve"> </w:t>
      </w:r>
      <w:proofErr w:type="spellStart"/>
      <w:r w:rsidRPr="00B11CF0">
        <w:rPr>
          <w:sz w:val="24"/>
          <w:szCs w:val="24"/>
          <w:rtl/>
        </w:rPr>
        <w:t>מחקשווילי</w:t>
      </w:r>
      <w:proofErr w:type="spellEnd"/>
      <w:r>
        <w:rPr>
          <w:rStyle w:val="a5"/>
          <w:sz w:val="24"/>
          <w:szCs w:val="24"/>
          <w:rtl/>
        </w:rPr>
        <w:footnoteReference w:id="12"/>
      </w:r>
      <w:r>
        <w:rPr>
          <w:rFonts w:hint="cs"/>
          <w:sz w:val="24"/>
          <w:szCs w:val="24"/>
          <w:rtl/>
        </w:rPr>
        <w:t xml:space="preserve"> ש</w:t>
      </w:r>
      <w:r w:rsidRPr="002E688A">
        <w:rPr>
          <w:sz w:val="24"/>
          <w:szCs w:val="24"/>
          <w:rtl/>
        </w:rPr>
        <w:t xml:space="preserve">אליבא </w:t>
      </w:r>
      <w:proofErr w:type="spellStart"/>
      <w:r w:rsidRPr="002E688A">
        <w:rPr>
          <w:sz w:val="24"/>
          <w:szCs w:val="24"/>
          <w:rtl/>
        </w:rPr>
        <w:t>דבית</w:t>
      </w:r>
      <w:proofErr w:type="spellEnd"/>
      <w:r w:rsidRPr="002E688A">
        <w:rPr>
          <w:sz w:val="24"/>
          <w:szCs w:val="24"/>
          <w:rtl/>
        </w:rPr>
        <w:t xml:space="preserve"> משפט קמא </w:t>
      </w:r>
      <w:r>
        <w:rPr>
          <w:rFonts w:hint="cs"/>
          <w:sz w:val="24"/>
          <w:szCs w:val="24"/>
          <w:rtl/>
        </w:rPr>
        <w:t>שדן בפרשה נפלה כל עילת העושק משום שלא הוכח יסוד זה - כך דיננו כאן.</w:t>
      </w:r>
      <w:r>
        <w:rPr>
          <w:rFonts w:hint="cs"/>
          <w:rtl/>
        </w:rPr>
        <w:t xml:space="preserve"> </w:t>
      </w:r>
      <w:r>
        <w:rPr>
          <w:rFonts w:hint="cs"/>
          <w:sz w:val="24"/>
          <w:szCs w:val="24"/>
          <w:rtl/>
        </w:rPr>
        <w:t xml:space="preserve">שאלה זו נתונה </w:t>
      </w:r>
      <w:proofErr w:type="spellStart"/>
      <w:r>
        <w:rPr>
          <w:rFonts w:hint="cs"/>
          <w:sz w:val="24"/>
          <w:szCs w:val="24"/>
          <w:rtl/>
        </w:rPr>
        <w:t>לשק"ד</w:t>
      </w:r>
      <w:proofErr w:type="spellEnd"/>
      <w:r>
        <w:rPr>
          <w:rFonts w:hint="cs"/>
          <w:sz w:val="24"/>
          <w:szCs w:val="24"/>
          <w:rtl/>
        </w:rPr>
        <w:t xml:space="preserve"> של ביהמ"ש לפסוק בה ע"פ נסיבות העניין, תנאי השוק, הוראות החוזה ועמדות המיקוח היחסיות של הצדדים לעסקה</w:t>
      </w:r>
      <w:r>
        <w:rPr>
          <w:rStyle w:val="a5"/>
          <w:sz w:val="24"/>
          <w:szCs w:val="24"/>
          <w:rtl/>
        </w:rPr>
        <w:footnoteReference w:id="13"/>
      </w:r>
      <w:r>
        <w:rPr>
          <w:rFonts w:hint="cs"/>
          <w:sz w:val="24"/>
          <w:szCs w:val="24"/>
          <w:rtl/>
        </w:rPr>
        <w:t xml:space="preserve">. יתכן וביהמ"ש ימצא פגם בקיום היסוד השלישי בגין המחיר הסביר ושאר תנאי החוזה ולא תקבל את טענת העושק, אולם דעתי היא שבנסיבות העניין </w:t>
      </w:r>
      <w:r>
        <w:rPr>
          <w:rFonts w:hint="cs"/>
          <w:b/>
          <w:bCs/>
          <w:sz w:val="24"/>
          <w:szCs w:val="24"/>
          <w:rtl/>
        </w:rPr>
        <w:t>וחוסר באיזון בין</w:t>
      </w:r>
      <w:r w:rsidRPr="00FB761F">
        <w:rPr>
          <w:rFonts w:hint="cs"/>
          <w:b/>
          <w:bCs/>
          <w:sz w:val="24"/>
          <w:szCs w:val="24"/>
          <w:rtl/>
        </w:rPr>
        <w:t xml:space="preserve"> הכוחות בעמדות המיקוח בפרשה</w:t>
      </w:r>
      <w:r>
        <w:rPr>
          <w:rFonts w:hint="cs"/>
          <w:sz w:val="24"/>
          <w:szCs w:val="24"/>
          <w:rtl/>
        </w:rPr>
        <w:t>, אכן יינתן סעד בגין עושק. לסיכום, לדעתי, ידה של תלמה על העליונה הנושא הכפיה וניסיונו</w:t>
      </w:r>
      <w:r>
        <w:rPr>
          <w:rFonts w:hint="eastAsia"/>
          <w:sz w:val="24"/>
          <w:szCs w:val="24"/>
          <w:rtl/>
        </w:rPr>
        <w:t>ת</w:t>
      </w:r>
      <w:r>
        <w:rPr>
          <w:rFonts w:hint="cs"/>
          <w:sz w:val="24"/>
          <w:szCs w:val="24"/>
          <w:rtl/>
        </w:rPr>
        <w:t xml:space="preserve"> ההגנה של מרי לא יעמדו לה.</w:t>
      </w:r>
      <w:r>
        <w:rPr>
          <w:rFonts w:hint="cs"/>
          <w:sz w:val="24"/>
          <w:szCs w:val="24"/>
          <w:rtl/>
          <w:lang w:val="en-GB"/>
        </w:rPr>
        <w:t xml:space="preserve"> לעילת העושק אכן קיים החשש שלא יתקיימו כל היסודות המצטברים, אך דעתי נחה שבמקרה כה חריף של אי-שוויון בין הצדדים, השופטים יטו להקל במקום שהחוסר צדק זועק ויפסקו על קיומה.</w:t>
      </w:r>
    </w:p>
    <w:p w:rsidR="00644A54" w:rsidRDefault="00C56AE5" w:rsidP="00C56AE5">
      <w:pPr>
        <w:bidi/>
        <w:spacing w:after="0" w:line="360" w:lineRule="auto"/>
        <w:jc w:val="both"/>
      </w:pPr>
      <w:r>
        <w:rPr>
          <w:rFonts w:hint="cs"/>
          <w:sz w:val="24"/>
          <w:szCs w:val="24"/>
          <w:rtl/>
          <w:lang w:val="en-GB"/>
        </w:rPr>
        <w:t xml:space="preserve"> </w:t>
      </w:r>
      <w:r>
        <w:rPr>
          <w:rFonts w:hint="cs"/>
          <w:b/>
          <w:bCs/>
          <w:sz w:val="24"/>
          <w:szCs w:val="24"/>
          <w:lang w:val="en-GB"/>
        </w:rPr>
        <w:t>II</w:t>
      </w:r>
      <w:r>
        <w:rPr>
          <w:rFonts w:hint="cs"/>
          <w:b/>
          <w:bCs/>
          <w:sz w:val="24"/>
          <w:szCs w:val="24"/>
          <w:rtl/>
          <w:lang w:val="en-GB"/>
        </w:rPr>
        <w:t>.</w:t>
      </w:r>
      <w:r>
        <w:rPr>
          <w:rFonts w:hint="cs"/>
          <w:sz w:val="24"/>
          <w:szCs w:val="24"/>
          <w:rtl/>
          <w:lang w:val="en-GB"/>
        </w:rPr>
        <w:t xml:space="preserve"> תשובתי עקב השינוי העובדתי תשתנה מעט בנוגע לעושק, אך לטענת הכפיה היא רק תקצין קמעא את הנאמר כבר. אגש אז ישר לעושק. לעיל הבעתי פקפוק בקיומו של היסוד השלישי לעילת העושק, פקפוק אשר מצטמצם ככל שהתמורה הופכת קטנה יותר ואמור לפוג לגמרי עם השינוי של החוזה לחוזה מתנה; עכשיו כמדומני, שתנאי החוזה הם בלתי-סבירים בייחוד בכפוף למקובל בהעברת מקרקעין לצד ג', וגורש כל צל של ספק שביהמ"ש יכיר בקיומו של היסוד השלישי. ע"פ גישתו של פרופ' </w:t>
      </w:r>
      <w:proofErr w:type="spellStart"/>
      <w:r>
        <w:rPr>
          <w:rFonts w:hint="cs"/>
          <w:sz w:val="24"/>
          <w:szCs w:val="24"/>
          <w:rtl/>
          <w:lang w:val="en-GB"/>
        </w:rPr>
        <w:t>ראבילו</w:t>
      </w:r>
      <w:proofErr w:type="spellEnd"/>
      <w:r>
        <w:rPr>
          <w:rFonts w:hint="cs"/>
          <w:sz w:val="24"/>
          <w:szCs w:val="24"/>
          <w:rtl/>
          <w:lang w:val="en-GB"/>
        </w:rPr>
        <w:t xml:space="preserve"> שמובא ע"י פרופ' שלו</w:t>
      </w:r>
      <w:r>
        <w:rPr>
          <w:rStyle w:val="a5"/>
          <w:sz w:val="24"/>
          <w:szCs w:val="24"/>
          <w:rtl/>
          <w:lang w:val="en-GB"/>
        </w:rPr>
        <w:footnoteReference w:id="14"/>
      </w:r>
      <w:r>
        <w:rPr>
          <w:rFonts w:hint="cs"/>
          <w:sz w:val="24"/>
          <w:szCs w:val="24"/>
          <w:rtl/>
          <w:lang w:val="en-GB"/>
        </w:rPr>
        <w:t>, במקרים של הענקה חד-צדדית ניתן לבחון את הסכם ואת '</w:t>
      </w:r>
      <w:proofErr w:type="spellStart"/>
      <w:r>
        <w:rPr>
          <w:rFonts w:hint="cs"/>
          <w:sz w:val="24"/>
          <w:szCs w:val="24"/>
          <w:rtl/>
          <w:lang w:val="en-GB"/>
        </w:rPr>
        <w:t>גריעות</w:t>
      </w:r>
      <w:proofErr w:type="spellEnd"/>
      <w:r>
        <w:rPr>
          <w:rFonts w:hint="cs"/>
          <w:sz w:val="24"/>
          <w:szCs w:val="24"/>
          <w:rtl/>
          <w:lang w:val="en-GB"/>
        </w:rPr>
        <w:t xml:space="preserve">' התנאים לאור: היחס בין המתנה עצמה, מצב המעניק, סוג האירוע ואופי היחסים בין הצדדים.  בחינה של יסודות אלו תביא לתוצאה דומה: תלמה מעניקה בית(!), היא במצב סיעודי כאשר הבית שלה הוא נכסה המרכזי והאירוע נופל בגדר ניסיון כפיה ועושק מטעם </w:t>
      </w:r>
      <w:r w:rsidRPr="0032439D">
        <w:rPr>
          <w:rFonts w:hint="cs"/>
          <w:b/>
          <w:bCs/>
          <w:sz w:val="24"/>
          <w:szCs w:val="24"/>
          <w:rtl/>
          <w:lang w:val="en-GB"/>
        </w:rPr>
        <w:t xml:space="preserve">המטפלת שלה </w:t>
      </w:r>
      <w:r>
        <w:rPr>
          <w:rFonts w:hint="cs"/>
          <w:b/>
          <w:bCs/>
          <w:sz w:val="24"/>
          <w:szCs w:val="24"/>
          <w:rtl/>
          <w:lang w:val="en-GB"/>
        </w:rPr>
        <w:t>ש</w:t>
      </w:r>
      <w:r w:rsidRPr="0032439D">
        <w:rPr>
          <w:rFonts w:hint="cs"/>
          <w:b/>
          <w:bCs/>
          <w:sz w:val="24"/>
          <w:szCs w:val="24"/>
          <w:rtl/>
          <w:lang w:val="en-GB"/>
        </w:rPr>
        <w:t>רק חודשים בודדים</w:t>
      </w:r>
      <w:r>
        <w:rPr>
          <w:rFonts w:hint="cs"/>
          <w:b/>
          <w:bCs/>
          <w:sz w:val="24"/>
          <w:szCs w:val="24"/>
          <w:rtl/>
          <w:lang w:val="en-GB"/>
        </w:rPr>
        <w:t xml:space="preserve"> לפני כן ה</w:t>
      </w:r>
      <w:r w:rsidRPr="0032439D">
        <w:rPr>
          <w:rFonts w:hint="cs"/>
          <w:b/>
          <w:bCs/>
          <w:sz w:val="24"/>
          <w:szCs w:val="24"/>
          <w:rtl/>
          <w:lang w:val="en-GB"/>
        </w:rPr>
        <w:t>תחילה בעבודתה</w:t>
      </w:r>
      <w:r>
        <w:rPr>
          <w:rFonts w:hint="cs"/>
          <w:sz w:val="24"/>
          <w:szCs w:val="24"/>
          <w:rtl/>
          <w:lang w:val="en-GB"/>
        </w:rPr>
        <w:t xml:space="preserve">. ניתן לחזק זאת אף יותר לראות בהסכם מתנה את נטל ההוכחה כמועבר לכתפיה של מרי כפי שמובא בפס"ד </w:t>
      </w:r>
      <w:proofErr w:type="spellStart"/>
      <w:r>
        <w:rPr>
          <w:rFonts w:hint="cs"/>
          <w:sz w:val="24"/>
          <w:szCs w:val="24"/>
          <w:rtl/>
          <w:lang w:val="en-GB"/>
        </w:rPr>
        <w:t>מחקשווילי</w:t>
      </w:r>
      <w:proofErr w:type="spellEnd"/>
      <w:r>
        <w:rPr>
          <w:rStyle w:val="a5"/>
          <w:sz w:val="24"/>
          <w:szCs w:val="24"/>
          <w:rtl/>
          <w:lang w:val="en-GB"/>
        </w:rPr>
        <w:footnoteReference w:id="15"/>
      </w:r>
      <w:r>
        <w:rPr>
          <w:rFonts w:hint="cs"/>
          <w:sz w:val="24"/>
          <w:szCs w:val="24"/>
          <w:rtl/>
          <w:lang w:val="en-GB"/>
        </w:rPr>
        <w:t xml:space="preserve">. הלא נראה את תלמה כקורבן?! כמדוני שכן ושלתלמה יעמדו </w:t>
      </w:r>
      <w:proofErr w:type="spellStart"/>
      <w:r>
        <w:rPr>
          <w:rFonts w:hint="cs"/>
          <w:sz w:val="24"/>
          <w:szCs w:val="24"/>
          <w:rtl/>
          <w:lang w:val="en-GB"/>
        </w:rPr>
        <w:t>הסעדים</w:t>
      </w:r>
      <w:proofErr w:type="spellEnd"/>
      <w:r>
        <w:rPr>
          <w:rFonts w:hint="cs"/>
          <w:sz w:val="24"/>
          <w:szCs w:val="24"/>
          <w:rtl/>
          <w:lang w:val="en-GB"/>
        </w:rPr>
        <w:t xml:space="preserve"> בגין כפיה ועושק לפי סעיפים 17(א) ו-18 לחוה"ח ובכך יהיה בידה הכוח לבטל את החוזה המדובר בגינם לפי ס' 20 לחוק זה.</w:t>
      </w:r>
    </w:p>
    <w:sectPr w:rsidR="00644A54" w:rsidSect="00530677">
      <w:headerReference w:type="default" r:id="rId7"/>
      <w:pgSz w:w="11906" w:h="16838"/>
      <w:pgMar w:top="1418" w:right="1418" w:bottom="1418"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D5" w:rsidRDefault="00A263D5" w:rsidP="00C56AE5">
      <w:pPr>
        <w:spacing w:after="0" w:line="240" w:lineRule="auto"/>
      </w:pPr>
      <w:r>
        <w:separator/>
      </w:r>
    </w:p>
  </w:endnote>
  <w:endnote w:type="continuationSeparator" w:id="0">
    <w:p w:rsidR="00A263D5" w:rsidRDefault="00A263D5" w:rsidP="00C5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D5" w:rsidRDefault="00A263D5" w:rsidP="00C56AE5">
      <w:pPr>
        <w:spacing w:after="0" w:line="240" w:lineRule="auto"/>
      </w:pPr>
      <w:r>
        <w:rPr>
          <w:rFonts w:hint="cs"/>
          <w:rtl/>
        </w:rPr>
        <w:t xml:space="preserve">    </w:t>
      </w:r>
      <w:r>
        <w:separator/>
      </w:r>
      <w:r>
        <w:rPr>
          <w:rFonts w:hint="cs"/>
          <w:rtl/>
        </w:rPr>
        <w:t xml:space="preserve">                                                                                                                                           </w:t>
      </w:r>
    </w:p>
  </w:footnote>
  <w:footnote w:type="continuationSeparator" w:id="0">
    <w:p w:rsidR="00A263D5" w:rsidRDefault="00A263D5" w:rsidP="00C56AE5">
      <w:pPr>
        <w:spacing w:after="0" w:line="240" w:lineRule="auto"/>
      </w:pPr>
      <w:r>
        <w:continuationSeparator/>
      </w:r>
    </w:p>
  </w:footnote>
  <w:footnote w:id="1">
    <w:p w:rsidR="00C56AE5" w:rsidRDefault="00C56AE5" w:rsidP="00C56AE5">
      <w:pPr>
        <w:pStyle w:val="a3"/>
        <w:bidi/>
        <w:rPr>
          <w:rtl/>
        </w:rPr>
      </w:pPr>
      <w:r>
        <w:rPr>
          <w:rStyle w:val="a5"/>
        </w:rPr>
        <w:footnoteRef/>
      </w:r>
      <w:r>
        <w:t xml:space="preserve"> </w:t>
      </w:r>
      <w:r>
        <w:rPr>
          <w:rFonts w:hint="cs"/>
          <w:rtl/>
        </w:rPr>
        <w:t>ח</w:t>
      </w:r>
      <w:r w:rsidRPr="00CD5D6E">
        <w:rPr>
          <w:rtl/>
        </w:rPr>
        <w:t xml:space="preserve">וק החוזים (חלק כללי), </w:t>
      </w:r>
      <w:r>
        <w:rPr>
          <w:rFonts w:hint="cs"/>
          <w:rtl/>
        </w:rPr>
        <w:t>ה</w:t>
      </w:r>
      <w:r w:rsidRPr="00CD5D6E">
        <w:rPr>
          <w:rtl/>
        </w:rPr>
        <w:t>תשל"ג-1973</w:t>
      </w:r>
      <w:r>
        <w:rPr>
          <w:rFonts w:hint="cs"/>
          <w:rtl/>
        </w:rPr>
        <w:t xml:space="preserve"> (להלן: חוק החוזים או "החוק").</w:t>
      </w:r>
    </w:p>
  </w:footnote>
  <w:footnote w:id="2">
    <w:p w:rsidR="00C56AE5" w:rsidRDefault="00C56AE5" w:rsidP="00C56AE5">
      <w:pPr>
        <w:pStyle w:val="a3"/>
        <w:bidi/>
        <w:rPr>
          <w:rtl/>
        </w:rPr>
      </w:pPr>
      <w:r>
        <w:rPr>
          <w:rStyle w:val="a5"/>
        </w:rPr>
        <w:footnoteRef/>
      </w:r>
      <w:r>
        <w:rPr>
          <w:rFonts w:hint="cs"/>
          <w:rtl/>
        </w:rPr>
        <w:t xml:space="preserve"> </w:t>
      </w:r>
      <w:r w:rsidRPr="003D4F70">
        <w:rPr>
          <w:rtl/>
        </w:rPr>
        <w:t xml:space="preserve">גבריאלה שלו, </w:t>
      </w:r>
      <w:r>
        <w:rPr>
          <w:b/>
          <w:bCs/>
          <w:rtl/>
        </w:rPr>
        <w:t xml:space="preserve">דיני חוזים החלק הכללי </w:t>
      </w:r>
      <w:r>
        <w:rPr>
          <w:rFonts w:hint="cs"/>
          <w:b/>
          <w:bCs/>
          <w:rtl/>
        </w:rPr>
        <w:t>-</w:t>
      </w:r>
      <w:r w:rsidRPr="003D4F70">
        <w:rPr>
          <w:b/>
          <w:bCs/>
          <w:rtl/>
        </w:rPr>
        <w:t xml:space="preserve"> לקראת קודיפיקציה של המשפט האזרחי</w:t>
      </w:r>
      <w:r>
        <w:rPr>
          <w:rFonts w:hint="cs"/>
          <w:rtl/>
        </w:rPr>
        <w:t xml:space="preserve"> 328</w:t>
      </w:r>
      <w:r>
        <w:rPr>
          <w:rtl/>
        </w:rPr>
        <w:t xml:space="preserve"> (תשס"ה)</w:t>
      </w:r>
      <w:r>
        <w:rPr>
          <w:rFonts w:hint="cs"/>
          <w:rtl/>
        </w:rPr>
        <w:t>.</w:t>
      </w:r>
    </w:p>
  </w:footnote>
  <w:footnote w:id="3">
    <w:p w:rsidR="00C56AE5" w:rsidRPr="00DA064A" w:rsidRDefault="00C56AE5" w:rsidP="00C56AE5">
      <w:pPr>
        <w:pStyle w:val="a3"/>
        <w:bidi/>
        <w:rPr>
          <w:rtl/>
        </w:rPr>
      </w:pPr>
      <w:r>
        <w:rPr>
          <w:rStyle w:val="a5"/>
        </w:rPr>
        <w:footnoteRef/>
      </w:r>
      <w:r>
        <w:t xml:space="preserve"> </w:t>
      </w:r>
      <w:r w:rsidRPr="00EF7326">
        <w:rPr>
          <w:rtl/>
        </w:rPr>
        <w:t xml:space="preserve">ע"א 1569/93 </w:t>
      </w:r>
      <w:r w:rsidRPr="0024172D">
        <w:rPr>
          <w:b/>
          <w:bCs/>
          <w:rtl/>
        </w:rPr>
        <w:t>מאיה נ' פנפורד</w:t>
      </w:r>
      <w:r w:rsidRPr="00EF7326">
        <w:rPr>
          <w:rtl/>
        </w:rPr>
        <w:t>, מח(5) 705</w:t>
      </w:r>
      <w:r>
        <w:rPr>
          <w:rFonts w:hint="cs"/>
          <w:rtl/>
        </w:rPr>
        <w:t>, 718</w:t>
      </w:r>
      <w:r w:rsidRPr="00EF7326">
        <w:rPr>
          <w:rtl/>
        </w:rPr>
        <w:t xml:space="preserve"> (1994)</w:t>
      </w:r>
      <w:r>
        <w:rPr>
          <w:rFonts w:hint="cs"/>
          <w:rtl/>
        </w:rPr>
        <w:t>.</w:t>
      </w:r>
    </w:p>
  </w:footnote>
  <w:footnote w:id="4">
    <w:p w:rsidR="00C56AE5" w:rsidRDefault="00C56AE5" w:rsidP="00C56AE5">
      <w:pPr>
        <w:pStyle w:val="a3"/>
        <w:bidi/>
        <w:rPr>
          <w:rtl/>
        </w:rPr>
      </w:pPr>
      <w:r>
        <w:rPr>
          <w:rStyle w:val="a5"/>
        </w:rPr>
        <w:footnoteRef/>
      </w:r>
      <w:r>
        <w:t xml:space="preserve"> </w:t>
      </w:r>
      <w:r w:rsidRPr="003D4F70">
        <w:rPr>
          <w:rtl/>
        </w:rPr>
        <w:t xml:space="preserve">גבריאלה שלו, </w:t>
      </w:r>
      <w:r>
        <w:rPr>
          <w:rFonts w:hint="cs"/>
          <w:rtl/>
        </w:rPr>
        <w:t>לעיל ה"ש 2 בעמ' 332-333.</w:t>
      </w:r>
    </w:p>
  </w:footnote>
  <w:footnote w:id="5">
    <w:p w:rsidR="00C56AE5" w:rsidRDefault="00C56AE5" w:rsidP="00C56AE5">
      <w:pPr>
        <w:pStyle w:val="a3"/>
        <w:bidi/>
        <w:rPr>
          <w:rtl/>
        </w:rPr>
      </w:pPr>
      <w:r>
        <w:rPr>
          <w:rStyle w:val="a5"/>
        </w:rPr>
        <w:footnoteRef/>
      </w:r>
      <w:r>
        <w:rPr>
          <w:rFonts w:hint="cs"/>
          <w:rtl/>
        </w:rPr>
        <w:t xml:space="preserve"> </w:t>
      </w:r>
      <w:r w:rsidRPr="009B74BF">
        <w:rPr>
          <w:rtl/>
        </w:rPr>
        <w:t xml:space="preserve">ע"א 8/88, </w:t>
      </w:r>
      <w:bookmarkStart w:id="1" w:name="_Hlk529718337"/>
      <w:r w:rsidRPr="009B74BF">
        <w:rPr>
          <w:b/>
          <w:bCs/>
          <w:rtl/>
        </w:rPr>
        <w:t>רחמים בע"מ נ' אקספומדיה בע"מ</w:t>
      </w:r>
      <w:bookmarkEnd w:id="1"/>
      <w:r w:rsidRPr="009B74BF">
        <w:rPr>
          <w:rtl/>
        </w:rPr>
        <w:t>, פ"ד מג (4) 95</w:t>
      </w:r>
      <w:r>
        <w:rPr>
          <w:rFonts w:hint="cs"/>
          <w:rtl/>
        </w:rPr>
        <w:t>, 100-101 (1989)</w:t>
      </w:r>
      <w:r w:rsidRPr="009B74BF">
        <w:rPr>
          <w:rtl/>
        </w:rPr>
        <w:t>.</w:t>
      </w:r>
    </w:p>
  </w:footnote>
  <w:footnote w:id="6">
    <w:p w:rsidR="00C56AE5" w:rsidRDefault="00C56AE5" w:rsidP="00C56AE5">
      <w:pPr>
        <w:pStyle w:val="a3"/>
        <w:bidi/>
        <w:rPr>
          <w:rtl/>
        </w:rPr>
      </w:pPr>
      <w:r>
        <w:rPr>
          <w:rStyle w:val="a5"/>
        </w:rPr>
        <w:footnoteRef/>
      </w:r>
      <w:r>
        <w:t xml:space="preserve"> </w:t>
      </w:r>
      <w:r w:rsidRPr="003D4F70">
        <w:rPr>
          <w:rtl/>
        </w:rPr>
        <w:t xml:space="preserve">גבריאלה שלו, </w:t>
      </w:r>
      <w:r>
        <w:rPr>
          <w:rFonts w:hint="cs"/>
          <w:rtl/>
        </w:rPr>
        <w:t>לעיל ה"ש 2 בעמ' 328-329.</w:t>
      </w:r>
    </w:p>
  </w:footnote>
  <w:footnote w:id="7">
    <w:p w:rsidR="00C56AE5" w:rsidRPr="00DF7DB0" w:rsidRDefault="00C56AE5" w:rsidP="00C56AE5">
      <w:pPr>
        <w:pStyle w:val="a3"/>
        <w:bidi/>
        <w:rPr>
          <w:rtl/>
        </w:rPr>
      </w:pPr>
      <w:r>
        <w:rPr>
          <w:rStyle w:val="a5"/>
        </w:rPr>
        <w:footnoteRef/>
      </w:r>
      <w:r>
        <w:t xml:space="preserve"> </w:t>
      </w:r>
      <w:r w:rsidRPr="00EF7326">
        <w:rPr>
          <w:rtl/>
        </w:rPr>
        <w:t xml:space="preserve">ע"א 1569/93 </w:t>
      </w:r>
      <w:r w:rsidRPr="0024172D">
        <w:rPr>
          <w:b/>
          <w:bCs/>
          <w:rtl/>
        </w:rPr>
        <w:t>מאיה נ' פנפורד</w:t>
      </w:r>
      <w:r w:rsidRPr="00EF7326">
        <w:rPr>
          <w:rtl/>
        </w:rPr>
        <w:t>, מח(5) 705</w:t>
      </w:r>
      <w:r>
        <w:rPr>
          <w:rFonts w:hint="cs"/>
          <w:rtl/>
        </w:rPr>
        <w:t>, 717</w:t>
      </w:r>
      <w:r w:rsidRPr="00EF7326">
        <w:rPr>
          <w:rtl/>
        </w:rPr>
        <w:t xml:space="preserve"> (1994)</w:t>
      </w:r>
      <w:r>
        <w:rPr>
          <w:rFonts w:hint="cs"/>
          <w:rtl/>
        </w:rPr>
        <w:t>.</w:t>
      </w:r>
    </w:p>
  </w:footnote>
  <w:footnote w:id="8">
    <w:p w:rsidR="00C56AE5" w:rsidRPr="00440180" w:rsidRDefault="00C56AE5" w:rsidP="00C56AE5">
      <w:pPr>
        <w:pStyle w:val="a3"/>
        <w:bidi/>
        <w:rPr>
          <w:rtl/>
        </w:rPr>
      </w:pPr>
      <w:r>
        <w:rPr>
          <w:rStyle w:val="a5"/>
        </w:rPr>
        <w:footnoteRef/>
      </w:r>
      <w:r>
        <w:t xml:space="preserve"> </w:t>
      </w:r>
      <w:r w:rsidRPr="003D4F70">
        <w:rPr>
          <w:rtl/>
        </w:rPr>
        <w:t xml:space="preserve">גבריאלה שלו, </w:t>
      </w:r>
      <w:r>
        <w:rPr>
          <w:rFonts w:hint="cs"/>
          <w:rtl/>
        </w:rPr>
        <w:t>לעיל ה"ש 2 העמ' 332.</w:t>
      </w:r>
    </w:p>
  </w:footnote>
  <w:footnote w:id="9">
    <w:p w:rsidR="00C56AE5" w:rsidRDefault="00C56AE5" w:rsidP="00C56AE5">
      <w:pPr>
        <w:pStyle w:val="a3"/>
        <w:bidi/>
        <w:rPr>
          <w:rtl/>
        </w:rPr>
      </w:pPr>
      <w:r>
        <w:rPr>
          <w:rStyle w:val="a5"/>
        </w:rPr>
        <w:footnoteRef/>
      </w:r>
      <w:r>
        <w:t xml:space="preserve"> </w:t>
      </w:r>
      <w:r w:rsidRPr="0070740D">
        <w:rPr>
          <w:rtl/>
        </w:rPr>
        <w:t>ע</w:t>
      </w:r>
      <w:r>
        <w:rPr>
          <w:rFonts w:hint="cs"/>
          <w:rtl/>
        </w:rPr>
        <w:t>"</w:t>
      </w:r>
      <w:r w:rsidRPr="0070740D">
        <w:rPr>
          <w:rtl/>
        </w:rPr>
        <w:t xml:space="preserve">א 719/78 </w:t>
      </w:r>
      <w:r w:rsidRPr="0070740D">
        <w:rPr>
          <w:b/>
          <w:bCs/>
          <w:rtl/>
        </w:rPr>
        <w:t>איליט נ' אלקו</w:t>
      </w:r>
      <w:r w:rsidRPr="0070740D">
        <w:rPr>
          <w:rtl/>
        </w:rPr>
        <w:t xml:space="preserve"> , לד (4) 673</w:t>
      </w:r>
      <w:r>
        <w:rPr>
          <w:rFonts w:hint="cs"/>
          <w:rtl/>
        </w:rPr>
        <w:t>, 678 (1980).</w:t>
      </w:r>
    </w:p>
  </w:footnote>
  <w:footnote w:id="10">
    <w:p w:rsidR="00C56AE5" w:rsidRDefault="00C56AE5" w:rsidP="00C56AE5">
      <w:pPr>
        <w:pStyle w:val="a3"/>
        <w:bidi/>
        <w:rPr>
          <w:rtl/>
        </w:rPr>
      </w:pPr>
      <w:r>
        <w:rPr>
          <w:rStyle w:val="a5"/>
        </w:rPr>
        <w:footnoteRef/>
      </w:r>
      <w:r>
        <w:t xml:space="preserve"> </w:t>
      </w:r>
      <w:r w:rsidRPr="003D4F70">
        <w:rPr>
          <w:rtl/>
        </w:rPr>
        <w:t xml:space="preserve">גבריאלה שלו, </w:t>
      </w:r>
      <w:r>
        <w:rPr>
          <w:rFonts w:hint="cs"/>
          <w:rtl/>
        </w:rPr>
        <w:t>לעיל ה"ש 2,</w:t>
      </w:r>
      <w:r>
        <w:rPr>
          <w:rtl/>
        </w:rPr>
        <w:t xml:space="preserve"> </w:t>
      </w:r>
      <w:r>
        <w:rPr>
          <w:rFonts w:hint="cs"/>
          <w:rtl/>
        </w:rPr>
        <w:t>346.</w:t>
      </w:r>
    </w:p>
  </w:footnote>
  <w:footnote w:id="11">
    <w:p w:rsidR="00C56AE5" w:rsidRDefault="00C56AE5" w:rsidP="00C56AE5">
      <w:pPr>
        <w:pStyle w:val="a3"/>
        <w:bidi/>
        <w:rPr>
          <w:rtl/>
        </w:rPr>
      </w:pPr>
      <w:r>
        <w:rPr>
          <w:rStyle w:val="a5"/>
        </w:rPr>
        <w:footnoteRef/>
      </w:r>
      <w:r>
        <w:t xml:space="preserve"> </w:t>
      </w:r>
      <w:r w:rsidRPr="00104898">
        <w:rPr>
          <w:rtl/>
        </w:rPr>
        <w:t>ע</w:t>
      </w:r>
      <w:r>
        <w:rPr>
          <w:rFonts w:hint="cs"/>
          <w:rtl/>
        </w:rPr>
        <w:t>"</w:t>
      </w:r>
      <w:r w:rsidRPr="00104898">
        <w:rPr>
          <w:rtl/>
        </w:rPr>
        <w:t xml:space="preserve">א 403/80 </w:t>
      </w:r>
      <w:r w:rsidRPr="00104898">
        <w:rPr>
          <w:b/>
          <w:bCs/>
          <w:rtl/>
        </w:rPr>
        <w:t>סאסי נ' קיקאון</w:t>
      </w:r>
      <w:r w:rsidRPr="00104898">
        <w:rPr>
          <w:rtl/>
        </w:rPr>
        <w:t>, לו (1) 762</w:t>
      </w:r>
      <w:r>
        <w:rPr>
          <w:rFonts w:hint="cs"/>
          <w:rtl/>
        </w:rPr>
        <w:t>, 769 (1981).</w:t>
      </w:r>
    </w:p>
  </w:footnote>
  <w:footnote w:id="12">
    <w:p w:rsidR="00C56AE5" w:rsidRPr="002E688A" w:rsidRDefault="00C56AE5" w:rsidP="00C56AE5">
      <w:pPr>
        <w:pStyle w:val="a3"/>
        <w:bidi/>
        <w:rPr>
          <w:rtl/>
        </w:rPr>
      </w:pPr>
      <w:r>
        <w:rPr>
          <w:rStyle w:val="a5"/>
        </w:rPr>
        <w:footnoteRef/>
      </w:r>
      <w:r>
        <w:t xml:space="preserve"> </w:t>
      </w:r>
      <w:r w:rsidRPr="002E688A">
        <w:rPr>
          <w:rtl/>
        </w:rPr>
        <w:t>ע</w:t>
      </w:r>
      <w:r>
        <w:rPr>
          <w:rFonts w:hint="cs"/>
          <w:rtl/>
        </w:rPr>
        <w:t>"</w:t>
      </w:r>
      <w:r w:rsidRPr="002E688A">
        <w:rPr>
          <w:rtl/>
        </w:rPr>
        <w:t>א 2041/05</w:t>
      </w:r>
      <w:r w:rsidRPr="002E688A">
        <w:rPr>
          <w:b/>
          <w:bCs/>
          <w:rtl/>
        </w:rPr>
        <w:t xml:space="preserve"> מחקשווילי נ' מיכקשווילי</w:t>
      </w:r>
      <w:r>
        <w:rPr>
          <w:rFonts w:hint="cs"/>
          <w:rtl/>
        </w:rPr>
        <w:t xml:space="preserve">, 17 </w:t>
      </w:r>
      <w:r w:rsidRPr="007C6D83">
        <w:rPr>
          <w:rtl/>
        </w:rPr>
        <w:t>(פורסם בנבו, 19.11.2007)</w:t>
      </w:r>
      <w:r>
        <w:rPr>
          <w:rFonts w:hint="cs"/>
          <w:rtl/>
        </w:rPr>
        <w:t>. ראו גם ג' שלו, לעיל ה"ש 2, בעמ' 350 ה"ש 42.</w:t>
      </w:r>
    </w:p>
  </w:footnote>
  <w:footnote w:id="13">
    <w:p w:rsidR="00C56AE5" w:rsidRDefault="00C56AE5" w:rsidP="00C56AE5">
      <w:pPr>
        <w:pStyle w:val="a3"/>
        <w:bidi/>
        <w:rPr>
          <w:rtl/>
        </w:rPr>
      </w:pPr>
      <w:r>
        <w:rPr>
          <w:rStyle w:val="a5"/>
        </w:rPr>
        <w:footnoteRef/>
      </w:r>
      <w:r>
        <w:t xml:space="preserve"> </w:t>
      </w:r>
      <w:r>
        <w:rPr>
          <w:rFonts w:hint="cs"/>
          <w:rtl/>
        </w:rPr>
        <w:t>גבריאלה שלו, לעיל ה"ש 13, שם.</w:t>
      </w:r>
    </w:p>
  </w:footnote>
  <w:footnote w:id="14">
    <w:p w:rsidR="00C56AE5" w:rsidRPr="00DB0BA3" w:rsidRDefault="00C56AE5" w:rsidP="00C56AE5">
      <w:pPr>
        <w:pStyle w:val="a3"/>
        <w:bidi/>
        <w:rPr>
          <w:rtl/>
        </w:rPr>
      </w:pPr>
      <w:r>
        <w:rPr>
          <w:rStyle w:val="a5"/>
        </w:rPr>
        <w:footnoteRef/>
      </w:r>
      <w:r>
        <w:t xml:space="preserve"> </w:t>
      </w:r>
      <w:r>
        <w:rPr>
          <w:rFonts w:hint="cs"/>
          <w:rtl/>
        </w:rPr>
        <w:t>שם, עמ' 349.</w:t>
      </w:r>
    </w:p>
  </w:footnote>
  <w:footnote w:id="15">
    <w:p w:rsidR="00C56AE5" w:rsidRPr="006E4BCD" w:rsidRDefault="00C56AE5" w:rsidP="002F3CDE">
      <w:pPr>
        <w:pStyle w:val="a3"/>
        <w:bidi/>
        <w:rPr>
          <w:rtl/>
          <w:lang w:val="en-IL"/>
        </w:rPr>
      </w:pPr>
      <w:r>
        <w:rPr>
          <w:rStyle w:val="a5"/>
        </w:rPr>
        <w:footnoteRef/>
      </w:r>
      <w:r>
        <w:t xml:space="preserve"> </w:t>
      </w:r>
      <w:r w:rsidR="002F3CDE">
        <w:rPr>
          <w:rFonts w:hint="cs"/>
          <w:rtl/>
        </w:rPr>
        <w:t xml:space="preserve">פרשת </w:t>
      </w:r>
      <w:r w:rsidRPr="006E4BCD">
        <w:rPr>
          <w:b/>
          <w:bCs/>
          <w:rtl/>
        </w:rPr>
        <w:t>מחקשווילי</w:t>
      </w:r>
      <w:r w:rsidR="002F3CDE">
        <w:rPr>
          <w:rFonts w:hint="cs"/>
          <w:b/>
          <w:bCs/>
          <w:rtl/>
        </w:rPr>
        <w:t xml:space="preserve">, </w:t>
      </w:r>
      <w:r w:rsidR="002F3CDE">
        <w:rPr>
          <w:rFonts w:hint="cs"/>
          <w:rtl/>
        </w:rPr>
        <w:t>לעיל ה"ש 12,</w:t>
      </w:r>
      <w:r>
        <w:rPr>
          <w:rFonts w:hint="cs"/>
          <w:b/>
          <w:bCs/>
          <w:rtl/>
        </w:rPr>
        <w:t xml:space="preserve"> </w:t>
      </w:r>
      <w:r>
        <w:rPr>
          <w:rFonts w:hint="cs"/>
          <w:rtl/>
        </w:rPr>
        <w:t>15</w:t>
      </w:r>
      <w:r w:rsidR="00743448">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B51" w:rsidRPr="00EA1EB9" w:rsidRDefault="00FB50B0" w:rsidP="00530677">
    <w:pPr>
      <w:pStyle w:val="a6"/>
      <w:rPr>
        <w:color w:val="ED7D31" w:themeColor="accent2"/>
      </w:rPr>
    </w:pPr>
    <w:r w:rsidRPr="00EA1EB9">
      <w:rPr>
        <w:color w:val="ED7D31" w:themeColor="accent2"/>
        <w:rtl/>
      </w:rPr>
      <w:ptab w:relativeTo="margin" w:alignment="center" w:leader="none"/>
    </w:r>
    <w:r>
      <w:rPr>
        <w:rFonts w:hint="cs"/>
        <w:color w:val="ED7D31" w:themeColor="accent2"/>
        <w:rtl/>
      </w:rPr>
      <w:t xml:space="preserve">עבודה מס' 1 </w:t>
    </w:r>
    <w:r>
      <w:rPr>
        <w:color w:val="ED7D31" w:themeColor="accent2"/>
        <w:rtl/>
      </w:rPr>
      <w:t>–</w:t>
    </w:r>
    <w:r>
      <w:rPr>
        <w:rFonts w:hint="cs"/>
        <w:color w:val="ED7D31" w:themeColor="accent2"/>
        <w:rtl/>
      </w:rPr>
      <w:t xml:space="preserve"> דיני חוזים</w:t>
    </w:r>
    <w:r w:rsidRPr="00EA1EB9">
      <w:rPr>
        <w:color w:val="ED7D31" w:themeColor="accent2"/>
        <w:rtl/>
      </w:rPr>
      <w:ptab w:relativeTo="margin" w:alignment="right" w:leader="none"/>
    </w:r>
    <w:r>
      <w:rPr>
        <w:rFonts w:hint="cs"/>
        <w:color w:val="ED7D31" w:themeColor="accent2"/>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AE5"/>
    <w:rsid w:val="000C76BE"/>
    <w:rsid w:val="002D50E2"/>
    <w:rsid w:val="002F3CDE"/>
    <w:rsid w:val="00387115"/>
    <w:rsid w:val="003D5D80"/>
    <w:rsid w:val="004022DF"/>
    <w:rsid w:val="00644A54"/>
    <w:rsid w:val="00743448"/>
    <w:rsid w:val="007C4637"/>
    <w:rsid w:val="008304A4"/>
    <w:rsid w:val="00A263D5"/>
    <w:rsid w:val="00AA7DF6"/>
    <w:rsid w:val="00B33C4B"/>
    <w:rsid w:val="00C56AE5"/>
    <w:rsid w:val="00D24AEA"/>
    <w:rsid w:val="00D60F7E"/>
    <w:rsid w:val="00FB50B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4138"/>
  <w15:chartTrackingRefBased/>
  <w15:docId w15:val="{A49B0B8B-6598-4602-9925-8AB9E43F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6AE5"/>
    <w:rPr>
      <w:rFonts w:ascii="David" w:hAnsi="David" w:cs="David"/>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6AE5"/>
    <w:pPr>
      <w:spacing w:after="0" w:line="240" w:lineRule="auto"/>
    </w:pPr>
  </w:style>
  <w:style w:type="character" w:customStyle="1" w:styleId="a4">
    <w:name w:val="טקסט הערת שוליים תו"/>
    <w:basedOn w:val="a0"/>
    <w:link w:val="a3"/>
    <w:uiPriority w:val="99"/>
    <w:rsid w:val="00C56AE5"/>
    <w:rPr>
      <w:rFonts w:ascii="David" w:hAnsi="David" w:cs="David"/>
      <w:sz w:val="20"/>
      <w:szCs w:val="20"/>
      <w:lang w:val="x-none"/>
    </w:rPr>
  </w:style>
  <w:style w:type="character" w:styleId="a5">
    <w:name w:val="footnote reference"/>
    <w:basedOn w:val="a0"/>
    <w:uiPriority w:val="99"/>
    <w:semiHidden/>
    <w:unhideWhenUsed/>
    <w:rsid w:val="00C56AE5"/>
    <w:rPr>
      <w:vertAlign w:val="superscript"/>
    </w:rPr>
  </w:style>
  <w:style w:type="paragraph" w:styleId="a6">
    <w:name w:val="header"/>
    <w:basedOn w:val="a"/>
    <w:link w:val="a7"/>
    <w:uiPriority w:val="99"/>
    <w:unhideWhenUsed/>
    <w:rsid w:val="00C56AE5"/>
    <w:pPr>
      <w:tabs>
        <w:tab w:val="center" w:pos="4513"/>
        <w:tab w:val="right" w:pos="9026"/>
      </w:tabs>
      <w:spacing w:after="0" w:line="240" w:lineRule="auto"/>
    </w:pPr>
  </w:style>
  <w:style w:type="character" w:customStyle="1" w:styleId="a7">
    <w:name w:val="כותרת עליונה תו"/>
    <w:basedOn w:val="a0"/>
    <w:link w:val="a6"/>
    <w:uiPriority w:val="99"/>
    <w:rsid w:val="00C56AE5"/>
    <w:rPr>
      <w:rFonts w:ascii="David" w:hAnsi="David" w:cs="David"/>
      <w:sz w:val="20"/>
      <w:szCs w:val="20"/>
      <w:lang w:val="x-none"/>
    </w:rPr>
  </w:style>
  <w:style w:type="character" w:styleId="a8">
    <w:name w:val="annotation reference"/>
    <w:basedOn w:val="a0"/>
    <w:uiPriority w:val="99"/>
    <w:semiHidden/>
    <w:unhideWhenUsed/>
    <w:rsid w:val="00C56AE5"/>
    <w:rPr>
      <w:sz w:val="16"/>
      <w:szCs w:val="16"/>
    </w:rPr>
  </w:style>
  <w:style w:type="paragraph" w:styleId="a9">
    <w:name w:val="annotation text"/>
    <w:basedOn w:val="a"/>
    <w:link w:val="aa"/>
    <w:uiPriority w:val="99"/>
    <w:semiHidden/>
    <w:unhideWhenUsed/>
    <w:rsid w:val="00C56AE5"/>
    <w:pPr>
      <w:spacing w:line="240" w:lineRule="auto"/>
    </w:pPr>
  </w:style>
  <w:style w:type="character" w:customStyle="1" w:styleId="aa">
    <w:name w:val="טקסט הערה תו"/>
    <w:basedOn w:val="a0"/>
    <w:link w:val="a9"/>
    <w:uiPriority w:val="99"/>
    <w:semiHidden/>
    <w:rsid w:val="00C56AE5"/>
    <w:rPr>
      <w:rFonts w:ascii="David" w:hAnsi="David" w:cs="David"/>
      <w:sz w:val="20"/>
      <w:szCs w:val="20"/>
      <w:lang w:val="x-none"/>
    </w:rPr>
  </w:style>
  <w:style w:type="paragraph" w:styleId="ab">
    <w:name w:val="Balloon Text"/>
    <w:basedOn w:val="a"/>
    <w:link w:val="ac"/>
    <w:uiPriority w:val="99"/>
    <w:semiHidden/>
    <w:unhideWhenUsed/>
    <w:rsid w:val="00C56AE5"/>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C56AE5"/>
    <w:rPr>
      <w:rFonts w:ascii="Tahoma" w:hAnsi="Tahoma" w:cs="Tahoma"/>
      <w:sz w:val="18"/>
      <w:szCs w:val="18"/>
      <w:lang w:val="x-none"/>
    </w:rPr>
  </w:style>
  <w:style w:type="paragraph" w:styleId="ad">
    <w:name w:val="annotation subject"/>
    <w:basedOn w:val="a9"/>
    <w:next w:val="a9"/>
    <w:link w:val="ae"/>
    <w:uiPriority w:val="99"/>
    <w:semiHidden/>
    <w:unhideWhenUsed/>
    <w:rsid w:val="00C56AE5"/>
    <w:rPr>
      <w:b/>
      <w:bCs/>
    </w:rPr>
  </w:style>
  <w:style w:type="character" w:customStyle="1" w:styleId="ae">
    <w:name w:val="נושא הערה תו"/>
    <w:basedOn w:val="aa"/>
    <w:link w:val="ad"/>
    <w:uiPriority w:val="99"/>
    <w:semiHidden/>
    <w:rsid w:val="00C56AE5"/>
    <w:rPr>
      <w:rFonts w:ascii="David" w:hAnsi="David" w:cs="David"/>
      <w:b/>
      <w:bCs/>
      <w:sz w:val="20"/>
      <w:szCs w:val="20"/>
      <w:lang w:val="x-none"/>
    </w:rPr>
  </w:style>
  <w:style w:type="paragraph" w:styleId="af">
    <w:name w:val="List Paragraph"/>
    <w:basedOn w:val="a"/>
    <w:uiPriority w:val="34"/>
    <w:qFormat/>
    <w:rsid w:val="00C5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E6C9-6E92-4F6E-A442-A350A62F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Sefi Becker</dc:creator>
  <cp:keywords/>
  <dc:description/>
  <cp:lastModifiedBy>Sefi Becker</cp:lastModifiedBy>
  <cp:revision>10</cp:revision>
  <dcterms:created xsi:type="dcterms:W3CDTF">2018-11-19T21:46:00Z</dcterms:created>
  <dcterms:modified xsi:type="dcterms:W3CDTF">2019-01-07T17:25:00Z</dcterms:modified>
</cp:coreProperties>
</file>