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373B" w14:textId="77777777" w:rsidR="00EA5E13" w:rsidRDefault="00EA5E13" w:rsidP="00EA5E13">
      <w:pPr>
        <w:jc w:val="center"/>
        <w:rPr>
          <w:rFonts w:ascii="David" w:hAnsi="David" w:cs="David"/>
          <w:sz w:val="58"/>
          <w:szCs w:val="58"/>
          <w:rtl/>
        </w:rPr>
      </w:pPr>
    </w:p>
    <w:p w14:paraId="12C7B378" w14:textId="77777777" w:rsidR="00EA5E13" w:rsidRDefault="00EA5E13" w:rsidP="00EA5E13">
      <w:pPr>
        <w:jc w:val="center"/>
        <w:rPr>
          <w:rFonts w:ascii="David" w:hAnsi="David" w:cs="David"/>
          <w:sz w:val="58"/>
          <w:szCs w:val="58"/>
          <w:rtl/>
        </w:rPr>
      </w:pPr>
    </w:p>
    <w:p w14:paraId="123CBEB0" w14:textId="77777777" w:rsidR="00EA5E13" w:rsidRDefault="00EA5E13" w:rsidP="00EA5E13">
      <w:pPr>
        <w:jc w:val="center"/>
        <w:rPr>
          <w:rFonts w:ascii="David" w:hAnsi="David" w:cs="David"/>
          <w:sz w:val="58"/>
          <w:szCs w:val="58"/>
          <w:rtl/>
        </w:rPr>
      </w:pPr>
    </w:p>
    <w:p w14:paraId="3F6C3357" w14:textId="77777777" w:rsidR="00EA5E13" w:rsidRPr="00EA5E13" w:rsidRDefault="00EA5E13" w:rsidP="00EA5E13">
      <w:pPr>
        <w:jc w:val="center"/>
        <w:rPr>
          <w:rFonts w:ascii="David" w:hAnsi="David" w:cs="David"/>
          <w:b/>
          <w:bCs/>
          <w:sz w:val="70"/>
          <w:szCs w:val="70"/>
          <w:rtl/>
        </w:rPr>
      </w:pPr>
    </w:p>
    <w:p w14:paraId="34FA5C6F" w14:textId="77777777" w:rsidR="0044241D" w:rsidRPr="00EA5E13" w:rsidRDefault="00EA5E13" w:rsidP="00EA5E13">
      <w:pPr>
        <w:jc w:val="center"/>
        <w:rPr>
          <w:rFonts w:ascii="David" w:hAnsi="David" w:cs="David"/>
          <w:b/>
          <w:bCs/>
          <w:sz w:val="70"/>
          <w:szCs w:val="70"/>
          <w:rtl/>
        </w:rPr>
      </w:pPr>
      <w:r w:rsidRPr="00EA5E13">
        <w:rPr>
          <w:rFonts w:ascii="David" w:hAnsi="David" w:cs="David" w:hint="cs"/>
          <w:b/>
          <w:bCs/>
          <w:sz w:val="70"/>
          <w:szCs w:val="70"/>
          <w:rtl/>
        </w:rPr>
        <w:t>עבודה מס' 1- דיני חוזים</w:t>
      </w:r>
    </w:p>
    <w:p w14:paraId="03B8E146" w14:textId="77777777" w:rsidR="00EA5E13" w:rsidRPr="00EA5E13" w:rsidRDefault="00EA5E13" w:rsidP="00EA5E13">
      <w:pPr>
        <w:jc w:val="center"/>
        <w:rPr>
          <w:rFonts w:ascii="David" w:hAnsi="David" w:cs="David"/>
          <w:b/>
          <w:bCs/>
          <w:sz w:val="70"/>
          <w:szCs w:val="70"/>
          <w:rtl/>
        </w:rPr>
      </w:pPr>
    </w:p>
    <w:p w14:paraId="66A6F0D3" w14:textId="77777777" w:rsidR="00EA5E13" w:rsidRPr="00EA5E13" w:rsidRDefault="00EA5E13" w:rsidP="00EA5E13">
      <w:pPr>
        <w:jc w:val="center"/>
        <w:rPr>
          <w:rFonts w:ascii="David" w:hAnsi="David" w:cs="David"/>
          <w:b/>
          <w:bCs/>
          <w:sz w:val="70"/>
          <w:szCs w:val="70"/>
          <w:rtl/>
        </w:rPr>
      </w:pPr>
    </w:p>
    <w:p w14:paraId="2D71C9E9" w14:textId="77777777" w:rsidR="00EA5E13" w:rsidRPr="00EA5E13" w:rsidRDefault="00EA5E13" w:rsidP="00EA5E13">
      <w:pPr>
        <w:jc w:val="center"/>
        <w:rPr>
          <w:rFonts w:ascii="David" w:hAnsi="David" w:cs="David"/>
          <w:b/>
          <w:bCs/>
          <w:sz w:val="70"/>
          <w:szCs w:val="70"/>
          <w:rtl/>
        </w:rPr>
      </w:pPr>
      <w:r w:rsidRPr="00EA5E13">
        <w:rPr>
          <w:rFonts w:ascii="David" w:hAnsi="David" w:cs="David" w:hint="cs"/>
          <w:b/>
          <w:bCs/>
          <w:sz w:val="70"/>
          <w:szCs w:val="70"/>
          <w:rtl/>
        </w:rPr>
        <w:t>יהודה רוס</w:t>
      </w:r>
    </w:p>
    <w:p w14:paraId="015BC1C5" w14:textId="77777777" w:rsidR="00EA5E13" w:rsidRPr="00EA5E13" w:rsidRDefault="00EA5E13" w:rsidP="00EA5E13">
      <w:pPr>
        <w:jc w:val="center"/>
        <w:rPr>
          <w:rFonts w:ascii="David" w:hAnsi="David" w:cs="David"/>
          <w:b/>
          <w:bCs/>
          <w:sz w:val="70"/>
          <w:szCs w:val="70"/>
          <w:rtl/>
        </w:rPr>
      </w:pPr>
      <w:r w:rsidRPr="00EA5E13">
        <w:rPr>
          <w:rFonts w:ascii="David" w:hAnsi="David" w:cs="David" w:hint="cs"/>
          <w:b/>
          <w:bCs/>
          <w:sz w:val="70"/>
          <w:szCs w:val="70"/>
          <w:rtl/>
        </w:rPr>
        <w:t>314757303</w:t>
      </w:r>
    </w:p>
    <w:p w14:paraId="3825590A" w14:textId="77777777" w:rsidR="00EA5E13" w:rsidRPr="00EA5E13" w:rsidRDefault="00EA5E13" w:rsidP="00EA5E13">
      <w:pPr>
        <w:jc w:val="center"/>
        <w:rPr>
          <w:rFonts w:ascii="David" w:hAnsi="David" w:cs="David"/>
          <w:b/>
          <w:bCs/>
          <w:sz w:val="70"/>
          <w:szCs w:val="70"/>
          <w:rtl/>
        </w:rPr>
      </w:pPr>
    </w:p>
    <w:p w14:paraId="0BD5B080" w14:textId="77777777" w:rsidR="00EA5E13" w:rsidRPr="00EA5E13" w:rsidRDefault="00EA5E13" w:rsidP="00EA5E13">
      <w:pPr>
        <w:jc w:val="center"/>
        <w:rPr>
          <w:rFonts w:ascii="David" w:hAnsi="David" w:cs="David"/>
          <w:b/>
          <w:bCs/>
          <w:sz w:val="70"/>
          <w:szCs w:val="70"/>
          <w:rtl/>
        </w:rPr>
      </w:pPr>
    </w:p>
    <w:p w14:paraId="1FE0D19A" w14:textId="77777777" w:rsidR="00EA5E13" w:rsidRPr="00EA5E13" w:rsidRDefault="00EA5E13" w:rsidP="00EA5E13">
      <w:pPr>
        <w:jc w:val="center"/>
        <w:rPr>
          <w:rFonts w:ascii="David" w:hAnsi="David" w:cs="David"/>
          <w:b/>
          <w:bCs/>
          <w:sz w:val="70"/>
          <w:szCs w:val="70"/>
          <w:rtl/>
        </w:rPr>
      </w:pPr>
    </w:p>
    <w:p w14:paraId="0ED5D624" w14:textId="77777777" w:rsidR="00EA5E13" w:rsidRDefault="00EA5E13" w:rsidP="00EA5E13">
      <w:pPr>
        <w:jc w:val="center"/>
        <w:rPr>
          <w:rFonts w:ascii="David" w:hAnsi="David" w:cs="David"/>
          <w:b/>
          <w:bCs/>
          <w:sz w:val="70"/>
          <w:szCs w:val="70"/>
          <w:rtl/>
        </w:rPr>
      </w:pPr>
      <w:r w:rsidRPr="00EA5E13">
        <w:rPr>
          <w:rFonts w:ascii="David" w:hAnsi="David" w:cs="David" w:hint="cs"/>
          <w:b/>
          <w:bCs/>
          <w:sz w:val="70"/>
          <w:szCs w:val="70"/>
          <w:rtl/>
        </w:rPr>
        <w:t>מרצה: פרופ' משה גלברד</w:t>
      </w:r>
    </w:p>
    <w:p w14:paraId="3C84EAB6" w14:textId="77777777" w:rsidR="00EA5E13" w:rsidRDefault="00EA5E13" w:rsidP="00EA5E13">
      <w:pPr>
        <w:jc w:val="center"/>
        <w:rPr>
          <w:rFonts w:ascii="David" w:hAnsi="David" w:cs="David"/>
          <w:b/>
          <w:bCs/>
          <w:sz w:val="70"/>
          <w:szCs w:val="70"/>
          <w:rtl/>
        </w:rPr>
      </w:pPr>
    </w:p>
    <w:p w14:paraId="522D1478" w14:textId="77777777" w:rsidR="00EA5E13" w:rsidRDefault="00EA5E13" w:rsidP="00EA5E13">
      <w:pPr>
        <w:jc w:val="center"/>
        <w:rPr>
          <w:rFonts w:ascii="David" w:hAnsi="David" w:cs="David"/>
          <w:b/>
          <w:bCs/>
          <w:sz w:val="70"/>
          <w:szCs w:val="70"/>
          <w:rtl/>
        </w:rPr>
      </w:pPr>
    </w:p>
    <w:p w14:paraId="26771CF5" w14:textId="477A08D4" w:rsidR="00FE0DFE" w:rsidRPr="00FE0DFE" w:rsidRDefault="00692C33" w:rsidP="00B82EEB">
      <w:pPr>
        <w:pStyle w:val="ListParagraph"/>
        <w:numPr>
          <w:ilvl w:val="0"/>
          <w:numId w:val="1"/>
        </w:numPr>
        <w:spacing w:line="360" w:lineRule="auto"/>
        <w:rPr>
          <w:rFonts w:ascii="David" w:hAnsi="David" w:cs="David"/>
          <w:b/>
          <w:bCs/>
          <w:sz w:val="24"/>
          <w:szCs w:val="24"/>
        </w:rPr>
      </w:pPr>
      <w:r>
        <w:rPr>
          <w:rFonts w:ascii="David" w:hAnsi="David" w:cs="David" w:hint="cs"/>
          <w:sz w:val="24"/>
          <w:szCs w:val="24"/>
          <w:rtl/>
        </w:rPr>
        <w:lastRenderedPageBreak/>
        <w:t>אמנון</w:t>
      </w:r>
      <w:r w:rsidR="00FE0DFE">
        <w:rPr>
          <w:rFonts w:ascii="David" w:hAnsi="David" w:cs="David" w:hint="cs"/>
          <w:sz w:val="24"/>
          <w:szCs w:val="24"/>
          <w:rtl/>
        </w:rPr>
        <w:t xml:space="preserve"> יכול לטעון שהחוזה עליו חתמה</w:t>
      </w:r>
      <w:r>
        <w:rPr>
          <w:rFonts w:ascii="David" w:hAnsi="David" w:cs="David" w:hint="cs"/>
          <w:sz w:val="24"/>
          <w:szCs w:val="24"/>
          <w:rtl/>
        </w:rPr>
        <w:t xml:space="preserve"> תלמה,</w:t>
      </w:r>
      <w:r w:rsidR="00FE0DFE">
        <w:rPr>
          <w:rFonts w:ascii="David" w:hAnsi="David" w:cs="David" w:hint="cs"/>
          <w:sz w:val="24"/>
          <w:szCs w:val="24"/>
          <w:rtl/>
        </w:rPr>
        <w:t xml:space="preserve"> במקרה הנ"ל נחתם מצידה תוך </w:t>
      </w:r>
      <w:r w:rsidR="00FE0DFE" w:rsidRPr="00FE0DFE">
        <w:rPr>
          <w:rFonts w:ascii="David" w:hAnsi="David" w:cs="David" w:hint="cs"/>
          <w:sz w:val="24"/>
          <w:szCs w:val="24"/>
          <w:u w:val="single"/>
          <w:rtl/>
        </w:rPr>
        <w:t>כפיה ועושק</w:t>
      </w:r>
      <w:r w:rsidR="00FE0DFE">
        <w:rPr>
          <w:rStyle w:val="FootnoteReference"/>
          <w:rFonts w:ascii="David" w:hAnsi="David" w:cs="David"/>
          <w:sz w:val="24"/>
          <w:szCs w:val="24"/>
          <w:rtl/>
        </w:rPr>
        <w:footnoteReference w:id="1"/>
      </w:r>
      <w:r w:rsidR="00FE0DFE">
        <w:rPr>
          <w:rFonts w:ascii="David" w:hAnsi="David" w:cs="David" w:hint="cs"/>
          <w:sz w:val="24"/>
          <w:szCs w:val="24"/>
          <w:rtl/>
        </w:rPr>
        <w:t xml:space="preserve"> מצידה של מרי ולאור כך לדרוש לביטול החוזה. </w:t>
      </w:r>
    </w:p>
    <w:p w14:paraId="429EA2EB" w14:textId="77777777" w:rsidR="00EA5E13" w:rsidRDefault="00FE0DFE" w:rsidP="00B82EEB">
      <w:pPr>
        <w:pStyle w:val="ListParagraph"/>
        <w:spacing w:line="360" w:lineRule="auto"/>
        <w:rPr>
          <w:rFonts w:ascii="David" w:hAnsi="David" w:cs="David"/>
          <w:sz w:val="24"/>
          <w:szCs w:val="24"/>
          <w:rtl/>
        </w:rPr>
      </w:pPr>
      <w:r>
        <w:rPr>
          <w:rFonts w:ascii="David" w:hAnsi="David" w:cs="David" w:hint="cs"/>
          <w:sz w:val="24"/>
          <w:szCs w:val="24"/>
          <w:rtl/>
        </w:rPr>
        <w:t>נפרט בנפרד על כל עיל</w:t>
      </w:r>
      <w:r w:rsidR="00B82EEB">
        <w:rPr>
          <w:rFonts w:ascii="David" w:hAnsi="David" w:cs="David" w:hint="cs"/>
          <w:sz w:val="24"/>
          <w:szCs w:val="24"/>
          <w:rtl/>
        </w:rPr>
        <w:t>ת-ביטול</w:t>
      </w:r>
      <w:r>
        <w:rPr>
          <w:rFonts w:ascii="David" w:hAnsi="David" w:cs="David" w:hint="cs"/>
          <w:sz w:val="24"/>
          <w:szCs w:val="24"/>
          <w:rtl/>
        </w:rPr>
        <w:t xml:space="preserve"> </w:t>
      </w:r>
      <w:r w:rsidR="00B82EEB">
        <w:rPr>
          <w:rFonts w:ascii="David" w:hAnsi="David" w:cs="David" w:hint="cs"/>
          <w:sz w:val="24"/>
          <w:szCs w:val="24"/>
          <w:rtl/>
        </w:rPr>
        <w:t>העומדת לזכות תלמה, בנפרד.</w:t>
      </w:r>
    </w:p>
    <w:p w14:paraId="476B8E52" w14:textId="77777777" w:rsidR="006C7BD4" w:rsidRDefault="00FE0DFE" w:rsidP="00B82EEB">
      <w:pPr>
        <w:pStyle w:val="ListParagraph"/>
        <w:spacing w:line="360" w:lineRule="auto"/>
        <w:rPr>
          <w:rFonts w:ascii="David" w:hAnsi="David" w:cs="David"/>
          <w:sz w:val="24"/>
          <w:szCs w:val="24"/>
        </w:rPr>
      </w:pPr>
      <w:r w:rsidRPr="00970412">
        <w:rPr>
          <w:rFonts w:ascii="David" w:hAnsi="David" w:cs="David" w:hint="cs"/>
          <w:b/>
          <w:bCs/>
          <w:sz w:val="24"/>
          <w:szCs w:val="24"/>
          <w:u w:val="single"/>
          <w:rtl/>
        </w:rPr>
        <w:t>כפיה-</w:t>
      </w:r>
      <w:r>
        <w:rPr>
          <w:rFonts w:ascii="David" w:hAnsi="David" w:cs="David" w:hint="cs"/>
          <w:b/>
          <w:bCs/>
          <w:sz w:val="24"/>
          <w:szCs w:val="24"/>
          <w:rtl/>
        </w:rPr>
        <w:t xml:space="preserve"> </w:t>
      </w:r>
      <w:r w:rsidR="000668C5">
        <w:rPr>
          <w:rFonts w:ascii="David" w:hAnsi="David" w:cs="David" w:hint="cs"/>
          <w:sz w:val="24"/>
          <w:szCs w:val="24"/>
          <w:rtl/>
        </w:rPr>
        <w:t xml:space="preserve">ע"פ </w:t>
      </w:r>
      <w:r w:rsidR="000668C5" w:rsidRPr="000668C5">
        <w:rPr>
          <w:rFonts w:ascii="David" w:hAnsi="David" w:cs="David"/>
          <w:sz w:val="24"/>
          <w:szCs w:val="24"/>
          <w:rtl/>
        </w:rPr>
        <w:t>השופטת ט' שטרסברג-כהן</w:t>
      </w:r>
      <w:r w:rsidR="00D13A2E">
        <w:rPr>
          <w:rFonts w:ascii="David" w:hAnsi="David" w:cs="David" w:hint="cs"/>
          <w:sz w:val="24"/>
          <w:szCs w:val="24"/>
          <w:rtl/>
        </w:rPr>
        <w:t>,</w:t>
      </w:r>
      <w:r w:rsidR="000668C5">
        <w:rPr>
          <w:rStyle w:val="FootnoteReference"/>
          <w:rFonts w:ascii="David" w:hAnsi="David" w:cs="David"/>
          <w:sz w:val="24"/>
          <w:szCs w:val="24"/>
          <w:rtl/>
        </w:rPr>
        <w:footnoteReference w:id="2"/>
      </w:r>
      <w:r w:rsidR="000668C5">
        <w:rPr>
          <w:rFonts w:ascii="David" w:hAnsi="David" w:cs="David" w:hint="cs"/>
          <w:sz w:val="24"/>
          <w:szCs w:val="24"/>
          <w:rtl/>
        </w:rPr>
        <w:t xml:space="preserve"> עילת הכפיה מורכבת משלושה תנאים מצטברים:</w:t>
      </w:r>
    </w:p>
    <w:p w14:paraId="1A9BF45B" w14:textId="55C367FD" w:rsidR="006C7BD4" w:rsidRDefault="000668C5" w:rsidP="00B82EEB">
      <w:pPr>
        <w:pStyle w:val="ListParagraph"/>
        <w:spacing w:line="360" w:lineRule="auto"/>
        <w:rPr>
          <w:rFonts w:ascii="David" w:hAnsi="David" w:cs="David"/>
          <w:sz w:val="24"/>
          <w:szCs w:val="24"/>
        </w:rPr>
      </w:pPr>
      <w:r>
        <w:rPr>
          <w:rFonts w:ascii="David" w:hAnsi="David" w:cs="David" w:hint="cs"/>
          <w:sz w:val="24"/>
          <w:szCs w:val="24"/>
          <w:rtl/>
        </w:rPr>
        <w:t xml:space="preserve"> 1. </w:t>
      </w:r>
      <w:r w:rsidR="00B82EEB" w:rsidRPr="00B82EEB">
        <w:rPr>
          <w:rFonts w:ascii="David" w:hAnsi="David" w:cs="David"/>
          <w:sz w:val="24"/>
          <w:szCs w:val="24"/>
          <w:rtl/>
        </w:rPr>
        <w:t>התקשרות חוזית</w:t>
      </w:r>
      <w:r w:rsidR="006C7BD4">
        <w:rPr>
          <w:rFonts w:ascii="David" w:hAnsi="David" w:cs="David"/>
          <w:sz w:val="24"/>
          <w:szCs w:val="24"/>
        </w:rPr>
        <w:t>.</w:t>
      </w:r>
    </w:p>
    <w:p w14:paraId="28080E8A" w14:textId="364D7D0F" w:rsidR="006C7BD4" w:rsidRDefault="00B82EEB" w:rsidP="006C7BD4">
      <w:pPr>
        <w:pStyle w:val="ListParagraph"/>
        <w:spacing w:line="360" w:lineRule="auto"/>
        <w:rPr>
          <w:rFonts w:ascii="David" w:hAnsi="David" w:cs="David"/>
          <w:sz w:val="24"/>
          <w:szCs w:val="24"/>
        </w:rPr>
      </w:pPr>
      <w:r w:rsidRPr="00B82EEB">
        <w:rPr>
          <w:rFonts w:ascii="David" w:hAnsi="David" w:cs="David"/>
          <w:sz w:val="24"/>
          <w:szCs w:val="24"/>
          <w:rtl/>
        </w:rPr>
        <w:t xml:space="preserve"> </w:t>
      </w:r>
      <w:r>
        <w:rPr>
          <w:rFonts w:ascii="David" w:hAnsi="David" w:cs="David" w:hint="cs"/>
          <w:sz w:val="24"/>
          <w:szCs w:val="24"/>
          <w:rtl/>
        </w:rPr>
        <w:t xml:space="preserve">2. </w:t>
      </w:r>
      <w:r w:rsidRPr="00B82EEB">
        <w:rPr>
          <w:rFonts w:ascii="David" w:hAnsi="David" w:cs="David"/>
          <w:sz w:val="24"/>
          <w:szCs w:val="24"/>
          <w:rtl/>
        </w:rPr>
        <w:t>קיומה של כפייה</w:t>
      </w:r>
      <w:r w:rsidR="006C7BD4">
        <w:rPr>
          <w:rFonts w:ascii="David" w:hAnsi="David" w:cs="David"/>
          <w:sz w:val="24"/>
          <w:szCs w:val="24"/>
        </w:rPr>
        <w:t>.</w:t>
      </w:r>
    </w:p>
    <w:p w14:paraId="5ADCE8E3" w14:textId="74F2F759" w:rsidR="00FE0DFE" w:rsidRPr="006C7BD4" w:rsidRDefault="00B82EEB" w:rsidP="006C7BD4">
      <w:pPr>
        <w:pStyle w:val="ListParagraph"/>
        <w:spacing w:line="360" w:lineRule="auto"/>
        <w:rPr>
          <w:rFonts w:ascii="David" w:hAnsi="David" w:cs="David"/>
          <w:sz w:val="24"/>
          <w:szCs w:val="24"/>
          <w:rtl/>
        </w:rPr>
      </w:pPr>
      <w:r w:rsidRPr="00B82EEB">
        <w:rPr>
          <w:rFonts w:ascii="David" w:hAnsi="David" w:cs="David"/>
          <w:sz w:val="24"/>
          <w:szCs w:val="24"/>
          <w:rtl/>
        </w:rPr>
        <w:t xml:space="preserve"> </w:t>
      </w:r>
      <w:r>
        <w:rPr>
          <w:rFonts w:ascii="David" w:hAnsi="David" w:cs="David" w:hint="cs"/>
          <w:sz w:val="24"/>
          <w:szCs w:val="24"/>
          <w:rtl/>
        </w:rPr>
        <w:t>3</w:t>
      </w:r>
      <w:r w:rsidRPr="006C7BD4">
        <w:rPr>
          <w:rFonts w:ascii="David" w:hAnsi="David" w:cs="David" w:hint="cs"/>
          <w:sz w:val="24"/>
          <w:szCs w:val="24"/>
          <w:rtl/>
        </w:rPr>
        <w:t xml:space="preserve">. </w:t>
      </w:r>
      <w:r w:rsidRPr="006C7BD4">
        <w:rPr>
          <w:rFonts w:ascii="David" w:hAnsi="David" w:cs="David"/>
          <w:sz w:val="24"/>
          <w:szCs w:val="24"/>
          <w:rtl/>
        </w:rPr>
        <w:t>קשר סיבתי בין הכפיי</w:t>
      </w:r>
      <w:r w:rsidRPr="006C7BD4">
        <w:rPr>
          <w:rFonts w:ascii="David" w:hAnsi="David" w:cs="David" w:hint="cs"/>
          <w:sz w:val="24"/>
          <w:szCs w:val="24"/>
          <w:rtl/>
        </w:rPr>
        <w:t>ה</w:t>
      </w:r>
      <w:r w:rsidRPr="006C7BD4">
        <w:rPr>
          <w:rFonts w:ascii="David" w:hAnsi="David" w:cs="David"/>
          <w:sz w:val="24"/>
          <w:szCs w:val="24"/>
          <w:rtl/>
        </w:rPr>
        <w:t xml:space="preserve"> לבין ההתקשרות.</w:t>
      </w:r>
      <w:r w:rsidRPr="006C7BD4">
        <w:rPr>
          <w:rFonts w:ascii="David" w:hAnsi="David" w:cs="David" w:hint="cs"/>
          <w:sz w:val="24"/>
          <w:szCs w:val="24"/>
          <w:rtl/>
        </w:rPr>
        <w:t xml:space="preserve"> </w:t>
      </w:r>
    </w:p>
    <w:p w14:paraId="67DF2C4C" w14:textId="77777777" w:rsidR="00B82EEB" w:rsidRDefault="00B82EEB" w:rsidP="00B82EEB">
      <w:pPr>
        <w:pStyle w:val="ListParagraph"/>
        <w:spacing w:line="360" w:lineRule="auto"/>
        <w:rPr>
          <w:rFonts w:ascii="David" w:hAnsi="David" w:cs="David"/>
          <w:sz w:val="24"/>
          <w:szCs w:val="24"/>
          <w:rtl/>
        </w:rPr>
      </w:pPr>
      <w:r>
        <w:rPr>
          <w:rFonts w:ascii="David" w:hAnsi="David" w:cs="David" w:hint="cs"/>
          <w:sz w:val="24"/>
          <w:szCs w:val="24"/>
          <w:rtl/>
        </w:rPr>
        <w:t xml:space="preserve">עתה נבחן את שלושת התנאים הללו במקרה שלנו. </w:t>
      </w:r>
    </w:p>
    <w:p w14:paraId="77B345A9" w14:textId="77777777" w:rsidR="004A5844" w:rsidRDefault="00B82EEB" w:rsidP="004A5844">
      <w:pPr>
        <w:pStyle w:val="ListParagraph"/>
        <w:spacing w:line="360" w:lineRule="auto"/>
        <w:rPr>
          <w:rFonts w:ascii="David" w:hAnsi="David" w:cs="David"/>
          <w:sz w:val="24"/>
          <w:szCs w:val="24"/>
        </w:rPr>
      </w:pPr>
      <w:r w:rsidRPr="00D13A2E">
        <w:rPr>
          <w:rFonts w:ascii="David" w:hAnsi="David" w:cs="David" w:hint="cs"/>
          <w:sz w:val="24"/>
          <w:szCs w:val="24"/>
          <w:u w:val="single"/>
          <w:rtl/>
        </w:rPr>
        <w:t>ההתקשרות החוזית</w:t>
      </w:r>
      <w:r>
        <w:rPr>
          <w:rFonts w:ascii="David" w:hAnsi="David" w:cs="David" w:hint="cs"/>
          <w:sz w:val="24"/>
          <w:szCs w:val="24"/>
          <w:rtl/>
        </w:rPr>
        <w:t xml:space="preserve"> בעניינינו היא בעצם העובדה שנחתם חוזה, תוך כדי הצעה וקיבול ע"פ חו</w:t>
      </w:r>
      <w:r w:rsidR="00D13A2E">
        <w:rPr>
          <w:rFonts w:ascii="David" w:hAnsi="David" w:cs="David" w:hint="cs"/>
          <w:sz w:val="24"/>
          <w:szCs w:val="24"/>
          <w:rtl/>
        </w:rPr>
        <w:t xml:space="preserve">ה"ח, על כך אין עוררין. </w:t>
      </w:r>
      <w:r w:rsidR="00D13A2E">
        <w:rPr>
          <w:rFonts w:ascii="David" w:hAnsi="David" w:cs="David" w:hint="cs"/>
          <w:sz w:val="24"/>
          <w:szCs w:val="24"/>
          <w:u w:val="single"/>
          <w:rtl/>
        </w:rPr>
        <w:t>קיומה של כפייה-</w:t>
      </w:r>
      <w:r w:rsidR="00D13A2E">
        <w:rPr>
          <w:rFonts w:ascii="David" w:hAnsi="David" w:cs="David" w:hint="cs"/>
          <w:sz w:val="24"/>
          <w:szCs w:val="24"/>
          <w:rtl/>
        </w:rPr>
        <w:t xml:space="preserve"> ה</w:t>
      </w:r>
      <w:r w:rsidR="004A5844">
        <w:rPr>
          <w:rFonts w:ascii="David" w:hAnsi="David" w:cs="David" w:hint="cs"/>
          <w:sz w:val="24"/>
          <w:szCs w:val="24"/>
          <w:rtl/>
        </w:rPr>
        <w:t>אזהרה</w:t>
      </w:r>
      <w:r w:rsidR="00D13A2E">
        <w:rPr>
          <w:rFonts w:ascii="David" w:hAnsi="David" w:cs="David" w:hint="cs"/>
          <w:sz w:val="24"/>
          <w:szCs w:val="24"/>
          <w:rtl/>
        </w:rPr>
        <w:t xml:space="preserve"> של מרי </w:t>
      </w:r>
      <w:r w:rsidR="004A5844">
        <w:rPr>
          <w:rFonts w:ascii="David" w:hAnsi="David" w:cs="David" w:hint="cs"/>
          <w:sz w:val="24"/>
          <w:szCs w:val="24"/>
          <w:rtl/>
        </w:rPr>
        <w:t xml:space="preserve">כלפי </w:t>
      </w:r>
      <w:r w:rsidR="00D13A2E">
        <w:rPr>
          <w:rFonts w:ascii="David" w:hAnsi="David" w:cs="David" w:hint="cs"/>
          <w:sz w:val="24"/>
          <w:szCs w:val="24"/>
          <w:rtl/>
        </w:rPr>
        <w:t>תלמה בכך שלא יהיה איש לסעוד ולהאכיל אותה</w:t>
      </w:r>
      <w:r w:rsidR="004A5844">
        <w:rPr>
          <w:rFonts w:ascii="David" w:hAnsi="David" w:cs="David" w:hint="cs"/>
          <w:sz w:val="24"/>
          <w:szCs w:val="24"/>
          <w:rtl/>
        </w:rPr>
        <w:t>, אם תחליט לעזוב אותה ו</w:t>
      </w:r>
      <w:r w:rsidR="00D13A2E">
        <w:rPr>
          <w:rFonts w:ascii="David" w:hAnsi="David" w:cs="David" w:hint="cs"/>
          <w:sz w:val="24"/>
          <w:szCs w:val="24"/>
          <w:rtl/>
        </w:rPr>
        <w:t>כתוצאה מכך היא תמות</w:t>
      </w:r>
      <w:r w:rsidR="004A5844">
        <w:rPr>
          <w:rFonts w:ascii="David" w:hAnsi="David" w:cs="David" w:hint="cs"/>
          <w:sz w:val="24"/>
          <w:szCs w:val="24"/>
          <w:rtl/>
        </w:rPr>
        <w:t>,</w:t>
      </w:r>
      <w:r w:rsidR="00D13A2E">
        <w:rPr>
          <w:rFonts w:ascii="David" w:hAnsi="David" w:cs="David" w:hint="cs"/>
          <w:sz w:val="24"/>
          <w:szCs w:val="24"/>
          <w:rtl/>
        </w:rPr>
        <w:t xml:space="preserve"> ה</w:t>
      </w:r>
      <w:r w:rsidR="004A5844">
        <w:rPr>
          <w:rFonts w:ascii="David" w:hAnsi="David" w:cs="David" w:hint="cs"/>
          <w:sz w:val="24"/>
          <w:szCs w:val="24"/>
          <w:rtl/>
        </w:rPr>
        <w:t>י</w:t>
      </w:r>
      <w:r w:rsidR="00D13A2E">
        <w:rPr>
          <w:rFonts w:ascii="David" w:hAnsi="David" w:cs="David" w:hint="cs"/>
          <w:sz w:val="24"/>
          <w:szCs w:val="24"/>
          <w:rtl/>
        </w:rPr>
        <w:t>א כפייה באיום</w:t>
      </w:r>
      <w:r w:rsidR="004A5844">
        <w:rPr>
          <w:rFonts w:ascii="David" w:hAnsi="David" w:cs="David" w:hint="cs"/>
          <w:sz w:val="24"/>
          <w:szCs w:val="24"/>
          <w:rtl/>
        </w:rPr>
        <w:t xml:space="preserve"> על חייה של תלמה</w:t>
      </w:r>
      <w:r w:rsidR="00D13A2E">
        <w:rPr>
          <w:rFonts w:ascii="David" w:hAnsi="David" w:cs="David" w:hint="cs"/>
          <w:sz w:val="24"/>
          <w:szCs w:val="24"/>
          <w:rtl/>
        </w:rPr>
        <w:t>.</w:t>
      </w:r>
      <w:r w:rsidR="00D13A2E">
        <w:rPr>
          <w:rStyle w:val="FootnoteReference"/>
          <w:rFonts w:ascii="David" w:hAnsi="David" w:cs="David"/>
          <w:sz w:val="24"/>
          <w:szCs w:val="24"/>
        </w:rPr>
        <w:footnoteReference w:id="3"/>
      </w:r>
    </w:p>
    <w:p w14:paraId="33844D5F" w14:textId="2FB17698" w:rsidR="00D14A23" w:rsidRDefault="004A5844" w:rsidP="004A5844">
      <w:pPr>
        <w:pStyle w:val="ListParagraph"/>
        <w:spacing w:line="360" w:lineRule="auto"/>
        <w:rPr>
          <w:rFonts w:ascii="David" w:hAnsi="David" w:cs="David"/>
          <w:sz w:val="24"/>
          <w:szCs w:val="24"/>
          <w:rtl/>
        </w:rPr>
      </w:pPr>
      <w:r>
        <w:rPr>
          <w:rFonts w:ascii="David" w:hAnsi="David" w:cs="David" w:hint="cs"/>
          <w:sz w:val="24"/>
          <w:szCs w:val="24"/>
          <w:u w:val="single"/>
          <w:rtl/>
        </w:rPr>
        <w:t>קשר סיבתי-</w:t>
      </w:r>
      <w:r>
        <w:rPr>
          <w:rFonts w:ascii="David" w:hAnsi="David" w:cs="David" w:hint="cs"/>
          <w:sz w:val="24"/>
          <w:szCs w:val="24"/>
          <w:rtl/>
        </w:rPr>
        <w:t xml:space="preserve"> </w:t>
      </w:r>
      <w:r w:rsidR="00CA1B51">
        <w:rPr>
          <w:rFonts w:ascii="David" w:hAnsi="David" w:cs="David" w:hint="cs"/>
          <w:sz w:val="24"/>
          <w:szCs w:val="24"/>
          <w:rtl/>
        </w:rPr>
        <w:t xml:space="preserve">התנהגותה של תלמה, כמו גם אמרתה כי אינה מוכנה לחוזה כזה כלל, ואף שדרשה לדבר עם אמנון לפני חתימתה על החוזה, </w:t>
      </w:r>
      <w:r w:rsidR="00C82062">
        <w:rPr>
          <w:rFonts w:ascii="David" w:hAnsi="David" w:cs="David" w:hint="cs"/>
          <w:sz w:val="24"/>
          <w:szCs w:val="24"/>
          <w:rtl/>
        </w:rPr>
        <w:t>מוכיחה</w:t>
      </w:r>
      <w:r w:rsidR="00CA1B51">
        <w:rPr>
          <w:rFonts w:ascii="David" w:hAnsi="David" w:cs="David" w:hint="cs"/>
          <w:sz w:val="24"/>
          <w:szCs w:val="24"/>
          <w:rtl/>
        </w:rPr>
        <w:t xml:space="preserve"> כי הסיבה היחידה שחתמה על החוזה היא העובדה </w:t>
      </w:r>
    </w:p>
    <w:p w14:paraId="7598FB6B" w14:textId="77777777" w:rsidR="004A5844" w:rsidRDefault="00CA1B51" w:rsidP="004A5844">
      <w:pPr>
        <w:pStyle w:val="ListParagraph"/>
        <w:spacing w:line="360" w:lineRule="auto"/>
        <w:rPr>
          <w:rFonts w:ascii="David" w:hAnsi="David" w:cs="David"/>
          <w:sz w:val="24"/>
          <w:szCs w:val="24"/>
          <w:rtl/>
        </w:rPr>
      </w:pPr>
      <w:r>
        <w:rPr>
          <w:rFonts w:ascii="David" w:hAnsi="David" w:cs="David" w:hint="cs"/>
          <w:sz w:val="24"/>
          <w:szCs w:val="24"/>
          <w:rtl/>
        </w:rPr>
        <w:t>שמרי מנעה ממנה את רצונה וכפתה עליה לחתום מיידית על החוזה, תוך כדי איום מילולי.</w:t>
      </w:r>
      <w:r>
        <w:rPr>
          <w:rStyle w:val="FootnoteReference"/>
          <w:rFonts w:ascii="David" w:hAnsi="David" w:cs="David"/>
          <w:sz w:val="24"/>
          <w:szCs w:val="24"/>
          <w:rtl/>
        </w:rPr>
        <w:footnoteReference w:id="4"/>
      </w:r>
      <w:r>
        <w:rPr>
          <w:rFonts w:ascii="David" w:hAnsi="David" w:cs="David" w:hint="cs"/>
          <w:sz w:val="24"/>
          <w:szCs w:val="24"/>
          <w:rtl/>
        </w:rPr>
        <w:t xml:space="preserve"> </w:t>
      </w:r>
    </w:p>
    <w:p w14:paraId="08F223C6" w14:textId="5A49197C" w:rsidR="00725B47" w:rsidRDefault="00C82062" w:rsidP="004A5844">
      <w:pPr>
        <w:pStyle w:val="ListParagraph"/>
        <w:spacing w:line="360" w:lineRule="auto"/>
        <w:rPr>
          <w:rFonts w:ascii="David" w:hAnsi="David" w:cs="David"/>
          <w:sz w:val="24"/>
          <w:szCs w:val="24"/>
          <w:rtl/>
        </w:rPr>
      </w:pPr>
      <w:r>
        <w:rPr>
          <w:rFonts w:ascii="David" w:hAnsi="David" w:cs="David" w:hint="cs"/>
          <w:sz w:val="24"/>
          <w:szCs w:val="24"/>
          <w:rtl/>
        </w:rPr>
        <w:t>הודעתה</w:t>
      </w:r>
      <w:r w:rsidR="00D14A23">
        <w:rPr>
          <w:rFonts w:ascii="David" w:hAnsi="David" w:cs="David" w:hint="cs"/>
          <w:sz w:val="24"/>
          <w:szCs w:val="24"/>
          <w:rtl/>
        </w:rPr>
        <w:t xml:space="preserve"> של מרי</w:t>
      </w:r>
      <w:r>
        <w:rPr>
          <w:rFonts w:ascii="David" w:hAnsi="David" w:cs="David" w:hint="cs"/>
          <w:sz w:val="24"/>
          <w:szCs w:val="24"/>
          <w:rtl/>
        </w:rPr>
        <w:t xml:space="preserve"> כי תעזוב,</w:t>
      </w:r>
      <w:r w:rsidR="00D14A23">
        <w:rPr>
          <w:rFonts w:ascii="David" w:hAnsi="David" w:cs="David" w:hint="cs"/>
          <w:sz w:val="24"/>
          <w:szCs w:val="24"/>
          <w:rtl/>
        </w:rPr>
        <w:t xml:space="preserve"> אינה נופלת תחת הקטגוריה של אזהרה על הפעלת זכות בתו"ל,</w:t>
      </w:r>
      <w:r w:rsidR="00D14A23">
        <w:rPr>
          <w:rStyle w:val="FootnoteReference"/>
          <w:rFonts w:ascii="David" w:hAnsi="David" w:cs="David"/>
          <w:sz w:val="24"/>
          <w:szCs w:val="24"/>
          <w:rtl/>
        </w:rPr>
        <w:footnoteReference w:id="5"/>
      </w:r>
      <w:r w:rsidR="00D14A23">
        <w:rPr>
          <w:rFonts w:ascii="David" w:hAnsi="David" w:cs="David" w:hint="cs"/>
          <w:sz w:val="24"/>
          <w:szCs w:val="24"/>
          <w:rtl/>
        </w:rPr>
        <w:t xml:space="preserve"> מכיוון</w:t>
      </w:r>
      <w:r w:rsidR="00725B47">
        <w:rPr>
          <w:rFonts w:ascii="David" w:hAnsi="David" w:cs="David" w:hint="cs"/>
          <w:sz w:val="24"/>
          <w:szCs w:val="24"/>
          <w:rtl/>
        </w:rPr>
        <w:t xml:space="preserve"> שאין ספק כי אמירה כזו אין בה צד של תו"ל</w:t>
      </w:r>
      <w:r>
        <w:rPr>
          <w:rFonts w:ascii="David" w:hAnsi="David" w:cs="David" w:hint="cs"/>
          <w:sz w:val="24"/>
          <w:szCs w:val="24"/>
          <w:rtl/>
        </w:rPr>
        <w:t>, אלא איום בעלמא היא.</w:t>
      </w:r>
    </w:p>
    <w:p w14:paraId="3AF5E69D" w14:textId="77777777" w:rsidR="00C82062" w:rsidRDefault="00C82062" w:rsidP="004A5844">
      <w:pPr>
        <w:pStyle w:val="ListParagraph"/>
        <w:spacing w:line="360" w:lineRule="auto"/>
        <w:rPr>
          <w:rFonts w:ascii="David" w:hAnsi="David" w:cs="David"/>
          <w:sz w:val="24"/>
          <w:szCs w:val="24"/>
          <w:rtl/>
        </w:rPr>
      </w:pPr>
    </w:p>
    <w:p w14:paraId="4C53059F" w14:textId="085447AB" w:rsidR="00A70B29" w:rsidRDefault="00725B47" w:rsidP="004A5844">
      <w:pPr>
        <w:pStyle w:val="ListParagraph"/>
        <w:spacing w:line="360" w:lineRule="auto"/>
        <w:rPr>
          <w:rFonts w:ascii="David" w:hAnsi="David" w:cs="David"/>
          <w:sz w:val="24"/>
          <w:szCs w:val="24"/>
          <w:rtl/>
        </w:rPr>
      </w:pPr>
      <w:r w:rsidRPr="00725B47">
        <w:rPr>
          <w:rFonts w:ascii="David" w:hAnsi="David" w:cs="David" w:hint="cs"/>
          <w:sz w:val="24"/>
          <w:szCs w:val="24"/>
          <w:u w:val="single"/>
          <w:rtl/>
        </w:rPr>
        <w:t>מרי תוכל לטעון לטוב</w:t>
      </w:r>
      <w:r>
        <w:rPr>
          <w:rFonts w:ascii="David" w:hAnsi="David" w:cs="David" w:hint="cs"/>
          <w:sz w:val="24"/>
          <w:szCs w:val="24"/>
          <w:u w:val="single"/>
          <w:rtl/>
        </w:rPr>
        <w:t>ת</w:t>
      </w:r>
      <w:r w:rsidRPr="00725B47">
        <w:rPr>
          <w:rFonts w:ascii="David" w:hAnsi="David" w:cs="David" w:hint="cs"/>
          <w:sz w:val="24"/>
          <w:szCs w:val="24"/>
          <w:u w:val="single"/>
          <w:rtl/>
        </w:rPr>
        <w:t>ה</w:t>
      </w:r>
      <w:r>
        <w:rPr>
          <w:rFonts w:ascii="David" w:hAnsi="David" w:cs="David" w:hint="cs"/>
          <w:sz w:val="24"/>
          <w:szCs w:val="24"/>
          <w:u w:val="single"/>
          <w:rtl/>
        </w:rPr>
        <w:t>-</w:t>
      </w:r>
      <w:r>
        <w:rPr>
          <w:rFonts w:ascii="David" w:hAnsi="David" w:cs="David" w:hint="cs"/>
          <w:sz w:val="24"/>
          <w:szCs w:val="24"/>
          <w:rtl/>
        </w:rPr>
        <w:t xml:space="preserve"> </w:t>
      </w:r>
      <w:r w:rsidR="006302A5">
        <w:rPr>
          <w:rFonts w:ascii="David" w:hAnsi="David" w:cs="David" w:hint="cs"/>
          <w:sz w:val="24"/>
          <w:szCs w:val="24"/>
          <w:rtl/>
        </w:rPr>
        <w:t xml:space="preserve">כי </w:t>
      </w:r>
      <w:r w:rsidR="00A2152D">
        <w:rPr>
          <w:rFonts w:ascii="David" w:hAnsi="David" w:cs="David" w:hint="cs"/>
          <w:sz w:val="24"/>
          <w:szCs w:val="24"/>
          <w:rtl/>
        </w:rPr>
        <w:t>לא התקיימה במקרה של</w:t>
      </w:r>
      <w:r w:rsidR="00A70B29">
        <w:rPr>
          <w:rFonts w:ascii="David" w:hAnsi="David" w:cs="David" w:hint="cs"/>
          <w:sz w:val="24"/>
          <w:szCs w:val="24"/>
          <w:rtl/>
        </w:rPr>
        <w:t>נו</w:t>
      </w:r>
      <w:r w:rsidR="00A2152D">
        <w:rPr>
          <w:rFonts w:ascii="David" w:hAnsi="David" w:cs="David" w:hint="cs"/>
          <w:sz w:val="24"/>
          <w:szCs w:val="24"/>
          <w:rtl/>
        </w:rPr>
        <w:t xml:space="preserve"> </w:t>
      </w:r>
      <w:r w:rsidR="00A2152D" w:rsidRPr="00A70B29">
        <w:rPr>
          <w:rFonts w:ascii="David" w:hAnsi="David" w:cs="David" w:hint="cs"/>
          <w:b/>
          <w:bCs/>
          <w:sz w:val="24"/>
          <w:szCs w:val="24"/>
          <w:rtl/>
        </w:rPr>
        <w:t>כפייה</w:t>
      </w:r>
      <w:r w:rsidR="00A2152D">
        <w:rPr>
          <w:rFonts w:ascii="David" w:hAnsi="David" w:cs="David" w:hint="cs"/>
          <w:sz w:val="24"/>
          <w:szCs w:val="24"/>
          <w:rtl/>
        </w:rPr>
        <w:t>, מכיוון שבכדי לטעון לכפייה, האיום בפגיעה צריך להיות בלתי חוקי.</w:t>
      </w:r>
      <w:r w:rsidR="00A2152D">
        <w:rPr>
          <w:rStyle w:val="FootnoteReference"/>
          <w:rFonts w:ascii="David" w:hAnsi="David" w:cs="David"/>
          <w:sz w:val="24"/>
          <w:szCs w:val="24"/>
          <w:rtl/>
        </w:rPr>
        <w:footnoteReference w:id="6"/>
      </w:r>
      <w:r w:rsidR="00A2152D">
        <w:rPr>
          <w:rFonts w:ascii="David" w:hAnsi="David" w:cs="David" w:hint="cs"/>
          <w:sz w:val="24"/>
          <w:szCs w:val="24"/>
          <w:rtl/>
        </w:rPr>
        <w:t xml:space="preserve"> </w:t>
      </w:r>
      <w:r w:rsidR="00A70B29">
        <w:rPr>
          <w:rFonts w:ascii="David" w:hAnsi="David" w:cs="David" w:hint="cs"/>
          <w:sz w:val="24"/>
          <w:szCs w:val="24"/>
          <w:rtl/>
        </w:rPr>
        <w:t>לטענתה, האיום מצידה שתעזוב את הדירה אינו בלתי חוקי,</w:t>
      </w:r>
      <w:r w:rsidR="00132128">
        <w:rPr>
          <w:rFonts w:ascii="David" w:hAnsi="David" w:cs="David" w:hint="cs"/>
          <w:sz w:val="24"/>
          <w:szCs w:val="24"/>
          <w:rtl/>
        </w:rPr>
        <w:t xml:space="preserve"> </w:t>
      </w:r>
      <w:r w:rsidR="00A70B29">
        <w:rPr>
          <w:rFonts w:ascii="David" w:hAnsi="David" w:cs="David" w:hint="cs"/>
          <w:sz w:val="24"/>
          <w:szCs w:val="24"/>
          <w:rtl/>
        </w:rPr>
        <w:t>אלא, לכל היותר מהווה פגיעה בחוזה העבודה בינה לבין תלמה.</w:t>
      </w:r>
      <w:r w:rsidR="00C82062">
        <w:rPr>
          <w:rFonts w:ascii="David" w:hAnsi="David" w:cs="David" w:hint="cs"/>
          <w:sz w:val="24"/>
          <w:szCs w:val="24"/>
          <w:rtl/>
        </w:rPr>
        <w:t xml:space="preserve"> </w:t>
      </w:r>
      <w:r w:rsidR="00A70B29">
        <w:rPr>
          <w:rFonts w:ascii="David" w:hAnsi="David" w:cs="David" w:hint="cs"/>
          <w:sz w:val="24"/>
          <w:szCs w:val="24"/>
          <w:u w:val="single"/>
          <w:rtl/>
        </w:rPr>
        <w:t>מרי תוכל להוסיף ולטעון</w:t>
      </w:r>
      <w:r w:rsidR="00A70B29">
        <w:rPr>
          <w:rFonts w:ascii="David" w:hAnsi="David" w:cs="David" w:hint="cs"/>
          <w:sz w:val="24"/>
          <w:szCs w:val="24"/>
          <w:rtl/>
        </w:rPr>
        <w:t xml:space="preserve"> כי גם היסוד השלישי, הלוא הוא,</w:t>
      </w:r>
      <w:r w:rsidR="00A70B29" w:rsidRPr="00A70B29">
        <w:rPr>
          <w:rFonts w:ascii="David" w:hAnsi="David" w:cs="David" w:hint="cs"/>
          <w:b/>
          <w:bCs/>
          <w:sz w:val="24"/>
          <w:szCs w:val="24"/>
          <w:rtl/>
        </w:rPr>
        <w:t xml:space="preserve"> קשר סיבתי</w:t>
      </w:r>
      <w:r w:rsidR="00132128">
        <w:rPr>
          <w:rFonts w:ascii="David" w:hAnsi="David" w:cs="David" w:hint="cs"/>
          <w:b/>
          <w:bCs/>
          <w:sz w:val="24"/>
          <w:szCs w:val="24"/>
          <w:rtl/>
        </w:rPr>
        <w:t xml:space="preserve"> בין ההתקשרות לבין הכפיה,</w:t>
      </w:r>
      <w:r w:rsidR="00A70B29" w:rsidRPr="00A70B29">
        <w:rPr>
          <w:rFonts w:ascii="David" w:hAnsi="David" w:cs="David" w:hint="cs"/>
          <w:b/>
          <w:bCs/>
          <w:sz w:val="24"/>
          <w:szCs w:val="24"/>
          <w:rtl/>
        </w:rPr>
        <w:t xml:space="preserve"> </w:t>
      </w:r>
      <w:r w:rsidR="00A70B29">
        <w:rPr>
          <w:rFonts w:ascii="David" w:hAnsi="David" w:cs="David" w:hint="cs"/>
          <w:sz w:val="24"/>
          <w:szCs w:val="24"/>
          <w:rtl/>
        </w:rPr>
        <w:t xml:space="preserve">לא התקיים, וזאת מכיוון שלאחר האיום שלה </w:t>
      </w:r>
      <w:r w:rsidR="00B66ACA">
        <w:rPr>
          <w:rFonts w:ascii="David" w:hAnsi="David" w:cs="David" w:hint="cs"/>
          <w:sz w:val="24"/>
          <w:szCs w:val="24"/>
          <w:rtl/>
        </w:rPr>
        <w:t>ת</w:t>
      </w:r>
      <w:r w:rsidR="00C82062">
        <w:rPr>
          <w:rFonts w:ascii="David" w:hAnsi="David" w:cs="David" w:hint="cs"/>
          <w:sz w:val="24"/>
          <w:szCs w:val="24"/>
          <w:rtl/>
        </w:rPr>
        <w:t>למה</w:t>
      </w:r>
      <w:r w:rsidR="00B66ACA">
        <w:rPr>
          <w:rFonts w:ascii="David" w:hAnsi="David" w:cs="David" w:hint="cs"/>
          <w:sz w:val="24"/>
          <w:szCs w:val="24"/>
          <w:rtl/>
        </w:rPr>
        <w:t xml:space="preserve"> היססה ו</w:t>
      </w:r>
      <w:r w:rsidR="00A70B29">
        <w:rPr>
          <w:rFonts w:ascii="David" w:hAnsi="David" w:cs="David" w:hint="cs"/>
          <w:sz w:val="24"/>
          <w:szCs w:val="24"/>
          <w:rtl/>
        </w:rPr>
        <w:t>לא נכרת החוזה</w:t>
      </w:r>
      <w:r w:rsidR="003C5C0C">
        <w:rPr>
          <w:rFonts w:ascii="David" w:hAnsi="David" w:cs="David" w:hint="cs"/>
          <w:sz w:val="24"/>
          <w:szCs w:val="24"/>
          <w:rtl/>
        </w:rPr>
        <w:t xml:space="preserve"> מיידית</w:t>
      </w:r>
      <w:r w:rsidR="00B66ACA">
        <w:rPr>
          <w:rFonts w:ascii="David" w:hAnsi="David" w:cs="David" w:hint="cs"/>
          <w:sz w:val="24"/>
          <w:szCs w:val="24"/>
          <w:rtl/>
        </w:rPr>
        <w:t xml:space="preserve">, </w:t>
      </w:r>
      <w:r w:rsidR="00A70B29">
        <w:rPr>
          <w:rFonts w:ascii="David" w:hAnsi="David" w:cs="David" w:hint="cs"/>
          <w:sz w:val="24"/>
          <w:szCs w:val="24"/>
          <w:rtl/>
        </w:rPr>
        <w:t xml:space="preserve">אלא החוזה נכרת רק לאחר שהיא שכנעה את מרי כי כדאי לה למכור לה את דירתה וליהנות מהכסף בשנותיה האחרונות. </w:t>
      </w:r>
    </w:p>
    <w:p w14:paraId="280B826D" w14:textId="3C70E13F" w:rsidR="00132128" w:rsidRDefault="00A70B29" w:rsidP="00281516">
      <w:pPr>
        <w:pStyle w:val="ListParagraph"/>
        <w:spacing w:line="360" w:lineRule="auto"/>
        <w:rPr>
          <w:rFonts w:ascii="David" w:hAnsi="David" w:cs="David"/>
          <w:sz w:val="24"/>
          <w:szCs w:val="24"/>
          <w:rtl/>
        </w:rPr>
      </w:pPr>
      <w:r w:rsidRPr="00A70B29">
        <w:rPr>
          <w:rFonts w:ascii="David" w:hAnsi="David" w:cs="David" w:hint="cs"/>
          <w:sz w:val="24"/>
          <w:szCs w:val="24"/>
          <w:u w:val="single"/>
          <w:rtl/>
        </w:rPr>
        <w:t>לטענות אלו אשיב, כבא-כוחו של אמנון</w:t>
      </w:r>
      <w:r>
        <w:rPr>
          <w:rFonts w:ascii="David" w:hAnsi="David" w:cs="David" w:hint="cs"/>
          <w:sz w:val="24"/>
          <w:szCs w:val="24"/>
          <w:u w:val="single"/>
          <w:rtl/>
        </w:rPr>
        <w:t>,</w:t>
      </w:r>
      <w:r>
        <w:rPr>
          <w:rFonts w:ascii="David" w:hAnsi="David" w:cs="David" w:hint="cs"/>
          <w:sz w:val="24"/>
          <w:szCs w:val="24"/>
          <w:rtl/>
        </w:rPr>
        <w:t xml:space="preserve"> כי</w:t>
      </w:r>
      <w:r w:rsidR="00132128">
        <w:rPr>
          <w:rFonts w:ascii="David" w:hAnsi="David" w:cs="David" w:hint="cs"/>
          <w:sz w:val="24"/>
          <w:szCs w:val="24"/>
          <w:rtl/>
        </w:rPr>
        <w:t xml:space="preserve"> </w:t>
      </w:r>
      <w:r w:rsidR="00D4082A">
        <w:rPr>
          <w:rFonts w:ascii="David" w:hAnsi="David" w:cs="David" w:hint="cs"/>
          <w:sz w:val="24"/>
          <w:szCs w:val="24"/>
          <w:rtl/>
        </w:rPr>
        <w:t xml:space="preserve">על </w:t>
      </w:r>
      <w:r w:rsidR="00132128">
        <w:rPr>
          <w:rFonts w:ascii="David" w:hAnsi="David" w:cs="David" w:hint="cs"/>
          <w:sz w:val="24"/>
          <w:szCs w:val="24"/>
          <w:rtl/>
        </w:rPr>
        <w:t>פי אותו מאמר שהתבססה מרי נותנת פרופ' שלו דוגמא</w:t>
      </w:r>
      <w:r w:rsidR="003C5C0C">
        <w:rPr>
          <w:rFonts w:ascii="David" w:hAnsi="David" w:cs="David" w:hint="cs"/>
          <w:sz w:val="24"/>
          <w:szCs w:val="24"/>
          <w:rtl/>
        </w:rPr>
        <w:t xml:space="preserve">, </w:t>
      </w:r>
      <w:r w:rsidR="00132128">
        <w:rPr>
          <w:rFonts w:ascii="David" w:hAnsi="David" w:cs="David" w:hint="cs"/>
          <w:sz w:val="24"/>
          <w:szCs w:val="24"/>
          <w:rtl/>
        </w:rPr>
        <w:t>שכאשר התחיל איש מקצוע את עבודתו, והלקוח תלוי בו</w:t>
      </w:r>
      <w:r w:rsidR="003C5C0C">
        <w:rPr>
          <w:rFonts w:ascii="David" w:hAnsi="David" w:cs="David" w:hint="cs"/>
          <w:sz w:val="24"/>
          <w:szCs w:val="24"/>
          <w:rtl/>
        </w:rPr>
        <w:t>,</w:t>
      </w:r>
      <w:r w:rsidR="00132128">
        <w:rPr>
          <w:rFonts w:ascii="David" w:hAnsi="David" w:cs="David" w:hint="cs"/>
          <w:sz w:val="24"/>
          <w:szCs w:val="24"/>
          <w:rtl/>
        </w:rPr>
        <w:t xml:space="preserve"> ניסיון לנצל מצב זה </w:t>
      </w:r>
      <w:r w:rsidR="003C5C0C">
        <w:rPr>
          <w:rFonts w:ascii="David" w:hAnsi="David" w:cs="David" w:hint="cs"/>
          <w:sz w:val="24"/>
          <w:szCs w:val="24"/>
          <w:rtl/>
        </w:rPr>
        <w:t>א</w:t>
      </w:r>
      <w:r w:rsidR="00132128">
        <w:rPr>
          <w:rFonts w:ascii="David" w:hAnsi="David" w:cs="David" w:hint="cs"/>
          <w:sz w:val="24"/>
          <w:szCs w:val="24"/>
          <w:rtl/>
        </w:rPr>
        <w:t xml:space="preserve">כן נופל בקטגוריה של </w:t>
      </w:r>
      <w:r w:rsidR="003C5C0C">
        <w:rPr>
          <w:rFonts w:ascii="David" w:hAnsi="David" w:cs="David" w:hint="cs"/>
          <w:sz w:val="24"/>
          <w:szCs w:val="24"/>
          <w:rtl/>
        </w:rPr>
        <w:t xml:space="preserve"> מעשה בלתי</w:t>
      </w:r>
      <w:r w:rsidR="00132128">
        <w:rPr>
          <w:rFonts w:ascii="David" w:hAnsi="David" w:cs="David" w:hint="cs"/>
          <w:sz w:val="24"/>
          <w:szCs w:val="24"/>
          <w:rtl/>
        </w:rPr>
        <w:t xml:space="preserve"> חוקי</w:t>
      </w:r>
      <w:r w:rsidR="00970412">
        <w:rPr>
          <w:rFonts w:ascii="David" w:hAnsi="David" w:cs="David" w:hint="cs"/>
          <w:sz w:val="24"/>
          <w:szCs w:val="24"/>
          <w:rtl/>
        </w:rPr>
        <w:t>.</w:t>
      </w:r>
      <w:r w:rsidR="00970412">
        <w:rPr>
          <w:rStyle w:val="FootnoteReference"/>
          <w:rFonts w:ascii="David" w:hAnsi="David" w:cs="David"/>
          <w:sz w:val="24"/>
          <w:szCs w:val="24"/>
          <w:rtl/>
        </w:rPr>
        <w:footnoteReference w:id="7"/>
      </w:r>
      <w:r w:rsidR="00970412">
        <w:rPr>
          <w:rFonts w:ascii="David" w:hAnsi="David" w:cs="David" w:hint="cs"/>
          <w:sz w:val="24"/>
          <w:szCs w:val="24"/>
          <w:rtl/>
        </w:rPr>
        <w:t xml:space="preserve"> בנוסף, תלמה פעלה מכורח מיידי ולוחץ, שהיא נסיבה מקנת זכות ביטול,</w:t>
      </w:r>
      <w:r w:rsidR="00970412">
        <w:rPr>
          <w:rStyle w:val="FootnoteReference"/>
          <w:rFonts w:ascii="David" w:hAnsi="David" w:cs="David"/>
          <w:sz w:val="24"/>
          <w:szCs w:val="24"/>
          <w:rtl/>
        </w:rPr>
        <w:footnoteReference w:id="8"/>
      </w:r>
      <w:r w:rsidR="00970412">
        <w:rPr>
          <w:rFonts w:ascii="David" w:hAnsi="David" w:cs="David" w:hint="cs"/>
          <w:sz w:val="24"/>
          <w:szCs w:val="24"/>
          <w:rtl/>
        </w:rPr>
        <w:t xml:space="preserve"> </w:t>
      </w:r>
      <w:r w:rsidR="00132128">
        <w:rPr>
          <w:rFonts w:ascii="David" w:hAnsi="David" w:cs="David" w:hint="cs"/>
          <w:sz w:val="24"/>
          <w:szCs w:val="24"/>
          <w:rtl/>
        </w:rPr>
        <w:t>לכן מקרה</w:t>
      </w:r>
      <w:r w:rsidR="00AD1F5F">
        <w:rPr>
          <w:rFonts w:ascii="David" w:hAnsi="David" w:cs="David" w:hint="cs"/>
          <w:sz w:val="24"/>
          <w:szCs w:val="24"/>
          <w:rtl/>
        </w:rPr>
        <w:t xml:space="preserve"> זה</w:t>
      </w:r>
      <w:r w:rsidR="00132128">
        <w:rPr>
          <w:rFonts w:ascii="David" w:hAnsi="David" w:cs="David" w:hint="cs"/>
          <w:sz w:val="24"/>
          <w:szCs w:val="24"/>
          <w:rtl/>
        </w:rPr>
        <w:t xml:space="preserve"> הוא לחלוטין </w:t>
      </w:r>
      <w:r w:rsidR="00132128" w:rsidRPr="00132128">
        <w:rPr>
          <w:rFonts w:ascii="David" w:hAnsi="David" w:cs="David" w:hint="cs"/>
          <w:b/>
          <w:bCs/>
          <w:sz w:val="24"/>
          <w:szCs w:val="24"/>
          <w:rtl/>
        </w:rPr>
        <w:t>כפייה</w:t>
      </w:r>
      <w:r w:rsidR="00132128">
        <w:rPr>
          <w:rFonts w:ascii="David" w:hAnsi="David" w:cs="David" w:hint="cs"/>
          <w:b/>
          <w:bCs/>
          <w:sz w:val="24"/>
          <w:szCs w:val="24"/>
          <w:rtl/>
        </w:rPr>
        <w:t>.</w:t>
      </w:r>
      <w:r w:rsidR="00281516">
        <w:rPr>
          <w:rFonts w:ascii="David" w:hAnsi="David" w:cs="David" w:hint="cs"/>
          <w:b/>
          <w:bCs/>
          <w:sz w:val="24"/>
          <w:szCs w:val="24"/>
          <w:rtl/>
        </w:rPr>
        <w:t xml:space="preserve"> </w:t>
      </w:r>
      <w:r w:rsidR="00132128" w:rsidRPr="00281516">
        <w:rPr>
          <w:rFonts w:ascii="David" w:hAnsi="David" w:cs="David" w:hint="cs"/>
          <w:sz w:val="24"/>
          <w:szCs w:val="24"/>
          <w:rtl/>
        </w:rPr>
        <w:t>לעניין טענת ה</w:t>
      </w:r>
      <w:r w:rsidR="00132128" w:rsidRPr="00281516">
        <w:rPr>
          <w:rFonts w:ascii="David" w:hAnsi="David" w:cs="David" w:hint="cs"/>
          <w:b/>
          <w:bCs/>
          <w:sz w:val="24"/>
          <w:szCs w:val="24"/>
          <w:rtl/>
        </w:rPr>
        <w:t xml:space="preserve">קשר הסיבתי, </w:t>
      </w:r>
      <w:r w:rsidR="00132128" w:rsidRPr="00281516">
        <w:rPr>
          <w:rFonts w:ascii="David" w:hAnsi="David" w:cs="David" w:hint="cs"/>
          <w:sz w:val="24"/>
          <w:szCs w:val="24"/>
          <w:rtl/>
        </w:rPr>
        <w:t xml:space="preserve">הקשר זקוק להיות בין ההתקשרות לבין הכפייה, אין כאן כל ספק כי מרי לא הייתה מתקשרת בחוזה זה אלמלא איומה של מרי בתחילת השיחה, בקשותיה לדבר עם בנה ולהתייעץ עם מישהו לפני החתימה מוכיחים זאת. </w:t>
      </w:r>
    </w:p>
    <w:p w14:paraId="4F1D06AF" w14:textId="77777777" w:rsidR="00C82062" w:rsidRPr="00281516" w:rsidRDefault="00C82062" w:rsidP="00281516">
      <w:pPr>
        <w:pStyle w:val="ListParagraph"/>
        <w:spacing w:line="360" w:lineRule="auto"/>
        <w:rPr>
          <w:rFonts w:ascii="David" w:hAnsi="David" w:cs="David"/>
          <w:b/>
          <w:bCs/>
          <w:sz w:val="24"/>
          <w:szCs w:val="24"/>
          <w:rtl/>
        </w:rPr>
      </w:pPr>
    </w:p>
    <w:p w14:paraId="6B51785C" w14:textId="77777777" w:rsidR="00AD1F5F" w:rsidRDefault="00970412" w:rsidP="00BD0BC8">
      <w:pPr>
        <w:pStyle w:val="ListParagraph"/>
        <w:spacing w:line="360" w:lineRule="auto"/>
        <w:rPr>
          <w:rFonts w:ascii="David" w:hAnsi="David" w:cs="David"/>
          <w:sz w:val="24"/>
          <w:szCs w:val="24"/>
          <w:rtl/>
        </w:rPr>
      </w:pPr>
      <w:r w:rsidRPr="00970412">
        <w:rPr>
          <w:rFonts w:ascii="David" w:hAnsi="David" w:cs="David" w:hint="cs"/>
          <w:b/>
          <w:bCs/>
          <w:sz w:val="24"/>
          <w:szCs w:val="24"/>
          <w:u w:val="single"/>
          <w:rtl/>
        </w:rPr>
        <w:lastRenderedPageBreak/>
        <w:t>עילת העושק</w:t>
      </w:r>
      <w:r>
        <w:rPr>
          <w:rFonts w:ascii="David" w:hAnsi="David" w:cs="David" w:hint="cs"/>
          <w:b/>
          <w:bCs/>
          <w:sz w:val="24"/>
          <w:szCs w:val="24"/>
          <w:u w:val="single"/>
          <w:rtl/>
        </w:rPr>
        <w:t>-</w:t>
      </w:r>
      <w:r>
        <w:rPr>
          <w:rFonts w:ascii="David" w:hAnsi="David" w:cs="David" w:hint="cs"/>
          <w:sz w:val="24"/>
          <w:szCs w:val="24"/>
          <w:rtl/>
        </w:rPr>
        <w:t xml:space="preserve"> </w:t>
      </w:r>
      <w:r w:rsidR="00281516" w:rsidRPr="00281516">
        <w:rPr>
          <w:rFonts w:ascii="David" w:hAnsi="David" w:cs="David"/>
          <w:sz w:val="24"/>
          <w:szCs w:val="24"/>
          <w:rtl/>
        </w:rPr>
        <w:t xml:space="preserve">כמוגדר בסעיף 18 </w:t>
      </w:r>
      <w:r w:rsidR="00281516">
        <w:rPr>
          <w:rFonts w:ascii="David" w:hAnsi="David" w:cs="David" w:hint="cs"/>
          <w:sz w:val="24"/>
          <w:szCs w:val="24"/>
          <w:rtl/>
        </w:rPr>
        <w:t xml:space="preserve">לחוה"ח </w:t>
      </w:r>
      <w:r w:rsidR="00281516" w:rsidRPr="00281516">
        <w:rPr>
          <w:rFonts w:ascii="David" w:hAnsi="David" w:cs="David"/>
          <w:sz w:val="24"/>
          <w:szCs w:val="24"/>
          <w:rtl/>
        </w:rPr>
        <w:t>מורכבת ממספר יסודות מצטברים, ואלו הם:</w:t>
      </w:r>
      <w:r w:rsidR="00281516">
        <w:rPr>
          <w:rFonts w:ascii="David" w:hAnsi="David" w:cs="David" w:hint="cs"/>
          <w:sz w:val="24"/>
          <w:szCs w:val="24"/>
          <w:rtl/>
        </w:rPr>
        <w:t xml:space="preserve"> 1. </w:t>
      </w:r>
      <w:r w:rsidR="00281516" w:rsidRPr="00281516">
        <w:rPr>
          <w:rFonts w:ascii="David" w:hAnsi="David" w:cs="David"/>
          <w:sz w:val="24"/>
          <w:szCs w:val="24"/>
          <w:rtl/>
        </w:rPr>
        <w:t>התקשרות בחוזה</w:t>
      </w:r>
      <w:r w:rsidR="00281516" w:rsidRPr="00281516">
        <w:rPr>
          <w:rFonts w:ascii="David" w:hAnsi="David" w:cs="David" w:hint="cs"/>
          <w:sz w:val="24"/>
          <w:szCs w:val="24"/>
          <w:rtl/>
        </w:rPr>
        <w:t xml:space="preserve">. 2. </w:t>
      </w:r>
      <w:r w:rsidR="00476D8B">
        <w:rPr>
          <w:rFonts w:ascii="David" w:hAnsi="David" w:cs="David" w:hint="cs"/>
          <w:sz w:val="24"/>
          <w:szCs w:val="24"/>
          <w:rtl/>
        </w:rPr>
        <w:t>ניצול</w:t>
      </w:r>
      <w:r w:rsidR="00281516" w:rsidRPr="00281516">
        <w:rPr>
          <w:rFonts w:ascii="David" w:hAnsi="David" w:cs="David"/>
          <w:sz w:val="24"/>
          <w:szCs w:val="24"/>
          <w:rtl/>
        </w:rPr>
        <w:t xml:space="preserve"> מוצקה, חולשה שכלית או גופנית או חוסר נסיון</w:t>
      </w:r>
      <w:r w:rsidR="00281516" w:rsidRPr="00281516">
        <w:rPr>
          <w:rFonts w:ascii="David" w:hAnsi="David" w:cs="David" w:hint="cs"/>
          <w:sz w:val="24"/>
          <w:szCs w:val="24"/>
          <w:rtl/>
        </w:rPr>
        <w:t xml:space="preserve">. 3. </w:t>
      </w:r>
      <w:r w:rsidR="00281516" w:rsidRPr="00281516">
        <w:rPr>
          <w:rFonts w:ascii="David" w:hAnsi="David" w:cs="David"/>
          <w:sz w:val="24"/>
          <w:szCs w:val="24"/>
          <w:rtl/>
        </w:rPr>
        <w:t>תנאי החוזה גרועים במידה בלתי סבירה מן המקובל.</w:t>
      </w:r>
      <w:r w:rsidR="00692C33">
        <w:rPr>
          <w:rStyle w:val="FootnoteReference"/>
          <w:rFonts w:ascii="David" w:hAnsi="David" w:cs="David"/>
          <w:sz w:val="24"/>
          <w:szCs w:val="24"/>
          <w:rtl/>
        </w:rPr>
        <w:footnoteReference w:id="9"/>
      </w:r>
    </w:p>
    <w:p w14:paraId="70D79E6A" w14:textId="77777777" w:rsidR="00AD1F5F" w:rsidRDefault="00281516" w:rsidP="00BD0BC8">
      <w:pPr>
        <w:pStyle w:val="ListParagraph"/>
        <w:spacing w:line="360" w:lineRule="auto"/>
        <w:rPr>
          <w:rFonts w:ascii="David" w:hAnsi="David" w:cs="David"/>
          <w:sz w:val="24"/>
          <w:szCs w:val="24"/>
          <w:rtl/>
        </w:rPr>
      </w:pPr>
      <w:r>
        <w:rPr>
          <w:rFonts w:ascii="David" w:hAnsi="David" w:cs="David" w:hint="cs"/>
          <w:sz w:val="24"/>
          <w:szCs w:val="24"/>
          <w:rtl/>
        </w:rPr>
        <w:t xml:space="preserve">אין עוררין על כך שנכרת חוזה. בנוסף אין עוררין על כך שתלמה היתה במצב פיזי רע מאוד ונזדקקה לעזרה תמידית ע"מ לחיות ולכן </w:t>
      </w:r>
      <w:r w:rsidR="00AD1F5F">
        <w:rPr>
          <w:rFonts w:ascii="David" w:hAnsi="David" w:cs="David" w:hint="cs"/>
          <w:sz w:val="24"/>
          <w:szCs w:val="24"/>
          <w:rtl/>
        </w:rPr>
        <w:t>מלכתחילה</w:t>
      </w:r>
      <w:r>
        <w:rPr>
          <w:rFonts w:ascii="David" w:hAnsi="David" w:cs="David" w:hint="cs"/>
          <w:sz w:val="24"/>
          <w:szCs w:val="24"/>
          <w:rtl/>
        </w:rPr>
        <w:t xml:space="preserve"> שכרה את שירותיה של מרי. מרי כמובן ידעה מהו מצבה של תלמה ולכן ידעה כי יכולה היא לנצל אותה. למעשה, ה</w:t>
      </w:r>
      <w:r w:rsidR="00EA63F8">
        <w:rPr>
          <w:rFonts w:ascii="David" w:hAnsi="David" w:cs="David" w:hint="cs"/>
          <w:sz w:val="24"/>
          <w:szCs w:val="24"/>
          <w:rtl/>
        </w:rPr>
        <w:t xml:space="preserve">מחלוקת סובבת סביב </w:t>
      </w:r>
      <w:r w:rsidR="00692C33">
        <w:rPr>
          <w:rFonts w:ascii="David" w:hAnsi="David" w:cs="David" w:hint="cs"/>
          <w:sz w:val="24"/>
          <w:szCs w:val="24"/>
          <w:rtl/>
        </w:rPr>
        <w:t xml:space="preserve">תנאי החוזה והשאלה האם היו גרועים במידה בלתי סבירה. </w:t>
      </w:r>
      <w:r w:rsidR="00692C33" w:rsidRPr="00692C33">
        <w:rPr>
          <w:rFonts w:ascii="David" w:hAnsi="David" w:cs="David" w:hint="cs"/>
          <w:sz w:val="24"/>
          <w:szCs w:val="24"/>
          <w:u w:val="single"/>
          <w:rtl/>
        </w:rPr>
        <w:t>לטענת אמנון</w:t>
      </w:r>
      <w:r w:rsidR="00692C33">
        <w:rPr>
          <w:rFonts w:ascii="David" w:hAnsi="David" w:cs="David" w:hint="cs"/>
          <w:sz w:val="24"/>
          <w:szCs w:val="24"/>
          <w:rtl/>
        </w:rPr>
        <w:t xml:space="preserve"> אין כאן שאלה והעובדה שהמחיר אותו מרי ניסתה "להשיג" היה 20% פחות ממחיר השוק, וודאי נחשב לפי מבחן אובייקטיבי, לתנאי חוזה גרועים במידה בלתי סבירה מן המקובל</w:t>
      </w:r>
      <w:r w:rsidR="00BD0BC8">
        <w:rPr>
          <w:rFonts w:ascii="David" w:hAnsi="David" w:cs="David" w:hint="cs"/>
          <w:sz w:val="24"/>
          <w:szCs w:val="24"/>
          <w:rtl/>
        </w:rPr>
        <w:t>,</w:t>
      </w:r>
      <w:r w:rsidR="00692C33">
        <w:rPr>
          <w:rStyle w:val="FootnoteReference"/>
          <w:rFonts w:ascii="David" w:hAnsi="David" w:cs="David"/>
          <w:sz w:val="24"/>
          <w:szCs w:val="24"/>
          <w:rtl/>
        </w:rPr>
        <w:footnoteReference w:id="10"/>
      </w:r>
      <w:r w:rsidR="00BD0BC8">
        <w:rPr>
          <w:rFonts w:ascii="David" w:hAnsi="David" w:cs="David" w:hint="cs"/>
          <w:sz w:val="24"/>
          <w:szCs w:val="24"/>
          <w:rtl/>
        </w:rPr>
        <w:t xml:space="preserve"> בהצטברות תנאי שלישי זה לשניים הראשונים, מתקימת כאן עילת העושק.</w:t>
      </w:r>
      <w:r w:rsidR="00B0213F">
        <w:rPr>
          <w:rFonts w:ascii="David" w:hAnsi="David" w:cs="David" w:hint="cs"/>
          <w:sz w:val="24"/>
          <w:szCs w:val="24"/>
          <w:rtl/>
        </w:rPr>
        <w:t xml:space="preserve"> </w:t>
      </w:r>
    </w:p>
    <w:p w14:paraId="0139A0D4" w14:textId="77777777" w:rsidR="00AD1F5F" w:rsidRDefault="00B0213F" w:rsidP="00BD0BC8">
      <w:pPr>
        <w:pStyle w:val="ListParagraph"/>
        <w:spacing w:line="360" w:lineRule="auto"/>
        <w:rPr>
          <w:rFonts w:ascii="David" w:hAnsi="David" w:cs="David"/>
          <w:sz w:val="24"/>
          <w:szCs w:val="24"/>
          <w:rtl/>
        </w:rPr>
      </w:pPr>
      <w:r>
        <w:rPr>
          <w:rFonts w:ascii="David" w:hAnsi="David" w:cs="David" w:hint="cs"/>
          <w:sz w:val="24"/>
          <w:szCs w:val="24"/>
          <w:u w:val="single"/>
          <w:rtl/>
        </w:rPr>
        <w:t>מרי תטען</w:t>
      </w:r>
      <w:r>
        <w:rPr>
          <w:rFonts w:ascii="David" w:hAnsi="David" w:cs="David" w:hint="cs"/>
          <w:sz w:val="24"/>
          <w:szCs w:val="24"/>
          <w:rtl/>
        </w:rPr>
        <w:t xml:space="preserve"> כי אין להתייחס רק למחיר בו נמכר הבית, אלא גם לעובדה שהיא הציעה לתלמה להמשיך ולהתגורר בדירתה, לאחר המכירה, ונתינת האפשרות לתלמה להמשיך לחיות בכבוד עם סכום כסף מכובד שיעזור לה</w:t>
      </w:r>
      <w:r w:rsidR="00AD1F5F">
        <w:rPr>
          <w:rFonts w:ascii="David" w:hAnsi="David" w:cs="David" w:hint="cs"/>
          <w:sz w:val="24"/>
          <w:szCs w:val="24"/>
          <w:rtl/>
        </w:rPr>
        <w:t>,</w:t>
      </w:r>
      <w:r>
        <w:rPr>
          <w:rStyle w:val="FootnoteReference"/>
          <w:rFonts w:ascii="David" w:hAnsi="David" w:cs="David"/>
          <w:sz w:val="24"/>
          <w:szCs w:val="24"/>
          <w:rtl/>
        </w:rPr>
        <w:footnoteReference w:id="11"/>
      </w:r>
      <w:r w:rsidR="00AD1F5F">
        <w:rPr>
          <w:rFonts w:ascii="David" w:hAnsi="David" w:cs="David" w:hint="cs"/>
          <w:sz w:val="24"/>
          <w:szCs w:val="24"/>
          <w:rtl/>
        </w:rPr>
        <w:t xml:space="preserve"> מה מרכך את תנאי החוזה והופך אותם לסבירים.</w:t>
      </w:r>
    </w:p>
    <w:p w14:paraId="175AAAFE" w14:textId="77777777" w:rsidR="00AD1F5F" w:rsidRDefault="00BD0BC8" w:rsidP="00BD0BC8">
      <w:pPr>
        <w:pStyle w:val="ListParagraph"/>
        <w:spacing w:line="360" w:lineRule="auto"/>
        <w:rPr>
          <w:rFonts w:ascii="David" w:hAnsi="David" w:cs="David"/>
          <w:sz w:val="24"/>
          <w:szCs w:val="24"/>
          <w:rtl/>
        </w:rPr>
      </w:pPr>
      <w:r>
        <w:rPr>
          <w:rFonts w:ascii="David" w:hAnsi="David" w:cs="David" w:hint="cs"/>
          <w:sz w:val="24"/>
          <w:szCs w:val="24"/>
          <w:rtl/>
        </w:rPr>
        <w:t xml:space="preserve"> אך ל</w:t>
      </w:r>
      <w:r w:rsidR="00AD1F5F">
        <w:rPr>
          <w:rFonts w:ascii="David" w:hAnsi="David" w:cs="David" w:hint="cs"/>
          <w:sz w:val="24"/>
          <w:szCs w:val="24"/>
          <w:rtl/>
        </w:rPr>
        <w:t>כך</w:t>
      </w:r>
      <w:r>
        <w:rPr>
          <w:rFonts w:ascii="David" w:hAnsi="David" w:cs="David" w:hint="cs"/>
          <w:sz w:val="24"/>
          <w:szCs w:val="24"/>
          <w:rtl/>
        </w:rPr>
        <w:t xml:space="preserve"> </w:t>
      </w:r>
      <w:r w:rsidRPr="00BD0BC8">
        <w:rPr>
          <w:rFonts w:ascii="David" w:hAnsi="David" w:cs="David" w:hint="cs"/>
          <w:sz w:val="24"/>
          <w:szCs w:val="24"/>
          <w:u w:val="single"/>
          <w:rtl/>
        </w:rPr>
        <w:t>ישיב אמנון</w:t>
      </w:r>
      <w:r>
        <w:rPr>
          <w:rFonts w:ascii="David" w:hAnsi="David" w:cs="David" w:hint="cs"/>
          <w:sz w:val="24"/>
          <w:szCs w:val="24"/>
          <w:rtl/>
        </w:rPr>
        <w:t xml:space="preserve"> כי במבחן אובייקטיבי ודאי שחוזה זה לא נעשה לטובתה של תלמה אלא נועד לנצלה</w:t>
      </w:r>
      <w:r w:rsidR="00AD1F5F">
        <w:rPr>
          <w:rFonts w:ascii="David" w:hAnsi="David" w:cs="David" w:hint="cs"/>
          <w:sz w:val="24"/>
          <w:szCs w:val="24"/>
          <w:rtl/>
        </w:rPr>
        <w:t xml:space="preserve"> והעובדה שמרי הציעה לתלמה להמשיך להתגורר בדירתה אין בכך משום הקלה על עצם תנאי החוזה למכירת הבית</w:t>
      </w:r>
      <w:r>
        <w:rPr>
          <w:rFonts w:ascii="David" w:hAnsi="David" w:cs="David" w:hint="cs"/>
          <w:sz w:val="24"/>
          <w:szCs w:val="24"/>
          <w:rtl/>
        </w:rPr>
        <w:t>.</w:t>
      </w:r>
    </w:p>
    <w:p w14:paraId="5C974505" w14:textId="20DEE653" w:rsidR="00B0213F" w:rsidRDefault="00AD1F5F" w:rsidP="00BD0BC8">
      <w:pPr>
        <w:pStyle w:val="ListParagraph"/>
        <w:spacing w:line="360" w:lineRule="auto"/>
        <w:rPr>
          <w:rFonts w:ascii="David" w:hAnsi="David" w:cs="David"/>
          <w:sz w:val="24"/>
          <w:szCs w:val="24"/>
        </w:rPr>
      </w:pPr>
      <w:r>
        <w:rPr>
          <w:rFonts w:ascii="David" w:hAnsi="David" w:cs="David" w:hint="cs"/>
          <w:sz w:val="24"/>
          <w:szCs w:val="24"/>
          <w:rtl/>
        </w:rPr>
        <w:t xml:space="preserve">לאור כל הנ"ל, </w:t>
      </w:r>
      <w:r w:rsidR="00BD0BC8">
        <w:rPr>
          <w:rFonts w:ascii="David" w:hAnsi="David" w:cs="David" w:hint="cs"/>
          <w:sz w:val="24"/>
          <w:szCs w:val="24"/>
          <w:rtl/>
        </w:rPr>
        <w:t>לעניו</w:t>
      </w:r>
      <w:r>
        <w:rPr>
          <w:rFonts w:ascii="David" w:hAnsi="David" w:cs="David" w:hint="cs"/>
          <w:sz w:val="24"/>
          <w:szCs w:val="24"/>
          <w:rtl/>
        </w:rPr>
        <w:t xml:space="preserve">ת </w:t>
      </w:r>
      <w:r w:rsidR="00BD0BC8">
        <w:rPr>
          <w:rFonts w:ascii="David" w:hAnsi="David" w:cs="David" w:hint="cs"/>
          <w:sz w:val="24"/>
          <w:szCs w:val="24"/>
          <w:rtl/>
        </w:rPr>
        <w:t>ד</w:t>
      </w:r>
      <w:r>
        <w:rPr>
          <w:rFonts w:ascii="David" w:hAnsi="David" w:cs="David" w:hint="cs"/>
          <w:sz w:val="24"/>
          <w:szCs w:val="24"/>
          <w:rtl/>
        </w:rPr>
        <w:t>עתי</w:t>
      </w:r>
      <w:r w:rsidR="00BD0BC8">
        <w:rPr>
          <w:rFonts w:ascii="David" w:hAnsi="David" w:cs="David" w:hint="cs"/>
          <w:sz w:val="24"/>
          <w:szCs w:val="24"/>
          <w:rtl/>
        </w:rPr>
        <w:t xml:space="preserve"> יש לבטל את החוזה ע"פ עילות הכפיה והעושק לבקשתה של מרי.</w:t>
      </w:r>
    </w:p>
    <w:p w14:paraId="2E66CD95" w14:textId="77777777" w:rsidR="00C82062" w:rsidRDefault="00C82062" w:rsidP="00BD0BC8">
      <w:pPr>
        <w:pStyle w:val="ListParagraph"/>
        <w:spacing w:line="360" w:lineRule="auto"/>
        <w:rPr>
          <w:rFonts w:ascii="David" w:hAnsi="David" w:cs="David" w:hint="cs"/>
          <w:sz w:val="24"/>
          <w:szCs w:val="24"/>
          <w:rtl/>
        </w:rPr>
      </w:pPr>
    </w:p>
    <w:p w14:paraId="323FBE36" w14:textId="66FB3ADA" w:rsidR="00BD0BC8" w:rsidRDefault="00902D9F" w:rsidP="00BD0BC8">
      <w:pPr>
        <w:pStyle w:val="ListParagraph"/>
        <w:numPr>
          <w:ilvl w:val="0"/>
          <w:numId w:val="1"/>
        </w:numPr>
        <w:spacing w:line="360" w:lineRule="auto"/>
        <w:rPr>
          <w:rFonts w:ascii="David" w:hAnsi="David" w:cs="David"/>
          <w:sz w:val="24"/>
          <w:szCs w:val="24"/>
        </w:rPr>
      </w:pPr>
      <w:r>
        <w:rPr>
          <w:rFonts w:ascii="David" w:hAnsi="David" w:cs="David" w:hint="cs"/>
          <w:sz w:val="24"/>
          <w:szCs w:val="24"/>
          <w:rtl/>
        </w:rPr>
        <w:t>במקרה זה, אנו נעסוק בעילת העושק כאשר מדובר בחוזה מתנה. על  כ</w:t>
      </w:r>
      <w:r w:rsidR="00BC4247">
        <w:rPr>
          <w:rFonts w:ascii="David" w:hAnsi="David" w:cs="David" w:hint="cs"/>
          <w:sz w:val="24"/>
          <w:szCs w:val="24"/>
          <w:rtl/>
        </w:rPr>
        <w:t xml:space="preserve">ן, </w:t>
      </w:r>
      <w:r>
        <w:rPr>
          <w:rFonts w:ascii="David" w:hAnsi="David" w:cs="David" w:hint="cs"/>
          <w:sz w:val="24"/>
          <w:szCs w:val="24"/>
          <w:rtl/>
        </w:rPr>
        <w:t>נבדוק קריטריונים שונים ע</w:t>
      </w:r>
      <w:r w:rsidR="00111F59">
        <w:rPr>
          <w:rFonts w:ascii="David" w:hAnsi="David" w:cs="David" w:hint="cs"/>
          <w:sz w:val="24"/>
          <w:szCs w:val="24"/>
          <w:rtl/>
        </w:rPr>
        <w:t xml:space="preserve">ל </w:t>
      </w:r>
      <w:r>
        <w:rPr>
          <w:rFonts w:ascii="David" w:hAnsi="David" w:cs="David" w:hint="cs"/>
          <w:sz w:val="24"/>
          <w:szCs w:val="24"/>
          <w:rtl/>
        </w:rPr>
        <w:t>מ</w:t>
      </w:r>
      <w:r w:rsidR="00111F59">
        <w:rPr>
          <w:rFonts w:ascii="David" w:hAnsi="David" w:cs="David" w:hint="cs"/>
          <w:sz w:val="24"/>
          <w:szCs w:val="24"/>
          <w:rtl/>
        </w:rPr>
        <w:t>נת</w:t>
      </w:r>
      <w:r>
        <w:rPr>
          <w:rFonts w:ascii="David" w:hAnsi="David" w:cs="David" w:hint="cs"/>
          <w:sz w:val="24"/>
          <w:szCs w:val="24"/>
          <w:rtl/>
        </w:rPr>
        <w:t xml:space="preserve"> לברר האם </w:t>
      </w:r>
      <w:r w:rsidRPr="00902D9F">
        <w:rPr>
          <w:rFonts w:ascii="David" w:hAnsi="David" w:cs="David"/>
          <w:sz w:val="24"/>
          <w:szCs w:val="24"/>
          <w:rtl/>
        </w:rPr>
        <w:t>תנאי המתנה</w:t>
      </w:r>
      <w:r>
        <w:rPr>
          <w:rFonts w:ascii="David" w:hAnsi="David" w:cs="David" w:hint="cs"/>
          <w:sz w:val="24"/>
          <w:szCs w:val="24"/>
          <w:rtl/>
        </w:rPr>
        <w:t xml:space="preserve"> עולים כדי ע</w:t>
      </w:r>
      <w:r w:rsidR="00E93FC9">
        <w:rPr>
          <w:rFonts w:ascii="David" w:hAnsi="David" w:cs="David" w:hint="cs"/>
          <w:sz w:val="24"/>
          <w:szCs w:val="24"/>
          <w:rtl/>
        </w:rPr>
        <w:t>י</w:t>
      </w:r>
      <w:r>
        <w:rPr>
          <w:rFonts w:ascii="David" w:hAnsi="David" w:cs="David" w:hint="cs"/>
          <w:sz w:val="24"/>
          <w:szCs w:val="24"/>
          <w:rtl/>
        </w:rPr>
        <w:t xml:space="preserve">לת </w:t>
      </w:r>
      <w:r w:rsidR="00E93FC9">
        <w:rPr>
          <w:rFonts w:ascii="David" w:hAnsi="David" w:cs="David" w:hint="cs"/>
          <w:sz w:val="24"/>
          <w:szCs w:val="24"/>
          <w:rtl/>
        </w:rPr>
        <w:t>ה</w:t>
      </w:r>
      <w:r>
        <w:rPr>
          <w:rFonts w:ascii="David" w:hAnsi="David" w:cs="David" w:hint="cs"/>
          <w:sz w:val="24"/>
          <w:szCs w:val="24"/>
          <w:rtl/>
        </w:rPr>
        <w:t xml:space="preserve">עושק. </w:t>
      </w:r>
      <w:r w:rsidRPr="00902D9F">
        <w:rPr>
          <w:rFonts w:ascii="David" w:hAnsi="David" w:cs="David"/>
          <w:sz w:val="24"/>
          <w:szCs w:val="24"/>
          <w:rtl/>
        </w:rPr>
        <w:t xml:space="preserve"> </w:t>
      </w:r>
      <w:r>
        <w:rPr>
          <w:rFonts w:ascii="David" w:hAnsi="David" w:cs="David" w:hint="cs"/>
          <w:sz w:val="24"/>
          <w:szCs w:val="24"/>
          <w:rtl/>
        </w:rPr>
        <w:t xml:space="preserve">אנו נבחן </w:t>
      </w:r>
      <w:r w:rsidR="00BC4247">
        <w:rPr>
          <w:rFonts w:ascii="David" w:hAnsi="David" w:cs="David" w:hint="cs"/>
          <w:sz w:val="24"/>
          <w:szCs w:val="24"/>
          <w:rtl/>
        </w:rPr>
        <w:t>זאת ע"י</w:t>
      </w:r>
      <w:r w:rsidRPr="00902D9F">
        <w:rPr>
          <w:rFonts w:ascii="David" w:hAnsi="David" w:cs="David"/>
          <w:sz w:val="24"/>
          <w:szCs w:val="24"/>
          <w:rtl/>
        </w:rPr>
        <w:t xml:space="preserve"> בדיקת היחס בין אובייקט המתנה,</w:t>
      </w:r>
      <w:r>
        <w:rPr>
          <w:rFonts w:ascii="David" w:hAnsi="David" w:cs="David" w:hint="cs"/>
          <w:sz w:val="24"/>
          <w:szCs w:val="24"/>
          <w:rtl/>
        </w:rPr>
        <w:t xml:space="preserve"> </w:t>
      </w:r>
      <w:r w:rsidRPr="00902D9F">
        <w:rPr>
          <w:rFonts w:ascii="David" w:hAnsi="David" w:cs="David"/>
          <w:sz w:val="24"/>
          <w:szCs w:val="24"/>
          <w:rtl/>
        </w:rPr>
        <w:t>מצבו של הנותן,</w:t>
      </w:r>
      <w:r>
        <w:rPr>
          <w:rFonts w:ascii="David" w:hAnsi="David" w:cs="David" w:hint="cs"/>
          <w:sz w:val="24"/>
          <w:szCs w:val="24"/>
          <w:rtl/>
        </w:rPr>
        <w:t xml:space="preserve"> </w:t>
      </w:r>
      <w:r w:rsidRPr="00902D9F">
        <w:rPr>
          <w:rFonts w:ascii="David" w:hAnsi="David" w:cs="David"/>
          <w:sz w:val="24"/>
          <w:szCs w:val="24"/>
          <w:rtl/>
        </w:rPr>
        <w:t>סוג האירוע וסוג היחסים בין הנותן למקבל</w:t>
      </w:r>
      <w:r>
        <w:rPr>
          <w:rFonts w:ascii="David" w:hAnsi="David" w:cs="David" w:hint="cs"/>
          <w:sz w:val="24"/>
          <w:szCs w:val="24"/>
          <w:rtl/>
        </w:rPr>
        <w:t>.</w:t>
      </w:r>
      <w:r w:rsidR="00C31DBB">
        <w:rPr>
          <w:rStyle w:val="FootnoteReference"/>
          <w:rFonts w:ascii="David" w:hAnsi="David" w:cs="David"/>
          <w:sz w:val="24"/>
          <w:szCs w:val="24"/>
          <w:rtl/>
        </w:rPr>
        <w:footnoteReference w:id="12"/>
      </w:r>
      <w:r>
        <w:rPr>
          <w:rFonts w:ascii="David" w:hAnsi="David" w:cs="David" w:hint="cs"/>
          <w:sz w:val="24"/>
          <w:szCs w:val="24"/>
          <w:rtl/>
        </w:rPr>
        <w:t xml:space="preserve"> </w:t>
      </w:r>
    </w:p>
    <w:p w14:paraId="2AA16356" w14:textId="77777777" w:rsidR="001379DA" w:rsidRDefault="00BC4247" w:rsidP="00BC4247">
      <w:pPr>
        <w:pStyle w:val="ListParagraph"/>
        <w:spacing w:line="360" w:lineRule="auto"/>
        <w:rPr>
          <w:rFonts w:ascii="David" w:hAnsi="David" w:cs="David"/>
          <w:sz w:val="24"/>
          <w:szCs w:val="24"/>
          <w:rtl/>
        </w:rPr>
      </w:pPr>
      <w:r>
        <w:rPr>
          <w:rFonts w:ascii="David" w:hAnsi="David" w:cs="David" w:hint="cs"/>
          <w:sz w:val="24"/>
          <w:szCs w:val="24"/>
          <w:rtl/>
        </w:rPr>
        <w:t>המתנה היא דירה, לכ</w:t>
      </w:r>
      <w:r w:rsidR="00111F59">
        <w:rPr>
          <w:rFonts w:ascii="David" w:hAnsi="David" w:cs="David" w:hint="cs"/>
          <w:sz w:val="24"/>
          <w:szCs w:val="24"/>
          <w:rtl/>
        </w:rPr>
        <w:t>ו</w:t>
      </w:r>
      <w:r>
        <w:rPr>
          <w:rFonts w:ascii="David" w:hAnsi="David" w:cs="David" w:hint="cs"/>
          <w:sz w:val="24"/>
          <w:szCs w:val="24"/>
          <w:rtl/>
        </w:rPr>
        <w:t>ל</w:t>
      </w:r>
      <w:r w:rsidR="00111F59">
        <w:rPr>
          <w:rFonts w:ascii="David" w:hAnsi="David" w:cs="David" w:hint="cs"/>
          <w:sz w:val="24"/>
          <w:szCs w:val="24"/>
          <w:rtl/>
        </w:rPr>
        <w:t>י</w:t>
      </w:r>
      <w:r>
        <w:rPr>
          <w:rFonts w:ascii="David" w:hAnsi="David" w:cs="David" w:hint="cs"/>
          <w:sz w:val="24"/>
          <w:szCs w:val="24"/>
          <w:rtl/>
        </w:rPr>
        <w:t xml:space="preserve"> </w:t>
      </w:r>
      <w:r w:rsidR="00111F59">
        <w:rPr>
          <w:rFonts w:ascii="David" w:hAnsi="David" w:cs="David" w:hint="cs"/>
          <w:sz w:val="24"/>
          <w:szCs w:val="24"/>
          <w:rtl/>
        </w:rPr>
        <w:t>עלמא</w:t>
      </w:r>
      <w:r>
        <w:rPr>
          <w:rFonts w:ascii="David" w:hAnsi="David" w:cs="David" w:hint="cs"/>
          <w:sz w:val="24"/>
          <w:szCs w:val="24"/>
          <w:rtl/>
        </w:rPr>
        <w:t xml:space="preserve"> נכס שווה ערך רב, במיוחד במצב הנוכחי במדינתנו, מצבה של תלמה כפי הידוע לכולנו הוא לא טוב בכלל, לא מסוגלת לנהל חיים עצמאיים בשום פרמטר</w:t>
      </w:r>
      <w:r w:rsidR="001700D2">
        <w:rPr>
          <w:rFonts w:ascii="David" w:hAnsi="David" w:cs="David" w:hint="cs"/>
          <w:sz w:val="24"/>
          <w:szCs w:val="24"/>
          <w:rtl/>
        </w:rPr>
        <w:t>.</w:t>
      </w:r>
      <w:r w:rsidRPr="00BC4247">
        <w:rPr>
          <w:rFonts w:ascii="David" w:hAnsi="David" w:cs="David"/>
          <w:sz w:val="24"/>
          <w:szCs w:val="24"/>
          <w:rtl/>
        </w:rPr>
        <w:t xml:space="preserve"> היחסים בין </w:t>
      </w:r>
      <w:r>
        <w:rPr>
          <w:rFonts w:ascii="David" w:hAnsi="David" w:cs="David" w:hint="cs"/>
          <w:sz w:val="24"/>
          <w:szCs w:val="24"/>
          <w:rtl/>
        </w:rPr>
        <w:t>תלמה</w:t>
      </w:r>
      <w:r w:rsidRPr="00BC4247">
        <w:rPr>
          <w:rFonts w:ascii="David" w:hAnsi="David" w:cs="David"/>
          <w:sz w:val="24"/>
          <w:szCs w:val="24"/>
          <w:rtl/>
        </w:rPr>
        <w:t xml:space="preserve"> למ</w:t>
      </w:r>
      <w:r>
        <w:rPr>
          <w:rFonts w:ascii="David" w:hAnsi="David" w:cs="David" w:hint="cs"/>
          <w:sz w:val="24"/>
          <w:szCs w:val="24"/>
          <w:rtl/>
        </w:rPr>
        <w:t>רי</w:t>
      </w:r>
      <w:r w:rsidRPr="00BC4247">
        <w:rPr>
          <w:rFonts w:ascii="David" w:hAnsi="David" w:cs="David"/>
          <w:sz w:val="24"/>
          <w:szCs w:val="24"/>
          <w:rtl/>
        </w:rPr>
        <w:t xml:space="preserve"> מצביעים על חשש רציני באשר לשלמות רצונ</w:t>
      </w:r>
      <w:r>
        <w:rPr>
          <w:rFonts w:ascii="David" w:hAnsi="David" w:cs="David" w:hint="cs"/>
          <w:sz w:val="24"/>
          <w:szCs w:val="24"/>
          <w:rtl/>
        </w:rPr>
        <w:t>ה</w:t>
      </w:r>
      <w:r w:rsidRPr="00BC4247">
        <w:rPr>
          <w:rFonts w:ascii="David" w:hAnsi="David" w:cs="David"/>
          <w:sz w:val="24"/>
          <w:szCs w:val="24"/>
          <w:rtl/>
        </w:rPr>
        <w:t xml:space="preserve"> של </w:t>
      </w:r>
      <w:r>
        <w:rPr>
          <w:rFonts w:ascii="David" w:hAnsi="David" w:cs="David" w:hint="cs"/>
          <w:sz w:val="24"/>
          <w:szCs w:val="24"/>
          <w:rtl/>
        </w:rPr>
        <w:t>תלמה</w:t>
      </w:r>
      <w:r w:rsidRPr="00BC4247">
        <w:rPr>
          <w:rFonts w:ascii="David" w:hAnsi="David" w:cs="David"/>
          <w:sz w:val="24"/>
          <w:szCs w:val="24"/>
          <w:rtl/>
        </w:rPr>
        <w:t xml:space="preserve"> וכך גם האירוע עצמו- עצם הוויתור שאין לו למעשה כל הסבר</w:t>
      </w:r>
      <w:r>
        <w:rPr>
          <w:rFonts w:ascii="David" w:hAnsi="David" w:cs="David" w:hint="cs"/>
          <w:sz w:val="24"/>
          <w:szCs w:val="24"/>
          <w:rtl/>
        </w:rPr>
        <w:t xml:space="preserve"> לוגי. </w:t>
      </w:r>
    </w:p>
    <w:p w14:paraId="5270FEF3" w14:textId="587597C8" w:rsidR="00BC4247" w:rsidRDefault="00BC4247" w:rsidP="00BC4247">
      <w:pPr>
        <w:pStyle w:val="ListParagraph"/>
        <w:spacing w:line="360" w:lineRule="auto"/>
        <w:rPr>
          <w:rFonts w:ascii="David" w:hAnsi="David" w:cs="David"/>
          <w:sz w:val="24"/>
          <w:szCs w:val="24"/>
          <w:rtl/>
        </w:rPr>
      </w:pPr>
      <w:r>
        <w:rPr>
          <w:rFonts w:ascii="David" w:hAnsi="David" w:cs="David" w:hint="cs"/>
          <w:sz w:val="24"/>
          <w:szCs w:val="24"/>
          <w:rtl/>
        </w:rPr>
        <w:t>מדוע שתלמה תוותר על ביתה ותת</w:t>
      </w:r>
      <w:r w:rsidR="001379DA">
        <w:rPr>
          <w:rFonts w:ascii="David" w:hAnsi="David" w:cs="David" w:hint="cs"/>
          <w:sz w:val="24"/>
          <w:szCs w:val="24"/>
          <w:rtl/>
        </w:rPr>
        <w:t>ן</w:t>
      </w:r>
      <w:r>
        <w:rPr>
          <w:rFonts w:ascii="David" w:hAnsi="David" w:cs="David" w:hint="cs"/>
          <w:sz w:val="24"/>
          <w:szCs w:val="24"/>
          <w:rtl/>
        </w:rPr>
        <w:t xml:space="preserve"> אותו במתנה לעובדת זרה</w:t>
      </w:r>
      <w:r w:rsidR="001379DA">
        <w:rPr>
          <w:rFonts w:ascii="David" w:hAnsi="David" w:cs="David" w:hint="cs"/>
          <w:sz w:val="24"/>
          <w:szCs w:val="24"/>
          <w:rtl/>
        </w:rPr>
        <w:t>,</w:t>
      </w:r>
      <w:r>
        <w:rPr>
          <w:rFonts w:ascii="David" w:hAnsi="David" w:cs="David" w:hint="cs"/>
          <w:sz w:val="24"/>
          <w:szCs w:val="24"/>
          <w:rtl/>
        </w:rPr>
        <w:t xml:space="preserve"> </w:t>
      </w:r>
      <w:r w:rsidR="001379DA">
        <w:rPr>
          <w:rFonts w:ascii="David" w:hAnsi="David" w:cs="David" w:hint="cs"/>
          <w:sz w:val="24"/>
          <w:szCs w:val="24"/>
          <w:rtl/>
        </w:rPr>
        <w:t>כאשר יש לה בן שדואג לה ונוסע בשבילה פעם בשבוע מרחק רב על מנת לטפל בה? מתנה זו נראית במבחן אובייקטיבי מוזרה מאוד וחסרת קשר למציאות.</w:t>
      </w:r>
    </w:p>
    <w:p w14:paraId="53F1883E" w14:textId="77777777" w:rsidR="00BC4247" w:rsidRPr="00BD0BC8" w:rsidRDefault="00BC4247" w:rsidP="00BC4247">
      <w:pPr>
        <w:pStyle w:val="ListParagraph"/>
        <w:spacing w:line="360" w:lineRule="auto"/>
        <w:rPr>
          <w:rFonts w:ascii="David" w:hAnsi="David" w:cs="David"/>
          <w:sz w:val="24"/>
          <w:szCs w:val="24"/>
          <w:rtl/>
        </w:rPr>
      </w:pPr>
      <w:r>
        <w:rPr>
          <w:rFonts w:ascii="David" w:hAnsi="David" w:cs="David" w:hint="cs"/>
          <w:sz w:val="24"/>
          <w:szCs w:val="24"/>
          <w:rtl/>
        </w:rPr>
        <w:t>לעצם השאלה- לא, לא הייתי משנה את דעתי לו החוזה היה חוזה מתנה והייתי טוען לעושק ולביטול החוזה, בהסתמך על דברי פרופ' ראבילו ועובדות המקרה.</w:t>
      </w:r>
      <w:bookmarkStart w:id="0" w:name="_GoBack"/>
      <w:bookmarkEnd w:id="0"/>
    </w:p>
    <w:sectPr w:rsidR="00BC4247" w:rsidRPr="00BD0BC8" w:rsidSect="00EA5E13">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CB67" w14:textId="77777777" w:rsidR="00861158" w:rsidRDefault="00861158" w:rsidP="00FE0DFE">
      <w:pPr>
        <w:spacing w:after="0" w:line="240" w:lineRule="auto"/>
      </w:pPr>
      <w:r>
        <w:separator/>
      </w:r>
    </w:p>
  </w:endnote>
  <w:endnote w:type="continuationSeparator" w:id="0">
    <w:p w14:paraId="5E77171C" w14:textId="77777777" w:rsidR="00861158" w:rsidRDefault="00861158" w:rsidP="00FE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0EE0" w14:textId="77777777" w:rsidR="00861158" w:rsidRDefault="00861158" w:rsidP="00FE0DFE">
      <w:pPr>
        <w:spacing w:after="0" w:line="240" w:lineRule="auto"/>
      </w:pPr>
      <w:r>
        <w:separator/>
      </w:r>
    </w:p>
  </w:footnote>
  <w:footnote w:type="continuationSeparator" w:id="0">
    <w:p w14:paraId="64425E92" w14:textId="77777777" w:rsidR="00861158" w:rsidRDefault="00861158" w:rsidP="00FE0DFE">
      <w:pPr>
        <w:spacing w:after="0" w:line="240" w:lineRule="auto"/>
      </w:pPr>
      <w:r>
        <w:continuationSeparator/>
      </w:r>
    </w:p>
  </w:footnote>
  <w:footnote w:id="1">
    <w:p w14:paraId="2BB07A25" w14:textId="77777777" w:rsidR="00FE0DFE" w:rsidRPr="00970412" w:rsidRDefault="00FE0DFE">
      <w:pPr>
        <w:pStyle w:val="FootnoteText"/>
        <w:rPr>
          <w:rFonts w:ascii="David" w:hAnsi="David" w:cs="David"/>
        </w:rPr>
      </w:pPr>
      <w:r w:rsidRPr="00970412">
        <w:rPr>
          <w:rStyle w:val="FootnoteReference"/>
          <w:rFonts w:ascii="David" w:hAnsi="David" w:cs="David"/>
        </w:rPr>
        <w:footnoteRef/>
      </w:r>
      <w:r w:rsidRPr="00970412">
        <w:rPr>
          <w:rFonts w:ascii="David" w:hAnsi="David" w:cs="David"/>
          <w:rtl/>
        </w:rPr>
        <w:t xml:space="preserve"> ס' 17 ו18 </w:t>
      </w:r>
      <w:r w:rsidRPr="00970412">
        <w:rPr>
          <w:rFonts w:ascii="David" w:hAnsi="David" w:cs="David"/>
          <w:b/>
          <w:bCs/>
          <w:rtl/>
        </w:rPr>
        <w:t>לחוק החוזים (חלק כללי),</w:t>
      </w:r>
      <w:r w:rsidRPr="00970412">
        <w:rPr>
          <w:rFonts w:ascii="David" w:hAnsi="David" w:cs="David"/>
          <w:rtl/>
        </w:rPr>
        <w:t xml:space="preserve"> תשל"ג- 1973 להלן "חוה"ח".</w:t>
      </w:r>
    </w:p>
  </w:footnote>
  <w:footnote w:id="2">
    <w:p w14:paraId="2C4A9FAE" w14:textId="77777777" w:rsidR="000668C5" w:rsidRPr="00970412" w:rsidRDefault="000668C5">
      <w:pPr>
        <w:pStyle w:val="FootnoteText"/>
        <w:rPr>
          <w:rFonts w:ascii="David" w:hAnsi="David" w:cs="David"/>
        </w:rPr>
      </w:pPr>
      <w:r w:rsidRPr="00970412">
        <w:rPr>
          <w:rStyle w:val="FootnoteReference"/>
          <w:rFonts w:ascii="David" w:hAnsi="David" w:cs="David"/>
        </w:rPr>
        <w:footnoteRef/>
      </w:r>
      <w:r w:rsidRPr="00970412">
        <w:rPr>
          <w:rFonts w:ascii="David" w:hAnsi="David" w:cs="David"/>
          <w:rtl/>
        </w:rPr>
        <w:t xml:space="preserve"> ע"א 784/81 </w:t>
      </w:r>
      <w:r w:rsidRPr="00970412">
        <w:rPr>
          <w:rFonts w:ascii="David" w:hAnsi="David" w:cs="David"/>
          <w:b/>
          <w:bCs/>
          <w:rtl/>
        </w:rPr>
        <w:t>שפיר נ' אפל</w:t>
      </w:r>
      <w:r w:rsidRPr="00970412">
        <w:rPr>
          <w:rFonts w:ascii="David" w:hAnsi="David" w:cs="David"/>
          <w:rtl/>
        </w:rPr>
        <w:t>,  פ"ד לט(4) 149, 153 (1985).</w:t>
      </w:r>
    </w:p>
  </w:footnote>
  <w:footnote w:id="3">
    <w:p w14:paraId="45DC9F91" w14:textId="77777777" w:rsidR="00D13A2E" w:rsidRPr="00970412" w:rsidRDefault="00D13A2E">
      <w:pPr>
        <w:pStyle w:val="FootnoteText"/>
        <w:rPr>
          <w:rFonts w:ascii="David" w:hAnsi="David" w:cs="David"/>
          <w:rtl/>
        </w:rPr>
      </w:pPr>
      <w:r w:rsidRPr="00970412">
        <w:rPr>
          <w:rStyle w:val="FootnoteReference"/>
          <w:rFonts w:ascii="David" w:hAnsi="David" w:cs="David"/>
        </w:rPr>
        <w:footnoteRef/>
      </w:r>
      <w:r w:rsidRPr="00970412">
        <w:rPr>
          <w:rFonts w:ascii="David" w:hAnsi="David" w:cs="David"/>
          <w:rtl/>
        </w:rPr>
        <w:t xml:space="preserve"> גבריאלה שלו </w:t>
      </w:r>
      <w:r w:rsidRPr="00970412">
        <w:rPr>
          <w:rFonts w:ascii="David" w:hAnsi="David" w:cs="David"/>
          <w:b/>
          <w:bCs/>
          <w:rtl/>
        </w:rPr>
        <w:t xml:space="preserve">דיני חוזים החלק הכללי </w:t>
      </w:r>
      <w:r w:rsidRPr="00970412">
        <w:rPr>
          <w:rFonts w:ascii="David" w:hAnsi="David" w:cs="David"/>
          <w:rtl/>
        </w:rPr>
        <w:t xml:space="preserve">– לקראת קודיפיקציה של המשפט האזרחי </w:t>
      </w:r>
      <w:r w:rsidR="004A5844" w:rsidRPr="00970412">
        <w:rPr>
          <w:rFonts w:ascii="David" w:hAnsi="David" w:cs="David"/>
          <w:rtl/>
        </w:rPr>
        <w:t>332</w:t>
      </w:r>
      <w:r w:rsidRPr="00970412">
        <w:rPr>
          <w:rFonts w:ascii="David" w:hAnsi="David" w:cs="David"/>
          <w:rtl/>
        </w:rPr>
        <w:t xml:space="preserve"> (תשס"ה).</w:t>
      </w:r>
    </w:p>
  </w:footnote>
  <w:footnote w:id="4">
    <w:p w14:paraId="3BE250D9" w14:textId="77777777" w:rsidR="00CA1B51" w:rsidRPr="00692C33" w:rsidRDefault="00CA1B51" w:rsidP="00D14A23">
      <w:pPr>
        <w:pStyle w:val="FootnoteText"/>
        <w:rPr>
          <w:rFonts w:ascii="David" w:hAnsi="David" w:cs="David"/>
        </w:rPr>
      </w:pPr>
      <w:r w:rsidRPr="00970412">
        <w:rPr>
          <w:rStyle w:val="FootnoteReference"/>
          <w:rFonts w:ascii="David" w:hAnsi="David" w:cs="David"/>
        </w:rPr>
        <w:footnoteRef/>
      </w:r>
      <w:r w:rsidRPr="00970412">
        <w:rPr>
          <w:rFonts w:ascii="David" w:hAnsi="David" w:cs="David"/>
          <w:rtl/>
        </w:rPr>
        <w:t xml:space="preserve"> שם.</w:t>
      </w:r>
    </w:p>
  </w:footnote>
  <w:footnote w:id="5">
    <w:p w14:paraId="74446022" w14:textId="77777777" w:rsidR="00D14A23" w:rsidRPr="00692C33" w:rsidRDefault="00D14A23">
      <w:pPr>
        <w:pStyle w:val="FootnoteText"/>
        <w:rPr>
          <w:rFonts w:ascii="David" w:hAnsi="David" w:cs="David"/>
          <w:rtl/>
        </w:rPr>
      </w:pPr>
      <w:r w:rsidRPr="00692C33">
        <w:rPr>
          <w:rStyle w:val="FootnoteReference"/>
          <w:rFonts w:ascii="David" w:hAnsi="David" w:cs="David"/>
        </w:rPr>
        <w:footnoteRef/>
      </w:r>
      <w:r w:rsidRPr="00692C33">
        <w:rPr>
          <w:rFonts w:ascii="David" w:hAnsi="David" w:cs="David"/>
          <w:rtl/>
        </w:rPr>
        <w:t xml:space="preserve"> </w:t>
      </w:r>
      <w:r w:rsidRPr="00692C33">
        <w:rPr>
          <w:rFonts w:ascii="David" w:hAnsi="David" w:cs="David"/>
          <w:rtl/>
        </w:rPr>
        <w:t>ס' 17(ב) לחוה"ח</w:t>
      </w:r>
    </w:p>
  </w:footnote>
  <w:footnote w:id="6">
    <w:p w14:paraId="7E28E73E" w14:textId="77777777" w:rsidR="00A2152D" w:rsidRPr="00692C33" w:rsidRDefault="00A2152D">
      <w:pPr>
        <w:pStyle w:val="FootnoteText"/>
        <w:rPr>
          <w:rFonts w:ascii="David" w:hAnsi="David" w:cs="David"/>
          <w:rtl/>
        </w:rPr>
      </w:pPr>
      <w:r w:rsidRPr="00692C33">
        <w:rPr>
          <w:rStyle w:val="FootnoteReference"/>
          <w:rFonts w:ascii="David" w:hAnsi="David" w:cs="David"/>
        </w:rPr>
        <w:footnoteRef/>
      </w:r>
      <w:r w:rsidRPr="00692C33">
        <w:rPr>
          <w:rFonts w:ascii="David" w:hAnsi="David" w:cs="David"/>
          <w:rtl/>
        </w:rPr>
        <w:t xml:space="preserve"> </w:t>
      </w:r>
      <w:r w:rsidR="00A70B29" w:rsidRPr="00B0213F">
        <w:rPr>
          <w:rFonts w:ascii="David" w:hAnsi="David" w:cs="David"/>
          <w:b/>
          <w:bCs/>
          <w:rtl/>
        </w:rPr>
        <w:t xml:space="preserve">גבריאלה </w:t>
      </w:r>
      <w:r w:rsidR="00A70B29" w:rsidRPr="00B0213F">
        <w:rPr>
          <w:rFonts w:ascii="David" w:hAnsi="David" w:cs="David"/>
          <w:b/>
          <w:bCs/>
          <w:rtl/>
        </w:rPr>
        <w:t>שלו,</w:t>
      </w:r>
      <w:r w:rsidR="00A70B29" w:rsidRPr="00692C33">
        <w:rPr>
          <w:rFonts w:ascii="David" w:hAnsi="David" w:cs="David"/>
          <w:rtl/>
        </w:rPr>
        <w:t xml:space="preserve"> ה"ש 3, עמ' 333.</w:t>
      </w:r>
    </w:p>
  </w:footnote>
  <w:footnote w:id="7">
    <w:p w14:paraId="023C2F23" w14:textId="77777777" w:rsidR="00970412" w:rsidRPr="00692C33" w:rsidRDefault="00970412">
      <w:pPr>
        <w:pStyle w:val="FootnoteText"/>
        <w:rPr>
          <w:rFonts w:ascii="David" w:hAnsi="David" w:cs="David"/>
          <w:rtl/>
        </w:rPr>
      </w:pPr>
      <w:r w:rsidRPr="00692C33">
        <w:rPr>
          <w:rStyle w:val="FootnoteReference"/>
          <w:rFonts w:ascii="David" w:hAnsi="David" w:cs="David"/>
        </w:rPr>
        <w:footnoteRef/>
      </w:r>
      <w:r w:rsidRPr="00692C33">
        <w:rPr>
          <w:rFonts w:ascii="David" w:hAnsi="David" w:cs="David"/>
          <w:rtl/>
        </w:rPr>
        <w:t xml:space="preserve"> שם.</w:t>
      </w:r>
      <w:r w:rsidRPr="00692C33">
        <w:rPr>
          <w:rFonts w:ascii="David" w:hAnsi="David" w:cs="David"/>
          <w:rtl/>
        </w:rPr>
        <w:tab/>
      </w:r>
    </w:p>
  </w:footnote>
  <w:footnote w:id="8">
    <w:p w14:paraId="59E8FDB2" w14:textId="77777777" w:rsidR="00970412" w:rsidRPr="00692C33" w:rsidRDefault="00970412">
      <w:pPr>
        <w:pStyle w:val="FootnoteText"/>
        <w:rPr>
          <w:rFonts w:ascii="David" w:hAnsi="David" w:cs="David"/>
          <w:rtl/>
        </w:rPr>
      </w:pPr>
      <w:r w:rsidRPr="00692C33">
        <w:rPr>
          <w:rStyle w:val="FootnoteReference"/>
          <w:rFonts w:ascii="David" w:hAnsi="David" w:cs="David"/>
        </w:rPr>
        <w:footnoteRef/>
      </w:r>
      <w:r w:rsidRPr="00692C33">
        <w:rPr>
          <w:rFonts w:ascii="David" w:hAnsi="David" w:cs="David"/>
          <w:rtl/>
        </w:rPr>
        <w:t xml:space="preserve"> ע"א 1569/93, </w:t>
      </w:r>
      <w:r w:rsidRPr="00692C33">
        <w:rPr>
          <w:rFonts w:ascii="David" w:hAnsi="David" w:cs="David"/>
          <w:rtl/>
        </w:rPr>
        <w:t xml:space="preserve">יוסי </w:t>
      </w:r>
      <w:r w:rsidRPr="00692C33">
        <w:rPr>
          <w:rFonts w:ascii="David" w:hAnsi="David" w:cs="David"/>
          <w:b/>
          <w:bCs/>
          <w:rtl/>
        </w:rPr>
        <w:t>מאיה נ' פנפורד,</w:t>
      </w:r>
      <w:r w:rsidRPr="00692C33">
        <w:rPr>
          <w:rFonts w:ascii="David" w:hAnsi="David" w:cs="David"/>
          <w:rtl/>
        </w:rPr>
        <w:t xml:space="preserve"> פ"ד מח (5) 705, 718.</w:t>
      </w:r>
    </w:p>
  </w:footnote>
  <w:footnote w:id="9">
    <w:p w14:paraId="5A598768" w14:textId="77777777" w:rsidR="00692C33" w:rsidRPr="00692C33" w:rsidRDefault="00692C33">
      <w:pPr>
        <w:pStyle w:val="FootnoteText"/>
        <w:rPr>
          <w:rFonts w:ascii="David" w:hAnsi="David" w:cs="David"/>
          <w:rtl/>
        </w:rPr>
      </w:pPr>
      <w:r w:rsidRPr="00692C33">
        <w:rPr>
          <w:rStyle w:val="FootnoteReference"/>
          <w:rFonts w:ascii="David" w:hAnsi="David" w:cs="David"/>
        </w:rPr>
        <w:footnoteRef/>
      </w:r>
      <w:r w:rsidRPr="00692C33">
        <w:rPr>
          <w:rFonts w:ascii="David" w:hAnsi="David" w:cs="David"/>
          <w:rtl/>
        </w:rPr>
        <w:t xml:space="preserve">   ע"א </w:t>
      </w:r>
      <w:r w:rsidRPr="00692C33">
        <w:rPr>
          <w:rFonts w:ascii="David" w:hAnsi="David" w:cs="David"/>
          <w:rtl/>
        </w:rPr>
        <w:t xml:space="preserve">719/78 </w:t>
      </w:r>
      <w:r w:rsidRPr="00692C33">
        <w:rPr>
          <w:rFonts w:ascii="David" w:hAnsi="David" w:cs="David"/>
          <w:b/>
          <w:bCs/>
          <w:rtl/>
        </w:rPr>
        <w:t>איליט נ' אלקו,</w:t>
      </w:r>
      <w:r w:rsidRPr="00692C33">
        <w:rPr>
          <w:rFonts w:ascii="David" w:hAnsi="David" w:cs="David"/>
          <w:rtl/>
        </w:rPr>
        <w:t xml:space="preserve"> פ"ד לד(4) 673.</w:t>
      </w:r>
    </w:p>
  </w:footnote>
  <w:footnote w:id="10">
    <w:p w14:paraId="37AC8749" w14:textId="77777777" w:rsidR="00692C33" w:rsidRPr="00BC4247" w:rsidRDefault="00692C33">
      <w:pPr>
        <w:pStyle w:val="FootnoteText"/>
        <w:rPr>
          <w:rFonts w:ascii="David" w:hAnsi="David" w:cs="David"/>
        </w:rPr>
      </w:pPr>
      <w:r w:rsidRPr="00BC4247">
        <w:rPr>
          <w:rStyle w:val="FootnoteReference"/>
          <w:rFonts w:ascii="David" w:hAnsi="David" w:cs="David"/>
        </w:rPr>
        <w:footnoteRef/>
      </w:r>
      <w:r w:rsidRPr="00BC4247">
        <w:rPr>
          <w:rFonts w:ascii="David" w:hAnsi="David" w:cs="David"/>
          <w:rtl/>
        </w:rPr>
        <w:t xml:space="preserve"> </w:t>
      </w:r>
      <w:r w:rsidR="00B0213F" w:rsidRPr="00BC4247">
        <w:rPr>
          <w:rFonts w:ascii="David" w:hAnsi="David" w:cs="David"/>
          <w:b/>
          <w:bCs/>
          <w:rtl/>
        </w:rPr>
        <w:t>גבריאלה שלו,</w:t>
      </w:r>
      <w:r w:rsidR="00B0213F" w:rsidRPr="00BC4247">
        <w:rPr>
          <w:rFonts w:ascii="David" w:hAnsi="David" w:cs="David"/>
          <w:rtl/>
        </w:rPr>
        <w:t xml:space="preserve"> ה"ש 3, עמ' 333.</w:t>
      </w:r>
    </w:p>
  </w:footnote>
  <w:footnote w:id="11">
    <w:p w14:paraId="70CEC193" w14:textId="77777777" w:rsidR="00B0213F" w:rsidRPr="00BC4247" w:rsidRDefault="00B0213F" w:rsidP="00C31DBB">
      <w:pPr>
        <w:pStyle w:val="FootnoteText"/>
        <w:rPr>
          <w:rFonts w:ascii="David" w:hAnsi="David" w:cs="David"/>
          <w:rtl/>
        </w:rPr>
      </w:pPr>
      <w:r w:rsidRPr="00BC4247">
        <w:rPr>
          <w:rStyle w:val="FootnoteReference"/>
          <w:rFonts w:ascii="David" w:hAnsi="David" w:cs="David"/>
        </w:rPr>
        <w:footnoteRef/>
      </w:r>
      <w:r w:rsidRPr="00BC4247">
        <w:rPr>
          <w:rFonts w:ascii="David" w:hAnsi="David" w:cs="David"/>
          <w:rtl/>
        </w:rPr>
        <w:t xml:space="preserve"> שם, עמ' 349.</w:t>
      </w:r>
    </w:p>
  </w:footnote>
  <w:footnote w:id="12">
    <w:p w14:paraId="46E51E3C" w14:textId="77777777" w:rsidR="00C31DBB" w:rsidRPr="00F56A3C" w:rsidRDefault="00C31DBB">
      <w:pPr>
        <w:pStyle w:val="FootnoteText"/>
        <w:rPr>
          <w:rtl/>
        </w:rPr>
      </w:pPr>
      <w:r w:rsidRPr="00BC4247">
        <w:rPr>
          <w:rStyle w:val="FootnoteReference"/>
          <w:rFonts w:ascii="David" w:hAnsi="David" w:cs="David"/>
        </w:rPr>
        <w:footnoteRef/>
      </w:r>
      <w:r w:rsidRPr="00BC4247">
        <w:rPr>
          <w:rFonts w:ascii="David" w:hAnsi="David" w:cs="David"/>
          <w:rtl/>
        </w:rPr>
        <w:t xml:space="preserve"> </w:t>
      </w:r>
      <w:r w:rsidRPr="00BC4247">
        <w:rPr>
          <w:rFonts w:ascii="David" w:hAnsi="David" w:cs="David"/>
          <w:rtl/>
        </w:rPr>
        <w:t>מ</w:t>
      </w:r>
      <w:r w:rsidR="000A07E2" w:rsidRPr="00BC4247">
        <w:rPr>
          <w:rFonts w:ascii="David" w:hAnsi="David" w:cs="David"/>
          <w:rtl/>
        </w:rPr>
        <w:t xml:space="preserve">רדכי א' ראבילו "על מתנה ועושק" </w:t>
      </w:r>
      <w:r w:rsidR="000A07E2" w:rsidRPr="00BC4247">
        <w:rPr>
          <w:rFonts w:ascii="David" w:hAnsi="David" w:cs="David"/>
          <w:b/>
          <w:bCs/>
          <w:rtl/>
        </w:rPr>
        <w:t>מחקרי משפט</w:t>
      </w:r>
      <w:r w:rsidR="000A07E2" w:rsidRPr="00BC4247">
        <w:rPr>
          <w:rFonts w:ascii="David" w:hAnsi="David" w:cs="David"/>
          <w:rtl/>
        </w:rPr>
        <w:t xml:space="preserve"> י 183, 194 (תשנ"ג). צוטט ב ע"א 2041/05 </w:t>
      </w:r>
      <w:r w:rsidR="000A07E2" w:rsidRPr="00BC4247">
        <w:rPr>
          <w:rFonts w:ascii="David" w:hAnsi="David" w:cs="David"/>
          <w:b/>
          <w:bCs/>
          <w:rtl/>
        </w:rPr>
        <w:t>מחקשווילי נ' מיכקשווילי</w:t>
      </w:r>
      <w:r w:rsidR="000A07E2" w:rsidRPr="00BC4247">
        <w:rPr>
          <w:rFonts w:ascii="David" w:hAnsi="David" w:cs="David"/>
          <w:rtl/>
        </w:rPr>
        <w:t xml:space="preserve">, </w:t>
      </w:r>
      <w:r w:rsidR="00BC4247" w:rsidRPr="00BC4247">
        <w:rPr>
          <w:rFonts w:ascii="David" w:hAnsi="David" w:cs="David"/>
          <w:rtl/>
        </w:rPr>
        <w:t>[</w:t>
      </w:r>
      <w:r w:rsidR="00F56A3C" w:rsidRPr="00BC4247">
        <w:rPr>
          <w:rFonts w:ascii="David" w:hAnsi="David" w:cs="David"/>
          <w:rtl/>
        </w:rPr>
        <w:t>פורסם בנבו] (19.11.2007)</w:t>
      </w:r>
      <w:r w:rsidR="00BC4247" w:rsidRPr="00BC4247">
        <w:rPr>
          <w:rFonts w:ascii="David" w:hAnsi="David" w:cs="David"/>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838C5"/>
    <w:multiLevelType w:val="hybridMultilevel"/>
    <w:tmpl w:val="D4BCB060"/>
    <w:lvl w:ilvl="0" w:tplc="7DC46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B2915"/>
    <w:multiLevelType w:val="hybridMultilevel"/>
    <w:tmpl w:val="E760F970"/>
    <w:lvl w:ilvl="0" w:tplc="DF66104A">
      <w:start w:val="1"/>
      <w:numFmt w:val="hebrew1"/>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13"/>
    <w:rsid w:val="000668C5"/>
    <w:rsid w:val="000A07E2"/>
    <w:rsid w:val="00111F59"/>
    <w:rsid w:val="00132128"/>
    <w:rsid w:val="001379DA"/>
    <w:rsid w:val="001700D2"/>
    <w:rsid w:val="00281516"/>
    <w:rsid w:val="003C5C0C"/>
    <w:rsid w:val="0044241D"/>
    <w:rsid w:val="00476D8B"/>
    <w:rsid w:val="004A5844"/>
    <w:rsid w:val="006302A5"/>
    <w:rsid w:val="00675CCD"/>
    <w:rsid w:val="00692C33"/>
    <w:rsid w:val="006C7BD4"/>
    <w:rsid w:val="006E190D"/>
    <w:rsid w:val="00725B47"/>
    <w:rsid w:val="00861158"/>
    <w:rsid w:val="00902D9F"/>
    <w:rsid w:val="00970412"/>
    <w:rsid w:val="009733CE"/>
    <w:rsid w:val="00A2152D"/>
    <w:rsid w:val="00A70B29"/>
    <w:rsid w:val="00AC04A1"/>
    <w:rsid w:val="00AD1F5F"/>
    <w:rsid w:val="00B0213F"/>
    <w:rsid w:val="00B66ACA"/>
    <w:rsid w:val="00B82EEB"/>
    <w:rsid w:val="00B83441"/>
    <w:rsid w:val="00BC4247"/>
    <w:rsid w:val="00BD0BC8"/>
    <w:rsid w:val="00C31DBB"/>
    <w:rsid w:val="00C82062"/>
    <w:rsid w:val="00CA1B51"/>
    <w:rsid w:val="00CF26C4"/>
    <w:rsid w:val="00D13A2E"/>
    <w:rsid w:val="00D14A23"/>
    <w:rsid w:val="00D4082A"/>
    <w:rsid w:val="00E93FC9"/>
    <w:rsid w:val="00EA5E13"/>
    <w:rsid w:val="00EA63F8"/>
    <w:rsid w:val="00EC1727"/>
    <w:rsid w:val="00F56A3C"/>
    <w:rsid w:val="00F87A88"/>
    <w:rsid w:val="00FE0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D2C"/>
  <w15:chartTrackingRefBased/>
  <w15:docId w15:val="{679BFD80-6705-40A8-9483-01D367F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13"/>
    <w:pPr>
      <w:ind w:left="720"/>
      <w:contextualSpacing/>
    </w:pPr>
  </w:style>
  <w:style w:type="paragraph" w:styleId="FootnoteText">
    <w:name w:val="footnote text"/>
    <w:basedOn w:val="Normal"/>
    <w:link w:val="FootnoteTextChar"/>
    <w:uiPriority w:val="99"/>
    <w:semiHidden/>
    <w:unhideWhenUsed/>
    <w:rsid w:val="00FE0D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DFE"/>
    <w:rPr>
      <w:sz w:val="20"/>
      <w:szCs w:val="20"/>
    </w:rPr>
  </w:style>
  <w:style w:type="character" w:styleId="FootnoteReference">
    <w:name w:val="footnote reference"/>
    <w:basedOn w:val="DefaultParagraphFont"/>
    <w:uiPriority w:val="99"/>
    <w:semiHidden/>
    <w:unhideWhenUsed/>
    <w:rsid w:val="00FE0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3</Pages>
  <Words>620</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dc:creator>
  <cp:keywords/>
  <dc:description/>
  <cp:lastModifiedBy>Howard</cp:lastModifiedBy>
  <cp:revision>12</cp:revision>
  <dcterms:created xsi:type="dcterms:W3CDTF">2018-11-09T08:33:00Z</dcterms:created>
  <dcterms:modified xsi:type="dcterms:W3CDTF">2018-11-25T20:49:00Z</dcterms:modified>
</cp:coreProperties>
</file>