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301" w:rsidRDefault="00654301" w:rsidP="00654301">
      <w:pPr>
        <w:jc w:val="center"/>
        <w:rPr>
          <w:rFonts w:ascii="David" w:hAnsi="David" w:cs="David"/>
          <w:b/>
          <w:bCs/>
          <w:sz w:val="96"/>
          <w:szCs w:val="96"/>
          <w:u w:val="single"/>
          <w:rtl/>
        </w:rPr>
      </w:pPr>
    </w:p>
    <w:p w:rsidR="00654301" w:rsidRDefault="00654301" w:rsidP="00654301">
      <w:pPr>
        <w:jc w:val="center"/>
        <w:rPr>
          <w:rFonts w:ascii="David" w:hAnsi="David" w:cs="David"/>
          <w:b/>
          <w:bCs/>
          <w:sz w:val="96"/>
          <w:szCs w:val="96"/>
          <w:u w:val="single"/>
          <w:rtl/>
        </w:rPr>
      </w:pPr>
      <w:r>
        <w:rPr>
          <w:rFonts w:ascii="David" w:hAnsi="David" w:cs="David" w:hint="cs"/>
          <w:b/>
          <w:bCs/>
          <w:sz w:val="96"/>
          <w:szCs w:val="96"/>
          <w:u w:val="single"/>
          <w:rtl/>
        </w:rPr>
        <w:t>עבודה #1</w:t>
      </w:r>
    </w:p>
    <w:p w:rsidR="00654301" w:rsidRPr="00066833" w:rsidRDefault="00654301" w:rsidP="00654301">
      <w:pPr>
        <w:jc w:val="center"/>
        <w:rPr>
          <w:rFonts w:ascii="David" w:hAnsi="David" w:cs="David"/>
          <w:b/>
          <w:bCs/>
          <w:sz w:val="96"/>
          <w:szCs w:val="96"/>
          <w:u w:val="single"/>
          <w:rtl/>
        </w:rPr>
      </w:pPr>
      <w:r>
        <w:rPr>
          <w:rFonts w:ascii="David" w:hAnsi="David" w:cs="David" w:hint="cs"/>
          <w:b/>
          <w:bCs/>
          <w:sz w:val="96"/>
          <w:szCs w:val="96"/>
          <w:u w:val="single"/>
          <w:rtl/>
        </w:rPr>
        <w:t xml:space="preserve"> פגמים בכריתת חוזה</w:t>
      </w:r>
    </w:p>
    <w:p w:rsidR="00654301" w:rsidRPr="00654301" w:rsidRDefault="00654301" w:rsidP="00654301">
      <w:pPr>
        <w:jc w:val="center"/>
        <w:rPr>
          <w:rFonts w:ascii="David" w:hAnsi="David" w:cs="David"/>
          <w:sz w:val="96"/>
          <w:szCs w:val="96"/>
          <w:rtl/>
        </w:rPr>
      </w:pPr>
    </w:p>
    <w:p w:rsidR="00654301" w:rsidRPr="00654301" w:rsidRDefault="00654301" w:rsidP="00654301">
      <w:pPr>
        <w:jc w:val="center"/>
        <w:rPr>
          <w:rFonts w:ascii="David" w:hAnsi="David" w:cs="David"/>
          <w:sz w:val="96"/>
          <w:szCs w:val="96"/>
          <w:rtl/>
        </w:rPr>
      </w:pPr>
      <w:r w:rsidRPr="00654301">
        <w:rPr>
          <w:rFonts w:ascii="David" w:hAnsi="David" w:cs="David" w:hint="cs"/>
          <w:sz w:val="96"/>
          <w:szCs w:val="96"/>
          <w:rtl/>
        </w:rPr>
        <w:t>דיני חוזים</w:t>
      </w:r>
    </w:p>
    <w:p w:rsidR="00654301" w:rsidRPr="00654301" w:rsidRDefault="00654301" w:rsidP="00654301">
      <w:pPr>
        <w:jc w:val="center"/>
        <w:rPr>
          <w:rFonts w:ascii="David" w:hAnsi="David" w:cs="David"/>
          <w:sz w:val="96"/>
          <w:szCs w:val="96"/>
          <w:rtl/>
        </w:rPr>
      </w:pPr>
      <w:r w:rsidRPr="00654301">
        <w:rPr>
          <w:rFonts w:ascii="David" w:hAnsi="David" w:cs="David" w:hint="cs"/>
          <w:sz w:val="96"/>
          <w:szCs w:val="96"/>
          <w:rtl/>
        </w:rPr>
        <w:t xml:space="preserve">ד"ר משה </w:t>
      </w:r>
      <w:proofErr w:type="spellStart"/>
      <w:r w:rsidRPr="00654301">
        <w:rPr>
          <w:rFonts w:ascii="David" w:hAnsi="David" w:cs="David" w:hint="cs"/>
          <w:sz w:val="96"/>
          <w:szCs w:val="96"/>
          <w:rtl/>
        </w:rPr>
        <w:t>גלברד</w:t>
      </w:r>
      <w:proofErr w:type="spellEnd"/>
    </w:p>
    <w:p w:rsidR="00654301" w:rsidRPr="00066833" w:rsidRDefault="00654301" w:rsidP="00654301">
      <w:pPr>
        <w:jc w:val="center"/>
        <w:rPr>
          <w:rFonts w:ascii="David" w:hAnsi="David" w:cs="David"/>
          <w:b/>
          <w:bCs/>
          <w:sz w:val="72"/>
          <w:szCs w:val="72"/>
          <w:u w:val="single"/>
          <w:rtl/>
        </w:rPr>
      </w:pPr>
    </w:p>
    <w:p w:rsidR="00654301" w:rsidRPr="00066833" w:rsidRDefault="00654301" w:rsidP="00654301">
      <w:pPr>
        <w:jc w:val="center"/>
        <w:rPr>
          <w:rFonts w:ascii="David" w:hAnsi="David" w:cs="David"/>
          <w:sz w:val="56"/>
          <w:szCs w:val="56"/>
          <w:rtl/>
        </w:rPr>
      </w:pPr>
      <w:r>
        <w:rPr>
          <w:rFonts w:ascii="David" w:hAnsi="David" w:cs="David" w:hint="cs"/>
          <w:sz w:val="56"/>
          <w:szCs w:val="56"/>
          <w:rtl/>
        </w:rPr>
        <w:t>מגישה</w:t>
      </w:r>
      <w:r w:rsidRPr="00066833">
        <w:rPr>
          <w:rFonts w:ascii="David" w:hAnsi="David" w:cs="David" w:hint="cs"/>
          <w:sz w:val="56"/>
          <w:szCs w:val="56"/>
          <w:rtl/>
        </w:rPr>
        <w:t>: נעמה גוטמן</w:t>
      </w:r>
    </w:p>
    <w:p w:rsidR="00654301" w:rsidRPr="00066833" w:rsidRDefault="00654301" w:rsidP="00654301">
      <w:pPr>
        <w:jc w:val="center"/>
        <w:rPr>
          <w:rFonts w:ascii="David" w:hAnsi="David" w:cs="David"/>
          <w:sz w:val="56"/>
          <w:szCs w:val="56"/>
          <w:rtl/>
        </w:rPr>
      </w:pPr>
      <w:r w:rsidRPr="00066833">
        <w:rPr>
          <w:rFonts w:ascii="David" w:hAnsi="David" w:cs="David" w:hint="cs"/>
          <w:sz w:val="56"/>
          <w:szCs w:val="56"/>
          <w:rtl/>
        </w:rPr>
        <w:t>302380951</w:t>
      </w:r>
    </w:p>
    <w:p w:rsidR="00654301" w:rsidRPr="00066833" w:rsidRDefault="00654301" w:rsidP="00654301">
      <w:pPr>
        <w:jc w:val="center"/>
        <w:rPr>
          <w:rFonts w:ascii="David" w:hAnsi="David" w:cs="David"/>
          <w:sz w:val="56"/>
          <w:szCs w:val="56"/>
          <w:rtl/>
        </w:rPr>
      </w:pPr>
      <w:r>
        <w:rPr>
          <w:rFonts w:ascii="David" w:hAnsi="David" w:cs="David" w:hint="cs"/>
          <w:sz w:val="56"/>
          <w:szCs w:val="56"/>
          <w:rtl/>
        </w:rPr>
        <w:t>8</w:t>
      </w:r>
      <w:r w:rsidRPr="00066833">
        <w:rPr>
          <w:rFonts w:ascii="David" w:hAnsi="David" w:cs="David" w:hint="cs"/>
          <w:sz w:val="56"/>
          <w:szCs w:val="56"/>
          <w:rtl/>
        </w:rPr>
        <w:t>/1/2017</w:t>
      </w:r>
    </w:p>
    <w:p w:rsidR="005F32AE" w:rsidRDefault="005F32AE">
      <w:pPr>
        <w:rPr>
          <w:rtl/>
        </w:rPr>
      </w:pPr>
    </w:p>
    <w:p w:rsidR="00D54DA3" w:rsidRDefault="00D54DA3">
      <w:pPr>
        <w:rPr>
          <w:rtl/>
        </w:rPr>
      </w:pPr>
    </w:p>
    <w:p w:rsidR="00D54DA3" w:rsidRDefault="00D54DA3">
      <w:pPr>
        <w:rPr>
          <w:rtl/>
        </w:rPr>
      </w:pPr>
    </w:p>
    <w:p w:rsidR="00D54DA3" w:rsidRDefault="00D54DA3">
      <w:pPr>
        <w:rPr>
          <w:rtl/>
        </w:rPr>
      </w:pPr>
    </w:p>
    <w:p w:rsidR="00D54DA3" w:rsidRDefault="00D54DA3">
      <w:pPr>
        <w:rPr>
          <w:rtl/>
        </w:rPr>
      </w:pPr>
    </w:p>
    <w:p w:rsidR="00E24FE7" w:rsidRDefault="00E24FE7">
      <w:pPr>
        <w:rPr>
          <w:rtl/>
        </w:rPr>
      </w:pPr>
    </w:p>
    <w:p w:rsidR="00F16E60" w:rsidRPr="00FD460D" w:rsidRDefault="00CC17EB" w:rsidP="00782CA5">
      <w:pPr>
        <w:spacing w:line="360" w:lineRule="auto"/>
        <w:rPr>
          <w:rFonts w:ascii="David" w:hAnsi="David" w:cs="David"/>
          <w:sz w:val="24"/>
          <w:szCs w:val="24"/>
          <w:rtl/>
        </w:rPr>
      </w:pPr>
      <w:r>
        <w:rPr>
          <w:rFonts w:ascii="David" w:hAnsi="David" w:cs="David" w:hint="cs"/>
          <w:sz w:val="24"/>
          <w:szCs w:val="24"/>
          <w:rtl/>
        </w:rPr>
        <w:lastRenderedPageBreak/>
        <w:t>במקרה שהובא ניתן לראות ארבעה</w:t>
      </w:r>
      <w:r w:rsidR="00E24FE7">
        <w:rPr>
          <w:rFonts w:ascii="David" w:hAnsi="David" w:cs="David" w:hint="cs"/>
          <w:sz w:val="24"/>
          <w:szCs w:val="24"/>
          <w:rtl/>
        </w:rPr>
        <w:t xml:space="preserve"> פגמ</w:t>
      </w:r>
      <w:r>
        <w:rPr>
          <w:rFonts w:ascii="David" w:hAnsi="David" w:cs="David" w:hint="cs"/>
          <w:sz w:val="24"/>
          <w:szCs w:val="24"/>
          <w:rtl/>
        </w:rPr>
        <w:t xml:space="preserve">ים עיקריים: </w:t>
      </w:r>
      <w:r w:rsidR="00D0453C">
        <w:rPr>
          <w:rFonts w:ascii="David" w:hAnsi="David" w:cs="David" w:hint="cs"/>
          <w:sz w:val="24"/>
          <w:szCs w:val="24"/>
          <w:rtl/>
        </w:rPr>
        <w:t>הטעייה, טעות</w:t>
      </w:r>
      <w:r>
        <w:rPr>
          <w:rFonts w:ascii="David" w:hAnsi="David" w:cs="David" w:hint="cs"/>
          <w:sz w:val="24"/>
          <w:szCs w:val="24"/>
          <w:rtl/>
        </w:rPr>
        <w:t>,</w:t>
      </w:r>
      <w:r w:rsidR="006E2BE0">
        <w:rPr>
          <w:rFonts w:ascii="David" w:hAnsi="David" w:cs="David" w:hint="cs"/>
          <w:sz w:val="24"/>
          <w:szCs w:val="24"/>
          <w:rtl/>
        </w:rPr>
        <w:t xml:space="preserve"> כפיה, ועושק, שבגינן </w:t>
      </w:r>
      <w:r w:rsidR="00B52ABE">
        <w:rPr>
          <w:rFonts w:ascii="David" w:hAnsi="David" w:cs="David" w:hint="cs"/>
          <w:sz w:val="24"/>
          <w:szCs w:val="24"/>
          <w:rtl/>
        </w:rPr>
        <w:t>יכול לדרוש יעקב את ביטול החוזה.</w:t>
      </w:r>
      <w:r w:rsidR="00C5072B">
        <w:rPr>
          <w:rFonts w:ascii="David" w:hAnsi="David" w:cs="David"/>
          <w:sz w:val="24"/>
          <w:szCs w:val="24"/>
          <w:rtl/>
        </w:rPr>
        <w:br/>
      </w:r>
      <w:r w:rsidR="00C5072B" w:rsidRPr="00351E49">
        <w:rPr>
          <w:rFonts w:ascii="David" w:hAnsi="David" w:cs="David" w:hint="cs"/>
          <w:b/>
          <w:bCs/>
          <w:sz w:val="24"/>
          <w:szCs w:val="24"/>
          <w:u w:val="single"/>
          <w:rtl/>
        </w:rPr>
        <w:t>הטעיה</w:t>
      </w:r>
      <w:r w:rsidR="00C5072B">
        <w:rPr>
          <w:rFonts w:ascii="David" w:hAnsi="David" w:cs="David" w:hint="cs"/>
          <w:sz w:val="24"/>
          <w:szCs w:val="24"/>
          <w:u w:val="single"/>
          <w:rtl/>
        </w:rPr>
        <w:t>-</w:t>
      </w:r>
      <w:r w:rsidR="00C5072B">
        <w:rPr>
          <w:rFonts w:ascii="David" w:hAnsi="David" w:cs="David" w:hint="cs"/>
          <w:sz w:val="24"/>
          <w:szCs w:val="24"/>
          <w:rtl/>
        </w:rPr>
        <w:t xml:space="preserve"> לפי סעיף 15 לחוק החוזים</w:t>
      </w:r>
      <w:r w:rsidR="00C5072B">
        <w:rPr>
          <w:rStyle w:val="a5"/>
          <w:rFonts w:ascii="David" w:hAnsi="David" w:cs="David"/>
          <w:sz w:val="24"/>
          <w:szCs w:val="24"/>
          <w:rtl/>
        </w:rPr>
        <w:footnoteReference w:id="1"/>
      </w:r>
      <w:r w:rsidR="00C5072B">
        <w:rPr>
          <w:rFonts w:ascii="David" w:hAnsi="David" w:cs="David" w:hint="cs"/>
          <w:sz w:val="24"/>
          <w:szCs w:val="24"/>
          <w:rtl/>
        </w:rPr>
        <w:t xml:space="preserve"> (להלן: "החוק") יוכל לטעון יעקב כי הוטעה</w:t>
      </w:r>
      <w:r w:rsidR="00344BF8">
        <w:rPr>
          <w:rFonts w:ascii="David" w:hAnsi="David" w:cs="David" w:hint="cs"/>
          <w:sz w:val="24"/>
          <w:szCs w:val="24"/>
          <w:rtl/>
        </w:rPr>
        <w:t>,</w:t>
      </w:r>
      <w:r w:rsidR="00C5072B">
        <w:rPr>
          <w:rFonts w:ascii="David" w:hAnsi="David" w:cs="David" w:hint="cs"/>
          <w:sz w:val="24"/>
          <w:szCs w:val="24"/>
          <w:rtl/>
        </w:rPr>
        <w:t xml:space="preserve"> כיוון שהפר גיא את חובת הגילוי, ולא סיפר לו על כוונת הבנייה </w:t>
      </w:r>
      <w:r w:rsidR="00C5072B" w:rsidRPr="007243EE">
        <w:rPr>
          <w:rFonts w:ascii="David" w:hAnsi="David" w:cs="David"/>
          <w:sz w:val="24"/>
          <w:szCs w:val="24"/>
          <w:rtl/>
        </w:rPr>
        <w:t xml:space="preserve">העתידית בשטח. </w:t>
      </w:r>
      <w:r w:rsidR="00C5072B">
        <w:rPr>
          <w:rFonts w:ascii="David" w:hAnsi="David" w:cs="David" w:hint="cs"/>
          <w:sz w:val="24"/>
          <w:szCs w:val="24"/>
          <w:rtl/>
        </w:rPr>
        <w:t xml:space="preserve">ניתן </w:t>
      </w:r>
      <w:r w:rsidR="00351E49">
        <w:rPr>
          <w:rFonts w:ascii="David" w:hAnsi="David" w:cs="David"/>
          <w:sz w:val="24"/>
          <w:szCs w:val="24"/>
          <w:rtl/>
        </w:rPr>
        <w:t>לראות לפי השופטת חיות בפ</w:t>
      </w:r>
      <w:r w:rsidR="00351E49">
        <w:rPr>
          <w:rFonts w:ascii="David" w:hAnsi="David" w:cs="David" w:hint="cs"/>
          <w:sz w:val="24"/>
          <w:szCs w:val="24"/>
          <w:rtl/>
        </w:rPr>
        <w:t>סק דין</w:t>
      </w:r>
      <w:r w:rsidR="00C5072B" w:rsidRPr="002B087A">
        <w:rPr>
          <w:rFonts w:ascii="David" w:hAnsi="David" w:cs="David"/>
          <w:sz w:val="24"/>
          <w:szCs w:val="24"/>
          <w:rtl/>
        </w:rPr>
        <w:t xml:space="preserve"> רונן</w:t>
      </w:r>
      <w:r w:rsidR="00C5072B" w:rsidRPr="002B087A">
        <w:rPr>
          <w:rStyle w:val="a5"/>
          <w:rFonts w:ascii="David" w:hAnsi="David" w:cs="David"/>
          <w:sz w:val="24"/>
          <w:szCs w:val="24"/>
          <w:rtl/>
        </w:rPr>
        <w:footnoteReference w:id="2"/>
      </w:r>
      <w:r w:rsidR="00C5072B" w:rsidRPr="002B087A">
        <w:rPr>
          <w:rFonts w:ascii="David" w:hAnsi="David" w:cs="David"/>
          <w:sz w:val="24"/>
          <w:szCs w:val="24"/>
          <w:rtl/>
        </w:rPr>
        <w:t xml:space="preserve"> שעילת ההטעיה מתקיימת בשלושה תנאים- א) טעות אצל אחד הצדדים </w:t>
      </w:r>
      <w:r w:rsidR="00C5072B">
        <w:rPr>
          <w:rFonts w:ascii="David" w:hAnsi="David" w:cs="David" w:hint="cs"/>
          <w:sz w:val="24"/>
          <w:szCs w:val="24"/>
          <w:rtl/>
        </w:rPr>
        <w:t>בחוזה</w:t>
      </w:r>
      <w:r w:rsidR="00C5072B" w:rsidRPr="002B087A">
        <w:rPr>
          <w:rFonts w:ascii="David" w:hAnsi="David" w:cs="David"/>
          <w:sz w:val="24"/>
          <w:szCs w:val="24"/>
          <w:rtl/>
        </w:rPr>
        <w:t xml:space="preserve"> ב) הטעיה שהטעה אותו הצד שכנגד ג) קשר סיבתי כפול</w:t>
      </w:r>
      <w:r w:rsidR="00C5072B">
        <w:rPr>
          <w:rFonts w:ascii="David" w:hAnsi="David" w:cs="David" w:hint="cs"/>
          <w:sz w:val="24"/>
          <w:szCs w:val="24"/>
          <w:rtl/>
        </w:rPr>
        <w:t>- הראשון</w:t>
      </w:r>
      <w:r w:rsidR="00C5072B">
        <w:rPr>
          <w:rFonts w:ascii="David" w:hAnsi="David" w:cs="David"/>
          <w:sz w:val="24"/>
          <w:szCs w:val="24"/>
          <w:rtl/>
        </w:rPr>
        <w:t xml:space="preserve"> בין הטעות </w:t>
      </w:r>
      <w:r w:rsidR="00C5072B">
        <w:rPr>
          <w:rFonts w:ascii="David" w:hAnsi="David" w:cs="David" w:hint="cs"/>
          <w:sz w:val="24"/>
          <w:szCs w:val="24"/>
          <w:rtl/>
        </w:rPr>
        <w:t>ל</w:t>
      </w:r>
      <w:r w:rsidR="00C5072B" w:rsidRPr="002B087A">
        <w:rPr>
          <w:rFonts w:ascii="David" w:hAnsi="David" w:cs="David"/>
          <w:sz w:val="24"/>
          <w:szCs w:val="24"/>
          <w:rtl/>
        </w:rPr>
        <w:t xml:space="preserve">בין </w:t>
      </w:r>
      <w:r w:rsidR="00C5072B">
        <w:rPr>
          <w:rFonts w:ascii="David" w:hAnsi="David" w:cs="David" w:hint="cs"/>
          <w:sz w:val="24"/>
          <w:szCs w:val="24"/>
          <w:rtl/>
        </w:rPr>
        <w:t xml:space="preserve">ההתקשרות בחוזה והשני </w:t>
      </w:r>
      <w:r w:rsidR="00C5072B" w:rsidRPr="002B087A">
        <w:rPr>
          <w:rFonts w:ascii="David" w:hAnsi="David" w:cs="David"/>
          <w:sz w:val="24"/>
          <w:szCs w:val="24"/>
          <w:rtl/>
        </w:rPr>
        <w:t>בין ההטעיה לבין הטעות</w:t>
      </w:r>
      <w:r w:rsidR="00C5072B">
        <w:rPr>
          <w:rFonts w:ascii="David" w:hAnsi="David" w:cs="David" w:hint="cs"/>
          <w:sz w:val="24"/>
          <w:szCs w:val="24"/>
          <w:rtl/>
        </w:rPr>
        <w:t xml:space="preserve">. במקרה שלפנינו ניתן לראות את כל שלושת התנאים מתקיימים: </w:t>
      </w:r>
      <w:r w:rsidR="00C5072B" w:rsidRPr="00351E49">
        <w:rPr>
          <w:rFonts w:ascii="David" w:hAnsi="David" w:cs="David" w:hint="cs"/>
          <w:sz w:val="24"/>
          <w:szCs w:val="24"/>
          <w:u w:val="single"/>
          <w:rtl/>
        </w:rPr>
        <w:t>הטעות אצל אחד הצדדים-</w:t>
      </w:r>
      <w:r w:rsidR="00C5072B">
        <w:rPr>
          <w:rFonts w:ascii="David" w:hAnsi="David" w:cs="David" w:hint="cs"/>
          <w:sz w:val="24"/>
          <w:szCs w:val="24"/>
          <w:rtl/>
        </w:rPr>
        <w:t xml:space="preserve"> המחשבה של יעקב שעלולים לסגור לו את האטליז ואי ידיעתו על תכנית הבנייה העתידית בשטח- גרמו לו לחתום על החוזה, </w:t>
      </w:r>
      <w:r w:rsidR="00C5072B" w:rsidRPr="00351E49">
        <w:rPr>
          <w:rFonts w:ascii="David" w:hAnsi="David" w:cs="David" w:hint="cs"/>
          <w:sz w:val="24"/>
          <w:szCs w:val="24"/>
          <w:u w:val="single"/>
          <w:rtl/>
        </w:rPr>
        <w:t>ההטעיה שהטעה אותו הצד שכנגד</w:t>
      </w:r>
      <w:r w:rsidR="00C5072B">
        <w:rPr>
          <w:rFonts w:ascii="David" w:hAnsi="David" w:cs="David" w:hint="cs"/>
          <w:sz w:val="24"/>
          <w:szCs w:val="24"/>
          <w:rtl/>
        </w:rPr>
        <w:t xml:space="preserve">- אי הגילוי </w:t>
      </w:r>
      <w:r w:rsidR="003E216E">
        <w:rPr>
          <w:rFonts w:ascii="David" w:hAnsi="David" w:cs="David" w:hint="cs"/>
          <w:sz w:val="24"/>
          <w:szCs w:val="24"/>
          <w:rtl/>
        </w:rPr>
        <w:t>ה</w:t>
      </w:r>
      <w:r w:rsidR="004F21B8">
        <w:rPr>
          <w:rFonts w:ascii="David" w:hAnsi="David" w:cs="David" w:hint="cs"/>
          <w:sz w:val="24"/>
          <w:szCs w:val="24"/>
          <w:rtl/>
        </w:rPr>
        <w:t>עובדות הרלוונטיות לגבי עתיד הנכס ע"י גיא והמצאת עובדות בנוגע למועצה הדתית,</w:t>
      </w:r>
      <w:r w:rsidR="00C5072B">
        <w:rPr>
          <w:rFonts w:ascii="David" w:hAnsi="David" w:cs="David" w:hint="cs"/>
          <w:sz w:val="24"/>
          <w:szCs w:val="24"/>
          <w:rtl/>
        </w:rPr>
        <w:t xml:space="preserve"> </w:t>
      </w:r>
      <w:r w:rsidR="00C5072B" w:rsidRPr="00351E49">
        <w:rPr>
          <w:rFonts w:ascii="David" w:hAnsi="David" w:cs="David" w:hint="cs"/>
          <w:sz w:val="24"/>
          <w:szCs w:val="24"/>
          <w:u w:val="single"/>
          <w:rtl/>
        </w:rPr>
        <w:t>והקשר הסיבתי הכפול</w:t>
      </w:r>
      <w:r w:rsidR="00C5072B">
        <w:rPr>
          <w:rFonts w:ascii="David" w:hAnsi="David" w:cs="David" w:hint="cs"/>
          <w:sz w:val="24"/>
          <w:szCs w:val="24"/>
          <w:rtl/>
        </w:rPr>
        <w:t xml:space="preserve">- יעקב חשש מסגירת </w:t>
      </w:r>
      <w:r w:rsidR="00351E49">
        <w:rPr>
          <w:rFonts w:ascii="David" w:hAnsi="David" w:cs="David" w:hint="cs"/>
          <w:sz w:val="24"/>
          <w:szCs w:val="24"/>
          <w:rtl/>
        </w:rPr>
        <w:t>האטליז</w:t>
      </w:r>
      <w:r w:rsidR="00C5072B">
        <w:rPr>
          <w:rFonts w:ascii="David" w:hAnsi="David" w:cs="David" w:hint="cs"/>
          <w:sz w:val="24"/>
          <w:szCs w:val="24"/>
          <w:rtl/>
        </w:rPr>
        <w:t xml:space="preserve"> ואיבוד הכנסתו</w:t>
      </w:r>
      <w:r w:rsidR="00351E49">
        <w:rPr>
          <w:rFonts w:ascii="David" w:hAnsi="David" w:cs="David" w:hint="cs"/>
          <w:sz w:val="24"/>
          <w:szCs w:val="24"/>
          <w:rtl/>
        </w:rPr>
        <w:t xml:space="preserve"> בגלל ה</w:t>
      </w:r>
      <w:r w:rsidR="00754E90">
        <w:rPr>
          <w:rFonts w:ascii="David" w:hAnsi="David" w:cs="David" w:hint="cs"/>
          <w:sz w:val="24"/>
          <w:szCs w:val="24"/>
          <w:rtl/>
        </w:rPr>
        <w:t xml:space="preserve">נתונים הכוזבים שמסר </w:t>
      </w:r>
      <w:r w:rsidR="00C5072B">
        <w:rPr>
          <w:rFonts w:ascii="David" w:hAnsi="David" w:cs="David" w:hint="cs"/>
          <w:sz w:val="24"/>
          <w:szCs w:val="24"/>
          <w:rtl/>
        </w:rPr>
        <w:t>גיא, וזה גרם לכך שחתם הוא על העסקה על אף הפגם בה.</w:t>
      </w:r>
      <w:r w:rsidR="00D77EE1">
        <w:rPr>
          <w:rFonts w:ascii="David" w:hAnsi="David" w:cs="David"/>
          <w:sz w:val="24"/>
          <w:szCs w:val="24"/>
          <w:rtl/>
        </w:rPr>
        <w:br/>
      </w:r>
      <w:r w:rsidR="00D77EE1">
        <w:rPr>
          <w:rFonts w:ascii="David" w:hAnsi="David" w:cs="David" w:hint="cs"/>
          <w:sz w:val="24"/>
          <w:szCs w:val="24"/>
          <w:rtl/>
        </w:rPr>
        <w:t xml:space="preserve">יוכל גיא לטעון, </w:t>
      </w:r>
      <w:r w:rsidR="00BD0FCB">
        <w:rPr>
          <w:rFonts w:ascii="David" w:hAnsi="David" w:cs="David" w:hint="cs"/>
          <w:sz w:val="24"/>
          <w:szCs w:val="24"/>
          <w:rtl/>
        </w:rPr>
        <w:t>ש</w:t>
      </w:r>
      <w:r w:rsidR="00754E90">
        <w:rPr>
          <w:rFonts w:ascii="David" w:hAnsi="David" w:cs="David" w:hint="cs"/>
          <w:sz w:val="24"/>
          <w:szCs w:val="24"/>
          <w:rtl/>
        </w:rPr>
        <w:t xml:space="preserve">אין ליעקב איך להוכיח </w:t>
      </w:r>
      <w:r w:rsidR="00BD0FCB">
        <w:rPr>
          <w:rFonts w:ascii="David" w:hAnsi="David" w:cs="David" w:hint="cs"/>
          <w:sz w:val="24"/>
          <w:szCs w:val="24"/>
          <w:rtl/>
        </w:rPr>
        <w:t>כי לו ידע</w:t>
      </w:r>
      <w:r w:rsidR="00754E90">
        <w:rPr>
          <w:rFonts w:ascii="David" w:hAnsi="David" w:cs="David" w:hint="cs"/>
          <w:sz w:val="24"/>
          <w:szCs w:val="24"/>
          <w:rtl/>
        </w:rPr>
        <w:t xml:space="preserve"> על התוכנית העתידית בשטח או לא היה מאוים מהקשרים של גיא במועצה הדתית, לא היה מתקשר בחוזה. יכול הוא ל</w:t>
      </w:r>
      <w:r w:rsidR="005A56C8">
        <w:rPr>
          <w:rFonts w:ascii="David" w:hAnsi="David" w:cs="David" w:hint="cs"/>
          <w:sz w:val="24"/>
          <w:szCs w:val="24"/>
          <w:rtl/>
        </w:rPr>
        <w:t>הסתמך על ה</w:t>
      </w:r>
      <w:r w:rsidR="007B1354">
        <w:rPr>
          <w:rFonts w:ascii="David" w:hAnsi="David" w:cs="David" w:hint="cs"/>
          <w:sz w:val="24"/>
          <w:szCs w:val="24"/>
          <w:rtl/>
        </w:rPr>
        <w:t>מקרה הדומה</w:t>
      </w:r>
      <w:r w:rsidR="00BD0FCB">
        <w:rPr>
          <w:rFonts w:ascii="David" w:hAnsi="David" w:cs="David" w:hint="cs"/>
          <w:sz w:val="24"/>
          <w:szCs w:val="24"/>
          <w:rtl/>
        </w:rPr>
        <w:t xml:space="preserve"> בפסק הדין </w:t>
      </w:r>
      <w:proofErr w:type="spellStart"/>
      <w:r w:rsidR="00BD0FCB">
        <w:rPr>
          <w:rFonts w:ascii="David" w:hAnsi="David" w:cs="David" w:hint="cs"/>
          <w:sz w:val="24"/>
          <w:szCs w:val="24"/>
          <w:rtl/>
        </w:rPr>
        <w:t>קינסטלינגר</w:t>
      </w:r>
      <w:proofErr w:type="spellEnd"/>
      <w:r w:rsidR="00BD0FCB">
        <w:rPr>
          <w:rFonts w:ascii="David" w:hAnsi="David" w:cs="David" w:hint="cs"/>
          <w:sz w:val="24"/>
          <w:szCs w:val="24"/>
          <w:rtl/>
        </w:rPr>
        <w:t xml:space="preserve"> נ' אליה</w:t>
      </w:r>
      <w:r w:rsidR="00754E90">
        <w:rPr>
          <w:rStyle w:val="a5"/>
          <w:rFonts w:ascii="David" w:hAnsi="David" w:cs="David"/>
          <w:sz w:val="24"/>
          <w:szCs w:val="24"/>
          <w:rtl/>
        </w:rPr>
        <w:footnoteReference w:id="3"/>
      </w:r>
      <w:r w:rsidR="00754E90">
        <w:rPr>
          <w:rFonts w:ascii="David" w:hAnsi="David" w:cs="David" w:hint="cs"/>
          <w:sz w:val="24"/>
          <w:szCs w:val="24"/>
          <w:rtl/>
        </w:rPr>
        <w:t xml:space="preserve"> </w:t>
      </w:r>
      <w:r w:rsidR="00D02BE1">
        <w:rPr>
          <w:rFonts w:ascii="David" w:hAnsi="David" w:cs="David" w:hint="cs"/>
          <w:sz w:val="24"/>
          <w:szCs w:val="24"/>
          <w:rtl/>
        </w:rPr>
        <w:t>בו נטען</w:t>
      </w:r>
      <w:r w:rsidR="007B1354">
        <w:rPr>
          <w:rFonts w:ascii="David" w:hAnsi="David" w:cs="David" w:hint="cs"/>
          <w:sz w:val="24"/>
          <w:szCs w:val="24"/>
          <w:rtl/>
        </w:rPr>
        <w:t xml:space="preserve"> כי </w:t>
      </w:r>
      <w:r w:rsidR="00D02BE1">
        <w:rPr>
          <w:rFonts w:ascii="David" w:hAnsi="David" w:cs="David" w:hint="cs"/>
          <w:sz w:val="24"/>
          <w:szCs w:val="24"/>
          <w:rtl/>
        </w:rPr>
        <w:t>גם אם היה מופנה תשומת ליבו לא בטוח שהדבר היה מביא אותו לסגת מההחלטה כיוון שככל הנראה לא היה מבין את המשמעות.</w:t>
      </w:r>
      <w:r w:rsidR="00200C45">
        <w:rPr>
          <w:rFonts w:ascii="David" w:hAnsi="David" w:cs="David" w:hint="cs"/>
          <w:sz w:val="24"/>
          <w:szCs w:val="24"/>
          <w:rtl/>
        </w:rPr>
        <w:t xml:space="preserve"> </w:t>
      </w:r>
      <w:r w:rsidR="00C5072B">
        <w:rPr>
          <w:rFonts w:ascii="David" w:hAnsi="David" w:cs="David" w:hint="cs"/>
          <w:sz w:val="24"/>
          <w:szCs w:val="24"/>
          <w:rtl/>
        </w:rPr>
        <w:t>יעקב יכול בתגובה להפנות את גיא לסעיף 12 לחוק החוזים</w:t>
      </w:r>
      <w:r w:rsidR="00C5072B">
        <w:rPr>
          <w:rStyle w:val="a5"/>
          <w:rFonts w:ascii="David" w:hAnsi="David" w:cs="David"/>
          <w:sz w:val="24"/>
          <w:szCs w:val="24"/>
          <w:rtl/>
        </w:rPr>
        <w:footnoteReference w:id="4"/>
      </w:r>
      <w:r w:rsidR="00C5072B">
        <w:rPr>
          <w:rFonts w:ascii="David" w:hAnsi="David" w:cs="David" w:hint="cs"/>
          <w:sz w:val="24"/>
          <w:szCs w:val="24"/>
          <w:rtl/>
        </w:rPr>
        <w:t>, אותו הפר גיא בהתקשרות החוזית. הייתה מצד גיא הטעייה במחדל</w:t>
      </w:r>
      <w:r w:rsidR="00C5072B">
        <w:rPr>
          <w:rStyle w:val="a5"/>
          <w:rFonts w:ascii="David" w:hAnsi="David" w:cs="David"/>
          <w:sz w:val="24"/>
          <w:szCs w:val="24"/>
          <w:rtl/>
        </w:rPr>
        <w:footnoteReference w:id="5"/>
      </w:r>
      <w:r w:rsidR="003E216E">
        <w:rPr>
          <w:rFonts w:ascii="David" w:hAnsi="David" w:cs="David" w:hint="cs"/>
          <w:sz w:val="24"/>
          <w:szCs w:val="24"/>
          <w:rtl/>
        </w:rPr>
        <w:t xml:space="preserve">, </w:t>
      </w:r>
      <w:r w:rsidR="00C5072B">
        <w:rPr>
          <w:rFonts w:ascii="David" w:hAnsi="David" w:cs="David" w:hint="cs"/>
          <w:sz w:val="24"/>
          <w:szCs w:val="24"/>
          <w:rtl/>
        </w:rPr>
        <w:t>ומקור החובה לגלות את העובדות היא מתום הלב. מחובה זו נגזרת גם חובת גילוין של עובדות מהותיות במהלך משא ומתן, ומכאן שהפרת הסעיף מהווה הטעיה על פי הסיפא של סעיף 15.</w:t>
      </w:r>
      <w:r w:rsidR="00C5072B">
        <w:rPr>
          <w:rStyle w:val="a5"/>
          <w:rFonts w:ascii="David" w:hAnsi="David" w:cs="David"/>
          <w:sz w:val="24"/>
          <w:szCs w:val="24"/>
          <w:rtl/>
        </w:rPr>
        <w:footnoteReference w:id="6"/>
      </w:r>
      <w:r w:rsidR="00C5072B">
        <w:rPr>
          <w:rFonts w:ascii="David" w:hAnsi="David" w:cs="David" w:hint="cs"/>
          <w:sz w:val="24"/>
          <w:szCs w:val="24"/>
          <w:rtl/>
        </w:rPr>
        <w:t xml:space="preserve"> </w:t>
      </w:r>
      <w:r w:rsidR="00200C45">
        <w:rPr>
          <w:rFonts w:ascii="David" w:hAnsi="David" w:cs="David" w:hint="cs"/>
          <w:sz w:val="24"/>
          <w:szCs w:val="24"/>
          <w:rtl/>
        </w:rPr>
        <w:t xml:space="preserve">ניתן לראות לכך הדגמה בפסק דין </w:t>
      </w:r>
      <w:proofErr w:type="spellStart"/>
      <w:r w:rsidR="00C5072B">
        <w:rPr>
          <w:rFonts w:ascii="David" w:hAnsi="David" w:cs="David" w:hint="cs"/>
          <w:sz w:val="24"/>
          <w:szCs w:val="24"/>
          <w:rtl/>
        </w:rPr>
        <w:t>ספקטור</w:t>
      </w:r>
      <w:proofErr w:type="spellEnd"/>
      <w:r w:rsidR="00C5072B">
        <w:rPr>
          <w:rFonts w:ascii="David" w:hAnsi="David" w:cs="David" w:hint="cs"/>
          <w:sz w:val="24"/>
          <w:szCs w:val="24"/>
          <w:rtl/>
        </w:rPr>
        <w:t xml:space="preserve"> נ' צרפתי, בו נמכרה חלקה לקבלן ולא נמסרו לו כל הפרטים הרלוונטיים לבנייה. ע"פ השופט אשר, חובת תום הלב היא חובה </w:t>
      </w:r>
      <w:proofErr w:type="spellStart"/>
      <w:r w:rsidR="00C5072B">
        <w:rPr>
          <w:rFonts w:ascii="David" w:hAnsi="David" w:cs="David" w:hint="cs"/>
          <w:sz w:val="24"/>
          <w:szCs w:val="24"/>
          <w:rtl/>
        </w:rPr>
        <w:t>קוגנטית</w:t>
      </w:r>
      <w:proofErr w:type="spellEnd"/>
      <w:r w:rsidR="00C5072B">
        <w:rPr>
          <w:rFonts w:ascii="David" w:hAnsi="David" w:cs="David" w:hint="cs"/>
          <w:sz w:val="24"/>
          <w:szCs w:val="24"/>
          <w:rtl/>
        </w:rPr>
        <w:t xml:space="preserve">, ומחייבת כל אדם במשא ומתן הטרום חוזי לגלות את כל הפרטים </w:t>
      </w:r>
      <w:proofErr w:type="spellStart"/>
      <w:r w:rsidR="00C5072B">
        <w:rPr>
          <w:rFonts w:ascii="David" w:hAnsi="David" w:cs="David" w:hint="cs"/>
          <w:sz w:val="24"/>
          <w:szCs w:val="24"/>
          <w:rtl/>
        </w:rPr>
        <w:t>הרלוונטים</w:t>
      </w:r>
      <w:proofErr w:type="spellEnd"/>
      <w:r w:rsidR="00C5072B">
        <w:rPr>
          <w:rFonts w:ascii="David" w:hAnsi="David" w:cs="David" w:hint="cs"/>
          <w:sz w:val="24"/>
          <w:szCs w:val="24"/>
          <w:rtl/>
        </w:rPr>
        <w:t>.</w:t>
      </w:r>
      <w:r w:rsidR="00C5072B">
        <w:rPr>
          <w:rStyle w:val="a5"/>
          <w:rFonts w:ascii="David" w:hAnsi="David" w:cs="David"/>
          <w:sz w:val="24"/>
          <w:szCs w:val="24"/>
          <w:rtl/>
        </w:rPr>
        <w:footnoteReference w:id="7"/>
      </w:r>
      <w:r w:rsidR="00C5072B">
        <w:rPr>
          <w:rFonts w:ascii="David" w:hAnsi="David" w:cs="David" w:hint="cs"/>
          <w:sz w:val="24"/>
          <w:szCs w:val="24"/>
          <w:rtl/>
        </w:rPr>
        <w:t xml:space="preserve"> אם במעמד התקשרות החוזה היו דברים שהיה מן הראוי לאומרם ולא נאמרו, זהו מצג-שווא בתרמית ולא בתום לב ועל כן עובר גיא על חובתו לנהוג בתום לב.</w:t>
      </w:r>
      <w:r w:rsidR="00C5072B">
        <w:rPr>
          <w:rStyle w:val="a5"/>
          <w:rFonts w:ascii="David" w:hAnsi="David" w:cs="David"/>
          <w:sz w:val="24"/>
          <w:szCs w:val="24"/>
          <w:rtl/>
        </w:rPr>
        <w:footnoteReference w:id="8"/>
      </w:r>
      <w:r w:rsidR="00C5072B">
        <w:rPr>
          <w:rFonts w:ascii="David" w:hAnsi="David" w:cs="David" w:hint="cs"/>
          <w:sz w:val="24"/>
          <w:szCs w:val="24"/>
          <w:rtl/>
        </w:rPr>
        <w:t xml:space="preserve"> </w:t>
      </w:r>
      <w:r w:rsidR="00C5072B" w:rsidRPr="007243EE">
        <w:rPr>
          <w:rFonts w:ascii="David" w:hAnsi="David" w:cs="David"/>
          <w:sz w:val="24"/>
          <w:szCs w:val="24"/>
          <w:rtl/>
        </w:rPr>
        <w:t xml:space="preserve">ניתן לראות </w:t>
      </w:r>
      <w:r w:rsidR="00C5072B">
        <w:rPr>
          <w:rFonts w:ascii="David" w:hAnsi="David" w:cs="David" w:hint="cs"/>
          <w:sz w:val="24"/>
          <w:szCs w:val="24"/>
          <w:rtl/>
        </w:rPr>
        <w:t xml:space="preserve">את </w:t>
      </w:r>
      <w:r w:rsidR="00C5072B" w:rsidRPr="007243EE">
        <w:rPr>
          <w:rFonts w:ascii="David" w:hAnsi="David" w:cs="David"/>
          <w:sz w:val="24"/>
          <w:szCs w:val="24"/>
          <w:rtl/>
        </w:rPr>
        <w:t xml:space="preserve">אי </w:t>
      </w:r>
      <w:r w:rsidR="00C5072B">
        <w:rPr>
          <w:rFonts w:ascii="David" w:hAnsi="David" w:cs="David" w:hint="cs"/>
          <w:sz w:val="24"/>
          <w:szCs w:val="24"/>
          <w:rtl/>
        </w:rPr>
        <w:t>ה</w:t>
      </w:r>
      <w:r w:rsidR="00C5072B" w:rsidRPr="007243EE">
        <w:rPr>
          <w:rFonts w:ascii="David" w:hAnsi="David" w:cs="David"/>
          <w:sz w:val="24"/>
          <w:szCs w:val="24"/>
          <w:rtl/>
        </w:rPr>
        <w:t xml:space="preserve">גילוי </w:t>
      </w:r>
      <w:r w:rsidR="00C5072B">
        <w:rPr>
          <w:rFonts w:ascii="David" w:hAnsi="David" w:cs="David" w:hint="cs"/>
          <w:sz w:val="24"/>
          <w:szCs w:val="24"/>
          <w:rtl/>
        </w:rPr>
        <w:t xml:space="preserve">של גיא </w:t>
      </w:r>
      <w:r w:rsidR="00C5072B" w:rsidRPr="007243EE">
        <w:rPr>
          <w:rFonts w:ascii="David" w:hAnsi="David" w:cs="David"/>
          <w:sz w:val="24"/>
          <w:szCs w:val="24"/>
          <w:rtl/>
        </w:rPr>
        <w:t xml:space="preserve">גם </w:t>
      </w:r>
      <w:r w:rsidR="00C5072B">
        <w:rPr>
          <w:rFonts w:ascii="David" w:hAnsi="David" w:cs="David" w:hint="cs"/>
          <w:sz w:val="24"/>
          <w:szCs w:val="24"/>
          <w:rtl/>
        </w:rPr>
        <w:t>כ</w:t>
      </w:r>
      <w:r w:rsidR="00C5072B" w:rsidRPr="007243EE">
        <w:rPr>
          <w:rFonts w:ascii="David" w:hAnsi="David" w:cs="David"/>
          <w:sz w:val="24"/>
          <w:szCs w:val="24"/>
          <w:rtl/>
        </w:rPr>
        <w:t>תולדה של טעות שכן סעיף 14</w:t>
      </w:r>
      <w:r w:rsidR="00200C45">
        <w:rPr>
          <w:rFonts w:ascii="David" w:hAnsi="David" w:cs="David" w:hint="cs"/>
          <w:sz w:val="24"/>
          <w:szCs w:val="24"/>
          <w:rtl/>
        </w:rPr>
        <w:t>(א)</w:t>
      </w:r>
      <w:r w:rsidR="00C5072B" w:rsidRPr="007243EE">
        <w:rPr>
          <w:rFonts w:ascii="David" w:hAnsi="David" w:cs="David"/>
          <w:sz w:val="24"/>
          <w:szCs w:val="24"/>
          <w:rtl/>
        </w:rPr>
        <w:t xml:space="preserve"> לחוק</w:t>
      </w:r>
      <w:r w:rsidR="00C5072B" w:rsidRPr="007243EE">
        <w:rPr>
          <w:rStyle w:val="a5"/>
          <w:rFonts w:ascii="David" w:hAnsi="David" w:cs="David"/>
          <w:sz w:val="24"/>
          <w:szCs w:val="24"/>
          <w:rtl/>
        </w:rPr>
        <w:footnoteReference w:id="9"/>
      </w:r>
      <w:r w:rsidR="00C5072B" w:rsidRPr="007243EE">
        <w:rPr>
          <w:rFonts w:ascii="David" w:hAnsi="David" w:cs="David"/>
          <w:sz w:val="24"/>
          <w:szCs w:val="24"/>
          <w:rtl/>
        </w:rPr>
        <w:t xml:space="preserve"> קשור בצורה ישירה</w:t>
      </w:r>
      <w:r w:rsidR="00C5072B">
        <w:rPr>
          <w:rFonts w:ascii="David" w:hAnsi="David" w:cs="David"/>
          <w:sz w:val="24"/>
          <w:szCs w:val="24"/>
          <w:rtl/>
        </w:rPr>
        <w:t xml:space="preserve"> לסעיף 15</w:t>
      </w:r>
      <w:r w:rsidR="00C5072B">
        <w:rPr>
          <w:rStyle w:val="a5"/>
          <w:rFonts w:ascii="David" w:hAnsi="David" w:cs="David"/>
          <w:sz w:val="24"/>
          <w:szCs w:val="24"/>
          <w:rtl/>
        </w:rPr>
        <w:footnoteReference w:id="10"/>
      </w:r>
      <w:r w:rsidR="00C5072B">
        <w:rPr>
          <w:rFonts w:ascii="David" w:hAnsi="David" w:cs="David" w:hint="cs"/>
          <w:sz w:val="24"/>
          <w:szCs w:val="24"/>
          <w:rtl/>
        </w:rPr>
        <w:t xml:space="preserve"> </w:t>
      </w:r>
      <w:r w:rsidR="00C5072B" w:rsidRPr="007243EE">
        <w:rPr>
          <w:rFonts w:ascii="David" w:hAnsi="David" w:cs="David"/>
          <w:sz w:val="24"/>
          <w:szCs w:val="24"/>
          <w:rtl/>
        </w:rPr>
        <w:t>וההטעיה והטעות שלובות זו בזו</w:t>
      </w:r>
      <w:r w:rsidR="00C5072B">
        <w:rPr>
          <w:rFonts w:ascii="David" w:hAnsi="David" w:cs="David" w:hint="cs"/>
          <w:sz w:val="24"/>
          <w:szCs w:val="24"/>
          <w:rtl/>
        </w:rPr>
        <w:t xml:space="preserve"> (גם בנוסח סעיף 15 עצמו מודגש הקשר- "מי שהתקשר בחוזה </w:t>
      </w:r>
      <w:r w:rsidR="00C5072B" w:rsidRPr="00FA318E">
        <w:rPr>
          <w:rFonts w:ascii="David" w:hAnsi="David" w:cs="David" w:hint="cs"/>
          <w:sz w:val="24"/>
          <w:szCs w:val="24"/>
          <w:u w:val="single"/>
          <w:rtl/>
        </w:rPr>
        <w:t>עקב טעות</w:t>
      </w:r>
      <w:r w:rsidR="00C5072B">
        <w:rPr>
          <w:rFonts w:ascii="David" w:hAnsi="David" w:cs="David" w:hint="cs"/>
          <w:sz w:val="24"/>
          <w:szCs w:val="24"/>
          <w:rtl/>
        </w:rPr>
        <w:t>".) המכנה המשותף שיש לטעות ולהטעיה הוא בנקודת המוצא- על שניהם אפשר לדבר רק אם אדם התקשר בחוזה עקב טעות. משמע החוק מציב תנאי כפול- שתהיה טעות, ושהיא תגרום להתקשרות בחוזה.</w:t>
      </w:r>
      <w:r w:rsidR="00C5072B">
        <w:rPr>
          <w:rStyle w:val="a5"/>
          <w:rFonts w:ascii="David" w:hAnsi="David" w:cs="David"/>
          <w:sz w:val="24"/>
          <w:szCs w:val="24"/>
          <w:rtl/>
        </w:rPr>
        <w:footnoteReference w:id="11"/>
      </w:r>
      <w:r w:rsidR="00C5072B">
        <w:rPr>
          <w:rFonts w:ascii="David" w:hAnsi="David" w:cs="David" w:hint="cs"/>
          <w:sz w:val="24"/>
          <w:szCs w:val="24"/>
          <w:rtl/>
        </w:rPr>
        <w:t xml:space="preserve"> ליעקב יש גם אפשרות מכוח שתי העילות יחדיו לדרוש את ביטול החוזה (ניתן לראות זאת גם בסעיף 16 לחוק המכר.</w:t>
      </w:r>
      <w:r w:rsidR="00C5072B">
        <w:rPr>
          <w:rStyle w:val="a5"/>
          <w:rFonts w:ascii="David" w:hAnsi="David" w:cs="David"/>
          <w:sz w:val="24"/>
          <w:szCs w:val="24"/>
          <w:rtl/>
        </w:rPr>
        <w:footnoteReference w:id="12"/>
      </w:r>
      <w:r w:rsidR="00C5072B">
        <w:rPr>
          <w:rFonts w:ascii="David" w:hAnsi="David" w:cs="David" w:hint="cs"/>
          <w:sz w:val="24"/>
          <w:szCs w:val="24"/>
          <w:rtl/>
        </w:rPr>
        <w:t xml:space="preserve">) </w:t>
      </w:r>
      <w:r w:rsidR="00200C45">
        <w:rPr>
          <w:rFonts w:ascii="David" w:hAnsi="David" w:cs="David" w:hint="cs"/>
          <w:sz w:val="24"/>
          <w:szCs w:val="24"/>
          <w:rtl/>
        </w:rPr>
        <w:t>ישנה</w:t>
      </w:r>
      <w:r w:rsidR="002A150A">
        <w:rPr>
          <w:rFonts w:ascii="David" w:hAnsi="David" w:cs="David" w:hint="cs"/>
          <w:sz w:val="24"/>
          <w:szCs w:val="24"/>
          <w:rtl/>
        </w:rPr>
        <w:t xml:space="preserve"> התקיימות של כל התנאים הנדרשים לעילת ההטעיה. </w:t>
      </w:r>
      <w:r w:rsidR="002262AD">
        <w:rPr>
          <w:rFonts w:ascii="David" w:hAnsi="David" w:cs="David" w:hint="cs"/>
          <w:sz w:val="24"/>
          <w:szCs w:val="24"/>
          <w:rtl/>
        </w:rPr>
        <w:t xml:space="preserve">כיוון שהטעויות הן תוצאה של הטעיה, </w:t>
      </w:r>
      <w:r w:rsidR="00C5072B">
        <w:rPr>
          <w:rFonts w:ascii="David" w:hAnsi="David" w:cs="David" w:hint="cs"/>
          <w:sz w:val="24"/>
          <w:szCs w:val="24"/>
          <w:rtl/>
        </w:rPr>
        <w:t xml:space="preserve">במידה והשופט לא מקבל את </w:t>
      </w:r>
      <w:r w:rsidR="00C35F96">
        <w:rPr>
          <w:rFonts w:ascii="David" w:hAnsi="David" w:cs="David" w:hint="cs"/>
          <w:sz w:val="24"/>
          <w:szCs w:val="24"/>
          <w:rtl/>
        </w:rPr>
        <w:t>הטענה</w:t>
      </w:r>
      <w:r w:rsidR="00C5072B">
        <w:rPr>
          <w:rFonts w:ascii="David" w:hAnsi="David" w:cs="David" w:hint="cs"/>
          <w:sz w:val="24"/>
          <w:szCs w:val="24"/>
          <w:rtl/>
        </w:rPr>
        <w:t xml:space="preserve">, יכול </w:t>
      </w:r>
      <w:r w:rsidR="00046C6B">
        <w:rPr>
          <w:rFonts w:ascii="David" w:hAnsi="David" w:cs="David" w:hint="cs"/>
          <w:sz w:val="24"/>
          <w:szCs w:val="24"/>
          <w:rtl/>
        </w:rPr>
        <w:t xml:space="preserve">לנסות </w:t>
      </w:r>
      <w:r w:rsidR="00C5072B">
        <w:rPr>
          <w:rFonts w:ascii="David" w:hAnsi="David" w:cs="David" w:hint="cs"/>
          <w:sz w:val="24"/>
          <w:szCs w:val="24"/>
          <w:rtl/>
        </w:rPr>
        <w:t>יעקב לדרוש את ביטול החוזה בטענת עילת הטעות.</w:t>
      </w:r>
      <w:r w:rsidR="00782CA5">
        <w:rPr>
          <w:rFonts w:ascii="David" w:hAnsi="David" w:cs="David" w:hint="cs"/>
          <w:b/>
          <w:bCs/>
          <w:sz w:val="24"/>
          <w:szCs w:val="24"/>
          <w:u w:val="single"/>
          <w:rtl/>
        </w:rPr>
        <w:t xml:space="preserve"> </w:t>
      </w:r>
      <w:r w:rsidR="00FD1131" w:rsidRPr="007968F0">
        <w:rPr>
          <w:rFonts w:ascii="David" w:hAnsi="David" w:cs="David" w:hint="cs"/>
          <w:b/>
          <w:bCs/>
          <w:sz w:val="24"/>
          <w:szCs w:val="24"/>
          <w:u w:val="single"/>
          <w:rtl/>
        </w:rPr>
        <w:t>טעות</w:t>
      </w:r>
      <w:r w:rsidR="00FD1131">
        <w:rPr>
          <w:rFonts w:ascii="David" w:hAnsi="David" w:cs="David" w:hint="cs"/>
          <w:sz w:val="24"/>
          <w:szCs w:val="24"/>
          <w:u w:val="single"/>
          <w:rtl/>
        </w:rPr>
        <w:t>-</w:t>
      </w:r>
      <w:r w:rsidR="00FD1131">
        <w:rPr>
          <w:rFonts w:ascii="David" w:hAnsi="David" w:cs="David" w:hint="cs"/>
          <w:sz w:val="24"/>
          <w:szCs w:val="24"/>
          <w:rtl/>
        </w:rPr>
        <w:t xml:space="preserve"> </w:t>
      </w:r>
      <w:r w:rsidR="00C5072B">
        <w:rPr>
          <w:rFonts w:ascii="David" w:hAnsi="David" w:cs="David" w:hint="cs"/>
          <w:sz w:val="24"/>
          <w:szCs w:val="24"/>
          <w:rtl/>
        </w:rPr>
        <w:t>סעיף 14(א) לחוק</w:t>
      </w:r>
      <w:r w:rsidR="00136678">
        <w:rPr>
          <w:rFonts w:ascii="David" w:hAnsi="David" w:cs="David" w:hint="cs"/>
          <w:sz w:val="24"/>
          <w:szCs w:val="24"/>
          <w:rtl/>
        </w:rPr>
        <w:t xml:space="preserve"> החוזים</w:t>
      </w:r>
      <w:r w:rsidR="00FA59B3">
        <w:rPr>
          <w:rStyle w:val="a5"/>
          <w:rFonts w:ascii="David" w:hAnsi="David" w:cs="David"/>
          <w:sz w:val="24"/>
          <w:szCs w:val="24"/>
          <w:rtl/>
        </w:rPr>
        <w:footnoteReference w:id="13"/>
      </w:r>
      <w:r w:rsidR="003462F0">
        <w:rPr>
          <w:rFonts w:ascii="David" w:hAnsi="David" w:cs="David" w:hint="cs"/>
          <w:sz w:val="24"/>
          <w:szCs w:val="24"/>
          <w:rtl/>
        </w:rPr>
        <w:t xml:space="preserve"> נותן ליעקב את האפשרות לביטול החוזה</w:t>
      </w:r>
      <w:r w:rsidR="008F466C">
        <w:rPr>
          <w:rFonts w:ascii="David" w:hAnsi="David" w:cs="David" w:hint="cs"/>
          <w:sz w:val="24"/>
          <w:szCs w:val="24"/>
          <w:rtl/>
        </w:rPr>
        <w:t xml:space="preserve"> עקב טעות ש</w:t>
      </w:r>
      <w:r w:rsidR="0074677F">
        <w:rPr>
          <w:rFonts w:ascii="David" w:hAnsi="David" w:cs="David" w:hint="cs"/>
          <w:sz w:val="24"/>
          <w:szCs w:val="24"/>
          <w:rtl/>
        </w:rPr>
        <w:t>הייתה</w:t>
      </w:r>
      <w:r w:rsidR="008F466C">
        <w:rPr>
          <w:rFonts w:ascii="David" w:hAnsi="David" w:cs="David" w:hint="cs"/>
          <w:sz w:val="24"/>
          <w:szCs w:val="24"/>
          <w:rtl/>
        </w:rPr>
        <w:t xml:space="preserve"> בכריתה</w:t>
      </w:r>
      <w:r w:rsidR="008F40D6">
        <w:rPr>
          <w:rFonts w:ascii="David" w:hAnsi="David" w:cs="David" w:hint="cs"/>
          <w:sz w:val="24"/>
          <w:szCs w:val="24"/>
          <w:rtl/>
        </w:rPr>
        <w:t xml:space="preserve">. </w:t>
      </w:r>
      <w:r w:rsidR="00117162">
        <w:rPr>
          <w:rFonts w:ascii="David" w:hAnsi="David" w:cs="David" w:hint="cs"/>
          <w:sz w:val="24"/>
          <w:szCs w:val="24"/>
          <w:rtl/>
        </w:rPr>
        <w:t xml:space="preserve">על פי </w:t>
      </w:r>
      <w:r w:rsidR="00117162">
        <w:rPr>
          <w:rFonts w:ascii="David" w:hAnsi="David" w:cs="David" w:hint="cs"/>
          <w:sz w:val="24"/>
          <w:szCs w:val="24"/>
          <w:rtl/>
        </w:rPr>
        <w:lastRenderedPageBreak/>
        <w:t>גבריאלה שלו</w:t>
      </w:r>
      <w:r w:rsidR="00117162">
        <w:rPr>
          <w:rStyle w:val="a5"/>
          <w:rFonts w:ascii="David" w:hAnsi="David" w:cs="David"/>
          <w:sz w:val="24"/>
          <w:szCs w:val="24"/>
          <w:rtl/>
        </w:rPr>
        <w:footnoteReference w:id="14"/>
      </w:r>
      <w:r w:rsidR="00117162">
        <w:rPr>
          <w:rFonts w:ascii="David" w:hAnsi="David" w:cs="David" w:hint="cs"/>
          <w:sz w:val="24"/>
          <w:szCs w:val="24"/>
          <w:rtl/>
        </w:rPr>
        <w:t xml:space="preserve"> עילת הטעות והזכות לביטול </w:t>
      </w:r>
      <w:r w:rsidR="003E216E">
        <w:rPr>
          <w:rFonts w:ascii="David" w:hAnsi="David" w:cs="David" w:hint="cs"/>
          <w:sz w:val="24"/>
          <w:szCs w:val="24"/>
          <w:rtl/>
        </w:rPr>
        <w:t>מתקיימת בתנאים</w:t>
      </w:r>
      <w:r w:rsidR="00117162">
        <w:rPr>
          <w:rFonts w:ascii="David" w:hAnsi="David" w:cs="David" w:hint="cs"/>
          <w:sz w:val="24"/>
          <w:szCs w:val="24"/>
          <w:rtl/>
        </w:rPr>
        <w:t xml:space="preserve"> הללו: קיום חוזה, קשר סיבתי, יסודיות הטע</w:t>
      </w:r>
      <w:r w:rsidR="008F466C">
        <w:rPr>
          <w:rFonts w:ascii="David" w:hAnsi="David" w:cs="David" w:hint="cs"/>
          <w:sz w:val="24"/>
          <w:szCs w:val="24"/>
          <w:rtl/>
        </w:rPr>
        <w:t>ות, וידיע</w:t>
      </w:r>
      <w:r w:rsidR="00E04895">
        <w:rPr>
          <w:rFonts w:ascii="David" w:hAnsi="David" w:cs="David" w:hint="cs"/>
          <w:sz w:val="24"/>
          <w:szCs w:val="24"/>
          <w:rtl/>
        </w:rPr>
        <w:t>ת הצד השני. ניתן לראות במקר</w:t>
      </w:r>
      <w:r w:rsidR="0074677F">
        <w:rPr>
          <w:rFonts w:ascii="David" w:hAnsi="David" w:cs="David" w:hint="cs"/>
          <w:sz w:val="24"/>
          <w:szCs w:val="24"/>
          <w:rtl/>
        </w:rPr>
        <w:t xml:space="preserve">ה דנן התקיימות של כל התנאים: </w:t>
      </w:r>
      <w:r w:rsidR="00E04895" w:rsidRPr="0074677F">
        <w:rPr>
          <w:rFonts w:ascii="David" w:hAnsi="David" w:cs="David" w:hint="cs"/>
          <w:sz w:val="24"/>
          <w:szCs w:val="24"/>
          <w:u w:val="single"/>
          <w:rtl/>
        </w:rPr>
        <w:t>קיום חוזה-</w:t>
      </w:r>
      <w:r w:rsidR="00E04895">
        <w:rPr>
          <w:rFonts w:ascii="David" w:hAnsi="David" w:cs="David" w:hint="cs"/>
          <w:sz w:val="24"/>
          <w:szCs w:val="24"/>
          <w:rtl/>
        </w:rPr>
        <w:t xml:space="preserve"> נכרת חוזה </w:t>
      </w:r>
      <w:r w:rsidR="003219D2">
        <w:rPr>
          <w:rFonts w:ascii="David" w:hAnsi="David" w:cs="David" w:hint="cs"/>
          <w:sz w:val="24"/>
          <w:szCs w:val="24"/>
          <w:rtl/>
        </w:rPr>
        <w:t>תקף</w:t>
      </w:r>
      <w:r w:rsidR="0074677F">
        <w:rPr>
          <w:rFonts w:ascii="David" w:hAnsi="David" w:cs="David" w:hint="cs"/>
          <w:sz w:val="24"/>
          <w:szCs w:val="24"/>
          <w:rtl/>
        </w:rPr>
        <w:t xml:space="preserve"> בין יעקב לגיא. </w:t>
      </w:r>
      <w:r w:rsidR="00E04895" w:rsidRPr="0074677F">
        <w:rPr>
          <w:rFonts w:ascii="David" w:hAnsi="David" w:cs="David" w:hint="cs"/>
          <w:sz w:val="24"/>
          <w:szCs w:val="24"/>
          <w:u w:val="single"/>
          <w:rtl/>
        </w:rPr>
        <w:t>קשר סיבתי</w:t>
      </w:r>
      <w:r w:rsidR="00E04895">
        <w:rPr>
          <w:rFonts w:ascii="David" w:hAnsi="David" w:cs="David" w:hint="cs"/>
          <w:sz w:val="24"/>
          <w:szCs w:val="24"/>
          <w:rtl/>
        </w:rPr>
        <w:t>- הטעות חייבת להיות הגורם להתקשרות בחוזה.</w:t>
      </w:r>
      <w:r w:rsidR="008F466C">
        <w:rPr>
          <w:rFonts w:ascii="David" w:hAnsi="David" w:cs="David" w:hint="cs"/>
          <w:sz w:val="24"/>
          <w:szCs w:val="24"/>
          <w:rtl/>
        </w:rPr>
        <w:t xml:space="preserve"> במקרה של יעקב, היו 2 </w:t>
      </w:r>
      <w:r w:rsidR="00C37132">
        <w:rPr>
          <w:rFonts w:ascii="David" w:hAnsi="David" w:cs="David" w:hint="cs"/>
          <w:sz w:val="24"/>
          <w:szCs w:val="24"/>
          <w:rtl/>
        </w:rPr>
        <w:t>ט</w:t>
      </w:r>
      <w:r w:rsidR="00BB2DD7">
        <w:rPr>
          <w:rFonts w:ascii="David" w:hAnsi="David" w:cs="David" w:hint="cs"/>
          <w:sz w:val="24"/>
          <w:szCs w:val="24"/>
          <w:rtl/>
        </w:rPr>
        <w:t>עויות מרכזיות שגרמו</w:t>
      </w:r>
      <w:r w:rsidR="00EE5551">
        <w:rPr>
          <w:rFonts w:ascii="David" w:hAnsi="David" w:cs="David" w:hint="cs"/>
          <w:sz w:val="24"/>
          <w:szCs w:val="24"/>
          <w:rtl/>
        </w:rPr>
        <w:t xml:space="preserve"> לו</w:t>
      </w:r>
      <w:r w:rsidR="00F32FC2">
        <w:rPr>
          <w:rFonts w:ascii="David" w:hAnsi="David" w:cs="David" w:hint="cs"/>
          <w:sz w:val="24"/>
          <w:szCs w:val="24"/>
          <w:rtl/>
        </w:rPr>
        <w:t xml:space="preserve"> להתקשר ב</w:t>
      </w:r>
      <w:r w:rsidR="00692ECB">
        <w:rPr>
          <w:rFonts w:ascii="David" w:hAnsi="David" w:cs="David" w:hint="cs"/>
          <w:sz w:val="24"/>
          <w:szCs w:val="24"/>
          <w:rtl/>
        </w:rPr>
        <w:t xml:space="preserve">חוזה- המחשבה </w:t>
      </w:r>
      <w:r w:rsidR="00BB2DD7">
        <w:rPr>
          <w:rFonts w:ascii="David" w:hAnsi="David" w:cs="David" w:hint="cs"/>
          <w:sz w:val="24"/>
          <w:szCs w:val="24"/>
          <w:rtl/>
        </w:rPr>
        <w:t xml:space="preserve">שאם לא יחתום יסגרו </w:t>
      </w:r>
      <w:r w:rsidR="00B55886">
        <w:rPr>
          <w:rFonts w:ascii="David" w:hAnsi="David" w:cs="David" w:hint="cs"/>
          <w:sz w:val="24"/>
          <w:szCs w:val="24"/>
          <w:rtl/>
        </w:rPr>
        <w:t>המועצה הדתית והרבנות הראשית</w:t>
      </w:r>
      <w:r w:rsidR="00C37132">
        <w:rPr>
          <w:rFonts w:ascii="David" w:hAnsi="David" w:cs="David" w:hint="cs"/>
          <w:sz w:val="24"/>
          <w:szCs w:val="24"/>
          <w:rtl/>
        </w:rPr>
        <w:t xml:space="preserve"> את האטליז, </w:t>
      </w:r>
      <w:r w:rsidR="00F32FC2">
        <w:rPr>
          <w:rFonts w:ascii="David" w:hAnsi="David" w:cs="David" w:hint="cs"/>
          <w:sz w:val="24"/>
          <w:szCs w:val="24"/>
          <w:rtl/>
        </w:rPr>
        <w:t xml:space="preserve">ואי </w:t>
      </w:r>
      <w:r w:rsidR="0066334E">
        <w:rPr>
          <w:rFonts w:ascii="David" w:hAnsi="David" w:cs="David" w:hint="cs"/>
          <w:sz w:val="24"/>
          <w:szCs w:val="24"/>
          <w:rtl/>
        </w:rPr>
        <w:t>הידיעה של יעקב על כך שעל השטח עומד להיות מוק</w:t>
      </w:r>
      <w:r w:rsidR="00C4428C">
        <w:rPr>
          <w:rFonts w:ascii="David" w:hAnsi="David" w:cs="David" w:hint="cs"/>
          <w:sz w:val="24"/>
          <w:szCs w:val="24"/>
          <w:rtl/>
        </w:rPr>
        <w:t>ם</w:t>
      </w:r>
      <w:r w:rsidR="0066334E">
        <w:rPr>
          <w:rFonts w:ascii="David" w:hAnsi="David" w:cs="David" w:hint="cs"/>
          <w:sz w:val="24"/>
          <w:szCs w:val="24"/>
          <w:rtl/>
        </w:rPr>
        <w:t xml:space="preserve"> בניין חדש.</w:t>
      </w:r>
      <w:r w:rsidR="00F844A6">
        <w:rPr>
          <w:rFonts w:ascii="David" w:hAnsi="David" w:cs="David" w:hint="cs"/>
          <w:sz w:val="24"/>
          <w:szCs w:val="24"/>
          <w:rtl/>
        </w:rPr>
        <w:t xml:space="preserve"> אילולא </w:t>
      </w:r>
      <w:r w:rsidR="00D01EEF">
        <w:rPr>
          <w:rFonts w:ascii="David" w:hAnsi="David" w:cs="David" w:hint="cs"/>
          <w:sz w:val="24"/>
          <w:szCs w:val="24"/>
          <w:rtl/>
        </w:rPr>
        <w:t>הטעויות הללו, ככל הנראה לא היה יעקב חותם על החוזה שכן אמר לגיא בהתחלה שהאטליז לא למכירה והוא מרוצה מפרנסתו.</w:t>
      </w:r>
      <w:r w:rsidR="005E15D3">
        <w:rPr>
          <w:rFonts w:ascii="David" w:hAnsi="David" w:cs="David" w:hint="cs"/>
          <w:sz w:val="24"/>
          <w:szCs w:val="24"/>
          <w:rtl/>
        </w:rPr>
        <w:t xml:space="preserve"> </w:t>
      </w:r>
      <w:r w:rsidR="005E15D3" w:rsidRPr="005E15D3">
        <w:rPr>
          <w:rFonts w:ascii="David" w:hAnsi="David" w:cs="David" w:hint="cs"/>
          <w:sz w:val="24"/>
          <w:szCs w:val="24"/>
          <w:u w:val="single"/>
          <w:rtl/>
        </w:rPr>
        <w:t>י</w:t>
      </w:r>
      <w:r w:rsidR="00E04895" w:rsidRPr="005E15D3">
        <w:rPr>
          <w:rFonts w:ascii="David" w:hAnsi="David" w:cs="David" w:hint="cs"/>
          <w:sz w:val="24"/>
          <w:szCs w:val="24"/>
          <w:u w:val="single"/>
          <w:rtl/>
        </w:rPr>
        <w:t>סודיות הטעות</w:t>
      </w:r>
      <w:r w:rsidR="00E04895">
        <w:rPr>
          <w:rFonts w:ascii="David" w:hAnsi="David" w:cs="David" w:hint="cs"/>
          <w:sz w:val="24"/>
          <w:szCs w:val="24"/>
          <w:rtl/>
        </w:rPr>
        <w:t>- הטעות צריכה להיות יסודית ושעקב קיומה יצרה שוני מהותי בין העסקה כפי שהבין אותה המתקשר לבין העסקה כהווייתה</w:t>
      </w:r>
      <w:r w:rsidR="00077BF5">
        <w:rPr>
          <w:rStyle w:val="a5"/>
          <w:rFonts w:ascii="David" w:hAnsi="David" w:cs="David"/>
          <w:sz w:val="24"/>
          <w:szCs w:val="24"/>
          <w:rtl/>
        </w:rPr>
        <w:footnoteReference w:id="15"/>
      </w:r>
      <w:r w:rsidR="00E04895">
        <w:rPr>
          <w:rFonts w:ascii="David" w:hAnsi="David" w:cs="David" w:hint="cs"/>
          <w:sz w:val="24"/>
          <w:szCs w:val="24"/>
          <w:rtl/>
        </w:rPr>
        <w:t>.</w:t>
      </w:r>
      <w:r w:rsidR="00D01EEF">
        <w:rPr>
          <w:rFonts w:ascii="David" w:hAnsi="David" w:cs="David" w:hint="cs"/>
          <w:sz w:val="24"/>
          <w:szCs w:val="24"/>
          <w:rtl/>
        </w:rPr>
        <w:t xml:space="preserve"> אם היה יודע יעקב על הת</w:t>
      </w:r>
      <w:r w:rsidR="00B55886">
        <w:rPr>
          <w:rFonts w:ascii="David" w:hAnsi="David" w:cs="David" w:hint="cs"/>
          <w:sz w:val="24"/>
          <w:szCs w:val="24"/>
          <w:rtl/>
        </w:rPr>
        <w:t>כנית העתידית לבנייה בשטח ושערך הנכס יזנק, ככל הנראה לא היה חותם על החוזה, בטח גם אם היה יודע שאיומי גיא איומי סרק הם, ואין לו כלל קשרים במועצה הדתית.</w:t>
      </w:r>
      <w:r w:rsidR="00E04895">
        <w:rPr>
          <w:rFonts w:ascii="David" w:hAnsi="David" w:cs="David" w:hint="cs"/>
          <w:sz w:val="24"/>
          <w:szCs w:val="24"/>
          <w:rtl/>
        </w:rPr>
        <w:t xml:space="preserve"> </w:t>
      </w:r>
      <w:r w:rsidR="00533AA3" w:rsidRPr="005E15D3">
        <w:rPr>
          <w:rFonts w:ascii="David" w:hAnsi="David" w:cs="David" w:hint="cs"/>
          <w:sz w:val="24"/>
          <w:szCs w:val="24"/>
          <w:u w:val="single"/>
          <w:rtl/>
        </w:rPr>
        <w:t>ידיעת הצד השני-</w:t>
      </w:r>
      <w:r w:rsidR="00533AA3">
        <w:rPr>
          <w:rFonts w:ascii="David" w:hAnsi="David" w:cs="David" w:hint="cs"/>
          <w:sz w:val="24"/>
          <w:szCs w:val="24"/>
          <w:rtl/>
        </w:rPr>
        <w:t xml:space="preserve"> גיא ידע על </w:t>
      </w:r>
      <w:r w:rsidR="00604515">
        <w:rPr>
          <w:rFonts w:ascii="David" w:hAnsi="David" w:cs="David" w:hint="cs"/>
          <w:sz w:val="24"/>
          <w:szCs w:val="24"/>
          <w:rtl/>
        </w:rPr>
        <w:t>שני הדברים- על התכנית העתידית בקשר לשטח</w:t>
      </w:r>
      <w:r w:rsidR="004B61A9">
        <w:rPr>
          <w:rFonts w:ascii="David" w:hAnsi="David" w:cs="David" w:hint="cs"/>
          <w:sz w:val="24"/>
          <w:szCs w:val="24"/>
          <w:rtl/>
        </w:rPr>
        <w:t xml:space="preserve">, </w:t>
      </w:r>
      <w:r w:rsidR="00604515">
        <w:rPr>
          <w:rFonts w:ascii="David" w:hAnsi="David" w:cs="David" w:hint="cs"/>
          <w:sz w:val="24"/>
          <w:szCs w:val="24"/>
          <w:rtl/>
        </w:rPr>
        <w:t>וכמובן הוא זה שהמציא את קשריו ב</w:t>
      </w:r>
      <w:r w:rsidR="008F40D6">
        <w:rPr>
          <w:rFonts w:ascii="David" w:hAnsi="David" w:cs="David" w:hint="cs"/>
          <w:sz w:val="24"/>
          <w:szCs w:val="24"/>
          <w:rtl/>
        </w:rPr>
        <w:t>מועצה הדתית. ניתן לייחס את ידיעתו גם להפרת חובת תום הלב</w:t>
      </w:r>
      <w:r w:rsidR="00A42B60">
        <w:rPr>
          <w:rFonts w:ascii="David" w:hAnsi="David" w:cs="David" w:hint="cs"/>
          <w:sz w:val="24"/>
          <w:szCs w:val="24"/>
          <w:rtl/>
        </w:rPr>
        <w:t>, שכן בדה דברים מליבו</w:t>
      </w:r>
      <w:r w:rsidR="008F466C">
        <w:rPr>
          <w:rFonts w:ascii="David" w:hAnsi="David" w:cs="David" w:hint="cs"/>
          <w:sz w:val="24"/>
          <w:szCs w:val="24"/>
          <w:rtl/>
        </w:rPr>
        <w:t xml:space="preserve"> והטעה במכוון את יעקב</w:t>
      </w:r>
      <w:r w:rsidR="00A42B60">
        <w:rPr>
          <w:rFonts w:ascii="David" w:hAnsi="David" w:cs="David" w:hint="cs"/>
          <w:sz w:val="24"/>
          <w:szCs w:val="24"/>
          <w:rtl/>
        </w:rPr>
        <w:t xml:space="preserve"> </w:t>
      </w:r>
      <w:r w:rsidR="008F40D6">
        <w:rPr>
          <w:rStyle w:val="a5"/>
          <w:rFonts w:ascii="David" w:hAnsi="David" w:cs="David"/>
          <w:sz w:val="24"/>
          <w:szCs w:val="24"/>
          <w:rtl/>
        </w:rPr>
        <w:footnoteReference w:id="16"/>
      </w:r>
      <w:r w:rsidR="008F40D6">
        <w:rPr>
          <w:rFonts w:ascii="David" w:hAnsi="David" w:cs="David" w:hint="cs"/>
          <w:sz w:val="24"/>
          <w:szCs w:val="24"/>
          <w:rtl/>
        </w:rPr>
        <w:t>.</w:t>
      </w:r>
      <w:r w:rsidR="005E15D3">
        <w:rPr>
          <w:rFonts w:ascii="David" w:hAnsi="David" w:cs="David"/>
          <w:sz w:val="24"/>
          <w:szCs w:val="24"/>
          <w:rtl/>
        </w:rPr>
        <w:br/>
      </w:r>
      <w:r w:rsidR="005E15D3">
        <w:rPr>
          <w:rFonts w:ascii="David" w:hAnsi="David" w:cs="David" w:hint="cs"/>
          <w:sz w:val="24"/>
          <w:szCs w:val="24"/>
          <w:rtl/>
        </w:rPr>
        <w:t>יכול לטעון גיא</w:t>
      </w:r>
      <w:r w:rsidR="001618A1">
        <w:rPr>
          <w:rFonts w:ascii="David" w:hAnsi="David" w:cs="David" w:hint="cs"/>
          <w:sz w:val="24"/>
          <w:szCs w:val="24"/>
          <w:rtl/>
        </w:rPr>
        <w:t>, שמעשיו נקשרים לסעיף 14(ד) לחוק</w:t>
      </w:r>
      <w:r w:rsidR="001618A1">
        <w:rPr>
          <w:rStyle w:val="a5"/>
          <w:rFonts w:ascii="David" w:hAnsi="David" w:cs="David"/>
          <w:sz w:val="24"/>
          <w:szCs w:val="24"/>
          <w:rtl/>
        </w:rPr>
        <w:footnoteReference w:id="17"/>
      </w:r>
      <w:r w:rsidR="001618A1">
        <w:rPr>
          <w:rFonts w:ascii="David" w:hAnsi="David" w:cs="David" w:hint="cs"/>
          <w:sz w:val="24"/>
          <w:szCs w:val="24"/>
          <w:rtl/>
        </w:rPr>
        <w:t>, בו מדובר בכדאיות החוזה, וכיוון שמדובר בשווי הנכס אותו מכר יעקב, אין עילה לביטול החוזה. יכול</w:t>
      </w:r>
      <w:r w:rsidR="009B1241">
        <w:rPr>
          <w:rFonts w:ascii="David" w:hAnsi="David" w:cs="David" w:hint="cs"/>
          <w:sz w:val="24"/>
          <w:szCs w:val="24"/>
          <w:rtl/>
        </w:rPr>
        <w:t xml:space="preserve"> הוא בדבריו להסתמך </w:t>
      </w:r>
      <w:r w:rsidR="001618A1">
        <w:rPr>
          <w:rFonts w:ascii="David" w:hAnsi="David" w:cs="David" w:hint="cs"/>
          <w:sz w:val="24"/>
          <w:szCs w:val="24"/>
          <w:rtl/>
        </w:rPr>
        <w:t xml:space="preserve">על פרופ' </w:t>
      </w:r>
      <w:proofErr w:type="spellStart"/>
      <w:r w:rsidR="001618A1">
        <w:rPr>
          <w:rFonts w:ascii="David" w:hAnsi="David" w:cs="David" w:hint="cs"/>
          <w:sz w:val="24"/>
          <w:szCs w:val="24"/>
          <w:rtl/>
        </w:rPr>
        <w:t>טדסקי</w:t>
      </w:r>
      <w:proofErr w:type="spellEnd"/>
      <w:r w:rsidR="001618A1">
        <w:rPr>
          <w:rFonts w:ascii="David" w:hAnsi="David" w:cs="David" w:hint="cs"/>
          <w:sz w:val="24"/>
          <w:szCs w:val="24"/>
          <w:rtl/>
        </w:rPr>
        <w:t xml:space="preserve"> שאמר שמתקשר שהתאכזב משום שהציפייה שלו מהעסקה לא התגשמה, לא יכול לבטל את החוזה בטענת טעות.</w:t>
      </w:r>
      <w:r w:rsidR="001618A1">
        <w:rPr>
          <w:rStyle w:val="a5"/>
          <w:rFonts w:ascii="David" w:hAnsi="David" w:cs="David"/>
          <w:sz w:val="24"/>
          <w:szCs w:val="24"/>
          <w:rtl/>
        </w:rPr>
        <w:footnoteReference w:id="18"/>
      </w:r>
      <w:r w:rsidR="001618A1">
        <w:rPr>
          <w:rFonts w:ascii="David" w:hAnsi="David" w:cs="David" w:hint="cs"/>
          <w:sz w:val="24"/>
          <w:szCs w:val="24"/>
          <w:rtl/>
        </w:rPr>
        <w:t xml:space="preserve"> </w:t>
      </w:r>
      <w:r w:rsidR="00F00A65">
        <w:rPr>
          <w:rFonts w:ascii="David" w:hAnsi="David" w:cs="David" w:hint="cs"/>
          <w:sz w:val="24"/>
          <w:szCs w:val="24"/>
          <w:rtl/>
        </w:rPr>
        <w:t>בתגובה יענה לו יעקב ש</w:t>
      </w:r>
      <w:r w:rsidR="00EC3527">
        <w:rPr>
          <w:rFonts w:ascii="David" w:hAnsi="David" w:cs="David" w:hint="cs"/>
          <w:sz w:val="24"/>
          <w:szCs w:val="24"/>
          <w:rtl/>
        </w:rPr>
        <w:t>כפי שניתן לראות גם</w:t>
      </w:r>
      <w:r w:rsidR="00C61BD9">
        <w:rPr>
          <w:rFonts w:ascii="David" w:hAnsi="David" w:cs="David" w:hint="cs"/>
          <w:sz w:val="24"/>
          <w:szCs w:val="24"/>
          <w:rtl/>
        </w:rPr>
        <w:t xml:space="preserve"> בנימוקה של השופטת בן פורת בפסק הדין</w:t>
      </w:r>
      <w:r w:rsidR="00A53F4A">
        <w:rPr>
          <w:rFonts w:ascii="David" w:hAnsi="David" w:cs="David" w:hint="cs"/>
          <w:sz w:val="24"/>
          <w:szCs w:val="24"/>
          <w:rtl/>
        </w:rPr>
        <w:t xml:space="preserve"> כנפ</w:t>
      </w:r>
      <w:r w:rsidR="0025037A">
        <w:rPr>
          <w:rFonts w:ascii="David" w:hAnsi="David" w:cs="David" w:hint="cs"/>
          <w:sz w:val="24"/>
          <w:szCs w:val="24"/>
          <w:rtl/>
        </w:rPr>
        <w:t>י</w:t>
      </w:r>
      <w:r w:rsidR="00A53F4A">
        <w:rPr>
          <w:rStyle w:val="a5"/>
          <w:rFonts w:ascii="David" w:hAnsi="David" w:cs="David"/>
          <w:sz w:val="24"/>
          <w:szCs w:val="24"/>
          <w:rtl/>
        </w:rPr>
        <w:footnoteReference w:id="19"/>
      </w:r>
      <w:r w:rsidR="00A8349B">
        <w:rPr>
          <w:rFonts w:ascii="David" w:hAnsi="David" w:cs="David" w:hint="cs"/>
          <w:sz w:val="24"/>
          <w:szCs w:val="24"/>
          <w:rtl/>
        </w:rPr>
        <w:t xml:space="preserve">, </w:t>
      </w:r>
      <w:r w:rsidR="00AD1201">
        <w:rPr>
          <w:rFonts w:ascii="David" w:hAnsi="David" w:cs="David" w:hint="cs"/>
          <w:sz w:val="24"/>
          <w:szCs w:val="24"/>
          <w:rtl/>
        </w:rPr>
        <w:t>טעה הוא</w:t>
      </w:r>
      <w:r w:rsidR="00EC3527">
        <w:rPr>
          <w:rFonts w:ascii="David" w:hAnsi="David" w:cs="David" w:hint="cs"/>
          <w:sz w:val="24"/>
          <w:szCs w:val="24"/>
          <w:rtl/>
        </w:rPr>
        <w:t xml:space="preserve"> בהקשר לתוכן ההתקשרות</w:t>
      </w:r>
      <w:r w:rsidR="00C61BD9">
        <w:rPr>
          <w:rFonts w:ascii="David" w:hAnsi="David" w:cs="David" w:hint="cs"/>
          <w:sz w:val="24"/>
          <w:szCs w:val="24"/>
          <w:rtl/>
        </w:rPr>
        <w:t>.</w:t>
      </w:r>
      <w:r w:rsidR="00EC3527">
        <w:rPr>
          <w:rFonts w:ascii="David" w:hAnsi="David" w:cs="David" w:hint="cs"/>
          <w:sz w:val="24"/>
          <w:szCs w:val="24"/>
          <w:rtl/>
        </w:rPr>
        <w:t xml:space="preserve"> כיוון שחשב שהוא מתקשר בחוזה על מנת שלא תישלל ממנו תעודת הכשרות והוא "מציל עצמו" מפשיטת רגל, אך לא כך הדבר, ועקב השקרים וא</w:t>
      </w:r>
      <w:r w:rsidR="005E15D3">
        <w:rPr>
          <w:rFonts w:ascii="David" w:hAnsi="David" w:cs="David" w:hint="cs"/>
          <w:sz w:val="24"/>
          <w:szCs w:val="24"/>
          <w:rtl/>
        </w:rPr>
        <w:t xml:space="preserve">י הגילויים של גיא </w:t>
      </w:r>
      <w:r w:rsidR="00833C86">
        <w:rPr>
          <w:rFonts w:ascii="David" w:hAnsi="David" w:cs="David" w:hint="cs"/>
          <w:sz w:val="24"/>
          <w:szCs w:val="24"/>
          <w:rtl/>
        </w:rPr>
        <w:t>חתם על החוזה</w:t>
      </w:r>
      <w:r w:rsidR="00EC3527">
        <w:rPr>
          <w:rFonts w:ascii="David" w:hAnsi="David" w:cs="David" w:hint="cs"/>
          <w:sz w:val="24"/>
          <w:szCs w:val="24"/>
          <w:rtl/>
        </w:rPr>
        <w:t xml:space="preserve"> </w:t>
      </w:r>
      <w:r w:rsidR="00C61BD9">
        <w:rPr>
          <w:rFonts w:ascii="David" w:hAnsi="David" w:cs="David" w:hint="cs"/>
          <w:sz w:val="24"/>
          <w:szCs w:val="24"/>
          <w:rtl/>
        </w:rPr>
        <w:t xml:space="preserve">- </w:t>
      </w:r>
      <w:r w:rsidR="00EC3527">
        <w:rPr>
          <w:rFonts w:ascii="David" w:hAnsi="David" w:cs="David" w:hint="cs"/>
          <w:sz w:val="24"/>
          <w:szCs w:val="24"/>
          <w:rtl/>
        </w:rPr>
        <w:t>לא מתקיים סעיף 14(ד)</w:t>
      </w:r>
      <w:r w:rsidR="00833C86">
        <w:rPr>
          <w:rFonts w:ascii="David" w:hAnsi="David" w:cs="David" w:hint="cs"/>
          <w:sz w:val="24"/>
          <w:szCs w:val="24"/>
          <w:rtl/>
        </w:rPr>
        <w:t>.</w:t>
      </w:r>
      <w:r w:rsidR="00EC3527">
        <w:rPr>
          <w:rStyle w:val="a5"/>
          <w:rFonts w:ascii="David" w:hAnsi="David" w:cs="David"/>
          <w:sz w:val="24"/>
          <w:szCs w:val="24"/>
          <w:rtl/>
        </w:rPr>
        <w:footnoteReference w:id="20"/>
      </w:r>
      <w:r w:rsidR="00DB7ADD">
        <w:rPr>
          <w:rFonts w:ascii="David" w:hAnsi="David" w:cs="David" w:hint="cs"/>
          <w:sz w:val="24"/>
          <w:szCs w:val="24"/>
          <w:rtl/>
        </w:rPr>
        <w:t xml:space="preserve"> יכול גיא לטעון בתגובה</w:t>
      </w:r>
      <w:r w:rsidR="00795AB3">
        <w:rPr>
          <w:rFonts w:ascii="David" w:hAnsi="David" w:cs="David" w:hint="cs"/>
          <w:sz w:val="24"/>
          <w:szCs w:val="24"/>
          <w:rtl/>
        </w:rPr>
        <w:t xml:space="preserve"> ש</w:t>
      </w:r>
      <w:r w:rsidR="008E377B">
        <w:rPr>
          <w:rFonts w:ascii="David" w:hAnsi="David" w:cs="David" w:hint="cs"/>
          <w:sz w:val="24"/>
          <w:szCs w:val="24"/>
          <w:rtl/>
        </w:rPr>
        <w:t>העלייה העתידית במחיר הקרקע</w:t>
      </w:r>
      <w:r w:rsidR="00FD35C0">
        <w:rPr>
          <w:rFonts w:ascii="David" w:hAnsi="David" w:cs="David" w:hint="cs"/>
          <w:sz w:val="24"/>
          <w:szCs w:val="24"/>
          <w:rtl/>
        </w:rPr>
        <w:t xml:space="preserve"> והנכס</w:t>
      </w:r>
      <w:r w:rsidR="008E377B">
        <w:rPr>
          <w:rFonts w:ascii="David" w:hAnsi="David" w:cs="David" w:hint="cs"/>
          <w:sz w:val="24"/>
          <w:szCs w:val="24"/>
          <w:rtl/>
        </w:rPr>
        <w:t xml:space="preserve"> הוא סיכון שלקח על עצמו יעקב בעת חתימת החוזה, ואין זה בכדי לבטלו. יכול הוא להסתמך על דבריה של השופטת </w:t>
      </w:r>
      <w:proofErr w:type="spellStart"/>
      <w:r w:rsidR="008E377B">
        <w:rPr>
          <w:rFonts w:ascii="David" w:hAnsi="David" w:cs="David" w:hint="cs"/>
          <w:sz w:val="24"/>
          <w:szCs w:val="24"/>
          <w:rtl/>
        </w:rPr>
        <w:t>פרוקצ'יה</w:t>
      </w:r>
      <w:proofErr w:type="spellEnd"/>
      <w:r w:rsidR="008E377B">
        <w:rPr>
          <w:rFonts w:ascii="David" w:hAnsi="David" w:cs="David" w:hint="cs"/>
          <w:sz w:val="24"/>
          <w:szCs w:val="24"/>
          <w:rtl/>
        </w:rPr>
        <w:t xml:space="preserve"> בפסק הדין שלזינגר נ' הפניקס</w:t>
      </w:r>
      <w:r w:rsidR="008E377B">
        <w:rPr>
          <w:rStyle w:val="a5"/>
          <w:rFonts w:ascii="David" w:hAnsi="David" w:cs="David"/>
          <w:sz w:val="24"/>
          <w:szCs w:val="24"/>
          <w:rtl/>
        </w:rPr>
        <w:footnoteReference w:id="21"/>
      </w:r>
      <w:r w:rsidR="00FD35C0">
        <w:rPr>
          <w:rFonts w:ascii="David" w:hAnsi="David" w:cs="David" w:hint="cs"/>
          <w:sz w:val="24"/>
          <w:szCs w:val="24"/>
          <w:rtl/>
        </w:rPr>
        <w:t xml:space="preserve"> באומרה שטעות לא תוכר </w:t>
      </w:r>
      <w:proofErr w:type="spellStart"/>
      <w:r w:rsidR="00FD35C0">
        <w:rPr>
          <w:rFonts w:ascii="David" w:hAnsi="David" w:cs="David" w:hint="cs"/>
          <w:sz w:val="24"/>
          <w:szCs w:val="24"/>
          <w:rtl/>
        </w:rPr>
        <w:t>כעילא</w:t>
      </w:r>
      <w:proofErr w:type="spellEnd"/>
      <w:r w:rsidR="00FD35C0">
        <w:rPr>
          <w:rFonts w:ascii="David" w:hAnsi="David" w:cs="David" w:hint="cs"/>
          <w:sz w:val="24"/>
          <w:szCs w:val="24"/>
          <w:rtl/>
        </w:rPr>
        <w:t xml:space="preserve"> לביטול חוזה כשהחוזה מטיל את הסיכון להתרחשות הטעות על מבקש הביטול.</w:t>
      </w:r>
      <w:r w:rsidR="009B4D25">
        <w:rPr>
          <w:rFonts w:ascii="David" w:hAnsi="David" w:cs="David" w:hint="cs"/>
          <w:sz w:val="24"/>
          <w:szCs w:val="24"/>
          <w:rtl/>
        </w:rPr>
        <w:t xml:space="preserve"> </w:t>
      </w:r>
      <w:r w:rsidR="00373E34">
        <w:rPr>
          <w:rFonts w:ascii="David" w:hAnsi="David" w:cs="David" w:hint="cs"/>
          <w:sz w:val="24"/>
          <w:szCs w:val="24"/>
          <w:rtl/>
        </w:rPr>
        <w:t>יסתמך הוא גם עם מאמרו של דניאל פרידמן</w:t>
      </w:r>
      <w:r w:rsidR="000062A1">
        <w:rPr>
          <w:rStyle w:val="a5"/>
          <w:rFonts w:ascii="David" w:hAnsi="David" w:cs="David"/>
          <w:sz w:val="24"/>
          <w:szCs w:val="24"/>
          <w:rtl/>
        </w:rPr>
        <w:footnoteReference w:id="22"/>
      </w:r>
      <w:r w:rsidR="00373E34">
        <w:rPr>
          <w:rFonts w:ascii="David" w:hAnsi="David" w:cs="David" w:hint="cs"/>
          <w:sz w:val="24"/>
          <w:szCs w:val="24"/>
          <w:rtl/>
        </w:rPr>
        <w:t xml:space="preserve"> </w:t>
      </w:r>
      <w:r w:rsidR="000062A1">
        <w:rPr>
          <w:rFonts w:ascii="David" w:hAnsi="David" w:cs="David" w:hint="cs"/>
          <w:sz w:val="24"/>
          <w:szCs w:val="24"/>
          <w:rtl/>
        </w:rPr>
        <w:t xml:space="preserve">בו נכתב שכאשר כרוך חוזה בלקיחת סיכון אין הצד שקיבל על עצמו את הסיכון זכאי להתלונן שהסיכון התממש בדרך שאינה נוחה לו. </w:t>
      </w:r>
      <w:r w:rsidR="00A736CE">
        <w:rPr>
          <w:rFonts w:ascii="David" w:hAnsi="David" w:cs="David" w:hint="cs"/>
          <w:sz w:val="24"/>
          <w:szCs w:val="24"/>
          <w:rtl/>
        </w:rPr>
        <w:t xml:space="preserve">יענה לו יעקב בהתבסס </w:t>
      </w:r>
      <w:r w:rsidR="00CD42D1">
        <w:rPr>
          <w:rFonts w:ascii="David" w:hAnsi="David" w:cs="David" w:hint="cs"/>
          <w:sz w:val="24"/>
          <w:szCs w:val="24"/>
          <w:rtl/>
        </w:rPr>
        <w:t xml:space="preserve">גם הוא </w:t>
      </w:r>
      <w:r w:rsidR="00A736CE">
        <w:rPr>
          <w:rFonts w:ascii="David" w:hAnsi="David" w:cs="David" w:hint="cs"/>
          <w:sz w:val="24"/>
          <w:szCs w:val="24"/>
          <w:rtl/>
        </w:rPr>
        <w:t>על דניאל פרידמן</w:t>
      </w:r>
      <w:r w:rsidR="00A736CE">
        <w:rPr>
          <w:rStyle w:val="a5"/>
          <w:rFonts w:ascii="David" w:hAnsi="David" w:cs="David"/>
          <w:sz w:val="24"/>
          <w:szCs w:val="24"/>
          <w:rtl/>
        </w:rPr>
        <w:footnoteReference w:id="23"/>
      </w:r>
      <w:r w:rsidR="00A736CE">
        <w:rPr>
          <w:rFonts w:ascii="David" w:hAnsi="David" w:cs="David" w:hint="cs"/>
          <w:sz w:val="24"/>
          <w:szCs w:val="24"/>
          <w:rtl/>
        </w:rPr>
        <w:t xml:space="preserve">, כי יש מקום לטענת טעות לגבי נושא שאינו נכלל בגדר הסיכון שלקח על עצמו. כיוון שלא ידע יעקב את הנסיבות </w:t>
      </w:r>
      <w:r w:rsidR="00CD42D1">
        <w:rPr>
          <w:rFonts w:ascii="David" w:hAnsi="David" w:cs="David" w:hint="cs"/>
          <w:sz w:val="24"/>
          <w:szCs w:val="24"/>
          <w:rtl/>
        </w:rPr>
        <w:t xml:space="preserve">והעובדות </w:t>
      </w:r>
      <w:proofErr w:type="spellStart"/>
      <w:r w:rsidR="00A736CE">
        <w:rPr>
          <w:rFonts w:ascii="David" w:hAnsi="David" w:cs="David" w:hint="cs"/>
          <w:sz w:val="24"/>
          <w:szCs w:val="24"/>
          <w:rtl/>
        </w:rPr>
        <w:t>האמ</w:t>
      </w:r>
      <w:r w:rsidR="00133174">
        <w:rPr>
          <w:rFonts w:ascii="David" w:hAnsi="David" w:cs="David" w:hint="cs"/>
          <w:sz w:val="24"/>
          <w:szCs w:val="24"/>
          <w:rtl/>
        </w:rPr>
        <w:t>יתיות</w:t>
      </w:r>
      <w:proofErr w:type="spellEnd"/>
      <w:r w:rsidR="00133174">
        <w:rPr>
          <w:rFonts w:ascii="David" w:hAnsi="David" w:cs="David" w:hint="cs"/>
          <w:sz w:val="24"/>
          <w:szCs w:val="24"/>
          <w:rtl/>
        </w:rPr>
        <w:t xml:space="preserve"> עליהן</w:t>
      </w:r>
      <w:r w:rsidR="00A736CE">
        <w:rPr>
          <w:rFonts w:ascii="David" w:hAnsi="David" w:cs="David" w:hint="cs"/>
          <w:sz w:val="24"/>
          <w:szCs w:val="24"/>
          <w:rtl/>
        </w:rPr>
        <w:t xml:space="preserve"> הוא חותם, </w:t>
      </w:r>
      <w:r w:rsidR="00041A2D">
        <w:rPr>
          <w:rFonts w:ascii="David" w:hAnsi="David" w:cs="David" w:hint="cs"/>
          <w:sz w:val="24"/>
          <w:szCs w:val="24"/>
          <w:rtl/>
        </w:rPr>
        <w:t xml:space="preserve">לא ייתכן ולקח כאן </w:t>
      </w:r>
      <w:r w:rsidR="00877BF7">
        <w:rPr>
          <w:rFonts w:ascii="David" w:hAnsi="David" w:cs="David" w:hint="cs"/>
          <w:sz w:val="24"/>
          <w:szCs w:val="24"/>
          <w:rtl/>
        </w:rPr>
        <w:t xml:space="preserve">על עצמו </w:t>
      </w:r>
      <w:r w:rsidR="00041A2D">
        <w:rPr>
          <w:rFonts w:ascii="David" w:hAnsi="David" w:cs="David" w:hint="cs"/>
          <w:sz w:val="24"/>
          <w:szCs w:val="24"/>
          <w:rtl/>
        </w:rPr>
        <w:t>סיכון</w:t>
      </w:r>
      <w:r w:rsidR="005E15D3">
        <w:rPr>
          <w:rFonts w:ascii="David" w:hAnsi="David" w:cs="David" w:hint="cs"/>
          <w:sz w:val="24"/>
          <w:szCs w:val="24"/>
          <w:rtl/>
        </w:rPr>
        <w:t>.</w:t>
      </w:r>
      <w:r w:rsidR="00EF30CA">
        <w:rPr>
          <w:rFonts w:ascii="David" w:hAnsi="David" w:cs="David" w:hint="cs"/>
          <w:sz w:val="24"/>
          <w:szCs w:val="24"/>
          <w:rtl/>
        </w:rPr>
        <w:t xml:space="preserve"> </w:t>
      </w:r>
      <w:r w:rsidR="00033998">
        <w:rPr>
          <w:rFonts w:ascii="David" w:hAnsi="David" w:cs="David" w:hint="cs"/>
          <w:sz w:val="24"/>
          <w:szCs w:val="24"/>
          <w:rtl/>
        </w:rPr>
        <w:t>ניתן לראות התקיימות של</w:t>
      </w:r>
      <w:r w:rsidR="000A07DE">
        <w:rPr>
          <w:rFonts w:ascii="David" w:hAnsi="David" w:cs="David" w:hint="cs"/>
          <w:sz w:val="24"/>
          <w:szCs w:val="24"/>
          <w:rtl/>
        </w:rPr>
        <w:t xml:space="preserve"> כל התנ</w:t>
      </w:r>
      <w:r w:rsidR="00AB2140">
        <w:rPr>
          <w:rFonts w:ascii="David" w:hAnsi="David" w:cs="David" w:hint="cs"/>
          <w:sz w:val="24"/>
          <w:szCs w:val="24"/>
          <w:rtl/>
        </w:rPr>
        <w:t xml:space="preserve">אים הנדרשים, ועל כן </w:t>
      </w:r>
      <w:r w:rsidR="000A07DE">
        <w:rPr>
          <w:rFonts w:ascii="David" w:hAnsi="David" w:cs="David" w:hint="cs"/>
          <w:sz w:val="24"/>
          <w:szCs w:val="24"/>
          <w:rtl/>
        </w:rPr>
        <w:t xml:space="preserve">רשאי </w:t>
      </w:r>
      <w:r w:rsidR="00A736CE">
        <w:rPr>
          <w:rFonts w:ascii="David" w:hAnsi="David" w:cs="David" w:hint="cs"/>
          <w:sz w:val="24"/>
          <w:szCs w:val="24"/>
          <w:rtl/>
        </w:rPr>
        <w:t xml:space="preserve">יעקב </w:t>
      </w:r>
      <w:r w:rsidR="008B2877">
        <w:rPr>
          <w:rFonts w:ascii="David" w:hAnsi="David" w:cs="David" w:hint="cs"/>
          <w:sz w:val="24"/>
          <w:szCs w:val="24"/>
          <w:rtl/>
        </w:rPr>
        <w:t>לדרוש</w:t>
      </w:r>
      <w:r w:rsidR="00AB2140">
        <w:rPr>
          <w:rFonts w:ascii="David" w:hAnsi="David" w:cs="David" w:hint="cs"/>
          <w:sz w:val="24"/>
          <w:szCs w:val="24"/>
          <w:rtl/>
        </w:rPr>
        <w:t xml:space="preserve"> ביטול החוזה לפי עילת הטעות</w:t>
      </w:r>
      <w:r w:rsidR="00EF30CA">
        <w:rPr>
          <w:rFonts w:ascii="David" w:hAnsi="David" w:cs="David" w:hint="cs"/>
          <w:sz w:val="24"/>
          <w:szCs w:val="24"/>
          <w:rtl/>
        </w:rPr>
        <w:t>, אם כי כעילה חלשה יותר</w:t>
      </w:r>
      <w:r w:rsidR="00A736CE">
        <w:rPr>
          <w:rFonts w:ascii="David" w:hAnsi="David" w:cs="David" w:hint="cs"/>
          <w:sz w:val="24"/>
          <w:szCs w:val="24"/>
          <w:rtl/>
        </w:rPr>
        <w:t>.</w:t>
      </w:r>
      <w:r w:rsidR="00782CA5">
        <w:rPr>
          <w:rFonts w:ascii="David" w:hAnsi="David" w:cs="David" w:hint="cs"/>
          <w:sz w:val="24"/>
          <w:szCs w:val="24"/>
          <w:rtl/>
        </w:rPr>
        <w:t xml:space="preserve"> </w:t>
      </w:r>
      <w:r w:rsidR="00C730A7" w:rsidRPr="00FD460D">
        <w:rPr>
          <w:rFonts w:ascii="David" w:hAnsi="David" w:cs="David" w:hint="cs"/>
          <w:b/>
          <w:bCs/>
          <w:sz w:val="24"/>
          <w:szCs w:val="24"/>
          <w:u w:val="single"/>
          <w:rtl/>
        </w:rPr>
        <w:t>כפייה-</w:t>
      </w:r>
      <w:r w:rsidR="00136678">
        <w:rPr>
          <w:rFonts w:ascii="David" w:hAnsi="David" w:cs="David" w:hint="cs"/>
          <w:sz w:val="24"/>
          <w:szCs w:val="24"/>
          <w:rtl/>
        </w:rPr>
        <w:t xml:space="preserve"> </w:t>
      </w:r>
      <w:r w:rsidR="00C730A7">
        <w:rPr>
          <w:rFonts w:ascii="David" w:hAnsi="David" w:cs="David" w:hint="cs"/>
          <w:sz w:val="24"/>
          <w:szCs w:val="24"/>
          <w:rtl/>
        </w:rPr>
        <w:t xml:space="preserve">לאחר שביקש גיא </w:t>
      </w:r>
      <w:r w:rsidR="00A73FA7">
        <w:rPr>
          <w:rFonts w:ascii="David" w:hAnsi="David" w:cs="David" w:hint="cs"/>
          <w:sz w:val="24"/>
          <w:szCs w:val="24"/>
          <w:rtl/>
        </w:rPr>
        <w:t>לקנות את החנות של יעקב, חזר</w:t>
      </w:r>
      <w:r w:rsidR="00C730A7">
        <w:rPr>
          <w:rFonts w:ascii="David" w:hAnsi="David" w:cs="David" w:hint="cs"/>
          <w:sz w:val="24"/>
          <w:szCs w:val="24"/>
          <w:rtl/>
        </w:rPr>
        <w:t xml:space="preserve"> אליו כש</w:t>
      </w:r>
      <w:r w:rsidR="00047ACD">
        <w:rPr>
          <w:rFonts w:ascii="David" w:hAnsi="David" w:cs="David" w:hint="cs"/>
          <w:sz w:val="24"/>
          <w:szCs w:val="24"/>
          <w:rtl/>
        </w:rPr>
        <w:t>ב</w:t>
      </w:r>
      <w:r w:rsidR="00C730A7">
        <w:rPr>
          <w:rFonts w:ascii="David" w:hAnsi="David" w:cs="David" w:hint="cs"/>
          <w:sz w:val="24"/>
          <w:szCs w:val="24"/>
          <w:rtl/>
        </w:rPr>
        <w:t>פיו איום- אם לא ימכור לו יעקב את החנות, ידאג גיא לכך שתעודת הכשרות שלו תישלל</w:t>
      </w:r>
      <w:r w:rsidR="00B2772A">
        <w:rPr>
          <w:rFonts w:ascii="David" w:hAnsi="David" w:cs="David" w:hint="cs"/>
          <w:sz w:val="24"/>
          <w:szCs w:val="24"/>
          <w:rtl/>
        </w:rPr>
        <w:t>,</w:t>
      </w:r>
      <w:r w:rsidR="00C730A7">
        <w:rPr>
          <w:rFonts w:ascii="David" w:hAnsi="David" w:cs="David" w:hint="cs"/>
          <w:sz w:val="24"/>
          <w:szCs w:val="24"/>
          <w:rtl/>
        </w:rPr>
        <w:t xml:space="preserve"> מה שיגרום לסגירת האטליז. לפי סעיף 17א </w:t>
      </w:r>
      <w:r w:rsidR="00136678">
        <w:rPr>
          <w:rFonts w:ascii="David" w:hAnsi="David" w:cs="David" w:hint="cs"/>
          <w:sz w:val="24"/>
          <w:szCs w:val="24"/>
          <w:rtl/>
        </w:rPr>
        <w:t>ל</w:t>
      </w:r>
      <w:r w:rsidR="00C730A7">
        <w:rPr>
          <w:rFonts w:ascii="David" w:hAnsi="David" w:cs="David" w:hint="cs"/>
          <w:sz w:val="24"/>
          <w:szCs w:val="24"/>
          <w:rtl/>
        </w:rPr>
        <w:t>חוק החוזים</w:t>
      </w:r>
      <w:r w:rsidR="00C730A7">
        <w:rPr>
          <w:rStyle w:val="a5"/>
          <w:rFonts w:ascii="David" w:hAnsi="David" w:cs="David"/>
          <w:sz w:val="24"/>
          <w:szCs w:val="24"/>
          <w:rtl/>
        </w:rPr>
        <w:footnoteReference w:id="24"/>
      </w:r>
      <w:r w:rsidR="003E1E62">
        <w:rPr>
          <w:rFonts w:ascii="David" w:hAnsi="David" w:cs="David" w:hint="cs"/>
          <w:sz w:val="24"/>
          <w:szCs w:val="24"/>
          <w:rtl/>
        </w:rPr>
        <w:t xml:space="preserve">, </w:t>
      </w:r>
      <w:r w:rsidR="00C730A7">
        <w:rPr>
          <w:rFonts w:ascii="David" w:hAnsi="David" w:cs="David" w:hint="cs"/>
          <w:sz w:val="24"/>
          <w:szCs w:val="24"/>
          <w:rtl/>
        </w:rPr>
        <w:t xml:space="preserve">מי שהתקשר בחוזה עקב כפיה באיום- רשאי לבטל את החוזה. </w:t>
      </w:r>
      <w:r w:rsidR="00AE00A9">
        <w:rPr>
          <w:rFonts w:ascii="David" w:hAnsi="David" w:cs="David" w:hint="cs"/>
          <w:sz w:val="24"/>
          <w:szCs w:val="24"/>
          <w:rtl/>
        </w:rPr>
        <w:t xml:space="preserve">במקרה של יעקב יש כאן שילוב </w:t>
      </w:r>
      <w:r w:rsidR="00AE00A9">
        <w:rPr>
          <w:rFonts w:ascii="David" w:hAnsi="David" w:cs="David" w:hint="cs"/>
          <w:sz w:val="24"/>
          <w:szCs w:val="24"/>
          <w:rtl/>
        </w:rPr>
        <w:lastRenderedPageBreak/>
        <w:t>של כפייה באיום עם כפייה כלכלית.</w:t>
      </w:r>
      <w:r w:rsidR="00AE00A9">
        <w:rPr>
          <w:rStyle w:val="a5"/>
          <w:rFonts w:ascii="David" w:hAnsi="David" w:cs="David"/>
          <w:sz w:val="24"/>
          <w:szCs w:val="24"/>
          <w:rtl/>
        </w:rPr>
        <w:footnoteReference w:id="25"/>
      </w:r>
      <w:r w:rsidR="00AE00A9">
        <w:rPr>
          <w:rFonts w:ascii="David" w:hAnsi="David" w:cs="David" w:hint="cs"/>
          <w:sz w:val="24"/>
          <w:szCs w:val="24"/>
          <w:rtl/>
        </w:rPr>
        <w:t xml:space="preserve"> </w:t>
      </w:r>
      <w:r w:rsidR="00AD528D">
        <w:rPr>
          <w:rFonts w:ascii="David" w:hAnsi="David" w:cs="David" w:hint="cs"/>
          <w:sz w:val="24"/>
          <w:szCs w:val="24"/>
          <w:rtl/>
        </w:rPr>
        <w:t>הכפייה לא חייבת להיות הסיבה המכרעת או הבלעדית להתקשרות, אך עליה להשפיע בחשש או פחד על רצונו של המתקשר.</w:t>
      </w:r>
      <w:r w:rsidR="00AD528D">
        <w:rPr>
          <w:rStyle w:val="a5"/>
          <w:rFonts w:ascii="David" w:hAnsi="David" w:cs="David"/>
          <w:sz w:val="24"/>
          <w:szCs w:val="24"/>
          <w:rtl/>
        </w:rPr>
        <w:footnoteReference w:id="26"/>
      </w:r>
      <w:r w:rsidR="00AD528D">
        <w:rPr>
          <w:rFonts w:ascii="David" w:hAnsi="David" w:cs="David" w:hint="cs"/>
          <w:sz w:val="24"/>
          <w:szCs w:val="24"/>
          <w:rtl/>
        </w:rPr>
        <w:t xml:space="preserve"> </w:t>
      </w:r>
      <w:r w:rsidR="00C730A7">
        <w:rPr>
          <w:rFonts w:ascii="David" w:hAnsi="David" w:cs="David" w:hint="cs"/>
          <w:sz w:val="24"/>
          <w:szCs w:val="24"/>
          <w:rtl/>
        </w:rPr>
        <w:t>בספרה של גבריאלה שלו</w:t>
      </w:r>
      <w:r w:rsidR="00C730A7">
        <w:rPr>
          <w:rStyle w:val="a5"/>
          <w:rFonts w:ascii="David" w:hAnsi="David" w:cs="David"/>
          <w:sz w:val="24"/>
          <w:szCs w:val="24"/>
          <w:rtl/>
        </w:rPr>
        <w:footnoteReference w:id="27"/>
      </w:r>
      <w:r w:rsidR="00C730A7">
        <w:rPr>
          <w:rFonts w:ascii="David" w:hAnsi="David" w:cs="David" w:hint="cs"/>
          <w:sz w:val="24"/>
          <w:szCs w:val="24"/>
          <w:rtl/>
        </w:rPr>
        <w:t xml:space="preserve"> נכתב כי ישנם שלושה יסודות לעילת הכפייה- התקשרות בחוזה, קשר סיבתי, וכפייה. </w:t>
      </w:r>
      <w:r w:rsidR="00C730A7" w:rsidRPr="009415B0">
        <w:rPr>
          <w:rFonts w:ascii="David" w:hAnsi="David" w:cs="David" w:hint="cs"/>
          <w:sz w:val="24"/>
          <w:szCs w:val="24"/>
          <w:u w:val="single"/>
          <w:rtl/>
        </w:rPr>
        <w:t>ההתקשרות בחוזה</w:t>
      </w:r>
      <w:r w:rsidR="00C730A7">
        <w:rPr>
          <w:rFonts w:ascii="David" w:hAnsi="David" w:cs="David" w:hint="cs"/>
          <w:sz w:val="24"/>
          <w:szCs w:val="24"/>
          <w:rtl/>
        </w:rPr>
        <w:t xml:space="preserve"> נמנית כאחת מיסודות עילת הכפייה, ובאה להדגיש שעל אף שהחוזה נכרת בכפייה והוא בעל פגם, יש לו תוקף,</w:t>
      </w:r>
      <w:r w:rsidR="00136678">
        <w:rPr>
          <w:rFonts w:ascii="David" w:hAnsi="David" w:cs="David" w:hint="cs"/>
          <w:sz w:val="24"/>
          <w:szCs w:val="24"/>
          <w:rtl/>
        </w:rPr>
        <w:t xml:space="preserve"> אלא אם כן החליט המתקשר לבטלו. </w:t>
      </w:r>
      <w:r w:rsidR="00C730A7">
        <w:rPr>
          <w:rFonts w:ascii="David" w:hAnsi="David" w:cs="David" w:hint="cs"/>
          <w:sz w:val="24"/>
          <w:szCs w:val="24"/>
          <w:rtl/>
        </w:rPr>
        <w:t xml:space="preserve">מבחינת </w:t>
      </w:r>
      <w:r w:rsidR="00C730A7" w:rsidRPr="009415B0">
        <w:rPr>
          <w:rFonts w:ascii="David" w:hAnsi="David" w:cs="David" w:hint="cs"/>
          <w:sz w:val="24"/>
          <w:szCs w:val="24"/>
          <w:u w:val="single"/>
          <w:rtl/>
        </w:rPr>
        <w:t>הקשר הסיבתי</w:t>
      </w:r>
      <w:r w:rsidR="00C730A7">
        <w:rPr>
          <w:rFonts w:ascii="David" w:hAnsi="David" w:cs="David" w:hint="cs"/>
          <w:sz w:val="24"/>
          <w:szCs w:val="24"/>
          <w:rtl/>
        </w:rPr>
        <w:t>, יש להוכיח כי החוזה נכרת עקב האיום ובגללו, ולא הושמע ל</w:t>
      </w:r>
      <w:r w:rsidR="009709D7">
        <w:rPr>
          <w:rFonts w:ascii="David" w:hAnsi="David" w:cs="David" w:hint="cs"/>
          <w:sz w:val="24"/>
          <w:szCs w:val="24"/>
          <w:rtl/>
        </w:rPr>
        <w:t>דוגמא ל</w:t>
      </w:r>
      <w:r w:rsidR="00C730A7">
        <w:rPr>
          <w:rFonts w:ascii="David" w:hAnsi="David" w:cs="David" w:hint="cs"/>
          <w:sz w:val="24"/>
          <w:szCs w:val="24"/>
          <w:rtl/>
        </w:rPr>
        <w:t xml:space="preserve">ראשונה רק לאחר הכריתה (ניתן לראות דוגמא לכך </w:t>
      </w:r>
      <w:r w:rsidR="00750B7E">
        <w:rPr>
          <w:rFonts w:ascii="David" w:hAnsi="David" w:cs="David" w:hint="cs"/>
          <w:sz w:val="24"/>
          <w:szCs w:val="24"/>
          <w:rtl/>
        </w:rPr>
        <w:t>בפסק דין</w:t>
      </w:r>
      <w:r w:rsidR="00C730A7">
        <w:rPr>
          <w:rFonts w:ascii="David" w:hAnsi="David" w:cs="David" w:hint="cs"/>
          <w:sz w:val="24"/>
          <w:szCs w:val="24"/>
          <w:rtl/>
        </w:rPr>
        <w:t xml:space="preserve"> דיור לעולה</w:t>
      </w:r>
      <w:r w:rsidR="009709D7">
        <w:rPr>
          <w:rFonts w:ascii="David" w:hAnsi="David" w:cs="David" w:hint="cs"/>
          <w:sz w:val="24"/>
          <w:szCs w:val="24"/>
          <w:rtl/>
        </w:rPr>
        <w:t xml:space="preserve"> בע"מ</w:t>
      </w:r>
      <w:r w:rsidR="00C730A7">
        <w:rPr>
          <w:rFonts w:ascii="David" w:hAnsi="David" w:cs="David" w:hint="cs"/>
          <w:sz w:val="24"/>
          <w:szCs w:val="24"/>
          <w:rtl/>
        </w:rPr>
        <w:t xml:space="preserve"> נגד </w:t>
      </w:r>
      <w:r w:rsidR="009709D7">
        <w:rPr>
          <w:rFonts w:ascii="David" w:hAnsi="David" w:cs="David" w:hint="cs"/>
          <w:sz w:val="24"/>
          <w:szCs w:val="24"/>
          <w:rtl/>
        </w:rPr>
        <w:t>שושנה</w:t>
      </w:r>
      <w:r w:rsidR="00750B7E">
        <w:rPr>
          <w:rStyle w:val="a5"/>
          <w:rFonts w:ascii="David" w:hAnsi="David" w:cs="David"/>
          <w:sz w:val="24"/>
          <w:szCs w:val="24"/>
          <w:rtl/>
        </w:rPr>
        <w:footnoteReference w:id="28"/>
      </w:r>
      <w:r w:rsidR="00C730A7">
        <w:rPr>
          <w:rFonts w:ascii="David" w:hAnsi="David" w:cs="David" w:hint="cs"/>
          <w:sz w:val="24"/>
          <w:szCs w:val="24"/>
          <w:rtl/>
        </w:rPr>
        <w:t>). יש להוכיח שהכפייה הטילה במתקשר פחד, ו</w:t>
      </w:r>
      <w:r w:rsidR="00F50BEB">
        <w:rPr>
          <w:rFonts w:ascii="David" w:hAnsi="David" w:cs="David" w:hint="cs"/>
          <w:sz w:val="24"/>
          <w:szCs w:val="24"/>
          <w:rtl/>
        </w:rPr>
        <w:t>אלמלא קיומה לא היה מתקשר בחוזה</w:t>
      </w:r>
      <w:r w:rsidR="00C730A7">
        <w:rPr>
          <w:rStyle w:val="a5"/>
          <w:rFonts w:ascii="David" w:hAnsi="David" w:cs="David"/>
          <w:sz w:val="24"/>
          <w:szCs w:val="24"/>
          <w:rtl/>
        </w:rPr>
        <w:footnoteReference w:id="29"/>
      </w:r>
      <w:r w:rsidR="00C730A7">
        <w:rPr>
          <w:rFonts w:ascii="David" w:hAnsi="David" w:cs="David" w:hint="cs"/>
          <w:sz w:val="24"/>
          <w:szCs w:val="24"/>
          <w:rtl/>
        </w:rPr>
        <w:t>.</w:t>
      </w:r>
      <w:r w:rsidR="00C730A7">
        <w:rPr>
          <w:rFonts w:hint="cs"/>
          <w:rtl/>
        </w:rPr>
        <w:t xml:space="preserve"> </w:t>
      </w:r>
      <w:r w:rsidR="00C730A7">
        <w:rPr>
          <w:rFonts w:ascii="David" w:hAnsi="David" w:cs="David" w:hint="cs"/>
          <w:sz w:val="24"/>
          <w:szCs w:val="24"/>
          <w:rtl/>
        </w:rPr>
        <w:t>אכן יעקב שמע את איומו של גיא לגבי שלילת תעו</w:t>
      </w:r>
      <w:r w:rsidR="00563356">
        <w:rPr>
          <w:rFonts w:ascii="David" w:hAnsi="David" w:cs="David" w:hint="cs"/>
          <w:sz w:val="24"/>
          <w:szCs w:val="24"/>
          <w:rtl/>
        </w:rPr>
        <w:t>דת הכשרות</w:t>
      </w:r>
      <w:r w:rsidR="00C730A7">
        <w:rPr>
          <w:rFonts w:ascii="David" w:hAnsi="David" w:cs="David" w:hint="cs"/>
          <w:sz w:val="24"/>
          <w:szCs w:val="24"/>
          <w:rtl/>
        </w:rPr>
        <w:t xml:space="preserve">, ועקב הפחד </w:t>
      </w:r>
      <w:proofErr w:type="spellStart"/>
      <w:r w:rsidR="00C730A7">
        <w:rPr>
          <w:rFonts w:ascii="David" w:hAnsi="David" w:cs="David" w:hint="cs"/>
          <w:sz w:val="24"/>
          <w:szCs w:val="24"/>
          <w:rtl/>
        </w:rPr>
        <w:t>שישאר</w:t>
      </w:r>
      <w:proofErr w:type="spellEnd"/>
      <w:r w:rsidR="00C730A7">
        <w:rPr>
          <w:rFonts w:ascii="David" w:hAnsi="David" w:cs="David" w:hint="cs"/>
          <w:sz w:val="24"/>
          <w:szCs w:val="24"/>
          <w:rtl/>
        </w:rPr>
        <w:t xml:space="preserve"> ללא פרנסה והכנסה, העדיף את האפשרות הגרועה פחות- מכירת הנכס לגיא. </w:t>
      </w:r>
      <w:r w:rsidR="00C730A7" w:rsidRPr="005F0A7E">
        <w:rPr>
          <w:rFonts w:ascii="David" w:hAnsi="David" w:cs="David" w:hint="cs"/>
          <w:sz w:val="24"/>
          <w:szCs w:val="24"/>
          <w:u w:val="single"/>
          <w:rtl/>
        </w:rPr>
        <w:t>הכפייה עצמה</w:t>
      </w:r>
      <w:r w:rsidR="00C730A7">
        <w:rPr>
          <w:rFonts w:ascii="David" w:hAnsi="David" w:cs="David" w:hint="cs"/>
          <w:sz w:val="24"/>
          <w:szCs w:val="24"/>
          <w:rtl/>
        </w:rPr>
        <w:t xml:space="preserve"> כאמור היא האיום של גיא. </w:t>
      </w:r>
      <w:r w:rsidR="00FA271D">
        <w:rPr>
          <w:rFonts w:ascii="David" w:hAnsi="David" w:cs="David" w:hint="cs"/>
          <w:sz w:val="24"/>
          <w:szCs w:val="24"/>
          <w:rtl/>
        </w:rPr>
        <w:t>בכדי שתתקיים עילת הכפייה חייבת לה</w:t>
      </w:r>
      <w:r w:rsidR="00A73FA7">
        <w:rPr>
          <w:rFonts w:ascii="David" w:hAnsi="David" w:cs="David" w:hint="cs"/>
          <w:sz w:val="24"/>
          <w:szCs w:val="24"/>
          <w:rtl/>
        </w:rPr>
        <w:t>י</w:t>
      </w:r>
      <w:r w:rsidR="00FA271D">
        <w:rPr>
          <w:rFonts w:ascii="David" w:hAnsi="David" w:cs="David" w:hint="cs"/>
          <w:sz w:val="24"/>
          <w:szCs w:val="24"/>
          <w:rtl/>
        </w:rPr>
        <w:t>ווצר פגיעה בחופש הרצון החוזי של המתקשר.</w:t>
      </w:r>
      <w:r w:rsidR="00FA271D">
        <w:rPr>
          <w:rStyle w:val="a5"/>
          <w:rFonts w:ascii="David" w:hAnsi="David" w:cs="David"/>
          <w:sz w:val="24"/>
          <w:szCs w:val="24"/>
          <w:rtl/>
        </w:rPr>
        <w:footnoteReference w:id="30"/>
      </w:r>
      <w:r w:rsidR="00FA271D">
        <w:rPr>
          <w:rFonts w:ascii="David" w:hAnsi="David" w:cs="David" w:hint="cs"/>
          <w:sz w:val="24"/>
          <w:szCs w:val="24"/>
          <w:rtl/>
        </w:rPr>
        <w:t xml:space="preserve"> גיא</w:t>
      </w:r>
      <w:r w:rsidR="00D60CBF" w:rsidRPr="00D60CBF">
        <w:rPr>
          <w:rFonts w:ascii="David" w:hAnsi="David" w:cs="David"/>
          <w:sz w:val="24"/>
          <w:szCs w:val="24"/>
          <w:rtl/>
        </w:rPr>
        <w:t xml:space="preserve"> קלע </w:t>
      </w:r>
      <w:r w:rsidR="00D60CBF">
        <w:rPr>
          <w:rFonts w:ascii="David" w:hAnsi="David" w:cs="David"/>
          <w:sz w:val="24"/>
          <w:szCs w:val="24"/>
          <w:rtl/>
        </w:rPr>
        <w:t>את</w:t>
      </w:r>
      <w:r w:rsidR="00D60CBF">
        <w:rPr>
          <w:rFonts w:ascii="David" w:hAnsi="David" w:cs="David" w:hint="cs"/>
          <w:sz w:val="24"/>
          <w:szCs w:val="24"/>
          <w:rtl/>
        </w:rPr>
        <w:t xml:space="preserve"> יעקב</w:t>
      </w:r>
      <w:r w:rsidR="00D60CBF" w:rsidRPr="00D60CBF">
        <w:rPr>
          <w:rFonts w:ascii="David" w:hAnsi="David" w:cs="David"/>
          <w:sz w:val="24"/>
          <w:szCs w:val="24"/>
          <w:rtl/>
        </w:rPr>
        <w:t xml:space="preserve"> למצב של אין-בררה והפעיל</w:t>
      </w:r>
      <w:r w:rsidR="00D60CBF" w:rsidRPr="00D60CBF">
        <w:rPr>
          <w:rFonts w:ascii="David" w:hAnsi="David" w:cs="David"/>
          <w:sz w:val="24"/>
          <w:szCs w:val="24"/>
        </w:rPr>
        <w:t xml:space="preserve"> </w:t>
      </w:r>
      <w:r w:rsidR="00D60CBF" w:rsidRPr="00D60CBF">
        <w:rPr>
          <w:rFonts w:ascii="David" w:hAnsi="David" w:cs="David"/>
          <w:sz w:val="24"/>
          <w:szCs w:val="24"/>
          <w:rtl/>
        </w:rPr>
        <w:t>עליו לחץ בלת</w:t>
      </w:r>
      <w:r w:rsidR="00D60CBF">
        <w:rPr>
          <w:rFonts w:ascii="David" w:hAnsi="David" w:cs="David"/>
          <w:sz w:val="24"/>
          <w:szCs w:val="24"/>
          <w:rtl/>
        </w:rPr>
        <w:t>י ראוי מראשיתו ומעיקרו ובעוצמתו</w:t>
      </w:r>
      <w:r w:rsidR="00D60CBF">
        <w:rPr>
          <w:rFonts w:ascii="David" w:hAnsi="David" w:cs="David" w:hint="cs"/>
          <w:sz w:val="24"/>
          <w:szCs w:val="24"/>
          <w:rtl/>
        </w:rPr>
        <w:t xml:space="preserve">. </w:t>
      </w:r>
      <w:r w:rsidR="00D60CBF" w:rsidRPr="00D60CBF">
        <w:rPr>
          <w:rFonts w:ascii="David" w:hAnsi="David" w:cs="David"/>
          <w:sz w:val="24"/>
          <w:szCs w:val="24"/>
          <w:rtl/>
        </w:rPr>
        <w:t>לא עמדה ל</w:t>
      </w:r>
      <w:r w:rsidR="00D60CBF">
        <w:rPr>
          <w:rFonts w:ascii="David" w:hAnsi="David" w:cs="David" w:hint="cs"/>
          <w:sz w:val="24"/>
          <w:szCs w:val="24"/>
          <w:rtl/>
        </w:rPr>
        <w:t xml:space="preserve">ו </w:t>
      </w:r>
      <w:r w:rsidR="00D60CBF" w:rsidRPr="00D60CBF">
        <w:rPr>
          <w:rFonts w:ascii="David" w:hAnsi="David" w:cs="David"/>
          <w:sz w:val="24"/>
          <w:szCs w:val="24"/>
          <w:rtl/>
        </w:rPr>
        <w:t>חלופה סבירה ומעשית לקבלת "הצעתו"</w:t>
      </w:r>
      <w:r w:rsidR="00D60CBF">
        <w:rPr>
          <w:rFonts w:ascii="David" w:hAnsi="David" w:cs="David" w:hint="cs"/>
          <w:sz w:val="28"/>
          <w:szCs w:val="28"/>
          <w:rtl/>
        </w:rPr>
        <w:t>.</w:t>
      </w:r>
      <w:r w:rsidR="00D60CBF">
        <w:rPr>
          <w:rStyle w:val="a5"/>
          <w:rFonts w:ascii="David" w:hAnsi="David" w:cs="David"/>
          <w:sz w:val="28"/>
          <w:szCs w:val="28"/>
          <w:rtl/>
        </w:rPr>
        <w:footnoteReference w:id="31"/>
      </w:r>
      <w:r w:rsidR="00D60CBF" w:rsidRPr="00D60CBF">
        <w:rPr>
          <w:rFonts w:ascii="David" w:hAnsi="David" w:cs="David" w:hint="cs"/>
          <w:sz w:val="28"/>
          <w:szCs w:val="28"/>
          <w:rtl/>
        </w:rPr>
        <w:t xml:space="preserve"> </w:t>
      </w:r>
      <w:r w:rsidR="00C730A7">
        <w:rPr>
          <w:rFonts w:ascii="David" w:hAnsi="David" w:cs="David" w:hint="cs"/>
          <w:sz w:val="24"/>
          <w:szCs w:val="24"/>
          <w:rtl/>
        </w:rPr>
        <w:t>על פי שלו</w:t>
      </w:r>
      <w:r w:rsidR="00C730A7">
        <w:rPr>
          <w:rStyle w:val="a5"/>
          <w:rFonts w:ascii="David" w:hAnsi="David" w:cs="David"/>
          <w:sz w:val="24"/>
          <w:szCs w:val="24"/>
          <w:rtl/>
        </w:rPr>
        <w:footnoteReference w:id="32"/>
      </w:r>
      <w:r w:rsidR="00C730A7">
        <w:rPr>
          <w:rFonts w:ascii="David" w:hAnsi="David" w:cs="David" w:hint="cs"/>
          <w:sz w:val="24"/>
          <w:szCs w:val="24"/>
          <w:rtl/>
        </w:rPr>
        <w:t xml:space="preserve"> כדי להוות כפייה לפי סעיף 17</w:t>
      </w:r>
      <w:r w:rsidR="00C730A7">
        <w:rPr>
          <w:rStyle w:val="a5"/>
          <w:rFonts w:ascii="David" w:hAnsi="David" w:cs="David"/>
          <w:sz w:val="24"/>
          <w:szCs w:val="24"/>
          <w:rtl/>
        </w:rPr>
        <w:footnoteReference w:id="33"/>
      </w:r>
      <w:r w:rsidR="00C730A7">
        <w:rPr>
          <w:rFonts w:ascii="David" w:hAnsi="David" w:cs="David" w:hint="cs"/>
          <w:sz w:val="24"/>
          <w:szCs w:val="24"/>
          <w:rtl/>
        </w:rPr>
        <w:t xml:space="preserve"> על האיום להיות בלתי חוקי ועלינו לבחון אותו. יסוד אי החוקיות מתקיים כשכפייה מהווה עב</w:t>
      </w:r>
      <w:r w:rsidR="000C5D96">
        <w:rPr>
          <w:rFonts w:ascii="David" w:hAnsi="David" w:cs="David" w:hint="cs"/>
          <w:sz w:val="24"/>
          <w:szCs w:val="24"/>
          <w:rtl/>
        </w:rPr>
        <w:t>ירה נזיקית או פלילית. במקרה של יעקב</w:t>
      </w:r>
      <w:r w:rsidR="00C730A7">
        <w:rPr>
          <w:rFonts w:ascii="David" w:hAnsi="David" w:cs="David" w:hint="cs"/>
          <w:sz w:val="24"/>
          <w:szCs w:val="24"/>
          <w:rtl/>
        </w:rPr>
        <w:t xml:space="preserve">, עבירת האיום נחשבת נכללת תחת עבירה פלילית ולפי כך מתקיים היסוד השלישי- הכפייה. </w:t>
      </w:r>
      <w:r w:rsidR="00010240">
        <w:rPr>
          <w:rFonts w:ascii="David" w:hAnsi="David" w:cs="David" w:hint="cs"/>
          <w:sz w:val="24"/>
          <w:szCs w:val="24"/>
          <w:rtl/>
        </w:rPr>
        <w:t>התקיימות שלושת היסודות הללו מצביעות כי אכן מתק</w:t>
      </w:r>
      <w:r w:rsidR="00975B46">
        <w:rPr>
          <w:rFonts w:ascii="David" w:hAnsi="David" w:cs="David" w:hint="cs"/>
          <w:sz w:val="24"/>
          <w:szCs w:val="24"/>
          <w:rtl/>
        </w:rPr>
        <w:t>יימת</w:t>
      </w:r>
      <w:r w:rsidR="00010240">
        <w:rPr>
          <w:rFonts w:ascii="David" w:hAnsi="David" w:cs="David" w:hint="cs"/>
          <w:sz w:val="24"/>
          <w:szCs w:val="24"/>
          <w:rtl/>
        </w:rPr>
        <w:t xml:space="preserve"> במקרה של יעקב </w:t>
      </w:r>
      <w:r w:rsidR="00975B46">
        <w:rPr>
          <w:rFonts w:ascii="David" w:hAnsi="David" w:cs="David" w:hint="cs"/>
          <w:sz w:val="24"/>
          <w:szCs w:val="24"/>
          <w:rtl/>
        </w:rPr>
        <w:t>עילת הכפייה, ויכול הוא לבקש לבטל את החוזה.</w:t>
      </w:r>
      <w:r w:rsidR="00136678">
        <w:rPr>
          <w:rFonts w:ascii="David" w:hAnsi="David" w:cs="David" w:hint="cs"/>
          <w:sz w:val="24"/>
          <w:szCs w:val="24"/>
          <w:rtl/>
        </w:rPr>
        <w:t xml:space="preserve"> </w:t>
      </w:r>
      <w:r w:rsidR="005718DD">
        <w:rPr>
          <w:rFonts w:ascii="David" w:hAnsi="David" w:cs="David" w:hint="cs"/>
          <w:sz w:val="24"/>
          <w:szCs w:val="24"/>
          <w:rtl/>
        </w:rPr>
        <w:t xml:space="preserve">ניתן לשים לב שיסודות עילת הכפייה מקשרים בין קשר סיבתי וכפייה כפי שביסודות ההטעיה ישנו חיבור מחייב בין הקשר הסיבתי להטעיה. יש להדגיש שבמקרה בו אנו דנים גיא שיקר ליעקב כשציין בפניו את הקשרים שלו </w:t>
      </w:r>
      <w:r w:rsidR="00776AC2">
        <w:rPr>
          <w:rFonts w:ascii="David" w:hAnsi="David" w:cs="David" w:hint="cs"/>
          <w:sz w:val="24"/>
          <w:szCs w:val="24"/>
          <w:rtl/>
        </w:rPr>
        <w:t>ברבנות</w:t>
      </w:r>
      <w:r w:rsidR="005718DD">
        <w:rPr>
          <w:rFonts w:ascii="David" w:hAnsi="David" w:cs="David" w:hint="cs"/>
          <w:sz w:val="24"/>
          <w:szCs w:val="24"/>
          <w:rtl/>
        </w:rPr>
        <w:t xml:space="preserve"> הראשית, כלומר קלף הכפייה שלו הוא בעצם חסר ביסוס. אם היה יודע זאת יעקב ככל הנראה לא היה נכנע לאיומיו. ניתן אולי לומר שיש בתוך כפייה זו גם סוג </w:t>
      </w:r>
      <w:r w:rsidR="005718DD" w:rsidRPr="00A83277">
        <w:rPr>
          <w:rFonts w:ascii="David" w:hAnsi="David" w:cs="David" w:hint="cs"/>
          <w:sz w:val="24"/>
          <w:szCs w:val="24"/>
          <w:rtl/>
        </w:rPr>
        <w:t>של</w:t>
      </w:r>
      <w:r w:rsidR="005718DD">
        <w:rPr>
          <w:rFonts w:ascii="David" w:hAnsi="David" w:cs="David" w:hint="cs"/>
          <w:sz w:val="24"/>
          <w:szCs w:val="24"/>
          <w:rtl/>
        </w:rPr>
        <w:t xml:space="preserve"> </w:t>
      </w:r>
      <w:r w:rsidR="005718DD" w:rsidRPr="00A83277">
        <w:rPr>
          <w:rFonts w:ascii="David" w:hAnsi="David" w:cs="David" w:hint="cs"/>
          <w:sz w:val="24"/>
          <w:szCs w:val="24"/>
          <w:rtl/>
        </w:rPr>
        <w:t>הטעיה.</w:t>
      </w:r>
      <w:r w:rsidR="00136678">
        <w:rPr>
          <w:rFonts w:ascii="David" w:hAnsi="David" w:cs="David" w:hint="cs"/>
          <w:sz w:val="24"/>
          <w:szCs w:val="24"/>
          <w:rtl/>
        </w:rPr>
        <w:t xml:space="preserve"> </w:t>
      </w:r>
      <w:r w:rsidR="005718DD">
        <w:rPr>
          <w:rFonts w:ascii="David" w:hAnsi="David" w:cs="David" w:hint="cs"/>
          <w:sz w:val="24"/>
          <w:szCs w:val="24"/>
          <w:rtl/>
        </w:rPr>
        <w:t xml:space="preserve">יכול גיא </w:t>
      </w:r>
      <w:r w:rsidR="00975B46">
        <w:rPr>
          <w:rFonts w:ascii="David" w:hAnsi="David" w:cs="David" w:hint="cs"/>
          <w:sz w:val="24"/>
          <w:szCs w:val="24"/>
          <w:rtl/>
        </w:rPr>
        <w:t>לטעון ש</w:t>
      </w:r>
      <w:r w:rsidR="001E4BF6">
        <w:rPr>
          <w:rFonts w:ascii="David" w:hAnsi="David" w:cs="David" w:hint="cs"/>
          <w:sz w:val="24"/>
          <w:szCs w:val="24"/>
          <w:rtl/>
        </w:rPr>
        <w:t>בעבודתו כיזם נדל"ן ל</w:t>
      </w:r>
      <w:r w:rsidR="00F50BEB">
        <w:rPr>
          <w:rFonts w:ascii="David" w:hAnsi="David" w:cs="David" w:hint="cs"/>
          <w:sz w:val="24"/>
          <w:szCs w:val="24"/>
          <w:rtl/>
        </w:rPr>
        <w:t>ו</w:t>
      </w:r>
      <w:r w:rsidR="001E4BF6">
        <w:rPr>
          <w:rFonts w:ascii="David" w:hAnsi="David" w:cs="David" w:hint="cs"/>
          <w:sz w:val="24"/>
          <w:szCs w:val="24"/>
          <w:rtl/>
        </w:rPr>
        <w:t xml:space="preserve">מד ויודע הוא כי </w:t>
      </w:r>
      <w:r w:rsidR="00B6143C">
        <w:rPr>
          <w:rFonts w:ascii="David" w:hAnsi="David" w:cs="David" w:hint="cs"/>
          <w:sz w:val="24"/>
          <w:szCs w:val="24"/>
          <w:rtl/>
        </w:rPr>
        <w:t>כל משא ומתן והתקשרות בחוזה כרוכה בהפעלת לחצים ע</w:t>
      </w:r>
      <w:r w:rsidR="000E35A0">
        <w:rPr>
          <w:rFonts w:ascii="David" w:hAnsi="David" w:cs="David" w:hint="cs"/>
          <w:sz w:val="24"/>
          <w:szCs w:val="24"/>
          <w:rtl/>
        </w:rPr>
        <w:t xml:space="preserve">ל ידי הצדדים, </w:t>
      </w:r>
      <w:r w:rsidR="001E4BF6">
        <w:rPr>
          <w:rFonts w:ascii="David" w:hAnsi="David" w:cs="David" w:hint="cs"/>
          <w:sz w:val="24"/>
          <w:szCs w:val="24"/>
          <w:rtl/>
        </w:rPr>
        <w:t xml:space="preserve">זו הדרך והנוהג בעסקים. </w:t>
      </w:r>
      <w:r w:rsidR="00D63036">
        <w:rPr>
          <w:rFonts w:ascii="David" w:hAnsi="David" w:cs="David" w:hint="cs"/>
          <w:sz w:val="24"/>
          <w:szCs w:val="24"/>
          <w:rtl/>
        </w:rPr>
        <w:t>בשוק חופש</w:t>
      </w:r>
      <w:r w:rsidR="000E35A0">
        <w:rPr>
          <w:rFonts w:ascii="David" w:hAnsi="David" w:cs="David" w:hint="cs"/>
          <w:sz w:val="24"/>
          <w:szCs w:val="24"/>
          <w:rtl/>
        </w:rPr>
        <w:t xml:space="preserve">י הוא רשאי לעשות שימוש ביתרון עסקי כלכלי שיש לו על הצד האחר, ואין זו </w:t>
      </w:r>
      <w:proofErr w:type="spellStart"/>
      <w:r w:rsidR="000E35A0">
        <w:rPr>
          <w:rFonts w:ascii="David" w:hAnsi="David" w:cs="David" w:hint="cs"/>
          <w:sz w:val="24"/>
          <w:szCs w:val="24"/>
          <w:rtl/>
        </w:rPr>
        <w:t>עילא</w:t>
      </w:r>
      <w:proofErr w:type="spellEnd"/>
      <w:r w:rsidR="000E35A0">
        <w:rPr>
          <w:rFonts w:ascii="David" w:hAnsi="David" w:cs="David" w:hint="cs"/>
          <w:sz w:val="24"/>
          <w:szCs w:val="24"/>
          <w:rtl/>
        </w:rPr>
        <w:t xml:space="preserve"> לביטול החוזה. </w:t>
      </w:r>
      <w:r w:rsidR="002A3679">
        <w:rPr>
          <w:rFonts w:ascii="David" w:hAnsi="David" w:cs="David" w:hint="cs"/>
          <w:sz w:val="24"/>
          <w:szCs w:val="24"/>
          <w:rtl/>
        </w:rPr>
        <w:t>כ</w:t>
      </w:r>
      <w:r w:rsidR="001E4BF6">
        <w:rPr>
          <w:rFonts w:ascii="David" w:hAnsi="David" w:cs="David" w:hint="cs"/>
          <w:sz w:val="24"/>
          <w:szCs w:val="24"/>
          <w:rtl/>
        </w:rPr>
        <w:t xml:space="preserve">תגובה </w:t>
      </w:r>
      <w:r w:rsidR="001E4BF6" w:rsidRPr="001E4BF6">
        <w:rPr>
          <w:rFonts w:ascii="David" w:hAnsi="David" w:cs="David"/>
          <w:sz w:val="24"/>
          <w:szCs w:val="24"/>
          <w:rtl/>
        </w:rPr>
        <w:t>לטענתו זו ניתן לראות</w:t>
      </w:r>
      <w:r w:rsidR="005342C3">
        <w:rPr>
          <w:rFonts w:ascii="David" w:hAnsi="David" w:cs="David"/>
          <w:sz w:val="24"/>
          <w:szCs w:val="24"/>
          <w:rtl/>
        </w:rPr>
        <w:t xml:space="preserve"> את תגובתה של השופט י' מלץ בפ</w:t>
      </w:r>
      <w:r w:rsidR="005342C3">
        <w:rPr>
          <w:rFonts w:ascii="David" w:hAnsi="David" w:cs="David" w:hint="cs"/>
          <w:sz w:val="24"/>
          <w:szCs w:val="24"/>
          <w:rtl/>
        </w:rPr>
        <w:t xml:space="preserve">סק דין רחמים </w:t>
      </w:r>
      <w:r w:rsidR="005342C3">
        <w:rPr>
          <w:rFonts w:ascii="David" w:hAnsi="David" w:cs="David"/>
          <w:sz w:val="24"/>
          <w:szCs w:val="24"/>
          <w:rtl/>
        </w:rPr>
        <w:t xml:space="preserve">נ' </w:t>
      </w:r>
      <w:proofErr w:type="spellStart"/>
      <w:r w:rsidR="005342C3">
        <w:rPr>
          <w:rFonts w:ascii="David" w:hAnsi="David" w:cs="David"/>
          <w:sz w:val="24"/>
          <w:szCs w:val="24"/>
          <w:rtl/>
        </w:rPr>
        <w:t>אקספומדיה</w:t>
      </w:r>
      <w:proofErr w:type="spellEnd"/>
      <w:r w:rsidR="001E4BF6" w:rsidRPr="001E4BF6">
        <w:rPr>
          <w:rStyle w:val="a5"/>
          <w:rFonts w:ascii="David" w:hAnsi="David" w:cs="David"/>
          <w:sz w:val="24"/>
          <w:szCs w:val="24"/>
          <w:rtl/>
        </w:rPr>
        <w:footnoteReference w:id="34"/>
      </w:r>
      <w:r w:rsidR="001E4BF6" w:rsidRPr="001E4BF6">
        <w:rPr>
          <w:rFonts w:ascii="David" w:hAnsi="David" w:cs="David"/>
          <w:sz w:val="24"/>
          <w:szCs w:val="24"/>
          <w:rtl/>
        </w:rPr>
        <w:t xml:space="preserve">, בו נאמר שלחץ כלכלי יכול להיות לגיטימי או לא לגיטימי, אבל כאשר צד אחד </w:t>
      </w:r>
      <w:r w:rsidR="00825425">
        <w:rPr>
          <w:rFonts w:ascii="David" w:hAnsi="David" w:cs="David"/>
          <w:sz w:val="24"/>
          <w:szCs w:val="24"/>
          <w:rtl/>
        </w:rPr>
        <w:t xml:space="preserve">חשוף ופגיע </w:t>
      </w:r>
      <w:r w:rsidR="001E4BF6" w:rsidRPr="001E4BF6">
        <w:rPr>
          <w:rFonts w:ascii="David" w:hAnsi="David" w:cs="David"/>
          <w:sz w:val="24"/>
          <w:szCs w:val="24"/>
          <w:rtl/>
        </w:rPr>
        <w:t>יותר עד כי ייאלץ להיכ</w:t>
      </w:r>
      <w:r w:rsidR="00825425">
        <w:rPr>
          <w:rFonts w:ascii="David" w:hAnsi="David" w:cs="David"/>
          <w:sz w:val="24"/>
          <w:szCs w:val="24"/>
          <w:rtl/>
        </w:rPr>
        <w:t>נע לו, אין בכך משום לחץ לגיטימי</w:t>
      </w:r>
      <w:r w:rsidR="00981E37">
        <w:rPr>
          <w:rFonts w:ascii="David" w:hAnsi="David" w:cs="David" w:hint="cs"/>
          <w:sz w:val="24"/>
          <w:szCs w:val="24"/>
          <w:rtl/>
        </w:rPr>
        <w:t>.</w:t>
      </w:r>
      <w:r w:rsidR="00136678">
        <w:rPr>
          <w:rFonts w:ascii="David" w:hAnsi="David" w:cs="David" w:hint="cs"/>
          <w:sz w:val="24"/>
          <w:szCs w:val="24"/>
          <w:rtl/>
        </w:rPr>
        <w:t xml:space="preserve"> </w:t>
      </w:r>
      <w:r w:rsidR="00675EF3">
        <w:rPr>
          <w:rFonts w:ascii="David" w:hAnsi="David" w:cs="David" w:hint="cs"/>
          <w:sz w:val="24"/>
          <w:szCs w:val="24"/>
          <w:rtl/>
        </w:rPr>
        <w:t>גיא יכול לנסות לטעון שהאיום הוא בגדר "אזהרה בתום לב" מכוח סעיף 17(ב)</w:t>
      </w:r>
      <w:r w:rsidR="00675EF3">
        <w:rPr>
          <w:rStyle w:val="a5"/>
          <w:rFonts w:ascii="David" w:hAnsi="David" w:cs="David"/>
          <w:sz w:val="24"/>
          <w:szCs w:val="24"/>
          <w:rtl/>
        </w:rPr>
        <w:footnoteReference w:id="35"/>
      </w:r>
      <w:r w:rsidR="00675EF3">
        <w:rPr>
          <w:rFonts w:ascii="David" w:hAnsi="David" w:cs="David" w:hint="cs"/>
          <w:sz w:val="24"/>
          <w:szCs w:val="24"/>
          <w:rtl/>
        </w:rPr>
        <w:t xml:space="preserve">. </w:t>
      </w:r>
      <w:r w:rsidR="00CA0364">
        <w:rPr>
          <w:rFonts w:ascii="David" w:hAnsi="David" w:cs="David" w:hint="cs"/>
          <w:sz w:val="24"/>
          <w:szCs w:val="24"/>
          <w:rtl/>
        </w:rPr>
        <w:t xml:space="preserve">אך כיוון שאין לגיא באמת </w:t>
      </w:r>
      <w:r w:rsidR="00F50BEB">
        <w:rPr>
          <w:rFonts w:ascii="David" w:hAnsi="David" w:cs="David" w:hint="cs"/>
          <w:sz w:val="24"/>
          <w:szCs w:val="24"/>
          <w:rtl/>
        </w:rPr>
        <w:t>את הזכות להתקשר לרבנות הראשית, מה גם שהוא בדה את הקשרים מליבו, אין הוא יכול לטעון טענה זו.</w:t>
      </w:r>
      <w:r w:rsidR="005342C3">
        <w:rPr>
          <w:rFonts w:ascii="David" w:hAnsi="David" w:cs="David" w:hint="cs"/>
          <w:sz w:val="24"/>
          <w:szCs w:val="24"/>
          <w:rtl/>
        </w:rPr>
        <w:t xml:space="preserve"> גיא יוכל להוסיף ולטעון כי ליעקב היה זמן בין הצעתו לבין ההסכמה לחשוב על התנאים, ולהתייעץ עם גורמים חיצוניים, ועל כן אי אפשר לטעון טענת כפייה כשהייתה לו אפשרות לבדוק אופציות אחרות.</w:t>
      </w:r>
      <w:r w:rsidR="005342C3">
        <w:rPr>
          <w:rStyle w:val="a5"/>
          <w:rFonts w:ascii="David" w:hAnsi="David" w:cs="David"/>
          <w:sz w:val="24"/>
          <w:szCs w:val="24"/>
          <w:rtl/>
        </w:rPr>
        <w:footnoteReference w:id="36"/>
      </w:r>
      <w:r w:rsidR="005342C3">
        <w:rPr>
          <w:rFonts w:ascii="David" w:hAnsi="David" w:cs="David" w:hint="cs"/>
          <w:sz w:val="24"/>
          <w:szCs w:val="24"/>
          <w:rtl/>
        </w:rPr>
        <w:t xml:space="preserve"> אכן היה ליעקב זמן לחשוב ולבדוק, אך מדובר באדם זקן, אין לו מכרים קרובים להתייעץ עימם, וככל הנראה גם לא קשרים בשוק הנדל"ן. כמו כן </w:t>
      </w:r>
      <w:r w:rsidR="005342C3">
        <w:rPr>
          <w:rFonts w:ascii="David" w:hAnsi="David" w:cs="David" w:hint="cs"/>
          <w:sz w:val="24"/>
          <w:szCs w:val="24"/>
          <w:rtl/>
        </w:rPr>
        <w:lastRenderedPageBreak/>
        <w:t xml:space="preserve">הזמן שהיה נתון לו לחשוב היה קצר וככל הנראה לא היה מספיק בכדי להשיג חוות דעתו של שמאי. </w:t>
      </w:r>
      <w:r w:rsidR="00F50BEB">
        <w:rPr>
          <w:rFonts w:ascii="David" w:hAnsi="David" w:cs="David" w:hint="cs"/>
          <w:sz w:val="24"/>
          <w:szCs w:val="24"/>
          <w:rtl/>
        </w:rPr>
        <w:t xml:space="preserve"> כפי שאמרה השופטת </w:t>
      </w:r>
      <w:proofErr w:type="spellStart"/>
      <w:r w:rsidR="00F50BEB">
        <w:rPr>
          <w:rFonts w:ascii="David" w:hAnsi="David" w:cs="David" w:hint="cs"/>
          <w:sz w:val="24"/>
          <w:szCs w:val="24"/>
          <w:rtl/>
        </w:rPr>
        <w:t>שטרסברג</w:t>
      </w:r>
      <w:proofErr w:type="spellEnd"/>
      <w:r w:rsidR="00F50BEB">
        <w:rPr>
          <w:rFonts w:ascii="David" w:hAnsi="David" w:cs="David" w:hint="cs"/>
          <w:sz w:val="24"/>
          <w:szCs w:val="24"/>
          <w:rtl/>
        </w:rPr>
        <w:t xml:space="preserve"> כהן</w:t>
      </w:r>
      <w:r w:rsidR="00F50BEB">
        <w:rPr>
          <w:rStyle w:val="a5"/>
          <w:rFonts w:ascii="David" w:hAnsi="David" w:cs="David"/>
          <w:sz w:val="24"/>
          <w:szCs w:val="24"/>
          <w:rtl/>
        </w:rPr>
        <w:footnoteReference w:id="37"/>
      </w:r>
      <w:r w:rsidR="00675EF3">
        <w:rPr>
          <w:rFonts w:ascii="David" w:hAnsi="David" w:cs="David" w:hint="cs"/>
          <w:sz w:val="24"/>
          <w:szCs w:val="24"/>
          <w:rtl/>
        </w:rPr>
        <w:t xml:space="preserve"> </w:t>
      </w:r>
      <w:r w:rsidR="00F50BEB" w:rsidRPr="00F50BEB">
        <w:rPr>
          <w:rFonts w:ascii="David" w:hAnsi="David" w:cs="David"/>
          <w:sz w:val="24"/>
          <w:szCs w:val="24"/>
          <w:rtl/>
        </w:rPr>
        <w:t>האיום בהפעלת זכות שאינה קיימת, כשהמאיים אינו מאמין בקיומה, מהווה כפייה.</w:t>
      </w:r>
      <w:r w:rsidR="00F50BEB">
        <w:rPr>
          <w:rFonts w:ascii="David" w:hAnsi="David" w:cs="David" w:hint="cs"/>
          <w:sz w:val="24"/>
          <w:szCs w:val="24"/>
          <w:rtl/>
        </w:rPr>
        <w:t xml:space="preserve"> על כן הוכח כי התנהגות גיא כלפי יעקב מהווה כפייה ו</w:t>
      </w:r>
      <w:r w:rsidR="00385782">
        <w:rPr>
          <w:rFonts w:ascii="David" w:hAnsi="David" w:cs="David" w:hint="cs"/>
          <w:sz w:val="24"/>
          <w:szCs w:val="24"/>
          <w:rtl/>
        </w:rPr>
        <w:t>על כן רשאי יעקב לבטל את החוזה מכוח סעיף זה.</w:t>
      </w:r>
      <w:r w:rsidR="00782CA5">
        <w:rPr>
          <w:rFonts w:ascii="David" w:hAnsi="David" w:cs="David" w:hint="cs"/>
          <w:sz w:val="24"/>
          <w:szCs w:val="24"/>
          <w:rtl/>
        </w:rPr>
        <w:t xml:space="preserve"> </w:t>
      </w:r>
      <w:bookmarkStart w:id="0" w:name="_GoBack"/>
      <w:bookmarkEnd w:id="0"/>
      <w:r w:rsidR="00080A2E" w:rsidRPr="00FD460D">
        <w:rPr>
          <w:rFonts w:ascii="David" w:hAnsi="David" w:cs="David" w:hint="cs"/>
          <w:b/>
          <w:bCs/>
          <w:sz w:val="24"/>
          <w:szCs w:val="24"/>
          <w:u w:val="single"/>
          <w:rtl/>
        </w:rPr>
        <w:t>עושק-</w:t>
      </w:r>
      <w:r w:rsidR="00080A2E">
        <w:rPr>
          <w:rFonts w:ascii="David" w:hAnsi="David" w:cs="David" w:hint="cs"/>
          <w:sz w:val="24"/>
          <w:szCs w:val="24"/>
          <w:rtl/>
        </w:rPr>
        <w:t xml:space="preserve"> </w:t>
      </w:r>
      <w:r w:rsidR="00565691">
        <w:rPr>
          <w:rFonts w:ascii="David" w:hAnsi="David" w:cs="David" w:hint="cs"/>
          <w:sz w:val="24"/>
          <w:szCs w:val="24"/>
          <w:rtl/>
        </w:rPr>
        <w:t xml:space="preserve">יוכל יעקב לטעון טענת </w:t>
      </w:r>
      <w:r w:rsidR="000D3BEF">
        <w:rPr>
          <w:rFonts w:ascii="David" w:hAnsi="David" w:cs="David" w:hint="cs"/>
          <w:sz w:val="24"/>
          <w:szCs w:val="24"/>
          <w:rtl/>
        </w:rPr>
        <w:t>עושק</w:t>
      </w:r>
      <w:r w:rsidR="00AB2822">
        <w:rPr>
          <w:rFonts w:ascii="David" w:hAnsi="David" w:cs="David" w:hint="cs"/>
          <w:sz w:val="24"/>
          <w:szCs w:val="24"/>
          <w:rtl/>
        </w:rPr>
        <w:t xml:space="preserve"> לפי סעיף 18 לחוק.</w:t>
      </w:r>
      <w:r w:rsidR="00AB2822">
        <w:rPr>
          <w:rStyle w:val="a5"/>
          <w:rFonts w:ascii="David" w:hAnsi="David" w:cs="David"/>
          <w:sz w:val="24"/>
          <w:szCs w:val="24"/>
          <w:rtl/>
        </w:rPr>
        <w:footnoteReference w:id="38"/>
      </w:r>
      <w:r w:rsidR="00443EEA">
        <w:rPr>
          <w:rFonts w:ascii="David" w:hAnsi="David" w:cs="David" w:hint="cs"/>
          <w:sz w:val="24"/>
          <w:szCs w:val="24"/>
          <w:rtl/>
        </w:rPr>
        <w:t xml:space="preserve"> </w:t>
      </w:r>
      <w:r w:rsidR="00AB2822">
        <w:rPr>
          <w:rFonts w:ascii="David" w:hAnsi="David" w:cs="David" w:hint="cs"/>
          <w:sz w:val="24"/>
          <w:szCs w:val="24"/>
          <w:rtl/>
        </w:rPr>
        <w:t>ניתן לראות ש</w:t>
      </w:r>
      <w:r w:rsidR="00443EEA">
        <w:rPr>
          <w:rFonts w:ascii="David" w:hAnsi="David" w:cs="David" w:hint="cs"/>
          <w:sz w:val="24"/>
          <w:szCs w:val="24"/>
          <w:rtl/>
        </w:rPr>
        <w:t>מתקיימים כל התנאים המצטברים</w:t>
      </w:r>
      <w:r w:rsidR="00443EEA">
        <w:rPr>
          <w:rStyle w:val="a5"/>
          <w:rFonts w:ascii="David" w:hAnsi="David" w:cs="David"/>
          <w:sz w:val="24"/>
          <w:szCs w:val="24"/>
          <w:rtl/>
        </w:rPr>
        <w:footnoteReference w:id="39"/>
      </w:r>
      <w:r w:rsidR="00443EEA">
        <w:rPr>
          <w:rFonts w:ascii="David" w:hAnsi="David" w:cs="David" w:hint="cs"/>
          <w:sz w:val="24"/>
          <w:szCs w:val="24"/>
          <w:rtl/>
        </w:rPr>
        <w:t xml:space="preserve"> ה</w:t>
      </w:r>
      <w:r w:rsidR="00424EC1">
        <w:rPr>
          <w:rFonts w:ascii="David" w:hAnsi="David" w:cs="David" w:hint="cs"/>
          <w:sz w:val="24"/>
          <w:szCs w:val="24"/>
          <w:rtl/>
        </w:rPr>
        <w:t xml:space="preserve">מוכיחים את </w:t>
      </w:r>
      <w:r w:rsidR="00443EEA">
        <w:rPr>
          <w:rFonts w:ascii="David" w:hAnsi="David" w:cs="David" w:hint="cs"/>
          <w:sz w:val="24"/>
          <w:szCs w:val="24"/>
          <w:rtl/>
        </w:rPr>
        <w:t xml:space="preserve">קיום העילה כפי שציין השופט י' </w:t>
      </w:r>
      <w:proofErr w:type="spellStart"/>
      <w:r w:rsidR="00443EEA">
        <w:rPr>
          <w:rFonts w:ascii="David" w:hAnsi="David" w:cs="David" w:hint="cs"/>
          <w:sz w:val="24"/>
          <w:szCs w:val="24"/>
          <w:rtl/>
        </w:rPr>
        <w:t>טירקל</w:t>
      </w:r>
      <w:proofErr w:type="spellEnd"/>
      <w:r w:rsidR="00443EEA">
        <w:rPr>
          <w:rFonts w:ascii="David" w:hAnsi="David" w:cs="David" w:hint="cs"/>
          <w:sz w:val="24"/>
          <w:szCs w:val="24"/>
          <w:rtl/>
        </w:rPr>
        <w:t xml:space="preserve"> בפסק הדין </w:t>
      </w:r>
      <w:proofErr w:type="spellStart"/>
      <w:r w:rsidR="00443EEA">
        <w:rPr>
          <w:rFonts w:ascii="David" w:hAnsi="David" w:cs="David" w:hint="cs"/>
          <w:sz w:val="24"/>
          <w:szCs w:val="24"/>
          <w:rtl/>
        </w:rPr>
        <w:t>סאסי</w:t>
      </w:r>
      <w:proofErr w:type="spellEnd"/>
      <w:r w:rsidR="00443EEA">
        <w:rPr>
          <w:rStyle w:val="a5"/>
          <w:rFonts w:ascii="David" w:hAnsi="David" w:cs="David"/>
          <w:sz w:val="24"/>
          <w:szCs w:val="24"/>
          <w:rtl/>
        </w:rPr>
        <w:footnoteReference w:id="40"/>
      </w:r>
      <w:r w:rsidR="00443EEA">
        <w:rPr>
          <w:rFonts w:ascii="David" w:hAnsi="David" w:cs="David" w:hint="cs"/>
          <w:sz w:val="24"/>
          <w:szCs w:val="24"/>
          <w:rtl/>
        </w:rPr>
        <w:t xml:space="preserve">- </w:t>
      </w:r>
      <w:r w:rsidR="00647AA1">
        <w:rPr>
          <w:rFonts w:ascii="David" w:hAnsi="David" w:cs="David" w:hint="cs"/>
          <w:sz w:val="24"/>
          <w:szCs w:val="24"/>
          <w:rtl/>
        </w:rPr>
        <w:t>ה</w:t>
      </w:r>
      <w:r w:rsidR="004760E1">
        <w:rPr>
          <w:rFonts w:ascii="David" w:hAnsi="David" w:cs="David" w:hint="cs"/>
          <w:sz w:val="24"/>
          <w:szCs w:val="24"/>
          <w:rtl/>
        </w:rPr>
        <w:t>תנהגות העושק, מצבו של העשוק</w:t>
      </w:r>
      <w:r w:rsidR="00647AA1">
        <w:rPr>
          <w:rFonts w:ascii="David" w:hAnsi="David" w:cs="David" w:hint="cs"/>
          <w:sz w:val="24"/>
          <w:szCs w:val="24"/>
          <w:rtl/>
        </w:rPr>
        <w:t xml:space="preserve">, </w:t>
      </w:r>
      <w:r w:rsidR="00443EEA">
        <w:rPr>
          <w:rFonts w:ascii="David" w:hAnsi="David" w:cs="David" w:hint="cs"/>
          <w:sz w:val="24"/>
          <w:szCs w:val="24"/>
          <w:rtl/>
        </w:rPr>
        <w:t>תנאיי חוזה גרועים מהמקובל</w:t>
      </w:r>
      <w:r w:rsidR="00A63313">
        <w:rPr>
          <w:rFonts w:ascii="David" w:hAnsi="David" w:cs="David" w:hint="cs"/>
          <w:sz w:val="24"/>
          <w:szCs w:val="24"/>
          <w:rtl/>
        </w:rPr>
        <w:t xml:space="preserve"> (לאלה מצטרפים </w:t>
      </w:r>
      <w:r w:rsidR="00F02B96">
        <w:rPr>
          <w:rFonts w:ascii="David" w:hAnsi="David" w:cs="David" w:hint="cs"/>
          <w:sz w:val="24"/>
          <w:szCs w:val="24"/>
          <w:rtl/>
        </w:rPr>
        <w:t xml:space="preserve">על פי גבריאלה שלו </w:t>
      </w:r>
      <w:r w:rsidR="00A63313">
        <w:rPr>
          <w:rFonts w:ascii="David" w:hAnsi="David" w:cs="David" w:hint="cs"/>
          <w:sz w:val="24"/>
          <w:szCs w:val="24"/>
          <w:rtl/>
        </w:rPr>
        <w:t>חתימת החוזה והקשר הסיבתי</w:t>
      </w:r>
      <w:r w:rsidR="00A63313">
        <w:rPr>
          <w:rStyle w:val="a5"/>
          <w:rFonts w:ascii="David" w:hAnsi="David" w:cs="David"/>
          <w:sz w:val="24"/>
          <w:szCs w:val="24"/>
          <w:rtl/>
        </w:rPr>
        <w:footnoteReference w:id="41"/>
      </w:r>
      <w:r w:rsidR="00A63313">
        <w:rPr>
          <w:rFonts w:ascii="David" w:hAnsi="David" w:cs="David" w:hint="cs"/>
          <w:sz w:val="24"/>
          <w:szCs w:val="24"/>
          <w:rtl/>
        </w:rPr>
        <w:t>)</w:t>
      </w:r>
      <w:r w:rsidR="00443EEA">
        <w:rPr>
          <w:rFonts w:ascii="David" w:hAnsi="David" w:cs="David" w:hint="cs"/>
          <w:sz w:val="24"/>
          <w:szCs w:val="24"/>
          <w:rtl/>
        </w:rPr>
        <w:t xml:space="preserve">. </w:t>
      </w:r>
      <w:r w:rsidR="00CB2039" w:rsidRPr="009D399E">
        <w:rPr>
          <w:rFonts w:ascii="David" w:hAnsi="David" w:cs="David" w:hint="cs"/>
          <w:sz w:val="24"/>
          <w:szCs w:val="24"/>
          <w:u w:val="single"/>
          <w:rtl/>
        </w:rPr>
        <w:t>התנהגותו של גיא</w:t>
      </w:r>
      <w:r w:rsidR="00CB2039">
        <w:rPr>
          <w:rFonts w:ascii="David" w:hAnsi="David" w:cs="David" w:hint="cs"/>
          <w:sz w:val="24"/>
          <w:szCs w:val="24"/>
          <w:rtl/>
        </w:rPr>
        <w:t xml:space="preserve"> היוותה ניצול </w:t>
      </w:r>
      <w:r w:rsidR="00DB22BC">
        <w:rPr>
          <w:rFonts w:ascii="David" w:hAnsi="David" w:cs="David" w:hint="cs"/>
          <w:sz w:val="24"/>
          <w:szCs w:val="24"/>
          <w:rtl/>
        </w:rPr>
        <w:t>מצוקתו וחוסר נ</w:t>
      </w:r>
      <w:r w:rsidR="000D3BEF">
        <w:rPr>
          <w:rFonts w:ascii="David" w:hAnsi="David" w:cs="David" w:hint="cs"/>
          <w:sz w:val="24"/>
          <w:szCs w:val="24"/>
          <w:rtl/>
        </w:rPr>
        <w:t>י</w:t>
      </w:r>
      <w:r w:rsidR="00DB22BC">
        <w:rPr>
          <w:rFonts w:ascii="David" w:hAnsi="David" w:cs="David" w:hint="cs"/>
          <w:sz w:val="24"/>
          <w:szCs w:val="24"/>
          <w:rtl/>
        </w:rPr>
        <w:t xml:space="preserve">סיונו </w:t>
      </w:r>
      <w:r w:rsidR="00CB2039">
        <w:rPr>
          <w:rFonts w:ascii="David" w:hAnsi="David" w:cs="David" w:hint="cs"/>
          <w:sz w:val="24"/>
          <w:szCs w:val="24"/>
          <w:rtl/>
        </w:rPr>
        <w:t>של יעקב</w:t>
      </w:r>
      <w:r w:rsidR="000D3BEF">
        <w:rPr>
          <w:rFonts w:ascii="David" w:hAnsi="David" w:cs="David" w:hint="cs"/>
          <w:sz w:val="24"/>
          <w:szCs w:val="24"/>
          <w:rtl/>
        </w:rPr>
        <w:t xml:space="preserve"> בצורה בלתי מוסרית</w:t>
      </w:r>
      <w:r w:rsidR="00CB2039">
        <w:rPr>
          <w:rFonts w:ascii="David" w:hAnsi="David" w:cs="David" w:hint="cs"/>
          <w:sz w:val="24"/>
          <w:szCs w:val="24"/>
          <w:rtl/>
        </w:rPr>
        <w:t>. בתור יזם נדל"ן, ידע גיא את שווי הנ</w:t>
      </w:r>
      <w:r w:rsidR="00DB22BC">
        <w:rPr>
          <w:rFonts w:ascii="David" w:hAnsi="David" w:cs="David" w:hint="cs"/>
          <w:sz w:val="24"/>
          <w:szCs w:val="24"/>
          <w:rtl/>
        </w:rPr>
        <w:t>כס, כמו גם את ההליכים המקובלים ואת העובדה שככל הנראה ליעקב לא יהיה שום דרך לדעת את שווי הנכס או את מחירי השוק. על אף כל אלה בחר</w:t>
      </w:r>
      <w:r w:rsidR="00CB2039">
        <w:rPr>
          <w:rFonts w:ascii="David" w:hAnsi="David" w:cs="David" w:hint="cs"/>
          <w:sz w:val="24"/>
          <w:szCs w:val="24"/>
          <w:rtl/>
        </w:rPr>
        <w:t xml:space="preserve"> </w:t>
      </w:r>
      <w:r w:rsidR="00DB22BC">
        <w:rPr>
          <w:rFonts w:ascii="David" w:hAnsi="David" w:cs="David" w:hint="cs"/>
          <w:sz w:val="24"/>
          <w:szCs w:val="24"/>
          <w:rtl/>
        </w:rPr>
        <w:t>לנצל</w:t>
      </w:r>
      <w:r w:rsidR="001D7D34">
        <w:rPr>
          <w:rFonts w:ascii="David" w:hAnsi="David" w:cs="David" w:hint="cs"/>
          <w:sz w:val="24"/>
          <w:szCs w:val="24"/>
          <w:rtl/>
        </w:rPr>
        <w:t xml:space="preserve"> את חוסר ניסיונו.</w:t>
      </w:r>
      <w:r w:rsidR="00806A47">
        <w:rPr>
          <w:rFonts w:ascii="David" w:hAnsi="David" w:cs="David" w:hint="cs"/>
          <w:sz w:val="24"/>
          <w:szCs w:val="24"/>
          <w:rtl/>
        </w:rPr>
        <w:t xml:space="preserve"> ניתן לקשר זאת להפרת חובת תום הלב</w:t>
      </w:r>
      <w:r w:rsidR="00806A47">
        <w:rPr>
          <w:rStyle w:val="a5"/>
          <w:rFonts w:ascii="David" w:hAnsi="David" w:cs="David"/>
          <w:sz w:val="24"/>
          <w:szCs w:val="24"/>
          <w:rtl/>
        </w:rPr>
        <w:footnoteReference w:id="42"/>
      </w:r>
      <w:r w:rsidR="001D7D34">
        <w:rPr>
          <w:rFonts w:ascii="David" w:hAnsi="David" w:cs="David" w:hint="cs"/>
          <w:sz w:val="24"/>
          <w:szCs w:val="24"/>
          <w:rtl/>
        </w:rPr>
        <w:t xml:space="preserve"> </w:t>
      </w:r>
      <w:r w:rsidR="00DB22BC">
        <w:rPr>
          <w:rFonts w:ascii="David" w:hAnsi="David" w:cs="David" w:hint="cs"/>
          <w:sz w:val="24"/>
          <w:szCs w:val="24"/>
          <w:rtl/>
        </w:rPr>
        <w:t xml:space="preserve"> </w:t>
      </w:r>
      <w:r w:rsidR="00806A47">
        <w:rPr>
          <w:rFonts w:ascii="David" w:hAnsi="David" w:cs="David" w:hint="cs"/>
          <w:sz w:val="24"/>
          <w:szCs w:val="24"/>
          <w:rtl/>
        </w:rPr>
        <w:t>כפי שמודגם גם בפסק הדין אפל נ' שפיר.</w:t>
      </w:r>
      <w:r w:rsidR="00806A47">
        <w:rPr>
          <w:rStyle w:val="a5"/>
          <w:rFonts w:ascii="David" w:hAnsi="David" w:cs="David"/>
          <w:sz w:val="24"/>
          <w:szCs w:val="24"/>
          <w:rtl/>
        </w:rPr>
        <w:footnoteReference w:id="43"/>
      </w:r>
      <w:r w:rsidR="00806A47">
        <w:rPr>
          <w:rFonts w:ascii="David" w:hAnsi="David" w:cs="David" w:hint="cs"/>
          <w:sz w:val="24"/>
          <w:szCs w:val="24"/>
          <w:rtl/>
        </w:rPr>
        <w:t xml:space="preserve"> </w:t>
      </w:r>
      <w:r w:rsidR="00CE334E" w:rsidRPr="000F1BFD">
        <w:rPr>
          <w:rFonts w:ascii="David" w:hAnsi="David" w:cs="David" w:hint="cs"/>
          <w:sz w:val="24"/>
          <w:szCs w:val="24"/>
          <w:u w:val="single"/>
          <w:rtl/>
        </w:rPr>
        <w:t>מצבו של יעקב</w:t>
      </w:r>
      <w:r w:rsidR="00CE334E">
        <w:rPr>
          <w:rFonts w:ascii="David" w:hAnsi="David" w:cs="David" w:hint="cs"/>
          <w:sz w:val="24"/>
          <w:szCs w:val="24"/>
          <w:rtl/>
        </w:rPr>
        <w:t xml:space="preserve"> </w:t>
      </w:r>
      <w:r w:rsidR="006A7ADB">
        <w:rPr>
          <w:rFonts w:ascii="David" w:hAnsi="David" w:cs="David" w:hint="cs"/>
          <w:sz w:val="24"/>
          <w:szCs w:val="24"/>
          <w:rtl/>
        </w:rPr>
        <w:t xml:space="preserve">ידוע לגיא- </w:t>
      </w:r>
      <w:r w:rsidR="001D7D34">
        <w:rPr>
          <w:rFonts w:ascii="David" w:hAnsi="David" w:cs="David" w:hint="cs"/>
          <w:sz w:val="24"/>
          <w:szCs w:val="24"/>
          <w:rtl/>
        </w:rPr>
        <w:t xml:space="preserve">יעקב הוא איש זקן וערירי, שפרנסתו והכנסתו בנויה על האטליז. </w:t>
      </w:r>
      <w:r w:rsidR="00DF27EC">
        <w:rPr>
          <w:rFonts w:ascii="David" w:hAnsi="David" w:cs="David" w:hint="cs"/>
          <w:sz w:val="24"/>
          <w:szCs w:val="24"/>
          <w:rtl/>
        </w:rPr>
        <w:t>על אף ההסתמכות הכלכלית של יעקב על האטליז, המצוקה לפי סעיף 18 לחוק</w:t>
      </w:r>
      <w:r w:rsidR="00DF27EC">
        <w:rPr>
          <w:rStyle w:val="a5"/>
          <w:rFonts w:ascii="David" w:hAnsi="David" w:cs="David"/>
          <w:sz w:val="24"/>
          <w:szCs w:val="24"/>
          <w:rtl/>
        </w:rPr>
        <w:footnoteReference w:id="44"/>
      </w:r>
      <w:r w:rsidR="00DF27EC">
        <w:rPr>
          <w:rFonts w:ascii="David" w:hAnsi="David" w:cs="David" w:hint="cs"/>
          <w:sz w:val="24"/>
          <w:szCs w:val="24"/>
          <w:rtl/>
        </w:rPr>
        <w:t xml:space="preserve"> </w:t>
      </w:r>
      <w:r w:rsidR="005906BA">
        <w:rPr>
          <w:rFonts w:ascii="David" w:hAnsi="David" w:cs="David" w:hint="cs"/>
          <w:sz w:val="24"/>
          <w:szCs w:val="24"/>
          <w:rtl/>
        </w:rPr>
        <w:t>לא חייבת</w:t>
      </w:r>
      <w:r w:rsidR="00DF27EC">
        <w:rPr>
          <w:rFonts w:ascii="David" w:hAnsi="David" w:cs="David" w:hint="cs"/>
          <w:sz w:val="24"/>
          <w:szCs w:val="24"/>
          <w:rtl/>
        </w:rPr>
        <w:t xml:space="preserve"> להיות כלכלית אלא היא מצוקה שנובעת משינוי פתאומי פסיכולוגי או כלכלי- שמביא ללחץ, והיעדר אלטרנטיבה ראויה לחתימת החוזה.</w:t>
      </w:r>
      <w:r w:rsidR="003F5A1F">
        <w:rPr>
          <w:rStyle w:val="a5"/>
          <w:rFonts w:ascii="David" w:hAnsi="David" w:cs="David"/>
          <w:sz w:val="24"/>
          <w:szCs w:val="24"/>
          <w:rtl/>
        </w:rPr>
        <w:footnoteReference w:id="45"/>
      </w:r>
      <w:r w:rsidR="009539F8">
        <w:rPr>
          <w:rFonts w:ascii="David" w:hAnsi="David" w:cs="David" w:hint="cs"/>
          <w:sz w:val="24"/>
          <w:szCs w:val="24"/>
          <w:rtl/>
        </w:rPr>
        <w:t xml:space="preserve"> </w:t>
      </w:r>
      <w:r w:rsidR="005906BA">
        <w:rPr>
          <w:rFonts w:ascii="David" w:hAnsi="David" w:cs="David" w:hint="cs"/>
          <w:sz w:val="24"/>
          <w:szCs w:val="24"/>
          <w:rtl/>
        </w:rPr>
        <w:t>במקרה דנן מתקיימות שתי המצוקות, ו</w:t>
      </w:r>
      <w:r w:rsidR="00BE4DFB">
        <w:rPr>
          <w:rFonts w:ascii="David" w:hAnsi="David" w:cs="David" w:hint="cs"/>
          <w:sz w:val="24"/>
          <w:szCs w:val="24"/>
          <w:rtl/>
        </w:rPr>
        <w:t>אי ההבנה של יעקב בהליכים או בחוזים, גרמה לו ככל הנראה להיל</w:t>
      </w:r>
      <w:r w:rsidR="00AB2822">
        <w:rPr>
          <w:rFonts w:ascii="David" w:hAnsi="David" w:cs="David" w:hint="cs"/>
          <w:sz w:val="24"/>
          <w:szCs w:val="24"/>
          <w:rtl/>
        </w:rPr>
        <w:t>חץ עוד יותר מהמעמד והחוזה שלפניו</w:t>
      </w:r>
      <w:r w:rsidR="00BE4DFB">
        <w:rPr>
          <w:rFonts w:ascii="David" w:hAnsi="David" w:cs="David" w:hint="cs"/>
          <w:sz w:val="24"/>
          <w:szCs w:val="24"/>
          <w:rtl/>
        </w:rPr>
        <w:t>.</w:t>
      </w:r>
      <w:r w:rsidR="005213DD">
        <w:rPr>
          <w:rStyle w:val="a5"/>
          <w:rFonts w:ascii="David" w:hAnsi="David" w:cs="David"/>
          <w:sz w:val="24"/>
          <w:szCs w:val="24"/>
          <w:rtl/>
        </w:rPr>
        <w:footnoteReference w:id="46"/>
      </w:r>
      <w:r w:rsidR="00136678">
        <w:rPr>
          <w:rFonts w:ascii="David" w:hAnsi="David" w:cs="David" w:hint="cs"/>
          <w:sz w:val="24"/>
          <w:szCs w:val="24"/>
          <w:rtl/>
        </w:rPr>
        <w:t xml:space="preserve"> </w:t>
      </w:r>
      <w:r w:rsidR="00A50B7B" w:rsidRPr="00A50B7B">
        <w:rPr>
          <w:rFonts w:ascii="David" w:hAnsi="David" w:cs="David" w:hint="cs"/>
          <w:sz w:val="24"/>
          <w:szCs w:val="24"/>
          <w:u w:val="single"/>
          <w:rtl/>
        </w:rPr>
        <w:t>תנאיי חוזה גרועים מהמקובל</w:t>
      </w:r>
      <w:r w:rsidR="00A50B7B">
        <w:rPr>
          <w:rFonts w:ascii="David" w:hAnsi="David" w:cs="David" w:hint="cs"/>
          <w:sz w:val="24"/>
          <w:szCs w:val="24"/>
          <w:rtl/>
        </w:rPr>
        <w:t xml:space="preserve">- </w:t>
      </w:r>
      <w:r w:rsidR="009539F8">
        <w:rPr>
          <w:rFonts w:ascii="David" w:hAnsi="David" w:cs="David" w:hint="cs"/>
          <w:sz w:val="24"/>
          <w:szCs w:val="24"/>
          <w:rtl/>
        </w:rPr>
        <w:t>גיא הציע ליעקב מחיר הנמוך באופן משמעותי מ</w:t>
      </w:r>
      <w:r w:rsidR="00F02B96">
        <w:rPr>
          <w:rFonts w:ascii="David" w:hAnsi="David" w:cs="David" w:hint="cs"/>
          <w:sz w:val="24"/>
          <w:szCs w:val="24"/>
          <w:rtl/>
        </w:rPr>
        <w:t>שוויו</w:t>
      </w:r>
      <w:r w:rsidR="00567780">
        <w:rPr>
          <w:rFonts w:ascii="David" w:hAnsi="David" w:cs="David" w:hint="cs"/>
          <w:sz w:val="24"/>
          <w:szCs w:val="24"/>
          <w:rtl/>
        </w:rPr>
        <w:t xml:space="preserve">. יוכל גיא לטעון- אין נוהג בנוגע למכירת נכסים פרטיים, </w:t>
      </w:r>
      <w:r w:rsidR="00565691">
        <w:rPr>
          <w:rFonts w:ascii="David" w:hAnsi="David" w:cs="David" w:hint="cs"/>
          <w:sz w:val="24"/>
          <w:szCs w:val="24"/>
          <w:rtl/>
        </w:rPr>
        <w:t xml:space="preserve">כל אדם ימכור במחיר </w:t>
      </w:r>
      <w:r w:rsidR="00061289">
        <w:rPr>
          <w:rFonts w:ascii="David" w:hAnsi="David" w:cs="David" w:hint="cs"/>
          <w:sz w:val="24"/>
          <w:szCs w:val="24"/>
          <w:rtl/>
        </w:rPr>
        <w:t>אותו בחר והמקובל על שני הצדדים במעמד החתימה</w:t>
      </w:r>
      <w:r w:rsidR="00A95B1D">
        <w:rPr>
          <w:rFonts w:ascii="David" w:hAnsi="David" w:cs="David" w:hint="cs"/>
          <w:sz w:val="24"/>
          <w:szCs w:val="24"/>
          <w:rtl/>
        </w:rPr>
        <w:t xml:space="preserve">. </w:t>
      </w:r>
      <w:r w:rsidR="00567780">
        <w:rPr>
          <w:rFonts w:ascii="David" w:hAnsi="David" w:cs="David" w:hint="cs"/>
          <w:sz w:val="24"/>
          <w:szCs w:val="24"/>
          <w:rtl/>
        </w:rPr>
        <w:t>יענה יעקב כי</w:t>
      </w:r>
      <w:r w:rsidR="009539F8">
        <w:rPr>
          <w:rFonts w:ascii="David" w:hAnsi="David" w:cs="David" w:hint="cs"/>
          <w:sz w:val="24"/>
          <w:szCs w:val="24"/>
          <w:rtl/>
        </w:rPr>
        <w:t xml:space="preserve"> </w:t>
      </w:r>
      <w:r w:rsidR="006A2AEA">
        <w:rPr>
          <w:rFonts w:ascii="David" w:hAnsi="David" w:cs="David" w:hint="cs"/>
          <w:sz w:val="24"/>
          <w:szCs w:val="24"/>
          <w:rtl/>
        </w:rPr>
        <w:t xml:space="preserve">על פי סעיף 18 לחוק </w:t>
      </w:r>
      <w:r w:rsidR="006A2AEA">
        <w:rPr>
          <w:rStyle w:val="a5"/>
          <w:rFonts w:ascii="David" w:hAnsi="David" w:cs="David"/>
          <w:sz w:val="24"/>
          <w:szCs w:val="24"/>
          <w:rtl/>
        </w:rPr>
        <w:footnoteReference w:id="47"/>
      </w:r>
      <w:r w:rsidR="006A2AEA">
        <w:rPr>
          <w:rFonts w:ascii="David" w:hAnsi="David" w:cs="David" w:hint="cs"/>
          <w:sz w:val="24"/>
          <w:szCs w:val="24"/>
          <w:rtl/>
        </w:rPr>
        <w:t xml:space="preserve"> </w:t>
      </w:r>
      <w:r w:rsidR="009D0CF3">
        <w:rPr>
          <w:rFonts w:ascii="David" w:hAnsi="David" w:cs="David" w:hint="cs"/>
          <w:sz w:val="24"/>
          <w:szCs w:val="24"/>
          <w:rtl/>
        </w:rPr>
        <w:t xml:space="preserve">אם </w:t>
      </w:r>
      <w:r w:rsidR="006A2AEA">
        <w:rPr>
          <w:rFonts w:ascii="David" w:hAnsi="David" w:cs="David" w:hint="cs"/>
          <w:sz w:val="24"/>
          <w:szCs w:val="24"/>
          <w:rtl/>
        </w:rPr>
        <w:t>תנאיי החוזה ג</w:t>
      </w:r>
      <w:r w:rsidR="009504C1">
        <w:rPr>
          <w:rFonts w:ascii="David" w:hAnsi="David" w:cs="David" w:hint="cs"/>
          <w:sz w:val="24"/>
          <w:szCs w:val="24"/>
          <w:rtl/>
        </w:rPr>
        <w:t>ר</w:t>
      </w:r>
      <w:r w:rsidR="009D0CF3">
        <w:rPr>
          <w:rFonts w:ascii="David" w:hAnsi="David" w:cs="David" w:hint="cs"/>
          <w:sz w:val="24"/>
          <w:szCs w:val="24"/>
          <w:rtl/>
        </w:rPr>
        <w:t xml:space="preserve">ועים במידה בלתי סבירה מהמקובל, </w:t>
      </w:r>
      <w:r w:rsidR="009504C1">
        <w:rPr>
          <w:rFonts w:ascii="David" w:hAnsi="David" w:cs="David" w:hint="cs"/>
          <w:sz w:val="24"/>
          <w:szCs w:val="24"/>
          <w:rtl/>
        </w:rPr>
        <w:t xml:space="preserve">בהיעדר נוהג מקובל, צריכים להיות תנאים הוגנים. </w:t>
      </w:r>
      <w:r w:rsidR="000224E7">
        <w:rPr>
          <w:rFonts w:ascii="David" w:hAnsi="David" w:cs="David" w:hint="cs"/>
          <w:sz w:val="24"/>
          <w:szCs w:val="24"/>
          <w:rtl/>
        </w:rPr>
        <w:t xml:space="preserve">בפסק הדין </w:t>
      </w:r>
      <w:proofErr w:type="spellStart"/>
      <w:r w:rsidR="000224E7">
        <w:rPr>
          <w:rFonts w:ascii="David" w:hAnsi="David" w:cs="David" w:hint="cs"/>
          <w:sz w:val="24"/>
          <w:szCs w:val="24"/>
          <w:rtl/>
        </w:rPr>
        <w:t>איליט</w:t>
      </w:r>
      <w:proofErr w:type="spellEnd"/>
      <w:r w:rsidR="00B3362D">
        <w:rPr>
          <w:rStyle w:val="a5"/>
          <w:rFonts w:ascii="David" w:hAnsi="David" w:cs="David"/>
          <w:sz w:val="24"/>
          <w:szCs w:val="24"/>
          <w:rtl/>
        </w:rPr>
        <w:footnoteReference w:id="48"/>
      </w:r>
      <w:r w:rsidR="00B3362D">
        <w:rPr>
          <w:rFonts w:ascii="David" w:hAnsi="David" w:cs="David" w:hint="cs"/>
          <w:sz w:val="24"/>
          <w:szCs w:val="24"/>
          <w:rtl/>
        </w:rPr>
        <w:t xml:space="preserve"> </w:t>
      </w:r>
      <w:r w:rsidR="000224E7">
        <w:rPr>
          <w:rFonts w:ascii="David" w:hAnsi="David" w:cs="David" w:hint="cs"/>
          <w:sz w:val="24"/>
          <w:szCs w:val="24"/>
          <w:rtl/>
        </w:rPr>
        <w:t>נאמר כי אם לא הוכח תנאי שהו</w:t>
      </w:r>
      <w:r w:rsidR="00CF05DD">
        <w:rPr>
          <w:rFonts w:ascii="David" w:hAnsi="David" w:cs="David" w:hint="cs"/>
          <w:sz w:val="24"/>
          <w:szCs w:val="24"/>
          <w:rtl/>
        </w:rPr>
        <w:t>א מקובל יעצב בית המשפט את ההגדרה</w:t>
      </w:r>
      <w:r w:rsidR="000224E7">
        <w:rPr>
          <w:rFonts w:ascii="David" w:hAnsi="David" w:cs="David" w:hint="cs"/>
          <w:sz w:val="24"/>
          <w:szCs w:val="24"/>
          <w:rtl/>
        </w:rPr>
        <w:t xml:space="preserve"> של תנאי מקובל.</w:t>
      </w:r>
      <w:r w:rsidR="00397E90">
        <w:rPr>
          <w:rFonts w:ascii="David" w:hAnsi="David" w:cs="David" w:hint="cs"/>
          <w:sz w:val="24"/>
          <w:szCs w:val="24"/>
          <w:rtl/>
        </w:rPr>
        <w:t xml:space="preserve"> </w:t>
      </w:r>
      <w:r w:rsidR="00536159">
        <w:rPr>
          <w:rFonts w:ascii="David" w:hAnsi="David" w:cs="David" w:hint="cs"/>
          <w:sz w:val="24"/>
          <w:szCs w:val="24"/>
          <w:rtl/>
        </w:rPr>
        <w:t>במקרה של יעקב וגיא, היה על גיא להביא ליעקב</w:t>
      </w:r>
      <w:r w:rsidR="008E63E9">
        <w:rPr>
          <w:rFonts w:ascii="David" w:hAnsi="David" w:cs="David" w:hint="cs"/>
          <w:sz w:val="24"/>
          <w:szCs w:val="24"/>
          <w:rtl/>
        </w:rPr>
        <w:t xml:space="preserve"> את שווי הנכס שנאמד באותה העת מבלי לחרוג ממנו בצורה דרסטית.</w:t>
      </w:r>
      <w:r w:rsidR="000224E7">
        <w:rPr>
          <w:rFonts w:ascii="David" w:hAnsi="David" w:cs="David" w:hint="cs"/>
          <w:sz w:val="24"/>
          <w:szCs w:val="24"/>
          <w:rtl/>
        </w:rPr>
        <w:t xml:space="preserve"> </w:t>
      </w:r>
      <w:r w:rsidR="00481B83">
        <w:rPr>
          <w:rFonts w:ascii="David" w:hAnsi="David" w:cs="David" w:hint="cs"/>
          <w:sz w:val="24"/>
          <w:szCs w:val="24"/>
          <w:rtl/>
        </w:rPr>
        <w:t>יאמר אז גיא- מה היא מידה בלתי סבירה? האם אכן הסכום שנלקח הוא בלתי סביר?</w:t>
      </w:r>
      <w:r w:rsidR="00620E01">
        <w:rPr>
          <w:rFonts w:ascii="David" w:hAnsi="David" w:cs="David" w:hint="cs"/>
          <w:sz w:val="24"/>
          <w:szCs w:val="24"/>
          <w:rtl/>
        </w:rPr>
        <w:t xml:space="preserve"> אכן מבחן הסבירות בגין חריגה מחוזה היא אובייקטיבית. </w:t>
      </w:r>
      <w:r w:rsidR="00E81031">
        <w:rPr>
          <w:rFonts w:ascii="David" w:hAnsi="David" w:cs="David" w:hint="cs"/>
          <w:sz w:val="24"/>
          <w:szCs w:val="24"/>
          <w:rtl/>
        </w:rPr>
        <w:t xml:space="preserve">ניתן לראות דיון על כך בפסק הדין </w:t>
      </w:r>
      <w:proofErr w:type="spellStart"/>
      <w:r w:rsidR="00E81031">
        <w:rPr>
          <w:rFonts w:ascii="David" w:hAnsi="David" w:cs="David" w:hint="cs"/>
          <w:sz w:val="24"/>
          <w:szCs w:val="24"/>
          <w:rtl/>
        </w:rPr>
        <w:t>מקחשווילי</w:t>
      </w:r>
      <w:proofErr w:type="spellEnd"/>
      <w:r w:rsidR="00E81031">
        <w:rPr>
          <w:rStyle w:val="a5"/>
          <w:rFonts w:ascii="David" w:hAnsi="David" w:cs="David"/>
          <w:sz w:val="24"/>
          <w:szCs w:val="24"/>
          <w:rtl/>
        </w:rPr>
        <w:footnoteReference w:id="49"/>
      </w:r>
      <w:r w:rsidR="00481B83">
        <w:rPr>
          <w:rFonts w:ascii="David" w:hAnsi="David" w:cs="David" w:hint="cs"/>
          <w:sz w:val="24"/>
          <w:szCs w:val="24"/>
          <w:rtl/>
        </w:rPr>
        <w:t xml:space="preserve"> </w:t>
      </w:r>
      <w:r w:rsidR="00890FB8">
        <w:rPr>
          <w:rFonts w:ascii="David" w:hAnsi="David" w:cs="David" w:hint="cs"/>
          <w:sz w:val="24"/>
          <w:szCs w:val="24"/>
          <w:rtl/>
        </w:rPr>
        <w:t>בו נדרשה הוכחה כי המסמך חרג בצורה בלתי סבירה</w:t>
      </w:r>
      <w:r w:rsidR="00CF05DD">
        <w:rPr>
          <w:rFonts w:ascii="David" w:hAnsi="David" w:cs="David" w:hint="cs"/>
          <w:sz w:val="24"/>
          <w:szCs w:val="24"/>
          <w:rtl/>
        </w:rPr>
        <w:t xml:space="preserve"> מהמקובל</w:t>
      </w:r>
      <w:r w:rsidR="00890FB8">
        <w:rPr>
          <w:rFonts w:ascii="David" w:hAnsi="David" w:cs="David" w:hint="cs"/>
          <w:sz w:val="24"/>
          <w:szCs w:val="24"/>
          <w:rtl/>
        </w:rPr>
        <w:t>.</w:t>
      </w:r>
      <w:r w:rsidR="00B62B22">
        <w:rPr>
          <w:rFonts w:ascii="David" w:hAnsi="David" w:cs="David" w:hint="cs"/>
          <w:sz w:val="24"/>
          <w:szCs w:val="24"/>
          <w:rtl/>
        </w:rPr>
        <w:t xml:space="preserve"> נפסק שם כי יש להתחשב במכלול התנאים של החוזה כמו גם להשוות את החוזה </w:t>
      </w:r>
      <w:r w:rsidR="00437FB9">
        <w:rPr>
          <w:rFonts w:ascii="David" w:hAnsi="David" w:cs="David" w:hint="cs"/>
          <w:sz w:val="24"/>
          <w:szCs w:val="24"/>
          <w:rtl/>
        </w:rPr>
        <w:t xml:space="preserve">והחריגה שלו </w:t>
      </w:r>
      <w:r w:rsidR="00B62B22">
        <w:rPr>
          <w:rFonts w:ascii="David" w:hAnsi="David" w:cs="David" w:hint="cs"/>
          <w:sz w:val="24"/>
          <w:szCs w:val="24"/>
          <w:rtl/>
        </w:rPr>
        <w:t>לחוזים</w:t>
      </w:r>
      <w:r w:rsidR="00437FB9">
        <w:rPr>
          <w:rFonts w:ascii="David" w:hAnsi="David" w:cs="David" w:hint="cs"/>
          <w:sz w:val="24"/>
          <w:szCs w:val="24"/>
          <w:rtl/>
        </w:rPr>
        <w:t xml:space="preserve"> אחרים מסוגו</w:t>
      </w:r>
      <w:r w:rsidR="00E4375A">
        <w:rPr>
          <w:rFonts w:ascii="David" w:hAnsi="David" w:cs="David" w:hint="cs"/>
          <w:sz w:val="24"/>
          <w:szCs w:val="24"/>
          <w:rtl/>
        </w:rPr>
        <w:t xml:space="preserve">. </w:t>
      </w:r>
      <w:r w:rsidR="00437FB9">
        <w:rPr>
          <w:rFonts w:ascii="David" w:hAnsi="David" w:cs="David" w:hint="cs"/>
          <w:sz w:val="24"/>
          <w:szCs w:val="24"/>
          <w:rtl/>
        </w:rPr>
        <w:t>על פי גבריאלה שלו</w:t>
      </w:r>
      <w:r w:rsidR="00437FB9">
        <w:rPr>
          <w:rStyle w:val="a5"/>
          <w:rFonts w:ascii="David" w:hAnsi="David" w:cs="David"/>
          <w:sz w:val="24"/>
          <w:szCs w:val="24"/>
          <w:rtl/>
        </w:rPr>
        <w:footnoteReference w:id="50"/>
      </w:r>
      <w:r w:rsidR="00343F8C">
        <w:rPr>
          <w:rFonts w:ascii="David" w:hAnsi="David" w:cs="David" w:hint="cs"/>
          <w:sz w:val="24"/>
          <w:szCs w:val="24"/>
          <w:rtl/>
        </w:rPr>
        <w:t xml:space="preserve"> יש לאפשר מרווח גמיש של הפרשים לפי הנסיבות ותנאיי השוק. אמת המידה של הסבירות היא בעצם חוסר סבירות, ועל בית </w:t>
      </w:r>
      <w:r w:rsidR="001634BE">
        <w:rPr>
          <w:rFonts w:ascii="David" w:hAnsi="David" w:cs="David" w:hint="cs"/>
          <w:sz w:val="24"/>
          <w:szCs w:val="24"/>
          <w:rtl/>
        </w:rPr>
        <w:t xml:space="preserve">המשפט לקבוע זאת בנסיבות העניין. </w:t>
      </w:r>
      <w:r w:rsidR="00B8518B">
        <w:rPr>
          <w:rFonts w:ascii="David" w:hAnsi="David" w:cs="David" w:hint="cs"/>
          <w:sz w:val="24"/>
          <w:szCs w:val="24"/>
          <w:rtl/>
        </w:rPr>
        <w:t>כפי</w:t>
      </w:r>
      <w:r w:rsidR="00B0134E">
        <w:rPr>
          <w:rFonts w:ascii="David" w:hAnsi="David" w:cs="David" w:hint="cs"/>
          <w:sz w:val="24"/>
          <w:szCs w:val="24"/>
          <w:rtl/>
        </w:rPr>
        <w:t xml:space="preserve"> שאנו רואים, </w:t>
      </w:r>
      <w:r w:rsidR="00805B23">
        <w:rPr>
          <w:rFonts w:ascii="David" w:hAnsi="David" w:cs="David" w:hint="cs"/>
          <w:sz w:val="24"/>
          <w:szCs w:val="24"/>
          <w:rtl/>
        </w:rPr>
        <w:t>במקרה של יעקב, עילת העושק</w:t>
      </w:r>
      <w:r w:rsidR="00760EAC">
        <w:rPr>
          <w:rFonts w:ascii="David" w:hAnsi="David" w:cs="David" w:hint="cs"/>
          <w:sz w:val="24"/>
          <w:szCs w:val="24"/>
          <w:rtl/>
        </w:rPr>
        <w:t xml:space="preserve"> מתקיימת ומאפשרת ליעקב לדרוש את ביטול החוזה. </w:t>
      </w:r>
      <w:r w:rsidR="001D51C5">
        <w:rPr>
          <w:rFonts w:ascii="David" w:hAnsi="David" w:cs="David"/>
          <w:sz w:val="24"/>
          <w:szCs w:val="24"/>
          <w:rtl/>
        </w:rPr>
        <w:br/>
      </w:r>
      <w:r w:rsidR="00CF2D1F">
        <w:rPr>
          <w:rFonts w:ascii="David" w:hAnsi="David" w:cs="David" w:hint="cs"/>
          <w:sz w:val="24"/>
          <w:szCs w:val="24"/>
          <w:rtl/>
        </w:rPr>
        <w:t>מתווספות לעושק-</w:t>
      </w:r>
      <w:r w:rsidR="00805B23">
        <w:rPr>
          <w:rFonts w:ascii="David" w:hAnsi="David" w:cs="David" w:hint="cs"/>
          <w:sz w:val="24"/>
          <w:szCs w:val="24"/>
          <w:rtl/>
        </w:rPr>
        <w:t xml:space="preserve"> </w:t>
      </w:r>
      <w:r w:rsidR="00CF2D1F">
        <w:rPr>
          <w:rFonts w:ascii="David" w:hAnsi="David" w:cs="David" w:hint="cs"/>
          <w:sz w:val="24"/>
          <w:szCs w:val="24"/>
          <w:rtl/>
        </w:rPr>
        <w:t>כפייה, הטעיה, וטעות,</w:t>
      </w:r>
      <w:r w:rsidR="00805B23">
        <w:rPr>
          <w:rFonts w:ascii="David" w:hAnsi="David" w:cs="David" w:hint="cs"/>
          <w:sz w:val="24"/>
          <w:szCs w:val="24"/>
          <w:rtl/>
        </w:rPr>
        <w:t xml:space="preserve"> ומאפשר</w:t>
      </w:r>
      <w:r w:rsidR="00BE3A41">
        <w:rPr>
          <w:rFonts w:ascii="David" w:hAnsi="David" w:cs="David" w:hint="cs"/>
          <w:sz w:val="24"/>
          <w:szCs w:val="24"/>
          <w:rtl/>
        </w:rPr>
        <w:t>ו</w:t>
      </w:r>
      <w:r w:rsidR="00805B23">
        <w:rPr>
          <w:rFonts w:ascii="David" w:hAnsi="David" w:cs="David" w:hint="cs"/>
          <w:sz w:val="24"/>
          <w:szCs w:val="24"/>
          <w:rtl/>
        </w:rPr>
        <w:t xml:space="preserve">ת ליעקב </w:t>
      </w:r>
      <w:r w:rsidR="00760EAC">
        <w:rPr>
          <w:rFonts w:ascii="David" w:hAnsi="David" w:cs="David" w:hint="cs"/>
          <w:sz w:val="24"/>
          <w:szCs w:val="24"/>
          <w:rtl/>
        </w:rPr>
        <w:t>ממספר עילות ולא אחת</w:t>
      </w:r>
      <w:r w:rsidR="00805B23">
        <w:rPr>
          <w:rFonts w:ascii="David" w:hAnsi="David" w:cs="David" w:hint="cs"/>
          <w:sz w:val="24"/>
          <w:szCs w:val="24"/>
          <w:rtl/>
        </w:rPr>
        <w:t>- לבטל את החוזה.</w:t>
      </w:r>
    </w:p>
    <w:sectPr w:rsidR="00F16E60" w:rsidRPr="00FD460D" w:rsidSect="00D54DA3">
      <w:pgSz w:w="11906" w:h="16838"/>
      <w:pgMar w:top="1440" w:right="1418" w:bottom="1440"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C32" w:rsidRDefault="00C56C32" w:rsidP="005B2E92">
      <w:pPr>
        <w:spacing w:after="0" w:line="240" w:lineRule="auto"/>
      </w:pPr>
      <w:r>
        <w:separator/>
      </w:r>
    </w:p>
  </w:endnote>
  <w:endnote w:type="continuationSeparator" w:id="0">
    <w:p w:rsidR="00C56C32" w:rsidRDefault="00C56C32" w:rsidP="005B2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C32" w:rsidRDefault="00C56C32" w:rsidP="005B2E92">
      <w:pPr>
        <w:spacing w:after="0" w:line="240" w:lineRule="auto"/>
      </w:pPr>
      <w:r>
        <w:separator/>
      </w:r>
    </w:p>
  </w:footnote>
  <w:footnote w:type="continuationSeparator" w:id="0">
    <w:p w:rsidR="00C56C32" w:rsidRDefault="00C56C32" w:rsidP="005B2E92">
      <w:pPr>
        <w:spacing w:after="0" w:line="240" w:lineRule="auto"/>
      </w:pPr>
      <w:r>
        <w:continuationSeparator/>
      </w:r>
    </w:p>
  </w:footnote>
  <w:footnote w:id="1">
    <w:p w:rsidR="00C5072B" w:rsidRPr="00D024BB" w:rsidRDefault="00C5072B" w:rsidP="00C5072B">
      <w:pPr>
        <w:pStyle w:val="a3"/>
        <w:rPr>
          <w:rFonts w:ascii="David" w:hAnsi="David" w:cs="David"/>
        </w:rPr>
      </w:pPr>
      <w:r w:rsidRPr="00D024BB">
        <w:rPr>
          <w:rStyle w:val="a5"/>
          <w:rFonts w:ascii="David" w:hAnsi="David" w:cs="David"/>
        </w:rPr>
        <w:footnoteRef/>
      </w:r>
      <w:r w:rsidRPr="00D024BB">
        <w:rPr>
          <w:rFonts w:ascii="David" w:hAnsi="David" w:cs="David"/>
          <w:rtl/>
        </w:rPr>
        <w:t xml:space="preserve"> </w:t>
      </w:r>
      <w:r>
        <w:rPr>
          <w:rFonts w:ascii="David" w:hAnsi="David" w:cs="David"/>
          <w:rtl/>
        </w:rPr>
        <w:t>סעיף 1</w:t>
      </w:r>
      <w:r>
        <w:rPr>
          <w:rFonts w:ascii="David" w:hAnsi="David" w:cs="David" w:hint="cs"/>
          <w:rtl/>
        </w:rPr>
        <w:t xml:space="preserve">5 </w:t>
      </w:r>
      <w:r>
        <w:rPr>
          <w:rFonts w:ascii="David" w:hAnsi="David" w:cs="David"/>
          <w:rtl/>
        </w:rPr>
        <w:t>לחוק החוזים(חלק כללי) התשל"ג-1973. (להלן: החוק).</w:t>
      </w:r>
    </w:p>
  </w:footnote>
  <w:footnote w:id="2">
    <w:p w:rsidR="00C5072B" w:rsidRPr="00D024BB" w:rsidRDefault="00C5072B" w:rsidP="00C5072B">
      <w:pPr>
        <w:pStyle w:val="a3"/>
        <w:rPr>
          <w:rFonts w:ascii="David" w:hAnsi="David" w:cs="David"/>
        </w:rPr>
      </w:pPr>
      <w:r w:rsidRPr="00D024BB">
        <w:rPr>
          <w:rStyle w:val="a5"/>
          <w:rFonts w:ascii="David" w:hAnsi="David" w:cs="David"/>
        </w:rPr>
        <w:footnoteRef/>
      </w:r>
      <w:r w:rsidRPr="00D024BB">
        <w:rPr>
          <w:rFonts w:ascii="David" w:hAnsi="David" w:cs="David"/>
          <w:rtl/>
        </w:rPr>
        <w:t xml:space="preserve"> </w:t>
      </w:r>
      <w:r w:rsidRPr="00D024BB">
        <w:rPr>
          <w:rFonts w:ascii="David" w:hAnsi="David" w:cs="David"/>
          <w:rtl/>
        </w:rPr>
        <w:t>פ</w:t>
      </w:r>
      <w:r>
        <w:rPr>
          <w:rFonts w:ascii="David" w:hAnsi="David" w:cs="David" w:hint="cs"/>
          <w:rtl/>
        </w:rPr>
        <w:t xml:space="preserve">סק דינה של השופטת חיות בע"א 2469/06 </w:t>
      </w:r>
      <w:r>
        <w:rPr>
          <w:rFonts w:ascii="David" w:hAnsi="David" w:cs="David" w:hint="cs"/>
          <w:b/>
          <w:bCs/>
          <w:rtl/>
        </w:rPr>
        <w:t xml:space="preserve">רונן סויסה ואח' נ' חברת </w:t>
      </w:r>
      <w:proofErr w:type="spellStart"/>
      <w:r>
        <w:rPr>
          <w:rFonts w:ascii="David" w:hAnsi="David" w:cs="David" w:hint="cs"/>
          <w:b/>
          <w:bCs/>
          <w:rtl/>
        </w:rPr>
        <w:t>זאגא</w:t>
      </w:r>
      <w:proofErr w:type="spellEnd"/>
      <w:r>
        <w:rPr>
          <w:rFonts w:ascii="David" w:hAnsi="David" w:cs="David" w:hint="cs"/>
          <w:b/>
          <w:bCs/>
          <w:rtl/>
        </w:rPr>
        <w:t xml:space="preserve"> בע"מ </w:t>
      </w:r>
      <w:r>
        <w:rPr>
          <w:rFonts w:ascii="David" w:hAnsi="David" w:cs="David" w:hint="cs"/>
          <w:rtl/>
        </w:rPr>
        <w:t>תק-על 2008(3) 2580 עמ' 5, וגם בספר</w:t>
      </w:r>
      <w:r w:rsidR="00351E49">
        <w:rPr>
          <w:rFonts w:ascii="David" w:hAnsi="David" w:cs="David" w:hint="cs"/>
          <w:rtl/>
        </w:rPr>
        <w:t>-</w:t>
      </w:r>
      <w:r>
        <w:rPr>
          <w:rFonts w:ascii="David" w:hAnsi="David" w:cs="David" w:hint="cs"/>
          <w:rtl/>
        </w:rPr>
        <w:t xml:space="preserve"> </w:t>
      </w:r>
      <w:r>
        <w:rPr>
          <w:rFonts w:ascii="David" w:hAnsi="David" w:cs="David"/>
          <w:color w:val="000000" w:themeColor="text1"/>
          <w:shd w:val="clear" w:color="auto" w:fill="FFFFFF"/>
          <w:rtl/>
        </w:rPr>
        <w:t xml:space="preserve">גבריאלה שלו </w:t>
      </w:r>
      <w:r>
        <w:rPr>
          <w:rFonts w:ascii="David" w:hAnsi="David" w:cs="David"/>
          <w:b/>
          <w:bCs/>
          <w:color w:val="000000" w:themeColor="text1"/>
          <w:shd w:val="clear" w:color="auto" w:fill="FFFFFF"/>
          <w:rtl/>
        </w:rPr>
        <w:t>דיני חוזים החלק הכללי – לקראת קודיפיקציה של המשפט האזרחי</w:t>
      </w:r>
      <w:r>
        <w:rPr>
          <w:rFonts w:ascii="David" w:hAnsi="David" w:cs="David"/>
          <w:color w:val="000000" w:themeColor="text1"/>
          <w:rtl/>
        </w:rPr>
        <w:t xml:space="preserve"> </w:t>
      </w:r>
      <w:r>
        <w:rPr>
          <w:rFonts w:ascii="David" w:hAnsi="David" w:cs="David" w:hint="cs"/>
          <w:color w:val="000000" w:themeColor="text1"/>
          <w:rtl/>
        </w:rPr>
        <w:t>313</w:t>
      </w:r>
      <w:r>
        <w:rPr>
          <w:rFonts w:ascii="David" w:hAnsi="David" w:cs="David"/>
          <w:color w:val="000000" w:themeColor="text1"/>
          <w:shd w:val="clear" w:color="auto" w:fill="FFFFFF"/>
        </w:rPr>
        <w:t xml:space="preserve">)  </w:t>
      </w:r>
      <w:r>
        <w:rPr>
          <w:rFonts w:ascii="David" w:hAnsi="David" w:cs="David" w:hint="cs"/>
          <w:color w:val="000000" w:themeColor="text1"/>
          <w:shd w:val="clear" w:color="auto" w:fill="FFFFFF"/>
          <w:rtl/>
        </w:rPr>
        <w:t>תשס"ה</w:t>
      </w:r>
      <w:r>
        <w:rPr>
          <w:rFonts w:ascii="David" w:hAnsi="David" w:cs="David"/>
          <w:color w:val="000000" w:themeColor="text1"/>
          <w:shd w:val="clear" w:color="auto" w:fill="FFFFFF"/>
        </w:rPr>
        <w:t>(</w:t>
      </w:r>
      <w:r>
        <w:rPr>
          <w:rFonts w:ascii="David" w:hAnsi="David" w:cs="David"/>
          <w:rtl/>
        </w:rPr>
        <w:t>.</w:t>
      </w:r>
    </w:p>
  </w:footnote>
  <w:footnote w:id="3">
    <w:p w:rsidR="00754E90" w:rsidRPr="00FC0E6A" w:rsidRDefault="00754E90">
      <w:pPr>
        <w:pStyle w:val="a3"/>
        <w:rPr>
          <w:rFonts w:ascii="David" w:hAnsi="David" w:cs="David"/>
          <w:rtl/>
        </w:rPr>
      </w:pPr>
      <w:r w:rsidRPr="00FC0E6A">
        <w:rPr>
          <w:rStyle w:val="a5"/>
          <w:rFonts w:ascii="David" w:hAnsi="David" w:cs="David"/>
        </w:rPr>
        <w:footnoteRef/>
      </w:r>
      <w:r w:rsidRPr="00FC0E6A">
        <w:rPr>
          <w:rFonts w:ascii="David" w:hAnsi="David" w:cs="David"/>
          <w:rtl/>
        </w:rPr>
        <w:t xml:space="preserve"> </w:t>
      </w:r>
      <w:r w:rsidR="00FC0E6A" w:rsidRPr="00FC0E6A">
        <w:rPr>
          <w:rFonts w:ascii="David" w:hAnsi="David" w:cs="David"/>
          <w:rtl/>
        </w:rPr>
        <w:t xml:space="preserve">ע"א 9019/99 </w:t>
      </w:r>
      <w:proofErr w:type="spellStart"/>
      <w:r w:rsidRPr="00FC0E6A">
        <w:rPr>
          <w:rFonts w:ascii="David" w:hAnsi="David" w:cs="David"/>
          <w:b/>
          <w:bCs/>
          <w:rtl/>
        </w:rPr>
        <w:t>קינסטלינגר</w:t>
      </w:r>
      <w:proofErr w:type="spellEnd"/>
      <w:r w:rsidRPr="00FC0E6A">
        <w:rPr>
          <w:rFonts w:ascii="David" w:hAnsi="David" w:cs="David"/>
          <w:b/>
          <w:bCs/>
          <w:rtl/>
        </w:rPr>
        <w:t xml:space="preserve"> נ</w:t>
      </w:r>
      <w:r w:rsidR="006E226D">
        <w:rPr>
          <w:rFonts w:ascii="David" w:hAnsi="David" w:cs="David" w:hint="cs"/>
          <w:b/>
          <w:bCs/>
          <w:rtl/>
        </w:rPr>
        <w:t>'</w:t>
      </w:r>
      <w:r w:rsidRPr="00FC0E6A">
        <w:rPr>
          <w:rFonts w:ascii="David" w:hAnsi="David" w:cs="David"/>
          <w:b/>
          <w:bCs/>
          <w:rtl/>
        </w:rPr>
        <w:t xml:space="preserve"> </w:t>
      </w:r>
      <w:r w:rsidR="00FC0E6A" w:rsidRPr="00FC0E6A">
        <w:rPr>
          <w:rFonts w:ascii="David" w:hAnsi="David" w:cs="David"/>
          <w:b/>
          <w:bCs/>
          <w:rtl/>
        </w:rPr>
        <w:t xml:space="preserve">רחמים </w:t>
      </w:r>
      <w:r w:rsidRPr="00FC0E6A">
        <w:rPr>
          <w:rFonts w:ascii="David" w:hAnsi="David" w:cs="David"/>
          <w:b/>
          <w:bCs/>
          <w:rtl/>
        </w:rPr>
        <w:t>אליה</w:t>
      </w:r>
      <w:r w:rsidR="00FC0E6A" w:rsidRPr="00FC0E6A">
        <w:rPr>
          <w:rFonts w:ascii="David" w:hAnsi="David" w:cs="David"/>
          <w:rtl/>
        </w:rPr>
        <w:t xml:space="preserve">, פ"ד </w:t>
      </w:r>
      <w:proofErr w:type="spellStart"/>
      <w:r w:rsidR="00FC0E6A" w:rsidRPr="00FC0E6A">
        <w:rPr>
          <w:rFonts w:ascii="David" w:hAnsi="David" w:cs="David"/>
          <w:rtl/>
        </w:rPr>
        <w:t>נה</w:t>
      </w:r>
      <w:proofErr w:type="spellEnd"/>
      <w:r w:rsidR="00FC0E6A" w:rsidRPr="00FC0E6A">
        <w:rPr>
          <w:rFonts w:ascii="David" w:hAnsi="David" w:cs="David"/>
          <w:rtl/>
        </w:rPr>
        <w:t>(3) 542</w:t>
      </w:r>
    </w:p>
  </w:footnote>
  <w:footnote w:id="4">
    <w:p w:rsidR="00C5072B" w:rsidRPr="00D024BB" w:rsidRDefault="00C5072B" w:rsidP="00C5072B">
      <w:pPr>
        <w:pStyle w:val="a3"/>
        <w:rPr>
          <w:rFonts w:ascii="David" w:hAnsi="David" w:cs="David"/>
        </w:rPr>
      </w:pPr>
      <w:r w:rsidRPr="00D024BB">
        <w:rPr>
          <w:rStyle w:val="a5"/>
          <w:rFonts w:ascii="David" w:hAnsi="David" w:cs="David"/>
        </w:rPr>
        <w:footnoteRef/>
      </w:r>
      <w:r w:rsidRPr="00D024BB">
        <w:rPr>
          <w:rFonts w:ascii="David" w:hAnsi="David" w:cs="David"/>
          <w:rtl/>
        </w:rPr>
        <w:t xml:space="preserve"> </w:t>
      </w:r>
      <w:r>
        <w:rPr>
          <w:rFonts w:ascii="David" w:hAnsi="David" w:cs="David"/>
          <w:rtl/>
        </w:rPr>
        <w:t xml:space="preserve">סעיף </w:t>
      </w:r>
      <w:r>
        <w:rPr>
          <w:rFonts w:ascii="David" w:hAnsi="David" w:cs="David" w:hint="cs"/>
          <w:rtl/>
        </w:rPr>
        <w:t xml:space="preserve">12 </w:t>
      </w:r>
      <w:r>
        <w:rPr>
          <w:rFonts w:ascii="David" w:hAnsi="David" w:cs="David"/>
          <w:rtl/>
        </w:rPr>
        <w:t>לחוק החוזים(חלק כללי) התשל"ג-1973</w:t>
      </w:r>
    </w:p>
  </w:footnote>
  <w:footnote w:id="5">
    <w:p w:rsidR="00C5072B" w:rsidRPr="00D024BB" w:rsidRDefault="00C5072B" w:rsidP="00C5072B">
      <w:pPr>
        <w:pStyle w:val="a3"/>
        <w:rPr>
          <w:rFonts w:ascii="David" w:hAnsi="David" w:cs="David"/>
          <w:rtl/>
        </w:rPr>
      </w:pPr>
      <w:r w:rsidRPr="00D024BB">
        <w:rPr>
          <w:rStyle w:val="a5"/>
          <w:rFonts w:ascii="David" w:hAnsi="David" w:cs="David"/>
        </w:rPr>
        <w:footnoteRef/>
      </w:r>
      <w:r w:rsidRPr="00D024BB">
        <w:rPr>
          <w:rFonts w:ascii="David" w:hAnsi="David" w:cs="David"/>
          <w:rtl/>
        </w:rPr>
        <w:t xml:space="preserve"> </w:t>
      </w:r>
      <w:r>
        <w:rPr>
          <w:rFonts w:ascii="David" w:hAnsi="David" w:cs="David" w:hint="cs"/>
          <w:rtl/>
        </w:rPr>
        <w:t xml:space="preserve">ישנן 2 סוגי הטעיות עיקריות. הטעייה במעשה שהיא הטעייה במכוון לרוב על ידי אמרת שקר, והטעייה במחדל שהיא הטעייה בשתיקה ואי גילוי פרטים. </w:t>
      </w:r>
      <w:r>
        <w:rPr>
          <w:rFonts w:ascii="David" w:hAnsi="David" w:cs="David"/>
          <w:color w:val="000000" w:themeColor="text1"/>
          <w:shd w:val="clear" w:color="auto" w:fill="FFFFFF"/>
          <w:rtl/>
        </w:rPr>
        <w:t xml:space="preserve">גבריאלה שלו </w:t>
      </w:r>
      <w:r>
        <w:rPr>
          <w:rFonts w:ascii="David" w:hAnsi="David" w:cs="David"/>
          <w:b/>
          <w:bCs/>
          <w:color w:val="000000" w:themeColor="text1"/>
          <w:shd w:val="clear" w:color="auto" w:fill="FFFFFF"/>
          <w:rtl/>
        </w:rPr>
        <w:t>דיני חוזים החלק הכללי – לקראת קודיפיקציה של המשפט האזרחי</w:t>
      </w:r>
      <w:r>
        <w:rPr>
          <w:rFonts w:ascii="David" w:hAnsi="David" w:cs="David"/>
          <w:color w:val="000000" w:themeColor="text1"/>
          <w:rtl/>
        </w:rPr>
        <w:t xml:space="preserve"> </w:t>
      </w:r>
      <w:r>
        <w:rPr>
          <w:rFonts w:ascii="David" w:hAnsi="David" w:cs="David" w:hint="cs"/>
          <w:color w:val="000000" w:themeColor="text1"/>
          <w:rtl/>
        </w:rPr>
        <w:t>316</w:t>
      </w:r>
      <w:r>
        <w:rPr>
          <w:rFonts w:ascii="David" w:hAnsi="David" w:cs="David"/>
          <w:color w:val="000000" w:themeColor="text1"/>
          <w:shd w:val="clear" w:color="auto" w:fill="FFFFFF"/>
        </w:rPr>
        <w:t xml:space="preserve">)  </w:t>
      </w:r>
      <w:r>
        <w:rPr>
          <w:rFonts w:ascii="David" w:hAnsi="David" w:cs="David" w:hint="cs"/>
          <w:color w:val="000000" w:themeColor="text1"/>
          <w:shd w:val="clear" w:color="auto" w:fill="FFFFFF"/>
          <w:rtl/>
        </w:rPr>
        <w:t>תשס"ה</w:t>
      </w:r>
      <w:r>
        <w:rPr>
          <w:rFonts w:ascii="David" w:hAnsi="David" w:cs="David"/>
          <w:color w:val="000000" w:themeColor="text1"/>
          <w:shd w:val="clear" w:color="auto" w:fill="FFFFFF"/>
        </w:rPr>
        <w:t>(</w:t>
      </w:r>
      <w:r>
        <w:rPr>
          <w:rFonts w:ascii="David" w:hAnsi="David" w:cs="David"/>
          <w:rtl/>
        </w:rPr>
        <w:t>.</w:t>
      </w:r>
    </w:p>
  </w:footnote>
  <w:footnote w:id="6">
    <w:p w:rsidR="00C5072B" w:rsidRPr="00D024BB" w:rsidRDefault="00C5072B" w:rsidP="00C5072B">
      <w:pPr>
        <w:pStyle w:val="a3"/>
        <w:rPr>
          <w:rFonts w:ascii="David" w:hAnsi="David" w:cs="David"/>
        </w:rPr>
      </w:pPr>
      <w:r w:rsidRPr="00D024BB">
        <w:rPr>
          <w:rStyle w:val="a5"/>
          <w:rFonts w:ascii="David" w:hAnsi="David" w:cs="David"/>
        </w:rPr>
        <w:footnoteRef/>
      </w:r>
      <w:r w:rsidRPr="00D024BB">
        <w:rPr>
          <w:rFonts w:ascii="David" w:hAnsi="David" w:cs="David"/>
          <w:rtl/>
        </w:rPr>
        <w:t xml:space="preserve"> </w:t>
      </w:r>
      <w:r>
        <w:rPr>
          <w:rFonts w:ascii="David" w:hAnsi="David" w:cs="David"/>
          <w:color w:val="000000" w:themeColor="text1"/>
          <w:shd w:val="clear" w:color="auto" w:fill="FFFFFF"/>
          <w:rtl/>
        </w:rPr>
        <w:t xml:space="preserve">גבריאלה שלו </w:t>
      </w:r>
      <w:r>
        <w:rPr>
          <w:rFonts w:ascii="David" w:hAnsi="David" w:cs="David"/>
          <w:b/>
          <w:bCs/>
          <w:color w:val="000000" w:themeColor="text1"/>
          <w:shd w:val="clear" w:color="auto" w:fill="FFFFFF"/>
          <w:rtl/>
        </w:rPr>
        <w:t>דיני חוזים החלק הכללי – לקראת קודיפיקציה של המשפט האזרחי</w:t>
      </w:r>
      <w:r>
        <w:rPr>
          <w:rFonts w:ascii="David" w:hAnsi="David" w:cs="David"/>
          <w:color w:val="000000" w:themeColor="text1"/>
          <w:rtl/>
        </w:rPr>
        <w:t xml:space="preserve"> </w:t>
      </w:r>
      <w:r>
        <w:rPr>
          <w:rFonts w:ascii="David" w:hAnsi="David" w:cs="David" w:hint="cs"/>
          <w:color w:val="000000" w:themeColor="text1"/>
          <w:rtl/>
        </w:rPr>
        <w:t>319</w:t>
      </w:r>
      <w:r>
        <w:rPr>
          <w:rFonts w:ascii="David" w:hAnsi="David" w:cs="David"/>
          <w:color w:val="000000" w:themeColor="text1"/>
          <w:shd w:val="clear" w:color="auto" w:fill="FFFFFF"/>
        </w:rPr>
        <w:t xml:space="preserve">)  </w:t>
      </w:r>
      <w:r>
        <w:rPr>
          <w:rFonts w:ascii="David" w:hAnsi="David" w:cs="David" w:hint="cs"/>
          <w:color w:val="000000" w:themeColor="text1"/>
          <w:shd w:val="clear" w:color="auto" w:fill="FFFFFF"/>
          <w:rtl/>
        </w:rPr>
        <w:t>תשס"ה</w:t>
      </w:r>
      <w:r>
        <w:rPr>
          <w:rFonts w:ascii="David" w:hAnsi="David" w:cs="David"/>
          <w:color w:val="000000" w:themeColor="text1"/>
          <w:shd w:val="clear" w:color="auto" w:fill="FFFFFF"/>
        </w:rPr>
        <w:t>(</w:t>
      </w:r>
      <w:r>
        <w:rPr>
          <w:rFonts w:ascii="David" w:hAnsi="David" w:cs="David"/>
          <w:rtl/>
        </w:rPr>
        <w:t>.</w:t>
      </w:r>
    </w:p>
  </w:footnote>
  <w:footnote w:id="7">
    <w:p w:rsidR="00C5072B" w:rsidRPr="001D5292" w:rsidRDefault="00C5072B" w:rsidP="00C5072B">
      <w:pPr>
        <w:pStyle w:val="a3"/>
        <w:rPr>
          <w:rFonts w:ascii="David" w:hAnsi="David" w:cs="David"/>
        </w:rPr>
      </w:pPr>
      <w:r w:rsidRPr="00D024BB">
        <w:rPr>
          <w:rStyle w:val="a5"/>
          <w:rFonts w:ascii="David" w:hAnsi="David" w:cs="David"/>
        </w:rPr>
        <w:footnoteRef/>
      </w:r>
      <w:r w:rsidRPr="00D024BB">
        <w:rPr>
          <w:rFonts w:ascii="David" w:hAnsi="David" w:cs="David"/>
          <w:rtl/>
        </w:rPr>
        <w:t xml:space="preserve"> </w:t>
      </w:r>
      <w:r>
        <w:rPr>
          <w:rFonts w:ascii="David" w:hAnsi="David" w:cs="David"/>
          <w:shd w:val="clear" w:color="auto" w:fill="FFFFFF"/>
          <w:rtl/>
        </w:rPr>
        <w:t xml:space="preserve">ע"א 838/75 </w:t>
      </w:r>
      <w:proofErr w:type="spellStart"/>
      <w:r>
        <w:rPr>
          <w:rFonts w:ascii="David" w:hAnsi="David" w:cs="David"/>
          <w:b/>
          <w:bCs/>
          <w:shd w:val="clear" w:color="auto" w:fill="FFFFFF"/>
          <w:rtl/>
        </w:rPr>
        <w:t>ספקטור</w:t>
      </w:r>
      <w:proofErr w:type="spellEnd"/>
      <w:r>
        <w:rPr>
          <w:rFonts w:ascii="David" w:hAnsi="David" w:cs="David"/>
          <w:b/>
          <w:bCs/>
          <w:shd w:val="clear" w:color="auto" w:fill="FFFFFF"/>
          <w:rtl/>
        </w:rPr>
        <w:t xml:space="preserve"> נ' צרפתי</w:t>
      </w:r>
      <w:r>
        <w:rPr>
          <w:rFonts w:ascii="David" w:hAnsi="David" w:cs="David"/>
          <w:shd w:val="clear" w:color="auto" w:fill="FFFFFF"/>
          <w:rtl/>
        </w:rPr>
        <w:t xml:space="preserve"> </w:t>
      </w:r>
      <w:r>
        <w:rPr>
          <w:rFonts w:ascii="David" w:hAnsi="David" w:cs="David"/>
          <w:shd w:val="clear" w:color="auto" w:fill="FFFFFF"/>
        </w:rPr>
        <w:t>,</w:t>
      </w:r>
      <w:r>
        <w:rPr>
          <w:rFonts w:ascii="David" w:hAnsi="David" w:cs="David" w:hint="cs"/>
          <w:shd w:val="clear" w:color="auto" w:fill="FFFFFF"/>
          <w:rtl/>
        </w:rPr>
        <w:t xml:space="preserve"> פ"ד ל"ב(1) 231,</w:t>
      </w:r>
      <w:r>
        <w:rPr>
          <w:rFonts w:ascii="David" w:hAnsi="David" w:cs="David"/>
          <w:rtl/>
        </w:rPr>
        <w:t xml:space="preserve"> 23</w:t>
      </w:r>
      <w:r>
        <w:rPr>
          <w:rFonts w:ascii="David" w:hAnsi="David" w:cs="David" w:hint="cs"/>
          <w:rtl/>
        </w:rPr>
        <w:t>8</w:t>
      </w:r>
      <w:r>
        <w:rPr>
          <w:rFonts w:ascii="David" w:hAnsi="David" w:cs="David"/>
          <w:rtl/>
        </w:rPr>
        <w:t xml:space="preserve"> (1997).</w:t>
      </w:r>
    </w:p>
  </w:footnote>
  <w:footnote w:id="8">
    <w:p w:rsidR="00C5072B" w:rsidRPr="003E1779" w:rsidRDefault="00C5072B" w:rsidP="00C5072B">
      <w:pPr>
        <w:pStyle w:val="a3"/>
        <w:rPr>
          <w:rtl/>
        </w:rPr>
      </w:pPr>
      <w:r w:rsidRPr="00D024BB">
        <w:rPr>
          <w:rStyle w:val="a5"/>
          <w:rFonts w:ascii="David" w:hAnsi="David" w:cs="David"/>
        </w:rPr>
        <w:footnoteRef/>
      </w:r>
      <w:r>
        <w:rPr>
          <w:rFonts w:ascii="David" w:hAnsi="David" w:cs="David" w:hint="cs"/>
          <w:rtl/>
        </w:rPr>
        <w:t xml:space="preserve">ע"א 494/74, </w:t>
      </w:r>
      <w:r>
        <w:rPr>
          <w:rFonts w:ascii="David" w:hAnsi="David" w:cs="David" w:hint="cs"/>
          <w:b/>
          <w:bCs/>
          <w:rtl/>
        </w:rPr>
        <w:t>חברת בית החשמונאים נ' אהרוני ואח',</w:t>
      </w:r>
      <w:r>
        <w:rPr>
          <w:rFonts w:ascii="David" w:hAnsi="David" w:cs="David" w:hint="cs"/>
          <w:rtl/>
        </w:rPr>
        <w:t xml:space="preserve"> פ"ד ל(2) 141.</w:t>
      </w:r>
      <w:r>
        <w:rPr>
          <w:rStyle w:val="apple-converted-space"/>
          <w:rFonts w:ascii="Helvetica" w:hAnsi="Helvetica" w:cs="Helvetica"/>
          <w:color w:val="333333"/>
          <w:sz w:val="21"/>
          <w:szCs w:val="21"/>
          <w:shd w:val="clear" w:color="auto" w:fill="FFFFFF"/>
        </w:rPr>
        <w:t> </w:t>
      </w:r>
    </w:p>
  </w:footnote>
  <w:footnote w:id="9">
    <w:p w:rsidR="00C5072B" w:rsidRPr="00D024BB" w:rsidRDefault="00C5072B" w:rsidP="00C5072B">
      <w:pPr>
        <w:pStyle w:val="a3"/>
        <w:rPr>
          <w:rFonts w:ascii="David" w:hAnsi="David" w:cs="David"/>
        </w:rPr>
      </w:pPr>
      <w:r w:rsidRPr="00D024BB">
        <w:rPr>
          <w:rStyle w:val="a5"/>
          <w:rFonts w:ascii="David" w:hAnsi="David" w:cs="David"/>
        </w:rPr>
        <w:footnoteRef/>
      </w:r>
      <w:r w:rsidRPr="00D024BB">
        <w:rPr>
          <w:rFonts w:ascii="David" w:hAnsi="David" w:cs="David"/>
          <w:rtl/>
        </w:rPr>
        <w:t xml:space="preserve"> </w:t>
      </w:r>
      <w:r>
        <w:rPr>
          <w:rFonts w:ascii="David" w:hAnsi="David" w:cs="David"/>
          <w:rtl/>
        </w:rPr>
        <w:t xml:space="preserve">סעיף </w:t>
      </w:r>
      <w:r>
        <w:rPr>
          <w:rFonts w:ascii="David" w:hAnsi="David" w:cs="David" w:hint="cs"/>
          <w:rtl/>
        </w:rPr>
        <w:t>14</w:t>
      </w:r>
      <w:r w:rsidR="00200C45">
        <w:rPr>
          <w:rFonts w:ascii="David" w:hAnsi="David" w:cs="David" w:hint="cs"/>
          <w:rtl/>
        </w:rPr>
        <w:t>(א)</w:t>
      </w:r>
      <w:r>
        <w:rPr>
          <w:rFonts w:ascii="David" w:hAnsi="David" w:cs="David" w:hint="cs"/>
          <w:rtl/>
        </w:rPr>
        <w:t xml:space="preserve"> </w:t>
      </w:r>
      <w:r>
        <w:rPr>
          <w:rFonts w:ascii="David" w:hAnsi="David" w:cs="David"/>
          <w:rtl/>
        </w:rPr>
        <w:t>לחוק החוזים(חלק כללי) התשל"ג-1973</w:t>
      </w:r>
    </w:p>
  </w:footnote>
  <w:footnote w:id="10">
    <w:p w:rsidR="00C5072B" w:rsidRPr="00D8064F" w:rsidRDefault="00C5072B" w:rsidP="00C5072B">
      <w:pPr>
        <w:pStyle w:val="a3"/>
        <w:rPr>
          <w:rFonts w:ascii="David" w:hAnsi="David" w:cs="David"/>
        </w:rPr>
      </w:pPr>
      <w:r w:rsidRPr="00D024BB">
        <w:rPr>
          <w:rStyle w:val="a5"/>
          <w:rFonts w:ascii="David" w:hAnsi="David" w:cs="David"/>
        </w:rPr>
        <w:footnoteRef/>
      </w:r>
      <w:r w:rsidRPr="00D024BB">
        <w:rPr>
          <w:rFonts w:ascii="David" w:hAnsi="David" w:cs="David"/>
          <w:rtl/>
        </w:rPr>
        <w:t xml:space="preserve"> </w:t>
      </w:r>
      <w:r>
        <w:rPr>
          <w:rFonts w:ascii="David" w:hAnsi="David" w:cs="David"/>
          <w:rtl/>
        </w:rPr>
        <w:t xml:space="preserve">סעיף </w:t>
      </w:r>
      <w:r>
        <w:rPr>
          <w:rFonts w:ascii="David" w:hAnsi="David" w:cs="David" w:hint="cs"/>
          <w:rtl/>
        </w:rPr>
        <w:t>1</w:t>
      </w:r>
      <w:r w:rsidR="00200C45">
        <w:rPr>
          <w:rFonts w:ascii="David" w:hAnsi="David" w:cs="David" w:hint="cs"/>
          <w:rtl/>
        </w:rPr>
        <w:t>5</w:t>
      </w:r>
      <w:r>
        <w:rPr>
          <w:rFonts w:ascii="David" w:hAnsi="David" w:cs="David" w:hint="cs"/>
          <w:rtl/>
        </w:rPr>
        <w:t xml:space="preserve"> </w:t>
      </w:r>
      <w:r w:rsidRPr="00D8064F">
        <w:rPr>
          <w:rFonts w:ascii="David" w:hAnsi="David" w:cs="David"/>
          <w:rtl/>
        </w:rPr>
        <w:t>לחוק החוזים(חלק כללי) התשל"ג-1973</w:t>
      </w:r>
    </w:p>
  </w:footnote>
  <w:footnote w:id="11">
    <w:p w:rsidR="00C5072B" w:rsidRPr="00D024BB" w:rsidRDefault="00C5072B" w:rsidP="00C5072B">
      <w:pPr>
        <w:pStyle w:val="a3"/>
        <w:rPr>
          <w:rFonts w:ascii="David" w:hAnsi="David" w:cs="David"/>
          <w:rtl/>
        </w:rPr>
      </w:pPr>
      <w:r w:rsidRPr="00D8064F">
        <w:rPr>
          <w:rStyle w:val="a5"/>
          <w:rFonts w:ascii="David" w:hAnsi="David" w:cs="David"/>
        </w:rPr>
        <w:footnoteRef/>
      </w:r>
      <w:r w:rsidRPr="00D8064F">
        <w:rPr>
          <w:rFonts w:ascii="David" w:hAnsi="David" w:cs="David"/>
          <w:rtl/>
        </w:rPr>
        <w:t xml:space="preserve"> </w:t>
      </w:r>
      <w:r>
        <w:rPr>
          <w:rFonts w:ascii="David" w:hAnsi="David" w:cs="David" w:hint="cs"/>
          <w:rtl/>
        </w:rPr>
        <w:t xml:space="preserve">ע"א 1581/92 </w:t>
      </w:r>
      <w:r>
        <w:rPr>
          <w:rFonts w:ascii="David" w:hAnsi="David" w:cs="David" w:hint="cs"/>
          <w:b/>
          <w:bCs/>
          <w:rtl/>
        </w:rPr>
        <w:t>ולנטין נ' ולנטין,</w:t>
      </w:r>
      <w:r>
        <w:rPr>
          <w:rFonts w:ascii="David" w:hAnsi="David" w:cs="David" w:hint="cs"/>
          <w:rtl/>
        </w:rPr>
        <w:t xml:space="preserve"> פ"ד מט(3) 441, פסק דינו של השופט זמיר בעמ' 451</w:t>
      </w:r>
    </w:p>
  </w:footnote>
  <w:footnote w:id="12">
    <w:p w:rsidR="00C5072B" w:rsidRPr="00D8064F" w:rsidRDefault="00C5072B" w:rsidP="00C5072B">
      <w:pPr>
        <w:pStyle w:val="a3"/>
        <w:rPr>
          <w:rFonts w:ascii="David" w:hAnsi="David" w:cs="David"/>
        </w:rPr>
      </w:pPr>
      <w:r w:rsidRPr="00D8064F">
        <w:rPr>
          <w:rStyle w:val="a5"/>
          <w:rFonts w:ascii="David" w:hAnsi="David" w:cs="David"/>
        </w:rPr>
        <w:footnoteRef/>
      </w:r>
      <w:r w:rsidRPr="00D8064F">
        <w:rPr>
          <w:rFonts w:ascii="David" w:hAnsi="David" w:cs="David"/>
          <w:rtl/>
        </w:rPr>
        <w:t xml:space="preserve"> </w:t>
      </w:r>
      <w:r w:rsidRPr="00D8064F">
        <w:rPr>
          <w:rFonts w:ascii="David" w:hAnsi="David" w:cs="David"/>
          <w:rtl/>
        </w:rPr>
        <w:t xml:space="preserve">סעיף 16 לחוק המכר, </w:t>
      </w:r>
      <w:proofErr w:type="spellStart"/>
      <w:r>
        <w:rPr>
          <w:rFonts w:ascii="David" w:hAnsi="David" w:cs="David" w:hint="cs"/>
          <w:rtl/>
        </w:rPr>
        <w:t>ה</w:t>
      </w:r>
      <w:r w:rsidRPr="00D8064F">
        <w:rPr>
          <w:rFonts w:ascii="David" w:hAnsi="David" w:cs="David"/>
          <w:rtl/>
        </w:rPr>
        <w:t>תשכ"ח</w:t>
      </w:r>
      <w:proofErr w:type="spellEnd"/>
      <w:r w:rsidRPr="00D8064F">
        <w:rPr>
          <w:rFonts w:ascii="David" w:hAnsi="David" w:cs="David"/>
          <w:rtl/>
        </w:rPr>
        <w:t>- 1968</w:t>
      </w:r>
    </w:p>
  </w:footnote>
  <w:footnote w:id="13">
    <w:p w:rsidR="00FA59B3" w:rsidRPr="00A34EE2" w:rsidRDefault="00FA59B3" w:rsidP="00A34EE2">
      <w:pPr>
        <w:pStyle w:val="a3"/>
        <w:rPr>
          <w:rFonts w:ascii="David" w:hAnsi="David" w:cs="David"/>
        </w:rPr>
      </w:pPr>
      <w:r>
        <w:rPr>
          <w:rStyle w:val="a5"/>
        </w:rPr>
        <w:footnoteRef/>
      </w:r>
      <w:r>
        <w:rPr>
          <w:rtl/>
        </w:rPr>
        <w:t xml:space="preserve"> </w:t>
      </w:r>
      <w:r w:rsidR="00A34EE2">
        <w:rPr>
          <w:rFonts w:ascii="David" w:hAnsi="David" w:cs="David"/>
          <w:rtl/>
        </w:rPr>
        <w:t>סעיף 14(</w:t>
      </w:r>
      <w:r w:rsidR="00A34EE2">
        <w:rPr>
          <w:rFonts w:ascii="David" w:hAnsi="David" w:cs="David" w:hint="cs"/>
          <w:rtl/>
        </w:rPr>
        <w:t>א</w:t>
      </w:r>
      <w:r w:rsidR="00A34EE2" w:rsidRPr="00E8485F">
        <w:rPr>
          <w:rFonts w:ascii="David" w:hAnsi="David" w:cs="David"/>
          <w:rtl/>
        </w:rPr>
        <w:t>) לחוק החוזים(חלק כללי) התשל"ג-1973</w:t>
      </w:r>
    </w:p>
  </w:footnote>
  <w:footnote w:id="14">
    <w:p w:rsidR="00117162" w:rsidRDefault="00117162">
      <w:pPr>
        <w:pStyle w:val="a3"/>
      </w:pPr>
      <w:r>
        <w:rPr>
          <w:rStyle w:val="a5"/>
        </w:rPr>
        <w:footnoteRef/>
      </w:r>
      <w:r>
        <w:rPr>
          <w:rtl/>
        </w:rPr>
        <w:t xml:space="preserve"> </w:t>
      </w:r>
      <w:r w:rsidR="002A4AC5">
        <w:rPr>
          <w:rFonts w:ascii="David" w:hAnsi="David" w:cs="David" w:hint="cs"/>
          <w:color w:val="000000" w:themeColor="text1"/>
          <w:shd w:val="clear" w:color="auto" w:fill="FFFFFF"/>
          <w:rtl/>
        </w:rPr>
        <w:t>ג</w:t>
      </w:r>
      <w:r w:rsidR="002A4AC5">
        <w:rPr>
          <w:rFonts w:ascii="David" w:hAnsi="David" w:cs="David"/>
          <w:color w:val="000000" w:themeColor="text1"/>
          <w:shd w:val="clear" w:color="auto" w:fill="FFFFFF"/>
          <w:rtl/>
        </w:rPr>
        <w:t xml:space="preserve">בריאלה שלו </w:t>
      </w:r>
      <w:r w:rsidR="002A4AC5">
        <w:rPr>
          <w:rFonts w:ascii="David" w:hAnsi="David" w:cs="David"/>
          <w:b/>
          <w:bCs/>
          <w:color w:val="000000" w:themeColor="text1"/>
          <w:shd w:val="clear" w:color="auto" w:fill="FFFFFF"/>
          <w:rtl/>
        </w:rPr>
        <w:t>דיני חוזים החלק הכללי – לקראת קודיפיקציה של המשפט האזרחי</w:t>
      </w:r>
      <w:r w:rsidR="002A4AC5">
        <w:rPr>
          <w:rFonts w:ascii="David" w:hAnsi="David" w:cs="David"/>
          <w:color w:val="000000" w:themeColor="text1"/>
          <w:rtl/>
        </w:rPr>
        <w:t xml:space="preserve"> </w:t>
      </w:r>
      <w:r w:rsidR="002A4AC5">
        <w:rPr>
          <w:rFonts w:ascii="David" w:hAnsi="David" w:cs="David" w:hint="cs"/>
          <w:color w:val="000000" w:themeColor="text1"/>
          <w:rtl/>
        </w:rPr>
        <w:t>282</w:t>
      </w:r>
      <w:r w:rsidR="002A4AC5">
        <w:rPr>
          <w:rFonts w:ascii="David" w:hAnsi="David" w:cs="David" w:hint="cs"/>
          <w:color w:val="000000" w:themeColor="text1"/>
          <w:shd w:val="clear" w:color="auto" w:fill="FFFFFF"/>
          <w:rtl/>
        </w:rPr>
        <w:t xml:space="preserve"> (תשס"ה</w:t>
      </w:r>
      <w:r w:rsidR="002A4AC5">
        <w:rPr>
          <w:rFonts w:ascii="David" w:hAnsi="David" w:cs="David"/>
          <w:color w:val="000000" w:themeColor="text1"/>
          <w:shd w:val="clear" w:color="auto" w:fill="FFFFFF"/>
        </w:rPr>
        <w:t>(</w:t>
      </w:r>
    </w:p>
  </w:footnote>
  <w:footnote w:id="15">
    <w:p w:rsidR="00077BF5" w:rsidRPr="00A34EE2" w:rsidRDefault="00077BF5">
      <w:pPr>
        <w:pStyle w:val="a3"/>
        <w:rPr>
          <w:rtl/>
        </w:rPr>
      </w:pPr>
      <w:r>
        <w:rPr>
          <w:rStyle w:val="a5"/>
        </w:rPr>
        <w:footnoteRef/>
      </w:r>
      <w:r>
        <w:rPr>
          <w:rtl/>
        </w:rPr>
        <w:t xml:space="preserve"> </w:t>
      </w:r>
      <w:r w:rsidR="00A34EE2">
        <w:rPr>
          <w:rFonts w:ascii="David" w:hAnsi="David" w:cs="David"/>
          <w:color w:val="000000" w:themeColor="text1"/>
          <w:shd w:val="clear" w:color="auto" w:fill="FFFFFF"/>
          <w:rtl/>
        </w:rPr>
        <w:t xml:space="preserve">גבריאלה שלו </w:t>
      </w:r>
      <w:r w:rsidR="00A34EE2">
        <w:rPr>
          <w:rFonts w:ascii="David" w:hAnsi="David" w:cs="David"/>
          <w:b/>
          <w:bCs/>
          <w:color w:val="000000" w:themeColor="text1"/>
          <w:shd w:val="clear" w:color="auto" w:fill="FFFFFF"/>
          <w:rtl/>
        </w:rPr>
        <w:t>דיני חוזים החלק הכללי – לקראת קודיפיקציה של המשפט האזרחי</w:t>
      </w:r>
      <w:r w:rsidR="00A34EE2">
        <w:rPr>
          <w:rFonts w:ascii="David" w:hAnsi="David" w:cs="David"/>
          <w:color w:val="000000" w:themeColor="text1"/>
          <w:rtl/>
        </w:rPr>
        <w:t xml:space="preserve"> </w:t>
      </w:r>
      <w:r w:rsidR="0099010F">
        <w:rPr>
          <w:rFonts w:ascii="David" w:hAnsi="David" w:cs="David" w:hint="cs"/>
          <w:color w:val="000000" w:themeColor="text1"/>
          <w:rtl/>
        </w:rPr>
        <w:t>283</w:t>
      </w:r>
      <w:r w:rsidR="0099010F">
        <w:rPr>
          <w:rFonts w:ascii="David" w:hAnsi="David" w:cs="David" w:hint="cs"/>
          <w:color w:val="000000" w:themeColor="text1"/>
          <w:shd w:val="clear" w:color="auto" w:fill="FFFFFF"/>
          <w:rtl/>
        </w:rPr>
        <w:t xml:space="preserve"> (</w:t>
      </w:r>
      <w:r w:rsidR="00A34EE2">
        <w:rPr>
          <w:rFonts w:ascii="David" w:hAnsi="David" w:cs="David" w:hint="cs"/>
          <w:color w:val="000000" w:themeColor="text1"/>
          <w:shd w:val="clear" w:color="auto" w:fill="FFFFFF"/>
          <w:rtl/>
        </w:rPr>
        <w:t>תשס"ה</w:t>
      </w:r>
      <w:r w:rsidR="00A34EE2">
        <w:rPr>
          <w:rFonts w:ascii="David" w:hAnsi="David" w:cs="David"/>
          <w:color w:val="000000" w:themeColor="text1"/>
          <w:shd w:val="clear" w:color="auto" w:fill="FFFFFF"/>
        </w:rPr>
        <w:t>(</w:t>
      </w:r>
    </w:p>
  </w:footnote>
  <w:footnote w:id="16">
    <w:p w:rsidR="008F40D6" w:rsidRDefault="008F40D6">
      <w:pPr>
        <w:pStyle w:val="a3"/>
      </w:pPr>
      <w:r>
        <w:rPr>
          <w:rStyle w:val="a5"/>
        </w:rPr>
        <w:footnoteRef/>
      </w:r>
      <w:r>
        <w:rPr>
          <w:rtl/>
        </w:rPr>
        <w:t xml:space="preserve"> </w:t>
      </w:r>
      <w:r w:rsidR="00CD7109">
        <w:rPr>
          <w:rFonts w:ascii="David" w:hAnsi="David" w:cs="David"/>
          <w:rtl/>
        </w:rPr>
        <w:t xml:space="preserve">סעיף </w:t>
      </w:r>
      <w:r w:rsidR="00CD7109">
        <w:rPr>
          <w:rFonts w:ascii="David" w:hAnsi="David" w:cs="David" w:hint="cs"/>
          <w:rtl/>
        </w:rPr>
        <w:t xml:space="preserve">12 </w:t>
      </w:r>
      <w:r w:rsidR="00CD7109" w:rsidRPr="00E8485F">
        <w:rPr>
          <w:rFonts w:ascii="David" w:hAnsi="David" w:cs="David"/>
          <w:rtl/>
        </w:rPr>
        <w:t>לחוק החוזים(חלק כללי) התשל"ג-1973</w:t>
      </w:r>
    </w:p>
  </w:footnote>
  <w:footnote w:id="17">
    <w:p w:rsidR="001618A1" w:rsidRPr="00E8485F" w:rsidRDefault="001618A1" w:rsidP="001618A1">
      <w:pPr>
        <w:pStyle w:val="a3"/>
        <w:rPr>
          <w:rFonts w:ascii="David" w:hAnsi="David" w:cs="David"/>
        </w:rPr>
      </w:pPr>
      <w:r w:rsidRPr="00D024BB">
        <w:rPr>
          <w:rStyle w:val="a5"/>
          <w:rFonts w:ascii="David" w:hAnsi="David" w:cs="David"/>
        </w:rPr>
        <w:footnoteRef/>
      </w:r>
      <w:r w:rsidRPr="00D024BB">
        <w:rPr>
          <w:rFonts w:ascii="David" w:hAnsi="David" w:cs="David"/>
          <w:rtl/>
        </w:rPr>
        <w:t xml:space="preserve"> </w:t>
      </w:r>
      <w:r w:rsidRPr="00E8485F">
        <w:rPr>
          <w:rFonts w:ascii="David" w:hAnsi="David" w:cs="David"/>
          <w:rtl/>
        </w:rPr>
        <w:t>סעיף 14(ב) לחוק החוזים(חלק כללי) התשל"ג-1973</w:t>
      </w:r>
    </w:p>
  </w:footnote>
  <w:footnote w:id="18">
    <w:p w:rsidR="001618A1" w:rsidRPr="00C056C1" w:rsidRDefault="001618A1" w:rsidP="001618A1">
      <w:pPr>
        <w:pStyle w:val="a3"/>
        <w:rPr>
          <w:rFonts w:ascii="David" w:hAnsi="David" w:cs="David"/>
        </w:rPr>
      </w:pPr>
      <w:r w:rsidRPr="00E8485F">
        <w:rPr>
          <w:rStyle w:val="a5"/>
          <w:rFonts w:ascii="David" w:hAnsi="David" w:cs="David"/>
        </w:rPr>
        <w:footnoteRef/>
      </w:r>
      <w:r w:rsidRPr="00E8485F">
        <w:rPr>
          <w:rFonts w:ascii="David" w:hAnsi="David" w:cs="David"/>
          <w:rtl/>
        </w:rPr>
        <w:t xml:space="preserve"> </w:t>
      </w:r>
      <w:r w:rsidRPr="00E8485F">
        <w:rPr>
          <w:rFonts w:ascii="David" w:hAnsi="David" w:cs="David"/>
          <w:rtl/>
        </w:rPr>
        <w:t xml:space="preserve">גד </w:t>
      </w:r>
      <w:proofErr w:type="spellStart"/>
      <w:r w:rsidRPr="00C056C1">
        <w:rPr>
          <w:rFonts w:ascii="David" w:hAnsi="David" w:cs="David"/>
          <w:rtl/>
        </w:rPr>
        <w:t>טדסקי</w:t>
      </w:r>
      <w:proofErr w:type="spellEnd"/>
      <w:r w:rsidRPr="00C056C1">
        <w:rPr>
          <w:rFonts w:ascii="David" w:hAnsi="David" w:cs="David"/>
          <w:rtl/>
        </w:rPr>
        <w:t xml:space="preserve"> </w:t>
      </w:r>
      <w:r w:rsidRPr="00C056C1">
        <w:rPr>
          <w:rFonts w:ascii="David" w:hAnsi="David" w:cs="David"/>
          <w:b/>
          <w:bCs/>
          <w:rtl/>
        </w:rPr>
        <w:t xml:space="preserve">טעות בכדאיות העסקה </w:t>
      </w:r>
      <w:r w:rsidRPr="00C056C1">
        <w:rPr>
          <w:rFonts w:ascii="David" w:hAnsi="David" w:cs="David"/>
          <w:rtl/>
        </w:rPr>
        <w:t xml:space="preserve">משפטים </w:t>
      </w:r>
      <w:proofErr w:type="spellStart"/>
      <w:r w:rsidRPr="00C056C1">
        <w:rPr>
          <w:rFonts w:ascii="David" w:hAnsi="David" w:cs="David"/>
          <w:rtl/>
        </w:rPr>
        <w:t>יב</w:t>
      </w:r>
      <w:proofErr w:type="spellEnd"/>
      <w:r w:rsidRPr="00C056C1">
        <w:rPr>
          <w:rFonts w:ascii="David" w:hAnsi="David" w:cs="David"/>
          <w:rtl/>
        </w:rPr>
        <w:t xml:space="preserve"> (תשמ"ב) 329, 332</w:t>
      </w:r>
    </w:p>
  </w:footnote>
  <w:footnote w:id="19">
    <w:p w:rsidR="00A53F4A" w:rsidRPr="003A7403" w:rsidRDefault="00A53F4A">
      <w:pPr>
        <w:pStyle w:val="a3"/>
        <w:rPr>
          <w:rFonts w:ascii="David" w:hAnsi="David" w:cs="David"/>
        </w:rPr>
      </w:pPr>
      <w:r w:rsidRPr="00C056C1">
        <w:rPr>
          <w:rStyle w:val="a5"/>
          <w:rFonts w:ascii="David" w:hAnsi="David" w:cs="David"/>
        </w:rPr>
        <w:footnoteRef/>
      </w:r>
      <w:r w:rsidRPr="00C056C1">
        <w:rPr>
          <w:rFonts w:ascii="David" w:hAnsi="David" w:cs="David"/>
          <w:rtl/>
        </w:rPr>
        <w:t xml:space="preserve"> </w:t>
      </w:r>
      <w:r w:rsidR="00C056C1" w:rsidRPr="00C056C1">
        <w:rPr>
          <w:rFonts w:ascii="David" w:hAnsi="David" w:cs="David"/>
          <w:rtl/>
        </w:rPr>
        <w:t>בג</w:t>
      </w:r>
      <w:r w:rsidR="00C056C1" w:rsidRPr="003A7403">
        <w:rPr>
          <w:rFonts w:ascii="David" w:hAnsi="David" w:cs="David"/>
          <w:rtl/>
        </w:rPr>
        <w:t xml:space="preserve">"ץ 221/86, </w:t>
      </w:r>
      <w:r w:rsidR="00C056C1" w:rsidRPr="003A7403">
        <w:rPr>
          <w:rFonts w:ascii="David" w:hAnsi="David" w:cs="David"/>
          <w:b/>
          <w:bCs/>
          <w:rtl/>
        </w:rPr>
        <w:t>כנפי נ' בית הדין הארצי לעבודה,</w:t>
      </w:r>
      <w:r w:rsidR="00C056C1" w:rsidRPr="003A7403">
        <w:rPr>
          <w:rFonts w:ascii="David" w:hAnsi="David" w:cs="David"/>
          <w:rtl/>
        </w:rPr>
        <w:t xml:space="preserve"> פ"ד </w:t>
      </w:r>
      <w:proofErr w:type="spellStart"/>
      <w:r w:rsidR="00C056C1" w:rsidRPr="003A7403">
        <w:rPr>
          <w:rFonts w:ascii="David" w:hAnsi="David" w:cs="David"/>
          <w:rtl/>
        </w:rPr>
        <w:t>מא</w:t>
      </w:r>
      <w:proofErr w:type="spellEnd"/>
      <w:r w:rsidR="00C056C1" w:rsidRPr="003A7403">
        <w:rPr>
          <w:rFonts w:ascii="David" w:hAnsi="David" w:cs="David"/>
          <w:rtl/>
        </w:rPr>
        <w:t xml:space="preserve"> (1) 469, פסק הדין של השופטת בן פורת, בעמ' 482 </w:t>
      </w:r>
    </w:p>
  </w:footnote>
  <w:footnote w:id="20">
    <w:p w:rsidR="00EC3527" w:rsidRPr="003A7403" w:rsidRDefault="00EC3527">
      <w:pPr>
        <w:pStyle w:val="a3"/>
        <w:rPr>
          <w:rFonts w:ascii="David" w:hAnsi="David" w:cs="David"/>
        </w:rPr>
      </w:pPr>
      <w:r w:rsidRPr="003A7403">
        <w:rPr>
          <w:rStyle w:val="a5"/>
          <w:rFonts w:ascii="David" w:hAnsi="David" w:cs="David"/>
        </w:rPr>
        <w:footnoteRef/>
      </w:r>
      <w:r w:rsidRPr="003A7403">
        <w:rPr>
          <w:rFonts w:ascii="David" w:hAnsi="David" w:cs="David"/>
          <w:rtl/>
        </w:rPr>
        <w:t xml:space="preserve"> </w:t>
      </w:r>
      <w:r w:rsidR="00CD7109" w:rsidRPr="003A7403">
        <w:rPr>
          <w:rFonts w:ascii="David" w:hAnsi="David" w:cs="David"/>
          <w:rtl/>
        </w:rPr>
        <w:t>סעיף 14(ד) לחוק החוזים(חלק כללי) התשל"ג-1973</w:t>
      </w:r>
    </w:p>
  </w:footnote>
  <w:footnote w:id="21">
    <w:p w:rsidR="008E377B" w:rsidRPr="003A7403" w:rsidRDefault="008E377B">
      <w:pPr>
        <w:pStyle w:val="a3"/>
        <w:rPr>
          <w:rFonts w:ascii="David" w:hAnsi="David" w:cs="David"/>
        </w:rPr>
      </w:pPr>
      <w:r w:rsidRPr="003A7403">
        <w:rPr>
          <w:rStyle w:val="a5"/>
          <w:rFonts w:ascii="David" w:hAnsi="David" w:cs="David"/>
        </w:rPr>
        <w:footnoteRef/>
      </w:r>
      <w:r w:rsidRPr="003A7403">
        <w:rPr>
          <w:rFonts w:ascii="David" w:hAnsi="David" w:cs="David"/>
          <w:rtl/>
        </w:rPr>
        <w:t xml:space="preserve"> </w:t>
      </w:r>
      <w:r w:rsidR="006E226D" w:rsidRPr="003A7403">
        <w:rPr>
          <w:rFonts w:ascii="David" w:hAnsi="David" w:cs="David"/>
          <w:rtl/>
        </w:rPr>
        <w:t xml:space="preserve">ע"א 8972/00 </w:t>
      </w:r>
      <w:r w:rsidR="006E226D" w:rsidRPr="003A7403">
        <w:rPr>
          <w:rFonts w:ascii="David" w:hAnsi="David" w:cs="David"/>
          <w:b/>
          <w:bCs/>
          <w:rtl/>
        </w:rPr>
        <w:t>שלזינגר נ' הפניקס,</w:t>
      </w:r>
      <w:r w:rsidR="006E226D" w:rsidRPr="003A7403">
        <w:rPr>
          <w:rFonts w:ascii="David" w:hAnsi="David" w:cs="David"/>
          <w:rtl/>
        </w:rPr>
        <w:t xml:space="preserve"> פ"ד </w:t>
      </w:r>
      <w:proofErr w:type="spellStart"/>
      <w:r w:rsidR="006E226D" w:rsidRPr="003A7403">
        <w:rPr>
          <w:rFonts w:ascii="David" w:hAnsi="David" w:cs="David"/>
          <w:rtl/>
        </w:rPr>
        <w:t>נז</w:t>
      </w:r>
      <w:proofErr w:type="spellEnd"/>
      <w:r w:rsidR="006E226D" w:rsidRPr="003A7403">
        <w:rPr>
          <w:rFonts w:ascii="David" w:hAnsi="David" w:cs="David"/>
          <w:rtl/>
        </w:rPr>
        <w:t>(4) 817</w:t>
      </w:r>
    </w:p>
  </w:footnote>
  <w:footnote w:id="22">
    <w:p w:rsidR="000062A1" w:rsidRPr="003A7403" w:rsidRDefault="000062A1">
      <w:pPr>
        <w:pStyle w:val="a3"/>
        <w:rPr>
          <w:rFonts w:ascii="David" w:hAnsi="David" w:cs="David"/>
          <w:rtl/>
        </w:rPr>
      </w:pPr>
      <w:r w:rsidRPr="003A7403">
        <w:rPr>
          <w:rStyle w:val="a5"/>
          <w:rFonts w:ascii="David" w:hAnsi="David" w:cs="David"/>
        </w:rPr>
        <w:footnoteRef/>
      </w:r>
      <w:r w:rsidRPr="003A7403">
        <w:rPr>
          <w:rFonts w:ascii="David" w:hAnsi="David" w:cs="David"/>
          <w:rtl/>
        </w:rPr>
        <w:t xml:space="preserve"> </w:t>
      </w:r>
      <w:r w:rsidR="006E226D" w:rsidRPr="003A7403">
        <w:rPr>
          <w:rStyle w:val="apple-converted-space"/>
          <w:rFonts w:ascii="David" w:hAnsi="David" w:cs="David"/>
          <w:color w:val="333333"/>
          <w:shd w:val="clear" w:color="auto" w:fill="FFFFFF"/>
          <w:rtl/>
        </w:rPr>
        <w:t>דניאל פרידמן, "הסיכון החוזי וטעות והטעיה בכדאיות",</w:t>
      </w:r>
      <w:r w:rsidR="006E226D" w:rsidRPr="003A7403">
        <w:rPr>
          <w:rStyle w:val="apple-converted-space"/>
          <w:rFonts w:ascii="David" w:hAnsi="David" w:cs="David"/>
          <w:b/>
          <w:bCs/>
          <w:color w:val="333333"/>
          <w:shd w:val="clear" w:color="auto" w:fill="FFFFFF"/>
          <w:rtl/>
        </w:rPr>
        <w:t xml:space="preserve"> עיוני משפט </w:t>
      </w:r>
      <w:r w:rsidR="006E226D" w:rsidRPr="003A7403">
        <w:rPr>
          <w:rStyle w:val="apple-converted-space"/>
          <w:rFonts w:ascii="David" w:hAnsi="David" w:cs="David"/>
          <w:color w:val="333333"/>
          <w:shd w:val="clear" w:color="auto" w:fill="FFFFFF"/>
          <w:rtl/>
        </w:rPr>
        <w:t>יד (תשמ"ט) עמ'</w:t>
      </w:r>
      <w:r w:rsidR="006E226D" w:rsidRPr="003A7403">
        <w:rPr>
          <w:rFonts w:ascii="David" w:hAnsi="David" w:cs="David"/>
          <w:rtl/>
        </w:rPr>
        <w:t xml:space="preserve"> 466</w:t>
      </w:r>
    </w:p>
  </w:footnote>
  <w:footnote w:id="23">
    <w:p w:rsidR="00A736CE" w:rsidRDefault="00A736CE" w:rsidP="00A736CE">
      <w:pPr>
        <w:pStyle w:val="a3"/>
      </w:pPr>
      <w:r w:rsidRPr="003A7403">
        <w:rPr>
          <w:rStyle w:val="a5"/>
          <w:rFonts w:ascii="David" w:hAnsi="David" w:cs="David"/>
        </w:rPr>
        <w:footnoteRef/>
      </w:r>
      <w:r w:rsidRPr="003A7403">
        <w:rPr>
          <w:rFonts w:ascii="David" w:hAnsi="David" w:cs="David"/>
          <w:rtl/>
        </w:rPr>
        <w:t xml:space="preserve"> </w:t>
      </w:r>
      <w:r w:rsidR="006E226D" w:rsidRPr="003A7403">
        <w:rPr>
          <w:rStyle w:val="apple-converted-space"/>
          <w:rFonts w:ascii="David" w:hAnsi="David" w:cs="David"/>
          <w:color w:val="333333"/>
          <w:shd w:val="clear" w:color="auto" w:fill="FFFFFF"/>
          <w:rtl/>
        </w:rPr>
        <w:t>דניאל פרידמן, "הסיכון החוזי וטעות והטעיה בכדאיות",</w:t>
      </w:r>
      <w:r w:rsidR="006E226D" w:rsidRPr="003A7403">
        <w:rPr>
          <w:rStyle w:val="apple-converted-space"/>
          <w:rFonts w:ascii="David" w:hAnsi="David" w:cs="David"/>
          <w:b/>
          <w:bCs/>
          <w:color w:val="333333"/>
          <w:shd w:val="clear" w:color="auto" w:fill="FFFFFF"/>
          <w:rtl/>
        </w:rPr>
        <w:t xml:space="preserve"> עיוני משפט </w:t>
      </w:r>
      <w:r w:rsidR="006E226D" w:rsidRPr="003A7403">
        <w:rPr>
          <w:rStyle w:val="apple-converted-space"/>
          <w:rFonts w:ascii="David" w:hAnsi="David" w:cs="David"/>
          <w:color w:val="333333"/>
          <w:shd w:val="clear" w:color="auto" w:fill="FFFFFF"/>
          <w:rtl/>
        </w:rPr>
        <w:t>יד (תשמ"ט) עמ'</w:t>
      </w:r>
      <w:r w:rsidR="003A7403" w:rsidRPr="003A7403">
        <w:rPr>
          <w:rFonts w:ascii="David" w:hAnsi="David" w:cs="David"/>
          <w:rtl/>
        </w:rPr>
        <w:t xml:space="preserve"> 466</w:t>
      </w:r>
    </w:p>
  </w:footnote>
  <w:footnote w:id="24">
    <w:p w:rsidR="00C730A7" w:rsidRDefault="00C730A7" w:rsidP="00C730A7">
      <w:pPr>
        <w:pStyle w:val="a3"/>
      </w:pPr>
      <w:r>
        <w:rPr>
          <w:rStyle w:val="a5"/>
        </w:rPr>
        <w:footnoteRef/>
      </w:r>
      <w:r>
        <w:rPr>
          <w:rtl/>
        </w:rPr>
        <w:t xml:space="preserve"> </w:t>
      </w:r>
      <w:r w:rsidR="00917BCC">
        <w:rPr>
          <w:rFonts w:ascii="David" w:hAnsi="David" w:cs="David"/>
          <w:rtl/>
        </w:rPr>
        <w:t xml:space="preserve">סעיף </w:t>
      </w:r>
      <w:r w:rsidR="00917BCC">
        <w:rPr>
          <w:rFonts w:ascii="David" w:hAnsi="David" w:cs="David" w:hint="cs"/>
          <w:rtl/>
        </w:rPr>
        <w:t>17(א) ל</w:t>
      </w:r>
      <w:r w:rsidR="00917BCC">
        <w:rPr>
          <w:rFonts w:ascii="David" w:hAnsi="David" w:cs="David"/>
          <w:rtl/>
        </w:rPr>
        <w:t>חוק החוזים(חלק כללי) התשל"ג-1973</w:t>
      </w:r>
    </w:p>
  </w:footnote>
  <w:footnote w:id="25">
    <w:p w:rsidR="00AE00A9" w:rsidRPr="001D51C5" w:rsidRDefault="00AE00A9">
      <w:pPr>
        <w:pStyle w:val="a3"/>
        <w:rPr>
          <w:rFonts w:ascii="David" w:hAnsi="David" w:cs="David"/>
          <w:rtl/>
        </w:rPr>
      </w:pPr>
      <w:r w:rsidRPr="001D51C5">
        <w:rPr>
          <w:rStyle w:val="a5"/>
          <w:rFonts w:ascii="David" w:hAnsi="David" w:cs="David"/>
        </w:rPr>
        <w:footnoteRef/>
      </w:r>
      <w:r w:rsidRPr="001D51C5">
        <w:rPr>
          <w:rFonts w:ascii="David" w:hAnsi="David" w:cs="David"/>
          <w:rtl/>
        </w:rPr>
        <w:t xml:space="preserve"> </w:t>
      </w:r>
      <w:r w:rsidR="001D51C5" w:rsidRPr="001D51C5">
        <w:rPr>
          <w:rFonts w:ascii="David" w:hAnsi="David" w:cs="David"/>
          <w:rtl/>
        </w:rPr>
        <w:t>כפייה כלכלית מתקיימת כאשר מתקשר אדם בחוזה בכדי להשתחרר מלחץ עסקי, וכפייה באיום מתקיימת כאשר מנסה אדם</w:t>
      </w:r>
      <w:r w:rsidR="001D51C5" w:rsidRPr="001D51C5">
        <w:rPr>
          <w:rFonts w:ascii="David" w:hAnsi="David" w:cs="David"/>
          <w:rtl/>
        </w:rPr>
        <w:t xml:space="preserve"> להשתחרר מן האיום הטמון </w:t>
      </w:r>
      <w:r w:rsidR="001D51C5" w:rsidRPr="001D51C5">
        <w:rPr>
          <w:rFonts w:ascii="David" w:hAnsi="David" w:cs="David"/>
          <w:rtl/>
        </w:rPr>
        <w:t>ב</w:t>
      </w:r>
      <w:r w:rsidR="001D51C5" w:rsidRPr="001D51C5">
        <w:rPr>
          <w:rFonts w:ascii="David" w:hAnsi="David" w:cs="David"/>
          <w:rtl/>
        </w:rPr>
        <w:t>המשך הפעלת הכוח כלפיו</w:t>
      </w:r>
      <w:r w:rsidR="001D51C5" w:rsidRPr="001D51C5">
        <w:rPr>
          <w:rFonts w:ascii="David" w:hAnsi="David" w:cs="David"/>
        </w:rPr>
        <w:t>.</w:t>
      </w:r>
      <w:r w:rsidR="001D51C5" w:rsidRPr="001D51C5">
        <w:rPr>
          <w:rFonts w:ascii="David" w:hAnsi="David" w:cs="David"/>
          <w:rtl/>
        </w:rPr>
        <w:t xml:space="preserve"> </w:t>
      </w:r>
      <w:r w:rsidR="001D51C5" w:rsidRPr="001D51C5">
        <w:rPr>
          <w:rFonts w:ascii="David" w:hAnsi="David" w:cs="David"/>
          <w:color w:val="000000" w:themeColor="text1"/>
          <w:shd w:val="clear" w:color="auto" w:fill="FFFFFF"/>
          <w:rtl/>
        </w:rPr>
        <w:t xml:space="preserve">גבריאלה שלו </w:t>
      </w:r>
      <w:r w:rsidR="001D51C5" w:rsidRPr="001D51C5">
        <w:rPr>
          <w:rFonts w:ascii="David" w:hAnsi="David" w:cs="David"/>
          <w:b/>
          <w:bCs/>
          <w:color w:val="000000" w:themeColor="text1"/>
          <w:shd w:val="clear" w:color="auto" w:fill="FFFFFF"/>
          <w:rtl/>
        </w:rPr>
        <w:t>דיני חוזים החלק הכללי – לקראת קודיפיקציה של המשפט האזרחי</w:t>
      </w:r>
      <w:r w:rsidR="001D51C5" w:rsidRPr="001D51C5">
        <w:rPr>
          <w:rFonts w:ascii="David" w:hAnsi="David" w:cs="David"/>
          <w:color w:val="000000" w:themeColor="text1"/>
          <w:rtl/>
        </w:rPr>
        <w:t xml:space="preserve"> 3</w:t>
      </w:r>
      <w:r w:rsidR="001D51C5">
        <w:rPr>
          <w:rFonts w:ascii="David" w:hAnsi="David" w:cs="David" w:hint="cs"/>
          <w:color w:val="000000" w:themeColor="text1"/>
          <w:rtl/>
        </w:rPr>
        <w:t>32</w:t>
      </w:r>
      <w:r w:rsidR="001D51C5" w:rsidRPr="001D51C5">
        <w:rPr>
          <w:rFonts w:ascii="David" w:hAnsi="David" w:cs="David"/>
          <w:color w:val="000000" w:themeColor="text1"/>
          <w:shd w:val="clear" w:color="auto" w:fill="FFFFFF"/>
        </w:rPr>
        <w:t xml:space="preserve">)  </w:t>
      </w:r>
      <w:r w:rsidR="001D51C5" w:rsidRPr="001D51C5">
        <w:rPr>
          <w:rFonts w:ascii="David" w:hAnsi="David" w:cs="David"/>
          <w:color w:val="000000" w:themeColor="text1"/>
          <w:shd w:val="clear" w:color="auto" w:fill="FFFFFF"/>
          <w:rtl/>
        </w:rPr>
        <w:t>תשס"ה</w:t>
      </w:r>
      <w:r w:rsidR="001D51C5" w:rsidRPr="001D51C5">
        <w:rPr>
          <w:rFonts w:ascii="David" w:hAnsi="David" w:cs="David"/>
          <w:color w:val="000000" w:themeColor="text1"/>
          <w:shd w:val="clear" w:color="auto" w:fill="FFFFFF"/>
        </w:rPr>
        <w:t>(</w:t>
      </w:r>
      <w:r w:rsidR="001D51C5" w:rsidRPr="001D51C5">
        <w:rPr>
          <w:rFonts w:ascii="David" w:hAnsi="David" w:cs="David"/>
          <w:rtl/>
        </w:rPr>
        <w:t>.</w:t>
      </w:r>
    </w:p>
  </w:footnote>
  <w:footnote w:id="26">
    <w:p w:rsidR="00AD528D" w:rsidRPr="00917BCC" w:rsidRDefault="00AD528D" w:rsidP="00917BCC">
      <w:pPr>
        <w:pStyle w:val="a3"/>
        <w:rPr>
          <w:rFonts w:ascii="David" w:hAnsi="David" w:cs="David"/>
        </w:rPr>
      </w:pPr>
      <w:r w:rsidRPr="001D51C5">
        <w:rPr>
          <w:rStyle w:val="a5"/>
          <w:rFonts w:ascii="David" w:hAnsi="David" w:cs="David"/>
        </w:rPr>
        <w:footnoteRef/>
      </w:r>
      <w:r w:rsidRPr="001D51C5">
        <w:rPr>
          <w:rFonts w:ascii="David" w:hAnsi="David" w:cs="David"/>
          <w:rtl/>
        </w:rPr>
        <w:t xml:space="preserve"> </w:t>
      </w:r>
      <w:hyperlink r:id="rId1" w:tgtFrame="_blank" w:history="1">
        <w:r w:rsidR="00917BCC" w:rsidRPr="001D51C5">
          <w:rPr>
            <w:rStyle w:val="Hyperlink"/>
            <w:rFonts w:ascii="David" w:hAnsi="David" w:cs="David"/>
            <w:color w:val="000000" w:themeColor="text1"/>
            <w:u w:val="none"/>
            <w:shd w:val="clear" w:color="auto" w:fill="FFFFFF"/>
            <w:rtl/>
          </w:rPr>
          <w:t>ע"א 784/81</w:t>
        </w:r>
        <w:r w:rsidR="00917BCC" w:rsidRPr="001D51C5">
          <w:rPr>
            <w:rStyle w:val="apple-converted-space"/>
            <w:rFonts w:ascii="David" w:hAnsi="David" w:cs="David"/>
            <w:color w:val="000000" w:themeColor="text1"/>
            <w:shd w:val="clear" w:color="auto" w:fill="FFFFFF"/>
          </w:rPr>
          <w:t> </w:t>
        </w:r>
        <w:r w:rsidR="00917BCC" w:rsidRPr="001D51C5">
          <w:rPr>
            <w:rStyle w:val="Hyperlink"/>
            <w:rFonts w:ascii="David" w:hAnsi="David" w:cs="David"/>
            <w:b/>
            <w:bCs/>
            <w:color w:val="000000" w:themeColor="text1"/>
            <w:u w:val="none"/>
            <w:shd w:val="clear" w:color="auto" w:fill="FFFFFF"/>
            <w:rtl/>
          </w:rPr>
          <w:t xml:space="preserve">שפיר נ' אפל, </w:t>
        </w:r>
      </w:hyperlink>
      <w:r w:rsidR="00917BCC" w:rsidRPr="001D51C5">
        <w:rPr>
          <w:rFonts w:ascii="David" w:hAnsi="David" w:cs="David"/>
          <w:color w:val="000000" w:themeColor="text1"/>
          <w:shd w:val="clear" w:color="auto" w:fill="FFFFFF"/>
        </w:rPr>
        <w:t xml:space="preserve"> </w:t>
      </w:r>
      <w:r w:rsidR="00917BCC" w:rsidRPr="001D51C5">
        <w:rPr>
          <w:rFonts w:ascii="David" w:hAnsi="David" w:cs="David"/>
          <w:color w:val="000000" w:themeColor="text1"/>
          <w:shd w:val="clear" w:color="auto" w:fill="FFFFFF"/>
          <w:rtl/>
        </w:rPr>
        <w:t>פ"ד לט(4) 149</w:t>
      </w:r>
      <w:r w:rsidR="00917BCC" w:rsidRPr="001D51C5">
        <w:rPr>
          <w:rFonts w:ascii="David" w:hAnsi="David" w:cs="David"/>
          <w:color w:val="000000" w:themeColor="text1"/>
          <w:rtl/>
        </w:rPr>
        <w:t>,</w:t>
      </w:r>
      <w:r w:rsidR="00917BCC" w:rsidRPr="001D51C5">
        <w:rPr>
          <w:rFonts w:ascii="David" w:hAnsi="David" w:cs="David"/>
          <w:rtl/>
        </w:rPr>
        <w:t xml:space="preserve"> 153 (1985).</w:t>
      </w:r>
    </w:p>
  </w:footnote>
  <w:footnote w:id="27">
    <w:p w:rsidR="00C730A7" w:rsidRDefault="00C730A7" w:rsidP="00C730A7">
      <w:pPr>
        <w:pStyle w:val="a3"/>
      </w:pPr>
      <w:r>
        <w:rPr>
          <w:rStyle w:val="a5"/>
        </w:rPr>
        <w:footnoteRef/>
      </w:r>
      <w:r>
        <w:rPr>
          <w:rtl/>
        </w:rPr>
        <w:t xml:space="preserve"> </w:t>
      </w:r>
      <w:r w:rsidR="00917BCC">
        <w:rPr>
          <w:rFonts w:ascii="David" w:hAnsi="David" w:cs="David"/>
          <w:color w:val="000000" w:themeColor="text1"/>
          <w:shd w:val="clear" w:color="auto" w:fill="FFFFFF"/>
          <w:rtl/>
        </w:rPr>
        <w:t xml:space="preserve">גבריאלה שלו </w:t>
      </w:r>
      <w:r w:rsidR="00917BCC">
        <w:rPr>
          <w:rFonts w:ascii="David" w:hAnsi="David" w:cs="David"/>
          <w:b/>
          <w:bCs/>
          <w:color w:val="000000" w:themeColor="text1"/>
          <w:shd w:val="clear" w:color="auto" w:fill="FFFFFF"/>
          <w:rtl/>
        </w:rPr>
        <w:t>דיני חוזים החלק הכללי – לקראת קודיפיקציה של המשפט האזרחי</w:t>
      </w:r>
      <w:r w:rsidR="00917BCC">
        <w:rPr>
          <w:rFonts w:ascii="David" w:hAnsi="David" w:cs="David"/>
          <w:color w:val="000000" w:themeColor="text1"/>
          <w:rtl/>
        </w:rPr>
        <w:t xml:space="preserve"> </w:t>
      </w:r>
      <w:r w:rsidR="00917BCC">
        <w:rPr>
          <w:rFonts w:ascii="David" w:hAnsi="David" w:cs="David" w:hint="cs"/>
          <w:color w:val="000000" w:themeColor="text1"/>
          <w:rtl/>
        </w:rPr>
        <w:t>328</w:t>
      </w:r>
      <w:r w:rsidR="00917BCC">
        <w:rPr>
          <w:rFonts w:ascii="David" w:hAnsi="David" w:cs="David"/>
          <w:color w:val="000000" w:themeColor="text1"/>
          <w:shd w:val="clear" w:color="auto" w:fill="FFFFFF"/>
        </w:rPr>
        <w:t xml:space="preserve">)  </w:t>
      </w:r>
      <w:r w:rsidR="00917BCC">
        <w:rPr>
          <w:rFonts w:ascii="David" w:hAnsi="David" w:cs="David" w:hint="cs"/>
          <w:color w:val="000000" w:themeColor="text1"/>
          <w:shd w:val="clear" w:color="auto" w:fill="FFFFFF"/>
          <w:rtl/>
        </w:rPr>
        <w:t>תשס"ה</w:t>
      </w:r>
      <w:r w:rsidR="00917BCC">
        <w:rPr>
          <w:rFonts w:ascii="David" w:hAnsi="David" w:cs="David"/>
          <w:color w:val="000000" w:themeColor="text1"/>
          <w:shd w:val="clear" w:color="auto" w:fill="FFFFFF"/>
        </w:rPr>
        <w:t>(</w:t>
      </w:r>
      <w:r w:rsidR="00917BCC">
        <w:rPr>
          <w:rFonts w:ascii="David" w:hAnsi="David" w:cs="David"/>
          <w:rtl/>
        </w:rPr>
        <w:t>.</w:t>
      </w:r>
    </w:p>
  </w:footnote>
  <w:footnote w:id="28">
    <w:p w:rsidR="00750B7E" w:rsidRPr="009671DE" w:rsidRDefault="00750B7E" w:rsidP="009671DE">
      <w:pPr>
        <w:pStyle w:val="a3"/>
        <w:rPr>
          <w:rFonts w:ascii="David" w:hAnsi="David" w:cs="David"/>
          <w:b/>
          <w:bCs/>
          <w:color w:val="000000" w:themeColor="text1"/>
          <w:shd w:val="clear" w:color="auto" w:fill="FFFFFF"/>
        </w:rPr>
      </w:pPr>
      <w:r>
        <w:rPr>
          <w:rStyle w:val="a5"/>
        </w:rPr>
        <w:footnoteRef/>
      </w:r>
      <w:r>
        <w:rPr>
          <w:rtl/>
        </w:rPr>
        <w:t xml:space="preserve"> </w:t>
      </w:r>
      <w:hyperlink r:id="rId2" w:tgtFrame="_blank" w:history="1">
        <w:r w:rsidR="009671DE" w:rsidRPr="009671DE">
          <w:rPr>
            <w:rStyle w:val="Hyperlink"/>
            <w:rFonts w:ascii="David" w:hAnsi="David" w:cs="David"/>
            <w:color w:val="000000" w:themeColor="text1"/>
            <w:u w:val="none"/>
            <w:shd w:val="clear" w:color="auto" w:fill="FFFFFF"/>
            <w:rtl/>
          </w:rPr>
          <w:t>ע"א 5493/95</w:t>
        </w:r>
        <w:r w:rsidR="009671DE" w:rsidRPr="009671DE">
          <w:rPr>
            <w:rStyle w:val="apple-converted-space"/>
            <w:rFonts w:ascii="David" w:hAnsi="David" w:cs="David"/>
            <w:color w:val="000000" w:themeColor="text1"/>
            <w:shd w:val="clear" w:color="auto" w:fill="FFFFFF"/>
          </w:rPr>
          <w:t> </w:t>
        </w:r>
        <w:r w:rsidR="009671DE" w:rsidRPr="009671DE">
          <w:rPr>
            <w:rStyle w:val="Hyperlink"/>
            <w:rFonts w:ascii="David" w:hAnsi="David" w:cs="David"/>
            <w:b/>
            <w:bCs/>
            <w:color w:val="000000" w:themeColor="text1"/>
            <w:u w:val="none"/>
            <w:shd w:val="clear" w:color="auto" w:fill="FFFFFF"/>
            <w:rtl/>
          </w:rPr>
          <w:t>דיור לעולה בע"מ נ' קרן</w:t>
        </w:r>
      </w:hyperlink>
      <w:r w:rsidR="009671DE">
        <w:rPr>
          <w:rStyle w:val="apple-converted-space"/>
          <w:rFonts w:ascii="David" w:hAnsi="David" w:cs="David"/>
          <w:color w:val="000000" w:themeColor="text1"/>
          <w:shd w:val="clear" w:color="auto" w:fill="FFFFFF"/>
        </w:rPr>
        <w:t>,</w:t>
      </w:r>
      <w:r w:rsidR="009671DE">
        <w:rPr>
          <w:rFonts w:ascii="David" w:hAnsi="David" w:cs="David"/>
          <w:color w:val="000000" w:themeColor="text1"/>
          <w:shd w:val="clear" w:color="auto" w:fill="FFFFFF"/>
          <w:rtl/>
        </w:rPr>
        <w:t xml:space="preserve"> פ"ד נ(4) </w:t>
      </w:r>
      <w:r w:rsidR="009671DE">
        <w:rPr>
          <w:rFonts w:ascii="David" w:hAnsi="David" w:cs="David"/>
          <w:rtl/>
        </w:rPr>
        <w:t>(1996).</w:t>
      </w:r>
    </w:p>
  </w:footnote>
  <w:footnote w:id="29">
    <w:p w:rsidR="00C730A7" w:rsidRDefault="00C730A7" w:rsidP="00C730A7">
      <w:pPr>
        <w:pStyle w:val="a3"/>
        <w:rPr>
          <w:rtl/>
        </w:rPr>
      </w:pPr>
      <w:r>
        <w:rPr>
          <w:rStyle w:val="a5"/>
        </w:rPr>
        <w:footnoteRef/>
      </w:r>
      <w:r>
        <w:rPr>
          <w:rtl/>
        </w:rPr>
        <w:t xml:space="preserve"> </w:t>
      </w:r>
      <w:r w:rsidR="00FB499B">
        <w:rPr>
          <w:rFonts w:ascii="David" w:hAnsi="David" w:cs="David"/>
          <w:color w:val="000000" w:themeColor="text1"/>
          <w:shd w:val="clear" w:color="auto" w:fill="FFFFFF"/>
          <w:rtl/>
        </w:rPr>
        <w:t xml:space="preserve">גבריאלה שלו </w:t>
      </w:r>
      <w:r w:rsidR="00FB499B">
        <w:rPr>
          <w:rFonts w:ascii="David" w:hAnsi="David" w:cs="David"/>
          <w:b/>
          <w:bCs/>
          <w:color w:val="000000" w:themeColor="text1"/>
          <w:shd w:val="clear" w:color="auto" w:fill="FFFFFF"/>
          <w:rtl/>
        </w:rPr>
        <w:t>דיני חוזים החלק הכללי – לקראת קודיפיקציה של המשפט האזרחי</w:t>
      </w:r>
      <w:r w:rsidR="00FB499B">
        <w:rPr>
          <w:rFonts w:ascii="David" w:hAnsi="David" w:cs="David" w:hint="cs"/>
          <w:color w:val="000000" w:themeColor="text1"/>
          <w:rtl/>
        </w:rPr>
        <w:t xml:space="preserve"> 329</w:t>
      </w:r>
      <w:r w:rsidR="00FB499B">
        <w:rPr>
          <w:rFonts w:ascii="David" w:hAnsi="David" w:cs="David"/>
          <w:color w:val="000000" w:themeColor="text1"/>
          <w:shd w:val="clear" w:color="auto" w:fill="FFFFFF"/>
        </w:rPr>
        <w:t xml:space="preserve">)  </w:t>
      </w:r>
      <w:r w:rsidR="00FB499B">
        <w:rPr>
          <w:rFonts w:ascii="David" w:hAnsi="David" w:cs="David" w:hint="cs"/>
          <w:color w:val="000000" w:themeColor="text1"/>
          <w:shd w:val="clear" w:color="auto" w:fill="FFFFFF"/>
          <w:rtl/>
        </w:rPr>
        <w:t>תשס"ה</w:t>
      </w:r>
      <w:r w:rsidR="00FB499B">
        <w:rPr>
          <w:rFonts w:ascii="David" w:hAnsi="David" w:cs="David"/>
          <w:color w:val="000000" w:themeColor="text1"/>
          <w:shd w:val="clear" w:color="auto" w:fill="FFFFFF"/>
        </w:rPr>
        <w:t>(</w:t>
      </w:r>
      <w:r w:rsidR="00FB499B">
        <w:rPr>
          <w:rFonts w:ascii="David" w:hAnsi="David" w:cs="David"/>
          <w:rtl/>
        </w:rPr>
        <w:t>.</w:t>
      </w:r>
    </w:p>
  </w:footnote>
  <w:footnote w:id="30">
    <w:p w:rsidR="00FA271D" w:rsidRPr="00521B5A" w:rsidRDefault="00FA271D">
      <w:pPr>
        <w:pStyle w:val="a3"/>
        <w:rPr>
          <w:rtl/>
        </w:rPr>
      </w:pPr>
      <w:r>
        <w:rPr>
          <w:rStyle w:val="a5"/>
        </w:rPr>
        <w:footnoteRef/>
      </w:r>
      <w:r>
        <w:rPr>
          <w:rtl/>
        </w:rPr>
        <w:t xml:space="preserve"> </w:t>
      </w:r>
      <w:hyperlink r:id="rId3" w:tgtFrame="_blank" w:history="1">
        <w:r w:rsidR="00521B5A" w:rsidRPr="00521B5A">
          <w:rPr>
            <w:rStyle w:val="Hyperlink"/>
            <w:rFonts w:ascii="David" w:hAnsi="David" w:cs="David"/>
            <w:color w:val="auto"/>
            <w:u w:val="none"/>
            <w:shd w:val="clear" w:color="auto" w:fill="FFFFFF"/>
            <w:rtl/>
          </w:rPr>
          <w:t>ע"א 1569/93</w:t>
        </w:r>
        <w:r w:rsidR="00521B5A" w:rsidRPr="00521B5A">
          <w:rPr>
            <w:rStyle w:val="apple-converted-space"/>
            <w:rFonts w:ascii="David" w:hAnsi="David" w:cs="David"/>
            <w:shd w:val="clear" w:color="auto" w:fill="FFFFFF"/>
          </w:rPr>
          <w:t> </w:t>
        </w:r>
        <w:r w:rsidR="00521B5A" w:rsidRPr="00521B5A">
          <w:rPr>
            <w:rStyle w:val="Hyperlink"/>
            <w:rFonts w:ascii="David" w:hAnsi="David" w:cs="David"/>
            <w:b/>
            <w:bCs/>
            <w:color w:val="auto"/>
            <w:u w:val="none"/>
            <w:shd w:val="clear" w:color="auto" w:fill="FFFFFF"/>
            <w:rtl/>
          </w:rPr>
          <w:t xml:space="preserve"> מאיה נ' </w:t>
        </w:r>
        <w:proofErr w:type="spellStart"/>
        <w:r w:rsidR="00521B5A" w:rsidRPr="00521B5A">
          <w:rPr>
            <w:rStyle w:val="Hyperlink"/>
            <w:rFonts w:ascii="David" w:hAnsi="David" w:cs="David"/>
            <w:b/>
            <w:bCs/>
            <w:color w:val="auto"/>
            <w:u w:val="none"/>
            <w:shd w:val="clear" w:color="auto" w:fill="FFFFFF"/>
            <w:rtl/>
          </w:rPr>
          <w:t>פנפורד</w:t>
        </w:r>
        <w:proofErr w:type="spellEnd"/>
      </w:hyperlink>
      <w:r w:rsidR="00521B5A">
        <w:rPr>
          <w:rFonts w:ascii="David" w:hAnsi="David" w:cs="David"/>
          <w:shd w:val="clear" w:color="auto" w:fill="FFFFFF"/>
        </w:rPr>
        <w:t>,</w:t>
      </w:r>
      <w:r w:rsidR="00521B5A">
        <w:rPr>
          <w:rFonts w:ascii="David" w:hAnsi="David" w:cs="David" w:hint="cs"/>
          <w:shd w:val="clear" w:color="auto" w:fill="FFFFFF"/>
          <w:rtl/>
        </w:rPr>
        <w:t xml:space="preserve"> פ"ד מח(5) 705 </w:t>
      </w:r>
      <w:r w:rsidR="00EC6099">
        <w:rPr>
          <w:rFonts w:ascii="David" w:hAnsi="David" w:cs="David" w:hint="cs"/>
          <w:shd w:val="clear" w:color="auto" w:fill="FFFFFF"/>
          <w:rtl/>
        </w:rPr>
        <w:t>(1994), פסק דינו של השופט שמגר בעמ' 740</w:t>
      </w:r>
    </w:p>
  </w:footnote>
  <w:footnote w:id="31">
    <w:p w:rsidR="00D60CBF" w:rsidRDefault="00D60CBF">
      <w:pPr>
        <w:pStyle w:val="a3"/>
      </w:pPr>
      <w:r>
        <w:rPr>
          <w:rStyle w:val="a5"/>
        </w:rPr>
        <w:footnoteRef/>
      </w:r>
      <w:r>
        <w:rPr>
          <w:rtl/>
        </w:rPr>
        <w:t xml:space="preserve"> </w:t>
      </w:r>
      <w:hyperlink r:id="rId4" w:tgtFrame="_blank" w:history="1">
        <w:r w:rsidR="00EC6099" w:rsidRPr="00521B5A">
          <w:rPr>
            <w:rStyle w:val="Hyperlink"/>
            <w:rFonts w:ascii="David" w:hAnsi="David" w:cs="David"/>
            <w:color w:val="auto"/>
            <w:u w:val="none"/>
            <w:shd w:val="clear" w:color="auto" w:fill="FFFFFF"/>
            <w:rtl/>
          </w:rPr>
          <w:t>ע"א 1569/93</w:t>
        </w:r>
        <w:r w:rsidR="00EC6099" w:rsidRPr="00521B5A">
          <w:rPr>
            <w:rStyle w:val="apple-converted-space"/>
            <w:rFonts w:ascii="David" w:hAnsi="David" w:cs="David"/>
            <w:shd w:val="clear" w:color="auto" w:fill="FFFFFF"/>
          </w:rPr>
          <w:t> </w:t>
        </w:r>
        <w:r w:rsidR="00EC6099" w:rsidRPr="00521B5A">
          <w:rPr>
            <w:rStyle w:val="Hyperlink"/>
            <w:rFonts w:ascii="David" w:hAnsi="David" w:cs="David"/>
            <w:b/>
            <w:bCs/>
            <w:color w:val="auto"/>
            <w:u w:val="none"/>
            <w:shd w:val="clear" w:color="auto" w:fill="FFFFFF"/>
            <w:rtl/>
          </w:rPr>
          <w:t xml:space="preserve"> מאיה נ' </w:t>
        </w:r>
        <w:proofErr w:type="spellStart"/>
        <w:r w:rsidR="00EC6099" w:rsidRPr="00521B5A">
          <w:rPr>
            <w:rStyle w:val="Hyperlink"/>
            <w:rFonts w:ascii="David" w:hAnsi="David" w:cs="David"/>
            <w:b/>
            <w:bCs/>
            <w:color w:val="auto"/>
            <w:u w:val="none"/>
            <w:shd w:val="clear" w:color="auto" w:fill="FFFFFF"/>
            <w:rtl/>
          </w:rPr>
          <w:t>פנפורד</w:t>
        </w:r>
        <w:proofErr w:type="spellEnd"/>
      </w:hyperlink>
      <w:r w:rsidR="00EC6099">
        <w:rPr>
          <w:rFonts w:ascii="David" w:hAnsi="David" w:cs="David"/>
          <w:shd w:val="clear" w:color="auto" w:fill="FFFFFF"/>
        </w:rPr>
        <w:t>,</w:t>
      </w:r>
      <w:r w:rsidR="00EC6099">
        <w:rPr>
          <w:rFonts w:ascii="David" w:hAnsi="David" w:cs="David" w:hint="cs"/>
          <w:shd w:val="clear" w:color="auto" w:fill="FFFFFF"/>
          <w:rtl/>
        </w:rPr>
        <w:t xml:space="preserve"> פ"ד מח(5) 705, 722 (1994)</w:t>
      </w:r>
    </w:p>
  </w:footnote>
  <w:footnote w:id="32">
    <w:p w:rsidR="00C730A7" w:rsidRDefault="00C730A7" w:rsidP="00C730A7">
      <w:pPr>
        <w:pStyle w:val="a3"/>
      </w:pPr>
      <w:r>
        <w:rPr>
          <w:rStyle w:val="a5"/>
        </w:rPr>
        <w:footnoteRef/>
      </w:r>
      <w:r>
        <w:rPr>
          <w:rtl/>
        </w:rPr>
        <w:t xml:space="preserve"> </w:t>
      </w:r>
      <w:r w:rsidR="00FB499B">
        <w:rPr>
          <w:rFonts w:ascii="David" w:hAnsi="David" w:cs="David"/>
          <w:color w:val="000000" w:themeColor="text1"/>
          <w:shd w:val="clear" w:color="auto" w:fill="FFFFFF"/>
          <w:rtl/>
        </w:rPr>
        <w:t xml:space="preserve">גבריאלה שלו </w:t>
      </w:r>
      <w:r w:rsidR="00FB499B">
        <w:rPr>
          <w:rFonts w:ascii="David" w:hAnsi="David" w:cs="David"/>
          <w:b/>
          <w:bCs/>
          <w:color w:val="000000" w:themeColor="text1"/>
          <w:shd w:val="clear" w:color="auto" w:fill="FFFFFF"/>
          <w:rtl/>
        </w:rPr>
        <w:t>דיני חוזים החלק הכללי – לקראת קודיפיקציה של המשפט האזרחי</w:t>
      </w:r>
      <w:r w:rsidR="00FB499B">
        <w:rPr>
          <w:rFonts w:ascii="David" w:hAnsi="David" w:cs="David"/>
          <w:color w:val="000000" w:themeColor="text1"/>
          <w:rtl/>
        </w:rPr>
        <w:t xml:space="preserve"> </w:t>
      </w:r>
      <w:r w:rsidR="00FB499B">
        <w:rPr>
          <w:rFonts w:ascii="David" w:hAnsi="David" w:cs="David" w:hint="cs"/>
          <w:color w:val="000000" w:themeColor="text1"/>
          <w:rtl/>
        </w:rPr>
        <w:t>333</w:t>
      </w:r>
      <w:r w:rsidR="00FB499B">
        <w:rPr>
          <w:rFonts w:ascii="David" w:hAnsi="David" w:cs="David"/>
          <w:color w:val="000000" w:themeColor="text1"/>
          <w:shd w:val="clear" w:color="auto" w:fill="FFFFFF"/>
        </w:rPr>
        <w:t xml:space="preserve">)  </w:t>
      </w:r>
      <w:r w:rsidR="00FB499B">
        <w:rPr>
          <w:rFonts w:ascii="David" w:hAnsi="David" w:cs="David" w:hint="cs"/>
          <w:color w:val="000000" w:themeColor="text1"/>
          <w:shd w:val="clear" w:color="auto" w:fill="FFFFFF"/>
          <w:rtl/>
        </w:rPr>
        <w:t>תשס"ה</w:t>
      </w:r>
      <w:r w:rsidR="00FB499B">
        <w:rPr>
          <w:rFonts w:ascii="David" w:hAnsi="David" w:cs="David"/>
          <w:color w:val="000000" w:themeColor="text1"/>
          <w:shd w:val="clear" w:color="auto" w:fill="FFFFFF"/>
        </w:rPr>
        <w:t>(</w:t>
      </w:r>
      <w:r w:rsidR="00FB499B">
        <w:rPr>
          <w:rFonts w:ascii="David" w:hAnsi="David" w:cs="David"/>
          <w:rtl/>
        </w:rPr>
        <w:t>.</w:t>
      </w:r>
    </w:p>
  </w:footnote>
  <w:footnote w:id="33">
    <w:p w:rsidR="00C730A7" w:rsidRPr="00F75E6F" w:rsidRDefault="00C730A7" w:rsidP="00F75E6F">
      <w:pPr>
        <w:pStyle w:val="a3"/>
      </w:pPr>
      <w:r>
        <w:rPr>
          <w:rStyle w:val="a5"/>
        </w:rPr>
        <w:footnoteRef/>
      </w:r>
      <w:r>
        <w:rPr>
          <w:rtl/>
        </w:rPr>
        <w:t xml:space="preserve"> </w:t>
      </w:r>
      <w:r w:rsidR="00F75E6F">
        <w:rPr>
          <w:rFonts w:ascii="David" w:hAnsi="David" w:cs="David"/>
          <w:rtl/>
        </w:rPr>
        <w:t xml:space="preserve">סעיף </w:t>
      </w:r>
      <w:r w:rsidR="00240105">
        <w:rPr>
          <w:rFonts w:ascii="David" w:hAnsi="David" w:cs="David" w:hint="cs"/>
          <w:rtl/>
        </w:rPr>
        <w:t xml:space="preserve">17 </w:t>
      </w:r>
      <w:r w:rsidR="00F75E6F">
        <w:rPr>
          <w:rFonts w:ascii="David" w:hAnsi="David" w:cs="David" w:hint="cs"/>
          <w:rtl/>
        </w:rPr>
        <w:t>ל</w:t>
      </w:r>
      <w:r w:rsidR="00F75E6F">
        <w:rPr>
          <w:rFonts w:ascii="David" w:hAnsi="David" w:cs="David"/>
          <w:rtl/>
        </w:rPr>
        <w:t>חוק החוזים(חלק כללי) התשל"ג-1973</w:t>
      </w:r>
    </w:p>
  </w:footnote>
  <w:footnote w:id="34">
    <w:p w:rsidR="001E4BF6" w:rsidRDefault="001E4BF6">
      <w:pPr>
        <w:pStyle w:val="a3"/>
      </w:pPr>
      <w:r>
        <w:rPr>
          <w:rStyle w:val="a5"/>
        </w:rPr>
        <w:footnoteRef/>
      </w:r>
      <w:r>
        <w:rPr>
          <w:rtl/>
        </w:rPr>
        <w:t xml:space="preserve"> </w:t>
      </w:r>
      <w:hyperlink r:id="rId5" w:tgtFrame="_blank" w:history="1">
        <w:r w:rsidR="00F75E6F" w:rsidRPr="00F75E6F">
          <w:rPr>
            <w:rStyle w:val="Hyperlink"/>
            <w:rFonts w:ascii="David" w:hAnsi="David" w:cs="David"/>
            <w:color w:val="auto"/>
            <w:u w:val="none"/>
            <w:shd w:val="clear" w:color="auto" w:fill="FFFFFF"/>
            <w:rtl/>
          </w:rPr>
          <w:t>ע"א 8/88</w:t>
        </w:r>
        <w:r w:rsidR="00F75E6F" w:rsidRPr="00F75E6F">
          <w:rPr>
            <w:rStyle w:val="Hyperlink"/>
            <w:rFonts w:ascii="David" w:hAnsi="David" w:cs="David"/>
            <w:b/>
            <w:bCs/>
            <w:color w:val="auto"/>
            <w:u w:val="none"/>
            <w:shd w:val="clear" w:color="auto" w:fill="FFFFFF"/>
            <w:rtl/>
          </w:rPr>
          <w:t xml:space="preserve"> רחמים בע"מ נ' </w:t>
        </w:r>
        <w:proofErr w:type="spellStart"/>
        <w:r w:rsidR="00F75E6F" w:rsidRPr="00F75E6F">
          <w:rPr>
            <w:rStyle w:val="Hyperlink"/>
            <w:rFonts w:ascii="David" w:hAnsi="David" w:cs="David"/>
            <w:b/>
            <w:bCs/>
            <w:color w:val="auto"/>
            <w:u w:val="none"/>
            <w:shd w:val="clear" w:color="auto" w:fill="FFFFFF"/>
            <w:rtl/>
          </w:rPr>
          <w:t>אקספומדיה</w:t>
        </w:r>
        <w:proofErr w:type="spellEnd"/>
        <w:r w:rsidR="00F75E6F" w:rsidRPr="00F75E6F">
          <w:rPr>
            <w:rStyle w:val="Hyperlink"/>
            <w:rFonts w:ascii="David" w:hAnsi="David" w:cs="David"/>
            <w:b/>
            <w:bCs/>
            <w:color w:val="auto"/>
            <w:u w:val="none"/>
            <w:shd w:val="clear" w:color="auto" w:fill="FFFFFF"/>
            <w:rtl/>
          </w:rPr>
          <w:t xml:space="preserve"> בע"מ</w:t>
        </w:r>
      </w:hyperlink>
      <w:r w:rsidR="00F75E6F" w:rsidRPr="00F75E6F">
        <w:rPr>
          <w:rFonts w:ascii="David" w:hAnsi="David" w:cs="David"/>
          <w:shd w:val="clear" w:color="auto" w:fill="FFFFFF"/>
          <w:rtl/>
        </w:rPr>
        <w:t xml:space="preserve"> </w:t>
      </w:r>
      <w:r w:rsidR="00F75E6F" w:rsidRPr="00F75E6F">
        <w:rPr>
          <w:rFonts w:ascii="David" w:hAnsi="David" w:cs="David"/>
          <w:shd w:val="clear" w:color="auto" w:fill="FFFFFF"/>
        </w:rPr>
        <w:t>,</w:t>
      </w:r>
      <w:r w:rsidR="00F75E6F" w:rsidRPr="00F75E6F">
        <w:rPr>
          <w:rFonts w:ascii="David" w:hAnsi="David" w:cs="David" w:hint="cs"/>
          <w:shd w:val="clear" w:color="auto" w:fill="FFFFFF"/>
          <w:rtl/>
        </w:rPr>
        <w:t>פ"</w:t>
      </w:r>
      <w:r w:rsidR="00F75E6F">
        <w:rPr>
          <w:rFonts w:ascii="David" w:hAnsi="David" w:cs="David" w:hint="cs"/>
          <w:shd w:val="clear" w:color="auto" w:fill="FFFFFF"/>
          <w:rtl/>
        </w:rPr>
        <w:t>ד מג(4) 95,</w:t>
      </w:r>
      <w:r w:rsidR="00F75E6F">
        <w:rPr>
          <w:rFonts w:ascii="David" w:hAnsi="David" w:cs="David"/>
          <w:rtl/>
        </w:rPr>
        <w:t xml:space="preserve"> </w:t>
      </w:r>
      <w:r w:rsidR="00122D29">
        <w:rPr>
          <w:rFonts w:ascii="David" w:hAnsi="David" w:cs="David" w:hint="cs"/>
          <w:rtl/>
        </w:rPr>
        <w:t xml:space="preserve">99 </w:t>
      </w:r>
      <w:r w:rsidR="00F75E6F">
        <w:rPr>
          <w:rFonts w:ascii="David" w:hAnsi="David" w:cs="David"/>
          <w:rtl/>
        </w:rPr>
        <w:t>(1989).</w:t>
      </w:r>
    </w:p>
  </w:footnote>
  <w:footnote w:id="35">
    <w:p w:rsidR="00675EF3" w:rsidRDefault="00675EF3">
      <w:pPr>
        <w:pStyle w:val="a3"/>
      </w:pPr>
      <w:r>
        <w:rPr>
          <w:rStyle w:val="a5"/>
        </w:rPr>
        <w:footnoteRef/>
      </w:r>
      <w:r>
        <w:rPr>
          <w:rtl/>
        </w:rPr>
        <w:t xml:space="preserve"> </w:t>
      </w:r>
      <w:r w:rsidR="006B7104">
        <w:rPr>
          <w:rFonts w:ascii="David" w:hAnsi="David" w:cs="David"/>
          <w:rtl/>
        </w:rPr>
        <w:t xml:space="preserve">סעיף </w:t>
      </w:r>
      <w:r w:rsidR="006B7104">
        <w:rPr>
          <w:rFonts w:ascii="David" w:hAnsi="David" w:cs="David" w:hint="cs"/>
          <w:rtl/>
        </w:rPr>
        <w:t>17(ב) ל</w:t>
      </w:r>
      <w:r w:rsidR="006B7104">
        <w:rPr>
          <w:rFonts w:ascii="David" w:hAnsi="David" w:cs="David"/>
          <w:rtl/>
        </w:rPr>
        <w:t>חוק החוזים(חלק כללי) התשל"ג-1973</w:t>
      </w:r>
    </w:p>
  </w:footnote>
  <w:footnote w:id="36">
    <w:p w:rsidR="005342C3" w:rsidRDefault="005342C3" w:rsidP="005342C3">
      <w:pPr>
        <w:pStyle w:val="a3"/>
      </w:pPr>
      <w:r w:rsidRPr="003F7F75">
        <w:rPr>
          <w:rStyle w:val="a5"/>
          <w:rFonts w:ascii="David" w:hAnsi="David" w:cs="David"/>
        </w:rPr>
        <w:footnoteRef/>
      </w:r>
      <w:r w:rsidRPr="003F7F75">
        <w:rPr>
          <w:rFonts w:ascii="David" w:hAnsi="David" w:cs="David"/>
          <w:rtl/>
        </w:rPr>
        <w:t xml:space="preserve"> </w:t>
      </w:r>
      <w:r>
        <w:rPr>
          <w:rFonts w:ascii="David" w:hAnsi="David" w:cs="David"/>
          <w:rtl/>
        </w:rPr>
        <w:t xml:space="preserve">כפי שנטען </w:t>
      </w:r>
      <w:r>
        <w:rPr>
          <w:rFonts w:ascii="David" w:hAnsi="David" w:cs="David" w:hint="cs"/>
          <w:rtl/>
        </w:rPr>
        <w:t>גם ב</w:t>
      </w:r>
      <w:hyperlink r:id="rId6" w:tgtFrame="_blank" w:history="1">
        <w:r w:rsidRPr="00F75E6F">
          <w:rPr>
            <w:rStyle w:val="Hyperlink"/>
            <w:rFonts w:ascii="David" w:hAnsi="David" w:cs="David"/>
            <w:color w:val="auto"/>
            <w:u w:val="none"/>
            <w:shd w:val="clear" w:color="auto" w:fill="FFFFFF"/>
            <w:rtl/>
          </w:rPr>
          <w:t>ע"א 8/88</w:t>
        </w:r>
        <w:r w:rsidRPr="00F75E6F">
          <w:rPr>
            <w:rStyle w:val="Hyperlink"/>
            <w:rFonts w:ascii="David" w:hAnsi="David" w:cs="David"/>
            <w:b/>
            <w:bCs/>
            <w:color w:val="auto"/>
            <w:u w:val="none"/>
            <w:shd w:val="clear" w:color="auto" w:fill="FFFFFF"/>
            <w:rtl/>
          </w:rPr>
          <w:t xml:space="preserve"> רחמים בע"מ נ' </w:t>
        </w:r>
        <w:proofErr w:type="spellStart"/>
        <w:r w:rsidRPr="00F75E6F">
          <w:rPr>
            <w:rStyle w:val="Hyperlink"/>
            <w:rFonts w:ascii="David" w:hAnsi="David" w:cs="David"/>
            <w:b/>
            <w:bCs/>
            <w:color w:val="auto"/>
            <w:u w:val="none"/>
            <w:shd w:val="clear" w:color="auto" w:fill="FFFFFF"/>
            <w:rtl/>
          </w:rPr>
          <w:t>אקספומדיה</w:t>
        </w:r>
        <w:proofErr w:type="spellEnd"/>
        <w:r w:rsidRPr="00F75E6F">
          <w:rPr>
            <w:rStyle w:val="Hyperlink"/>
            <w:rFonts w:ascii="David" w:hAnsi="David" w:cs="David"/>
            <w:b/>
            <w:bCs/>
            <w:color w:val="auto"/>
            <w:u w:val="none"/>
            <w:shd w:val="clear" w:color="auto" w:fill="FFFFFF"/>
            <w:rtl/>
          </w:rPr>
          <w:t xml:space="preserve"> בע"מ</w:t>
        </w:r>
      </w:hyperlink>
      <w:r w:rsidRPr="00F75E6F">
        <w:rPr>
          <w:rFonts w:ascii="David" w:hAnsi="David" w:cs="David"/>
          <w:shd w:val="clear" w:color="auto" w:fill="FFFFFF"/>
          <w:rtl/>
        </w:rPr>
        <w:t xml:space="preserve"> </w:t>
      </w:r>
      <w:r w:rsidRPr="00F75E6F">
        <w:rPr>
          <w:rFonts w:ascii="David" w:hAnsi="David" w:cs="David"/>
          <w:shd w:val="clear" w:color="auto" w:fill="FFFFFF"/>
        </w:rPr>
        <w:t>,</w:t>
      </w:r>
      <w:r w:rsidRPr="00F75E6F">
        <w:rPr>
          <w:rFonts w:ascii="David" w:hAnsi="David" w:cs="David" w:hint="cs"/>
          <w:shd w:val="clear" w:color="auto" w:fill="FFFFFF"/>
          <w:rtl/>
        </w:rPr>
        <w:t>פ"</w:t>
      </w:r>
      <w:r>
        <w:rPr>
          <w:rFonts w:ascii="David" w:hAnsi="David" w:cs="David" w:hint="cs"/>
          <w:shd w:val="clear" w:color="auto" w:fill="FFFFFF"/>
          <w:rtl/>
        </w:rPr>
        <w:t>ד מג(4) 95,</w:t>
      </w:r>
      <w:r>
        <w:rPr>
          <w:rFonts w:ascii="David" w:hAnsi="David" w:cs="David"/>
          <w:rtl/>
        </w:rPr>
        <w:t xml:space="preserve"> </w:t>
      </w:r>
      <w:r>
        <w:rPr>
          <w:rFonts w:ascii="David" w:hAnsi="David" w:cs="David" w:hint="cs"/>
          <w:rtl/>
        </w:rPr>
        <w:t xml:space="preserve">99 </w:t>
      </w:r>
      <w:r>
        <w:rPr>
          <w:rFonts w:ascii="David" w:hAnsi="David" w:cs="David"/>
          <w:rtl/>
        </w:rPr>
        <w:t>(1989).</w:t>
      </w:r>
    </w:p>
  </w:footnote>
  <w:footnote w:id="37">
    <w:p w:rsidR="00F50BEB" w:rsidRPr="00086A20" w:rsidRDefault="00F50BEB" w:rsidP="00086A20">
      <w:pPr>
        <w:pStyle w:val="a3"/>
        <w:rPr>
          <w:rFonts w:ascii="David" w:hAnsi="David" w:cs="David"/>
        </w:rPr>
      </w:pPr>
      <w:r>
        <w:rPr>
          <w:rStyle w:val="a5"/>
        </w:rPr>
        <w:footnoteRef/>
      </w:r>
      <w:r>
        <w:rPr>
          <w:rtl/>
        </w:rPr>
        <w:t xml:space="preserve"> </w:t>
      </w:r>
      <w:hyperlink r:id="rId7" w:tgtFrame="_blank" w:history="1">
        <w:r w:rsidR="006B7104" w:rsidRPr="00917BCC">
          <w:rPr>
            <w:rStyle w:val="Hyperlink"/>
            <w:rFonts w:ascii="David" w:hAnsi="David" w:cs="David"/>
            <w:color w:val="000000" w:themeColor="text1"/>
            <w:u w:val="none"/>
            <w:shd w:val="clear" w:color="auto" w:fill="FFFFFF"/>
            <w:rtl/>
          </w:rPr>
          <w:t>ע"א 784/81</w:t>
        </w:r>
        <w:r w:rsidR="006B7104" w:rsidRPr="00917BCC">
          <w:rPr>
            <w:rStyle w:val="apple-converted-space"/>
            <w:rFonts w:ascii="David" w:hAnsi="David" w:cs="David"/>
            <w:color w:val="000000" w:themeColor="text1"/>
            <w:shd w:val="clear" w:color="auto" w:fill="FFFFFF"/>
          </w:rPr>
          <w:t> </w:t>
        </w:r>
        <w:r w:rsidR="006B7104" w:rsidRPr="00917BCC">
          <w:rPr>
            <w:rStyle w:val="Hyperlink"/>
            <w:rFonts w:ascii="David" w:hAnsi="David" w:cs="David"/>
            <w:b/>
            <w:bCs/>
            <w:color w:val="000000" w:themeColor="text1"/>
            <w:u w:val="none"/>
            <w:shd w:val="clear" w:color="auto" w:fill="FFFFFF"/>
            <w:rtl/>
          </w:rPr>
          <w:t xml:space="preserve">שפיר נ' אפל, </w:t>
        </w:r>
      </w:hyperlink>
      <w:r w:rsidR="006B7104" w:rsidRPr="00917BCC">
        <w:rPr>
          <w:rFonts w:ascii="David" w:hAnsi="David" w:cs="David"/>
          <w:color w:val="000000" w:themeColor="text1"/>
          <w:shd w:val="clear" w:color="auto" w:fill="FFFFFF"/>
        </w:rPr>
        <w:t xml:space="preserve"> </w:t>
      </w:r>
      <w:r w:rsidR="006B7104" w:rsidRPr="00917BCC">
        <w:rPr>
          <w:rFonts w:ascii="David" w:hAnsi="David" w:cs="David"/>
          <w:color w:val="000000" w:themeColor="text1"/>
          <w:shd w:val="clear" w:color="auto" w:fill="FFFFFF"/>
          <w:rtl/>
        </w:rPr>
        <w:t>פ"</w:t>
      </w:r>
      <w:r w:rsidR="006B7104">
        <w:rPr>
          <w:rFonts w:ascii="David" w:hAnsi="David" w:cs="David"/>
          <w:color w:val="000000" w:themeColor="text1"/>
          <w:shd w:val="clear" w:color="auto" w:fill="FFFFFF"/>
          <w:rtl/>
        </w:rPr>
        <w:t>ד לט(4) 149</w:t>
      </w:r>
      <w:r w:rsidR="006B7104">
        <w:rPr>
          <w:rFonts w:ascii="David" w:hAnsi="David" w:cs="David"/>
          <w:color w:val="000000" w:themeColor="text1"/>
          <w:rtl/>
        </w:rPr>
        <w:t>,</w:t>
      </w:r>
      <w:r w:rsidR="006B7104">
        <w:rPr>
          <w:rFonts w:ascii="David" w:hAnsi="David" w:cs="David"/>
          <w:rtl/>
        </w:rPr>
        <w:t xml:space="preserve"> 1</w:t>
      </w:r>
      <w:r w:rsidR="00086A20">
        <w:rPr>
          <w:rFonts w:ascii="David" w:hAnsi="David" w:cs="David" w:hint="cs"/>
          <w:rtl/>
        </w:rPr>
        <w:t>54</w:t>
      </w:r>
      <w:r w:rsidR="006B7104">
        <w:rPr>
          <w:rFonts w:ascii="David" w:hAnsi="David" w:cs="David"/>
          <w:rtl/>
        </w:rPr>
        <w:t xml:space="preserve"> (1985).</w:t>
      </w:r>
    </w:p>
  </w:footnote>
  <w:footnote w:id="38">
    <w:p w:rsidR="00AB2822" w:rsidRPr="003F7F75" w:rsidRDefault="00AB2822">
      <w:pPr>
        <w:pStyle w:val="a3"/>
        <w:rPr>
          <w:rFonts w:ascii="David" w:hAnsi="David" w:cs="David"/>
        </w:rPr>
      </w:pPr>
      <w:r>
        <w:rPr>
          <w:rStyle w:val="a5"/>
        </w:rPr>
        <w:footnoteRef/>
      </w:r>
      <w:r>
        <w:rPr>
          <w:rtl/>
        </w:rPr>
        <w:t xml:space="preserve"> </w:t>
      </w:r>
      <w:r w:rsidR="00240105">
        <w:rPr>
          <w:rFonts w:ascii="David" w:hAnsi="David" w:cs="David"/>
          <w:rtl/>
        </w:rPr>
        <w:t xml:space="preserve">סעיף </w:t>
      </w:r>
      <w:r w:rsidR="00240105" w:rsidRPr="003F7F75">
        <w:rPr>
          <w:rFonts w:ascii="David" w:hAnsi="David" w:cs="David"/>
          <w:rtl/>
        </w:rPr>
        <w:t>18 לחוק החוזים(חלק כללי) התשל"ג-1973</w:t>
      </w:r>
    </w:p>
  </w:footnote>
  <w:footnote w:id="39">
    <w:p w:rsidR="00443EEA" w:rsidRPr="003F7F75" w:rsidRDefault="00443EEA">
      <w:pPr>
        <w:pStyle w:val="a3"/>
        <w:rPr>
          <w:rFonts w:ascii="David" w:hAnsi="David" w:cs="David"/>
          <w:rtl/>
        </w:rPr>
      </w:pPr>
      <w:r w:rsidRPr="003F7F75">
        <w:rPr>
          <w:rStyle w:val="a5"/>
          <w:rFonts w:ascii="David" w:hAnsi="David" w:cs="David"/>
        </w:rPr>
        <w:footnoteRef/>
      </w:r>
      <w:r w:rsidRPr="003F7F75">
        <w:rPr>
          <w:rFonts w:ascii="David" w:hAnsi="David" w:cs="David"/>
          <w:rtl/>
        </w:rPr>
        <w:t xml:space="preserve"> </w:t>
      </w:r>
      <w:r w:rsidR="003F7F75" w:rsidRPr="003F7F75">
        <w:rPr>
          <w:rFonts w:ascii="David" w:hAnsi="David" w:cs="David"/>
          <w:rtl/>
        </w:rPr>
        <w:t>בעילת העושק על כל התנאים להיות מצטברים "אין די בהוכחת ניצול של מצוקה או של חולשה או של חוסר ניסיון, אלא יש להצביע גם על תנאי חוזה הגרועים מן המקובל" ג</w:t>
      </w:r>
      <w:r w:rsidR="003F7F75" w:rsidRPr="003F7F75">
        <w:rPr>
          <w:rFonts w:ascii="David" w:hAnsi="David" w:cs="David"/>
          <w:color w:val="000000" w:themeColor="text1"/>
          <w:shd w:val="clear" w:color="auto" w:fill="FFFFFF"/>
          <w:rtl/>
        </w:rPr>
        <w:t xml:space="preserve">בריאלה שלו </w:t>
      </w:r>
      <w:r w:rsidR="003F7F75" w:rsidRPr="003F7F75">
        <w:rPr>
          <w:rFonts w:ascii="David" w:hAnsi="David" w:cs="David"/>
          <w:b/>
          <w:bCs/>
          <w:color w:val="000000" w:themeColor="text1"/>
          <w:shd w:val="clear" w:color="auto" w:fill="FFFFFF"/>
          <w:rtl/>
        </w:rPr>
        <w:t>דיני חוזים החלק הכללי – לקראת קודיפיקציה של המשפט האזרחי</w:t>
      </w:r>
      <w:r w:rsidR="003F7F75" w:rsidRPr="003F7F75">
        <w:rPr>
          <w:rFonts w:ascii="David" w:hAnsi="David" w:cs="David"/>
          <w:color w:val="000000" w:themeColor="text1"/>
          <w:rtl/>
        </w:rPr>
        <w:t xml:space="preserve"> 350-351</w:t>
      </w:r>
      <w:r w:rsidR="003F7F75" w:rsidRPr="003F7F75">
        <w:rPr>
          <w:rFonts w:ascii="David" w:hAnsi="David" w:cs="David"/>
          <w:color w:val="000000" w:themeColor="text1"/>
          <w:shd w:val="clear" w:color="auto" w:fill="FFFFFF"/>
        </w:rPr>
        <w:t xml:space="preserve">)  </w:t>
      </w:r>
      <w:r w:rsidR="003F7F75" w:rsidRPr="003F7F75">
        <w:rPr>
          <w:rFonts w:ascii="David" w:hAnsi="David" w:cs="David"/>
          <w:color w:val="000000" w:themeColor="text1"/>
          <w:shd w:val="clear" w:color="auto" w:fill="FFFFFF"/>
          <w:rtl/>
        </w:rPr>
        <w:t>תשס"ה</w:t>
      </w:r>
      <w:r w:rsidR="003F7F75" w:rsidRPr="003F7F75">
        <w:rPr>
          <w:rFonts w:ascii="David" w:hAnsi="David" w:cs="David"/>
          <w:color w:val="000000" w:themeColor="text1"/>
          <w:shd w:val="clear" w:color="auto" w:fill="FFFFFF"/>
        </w:rPr>
        <w:t>(</w:t>
      </w:r>
      <w:r w:rsidR="003F7F75" w:rsidRPr="003F7F75">
        <w:rPr>
          <w:rFonts w:ascii="David" w:hAnsi="David" w:cs="David"/>
          <w:rtl/>
        </w:rPr>
        <w:t>.</w:t>
      </w:r>
    </w:p>
  </w:footnote>
  <w:footnote w:id="40">
    <w:p w:rsidR="00443EEA" w:rsidRPr="003F7F75" w:rsidRDefault="00443EEA" w:rsidP="006E2FDA">
      <w:pPr>
        <w:pStyle w:val="a3"/>
        <w:rPr>
          <w:rFonts w:ascii="David" w:hAnsi="David" w:cs="David"/>
          <w:rtl/>
        </w:rPr>
      </w:pPr>
      <w:r w:rsidRPr="003F7F75">
        <w:rPr>
          <w:rStyle w:val="a5"/>
          <w:rFonts w:ascii="David" w:hAnsi="David" w:cs="David"/>
        </w:rPr>
        <w:footnoteRef/>
      </w:r>
      <w:r w:rsidRPr="003F7F75">
        <w:rPr>
          <w:rFonts w:ascii="David" w:hAnsi="David" w:cs="David"/>
          <w:rtl/>
        </w:rPr>
        <w:t xml:space="preserve"> </w:t>
      </w:r>
      <w:hyperlink r:id="rId8" w:tgtFrame="_blank" w:history="1">
        <w:r w:rsidR="00E22ABA" w:rsidRPr="00E22ABA">
          <w:rPr>
            <w:rStyle w:val="Hyperlink"/>
            <w:rFonts w:ascii="David" w:hAnsi="David" w:cs="David"/>
            <w:color w:val="auto"/>
            <w:u w:val="none"/>
            <w:shd w:val="clear" w:color="auto" w:fill="FFFFFF"/>
            <w:rtl/>
          </w:rPr>
          <w:t>ע"א 403/80</w:t>
        </w:r>
        <w:r w:rsidR="00E22ABA" w:rsidRPr="00E22ABA">
          <w:rPr>
            <w:rStyle w:val="apple-converted-space"/>
            <w:rFonts w:ascii="David" w:hAnsi="David" w:cs="David"/>
            <w:shd w:val="clear" w:color="auto" w:fill="FFFFFF"/>
          </w:rPr>
          <w:t> </w:t>
        </w:r>
        <w:proofErr w:type="spellStart"/>
        <w:r w:rsidR="00E22ABA" w:rsidRPr="00E22ABA">
          <w:rPr>
            <w:rStyle w:val="Hyperlink"/>
            <w:rFonts w:ascii="David" w:hAnsi="David" w:cs="David"/>
            <w:b/>
            <w:bCs/>
            <w:color w:val="auto"/>
            <w:u w:val="none"/>
            <w:shd w:val="clear" w:color="auto" w:fill="FFFFFF"/>
            <w:rtl/>
          </w:rPr>
          <w:t>סאסי</w:t>
        </w:r>
        <w:proofErr w:type="spellEnd"/>
        <w:r w:rsidR="00E22ABA" w:rsidRPr="00E22ABA">
          <w:rPr>
            <w:rStyle w:val="Hyperlink"/>
            <w:rFonts w:ascii="David" w:hAnsi="David" w:cs="David"/>
            <w:b/>
            <w:bCs/>
            <w:color w:val="auto"/>
            <w:u w:val="none"/>
            <w:shd w:val="clear" w:color="auto" w:fill="FFFFFF"/>
            <w:rtl/>
          </w:rPr>
          <w:t xml:space="preserve"> נ' </w:t>
        </w:r>
        <w:proofErr w:type="spellStart"/>
        <w:r w:rsidR="00E22ABA" w:rsidRPr="00E22ABA">
          <w:rPr>
            <w:rStyle w:val="Hyperlink"/>
            <w:rFonts w:ascii="David" w:hAnsi="David" w:cs="David"/>
            <w:b/>
            <w:bCs/>
            <w:color w:val="auto"/>
            <w:u w:val="none"/>
            <w:shd w:val="clear" w:color="auto" w:fill="FFFFFF"/>
            <w:rtl/>
          </w:rPr>
          <w:t>קיקאון</w:t>
        </w:r>
        <w:proofErr w:type="spellEnd"/>
      </w:hyperlink>
      <w:r w:rsidR="00E22ABA" w:rsidRPr="00E22ABA">
        <w:rPr>
          <w:rFonts w:ascii="David" w:hAnsi="David" w:cs="David"/>
          <w:shd w:val="clear" w:color="auto" w:fill="FFFFFF"/>
          <w:rtl/>
        </w:rPr>
        <w:t xml:space="preserve"> </w:t>
      </w:r>
      <w:r w:rsidR="00E22ABA" w:rsidRPr="00E22ABA">
        <w:rPr>
          <w:rFonts w:ascii="David" w:hAnsi="David" w:cs="David"/>
          <w:shd w:val="clear" w:color="auto" w:fill="FFFFFF"/>
        </w:rPr>
        <w:t>,</w:t>
      </w:r>
      <w:r w:rsidR="00E22ABA">
        <w:rPr>
          <w:rFonts w:ascii="David" w:hAnsi="David" w:cs="David" w:hint="cs"/>
          <w:shd w:val="clear" w:color="auto" w:fill="FFFFFF"/>
          <w:rtl/>
        </w:rPr>
        <w:t>פ"ד לו(1</w:t>
      </w:r>
      <w:r w:rsidR="00E47D98">
        <w:rPr>
          <w:rFonts w:ascii="David" w:hAnsi="David" w:cs="David" w:hint="cs"/>
          <w:shd w:val="clear" w:color="auto" w:fill="FFFFFF"/>
          <w:rtl/>
        </w:rPr>
        <w:t>) 762,</w:t>
      </w:r>
      <w:r w:rsidR="00E22ABA">
        <w:rPr>
          <w:rFonts w:ascii="David" w:hAnsi="David" w:cs="David" w:hint="cs"/>
          <w:shd w:val="clear" w:color="auto" w:fill="FFFFFF"/>
          <w:rtl/>
        </w:rPr>
        <w:t xml:space="preserve"> </w:t>
      </w:r>
      <w:r w:rsidR="00E22ABA">
        <w:rPr>
          <w:rFonts w:ascii="David" w:hAnsi="David" w:cs="David"/>
          <w:rtl/>
        </w:rPr>
        <w:t>767 (1981)</w:t>
      </w:r>
      <w:r w:rsidR="00E22ABA">
        <w:rPr>
          <w:rFonts w:ascii="David" w:hAnsi="David" w:cs="David" w:hint="cs"/>
          <w:rtl/>
        </w:rPr>
        <w:t xml:space="preserve"> </w:t>
      </w:r>
      <w:r w:rsidR="006E2FDA" w:rsidRPr="003F7F75">
        <w:rPr>
          <w:rFonts w:ascii="David" w:hAnsi="David" w:cs="David"/>
          <w:rtl/>
        </w:rPr>
        <w:t xml:space="preserve">וגם ע"א 2041/05 </w:t>
      </w:r>
      <w:proofErr w:type="spellStart"/>
      <w:r w:rsidR="006E2FDA" w:rsidRPr="003F7F75">
        <w:rPr>
          <w:rFonts w:ascii="David" w:hAnsi="David" w:cs="David"/>
          <w:b/>
          <w:bCs/>
          <w:rtl/>
        </w:rPr>
        <w:t>מחקשווילי</w:t>
      </w:r>
      <w:proofErr w:type="spellEnd"/>
      <w:r w:rsidR="006E2FDA" w:rsidRPr="003F7F75">
        <w:rPr>
          <w:rFonts w:ascii="David" w:hAnsi="David" w:cs="David"/>
          <w:b/>
          <w:bCs/>
          <w:rtl/>
        </w:rPr>
        <w:t xml:space="preserve"> נ' </w:t>
      </w:r>
      <w:proofErr w:type="spellStart"/>
      <w:r w:rsidR="006E2FDA" w:rsidRPr="003F7F75">
        <w:rPr>
          <w:rFonts w:ascii="David" w:hAnsi="David" w:cs="David"/>
          <w:b/>
          <w:bCs/>
          <w:rtl/>
        </w:rPr>
        <w:t>מיכקשווילי</w:t>
      </w:r>
      <w:proofErr w:type="spellEnd"/>
      <w:r w:rsidR="006E2FDA" w:rsidRPr="003F7F75">
        <w:rPr>
          <w:rFonts w:ascii="David" w:hAnsi="David" w:cs="David"/>
          <w:b/>
          <w:bCs/>
          <w:rtl/>
        </w:rPr>
        <w:t>,</w:t>
      </w:r>
      <w:r w:rsidR="00E22ABA">
        <w:rPr>
          <w:rFonts w:ascii="David" w:hAnsi="David" w:cs="David"/>
          <w:rtl/>
        </w:rPr>
        <w:t xml:space="preserve"> תק-על 2007(4) 2223</w:t>
      </w:r>
      <w:r w:rsidR="00E22ABA">
        <w:rPr>
          <w:rFonts w:ascii="David" w:hAnsi="David" w:cs="David" w:hint="cs"/>
          <w:rtl/>
        </w:rPr>
        <w:t xml:space="preserve">, </w:t>
      </w:r>
      <w:r w:rsidR="006E2FDA" w:rsidRPr="003F7F75">
        <w:rPr>
          <w:rFonts w:ascii="David" w:hAnsi="David" w:cs="David"/>
          <w:rtl/>
        </w:rPr>
        <w:t xml:space="preserve">בעמ' 14 </w:t>
      </w:r>
    </w:p>
  </w:footnote>
  <w:footnote w:id="41">
    <w:p w:rsidR="00A63313" w:rsidRPr="003F7F75" w:rsidRDefault="00A63313" w:rsidP="00E22ABA">
      <w:pPr>
        <w:pStyle w:val="a3"/>
        <w:rPr>
          <w:rFonts w:ascii="David" w:hAnsi="David" w:cs="David"/>
        </w:rPr>
      </w:pPr>
      <w:r w:rsidRPr="003F7F75">
        <w:rPr>
          <w:rStyle w:val="a5"/>
          <w:rFonts w:ascii="David" w:hAnsi="David" w:cs="David"/>
        </w:rPr>
        <w:footnoteRef/>
      </w:r>
      <w:r w:rsidRPr="003F7F75">
        <w:rPr>
          <w:rFonts w:ascii="David" w:hAnsi="David" w:cs="David"/>
          <w:rtl/>
        </w:rPr>
        <w:t xml:space="preserve"> </w:t>
      </w:r>
      <w:r w:rsidR="00E22ABA" w:rsidRPr="003F7F75">
        <w:rPr>
          <w:rFonts w:ascii="David" w:hAnsi="David" w:cs="David"/>
          <w:rtl/>
        </w:rPr>
        <w:t>ג</w:t>
      </w:r>
      <w:r w:rsidR="00E22ABA" w:rsidRPr="003F7F75">
        <w:rPr>
          <w:rFonts w:ascii="David" w:hAnsi="David" w:cs="David"/>
          <w:color w:val="000000" w:themeColor="text1"/>
          <w:shd w:val="clear" w:color="auto" w:fill="FFFFFF"/>
          <w:rtl/>
        </w:rPr>
        <w:t xml:space="preserve">בריאלה שלו </w:t>
      </w:r>
      <w:r w:rsidR="00E22ABA" w:rsidRPr="003F7F75">
        <w:rPr>
          <w:rFonts w:ascii="David" w:hAnsi="David" w:cs="David"/>
          <w:b/>
          <w:bCs/>
          <w:color w:val="000000" w:themeColor="text1"/>
          <w:shd w:val="clear" w:color="auto" w:fill="FFFFFF"/>
          <w:rtl/>
        </w:rPr>
        <w:t>דיני חוזים החלק הכללי – לקראת קודיפיקציה של המשפט האזרחי</w:t>
      </w:r>
      <w:r w:rsidR="00E22ABA" w:rsidRPr="003F7F75">
        <w:rPr>
          <w:rFonts w:ascii="David" w:hAnsi="David" w:cs="David"/>
          <w:color w:val="000000" w:themeColor="text1"/>
          <w:rtl/>
        </w:rPr>
        <w:t xml:space="preserve"> </w:t>
      </w:r>
      <w:r w:rsidR="00E22ABA">
        <w:rPr>
          <w:rFonts w:ascii="David" w:hAnsi="David" w:cs="David" w:hint="cs"/>
          <w:color w:val="000000" w:themeColor="text1"/>
          <w:rtl/>
        </w:rPr>
        <w:t>344</w:t>
      </w:r>
      <w:r w:rsidR="00E22ABA">
        <w:rPr>
          <w:rFonts w:ascii="David" w:hAnsi="David" w:cs="David" w:hint="cs"/>
          <w:color w:val="000000" w:themeColor="text1"/>
          <w:shd w:val="clear" w:color="auto" w:fill="FFFFFF"/>
          <w:rtl/>
        </w:rPr>
        <w:t xml:space="preserve"> (</w:t>
      </w:r>
      <w:r w:rsidR="00E22ABA" w:rsidRPr="003F7F75">
        <w:rPr>
          <w:rFonts w:ascii="David" w:hAnsi="David" w:cs="David"/>
          <w:color w:val="000000" w:themeColor="text1"/>
          <w:shd w:val="clear" w:color="auto" w:fill="FFFFFF"/>
          <w:rtl/>
        </w:rPr>
        <w:t>תשס"ה</w:t>
      </w:r>
      <w:r w:rsidR="00E22ABA" w:rsidRPr="003F7F75">
        <w:rPr>
          <w:rFonts w:ascii="David" w:hAnsi="David" w:cs="David"/>
          <w:color w:val="000000" w:themeColor="text1"/>
          <w:shd w:val="clear" w:color="auto" w:fill="FFFFFF"/>
        </w:rPr>
        <w:t>(</w:t>
      </w:r>
      <w:r w:rsidR="00E22ABA" w:rsidRPr="003F7F75">
        <w:rPr>
          <w:rFonts w:ascii="David" w:hAnsi="David" w:cs="David"/>
          <w:rtl/>
        </w:rPr>
        <w:t>.</w:t>
      </w:r>
    </w:p>
  </w:footnote>
  <w:footnote w:id="42">
    <w:p w:rsidR="00806A47" w:rsidRPr="003F7F75" w:rsidRDefault="00806A47">
      <w:pPr>
        <w:pStyle w:val="a3"/>
        <w:rPr>
          <w:rFonts w:ascii="David" w:hAnsi="David" w:cs="David"/>
        </w:rPr>
      </w:pPr>
      <w:r w:rsidRPr="003F7F75">
        <w:rPr>
          <w:rStyle w:val="a5"/>
          <w:rFonts w:ascii="David" w:hAnsi="David" w:cs="David"/>
        </w:rPr>
        <w:footnoteRef/>
      </w:r>
      <w:r w:rsidRPr="003F7F75">
        <w:rPr>
          <w:rFonts w:ascii="David" w:hAnsi="David" w:cs="David"/>
          <w:rtl/>
        </w:rPr>
        <w:t xml:space="preserve"> </w:t>
      </w:r>
      <w:r w:rsidR="000D6752">
        <w:rPr>
          <w:rFonts w:ascii="David" w:hAnsi="David" w:cs="David"/>
          <w:rtl/>
        </w:rPr>
        <w:t xml:space="preserve">סעיף </w:t>
      </w:r>
      <w:r w:rsidR="000D6752" w:rsidRPr="003F7F75">
        <w:rPr>
          <w:rFonts w:ascii="David" w:hAnsi="David" w:cs="David"/>
          <w:rtl/>
        </w:rPr>
        <w:t>1</w:t>
      </w:r>
      <w:r w:rsidR="000D6752">
        <w:rPr>
          <w:rFonts w:ascii="David" w:hAnsi="David" w:cs="David" w:hint="cs"/>
          <w:rtl/>
        </w:rPr>
        <w:t xml:space="preserve">2 </w:t>
      </w:r>
      <w:r w:rsidR="000D6752" w:rsidRPr="003F7F75">
        <w:rPr>
          <w:rFonts w:ascii="David" w:hAnsi="David" w:cs="David"/>
          <w:rtl/>
        </w:rPr>
        <w:t>לחוק החוזים(חלק כללי) התשל"ג-1973</w:t>
      </w:r>
    </w:p>
  </w:footnote>
  <w:footnote w:id="43">
    <w:p w:rsidR="00806A47" w:rsidRPr="003F7F75" w:rsidRDefault="00806A47">
      <w:pPr>
        <w:pStyle w:val="a3"/>
        <w:rPr>
          <w:rFonts w:ascii="David" w:hAnsi="David" w:cs="David"/>
          <w:rtl/>
        </w:rPr>
      </w:pPr>
      <w:r w:rsidRPr="003F7F75">
        <w:rPr>
          <w:rStyle w:val="a5"/>
          <w:rFonts w:ascii="David" w:hAnsi="David" w:cs="David"/>
        </w:rPr>
        <w:footnoteRef/>
      </w:r>
      <w:r w:rsidRPr="003F7F75">
        <w:rPr>
          <w:rFonts w:ascii="David" w:hAnsi="David" w:cs="David"/>
          <w:rtl/>
        </w:rPr>
        <w:t xml:space="preserve"> </w:t>
      </w:r>
      <w:hyperlink r:id="rId9" w:tgtFrame="_blank" w:history="1">
        <w:r w:rsidR="00B268D9" w:rsidRPr="00917BCC">
          <w:rPr>
            <w:rStyle w:val="Hyperlink"/>
            <w:rFonts w:ascii="David" w:hAnsi="David" w:cs="David"/>
            <w:color w:val="000000" w:themeColor="text1"/>
            <w:u w:val="none"/>
            <w:shd w:val="clear" w:color="auto" w:fill="FFFFFF"/>
            <w:rtl/>
          </w:rPr>
          <w:t>ע"א 784/81</w:t>
        </w:r>
        <w:r w:rsidR="00B268D9" w:rsidRPr="00917BCC">
          <w:rPr>
            <w:rStyle w:val="apple-converted-space"/>
            <w:rFonts w:ascii="David" w:hAnsi="David" w:cs="David"/>
            <w:color w:val="000000" w:themeColor="text1"/>
            <w:shd w:val="clear" w:color="auto" w:fill="FFFFFF"/>
          </w:rPr>
          <w:t> </w:t>
        </w:r>
        <w:r w:rsidR="00B268D9" w:rsidRPr="00917BCC">
          <w:rPr>
            <w:rStyle w:val="Hyperlink"/>
            <w:rFonts w:ascii="David" w:hAnsi="David" w:cs="David"/>
            <w:b/>
            <w:bCs/>
            <w:color w:val="000000" w:themeColor="text1"/>
            <w:u w:val="none"/>
            <w:shd w:val="clear" w:color="auto" w:fill="FFFFFF"/>
            <w:rtl/>
          </w:rPr>
          <w:t xml:space="preserve">שפיר נ' אפל, </w:t>
        </w:r>
      </w:hyperlink>
      <w:r w:rsidR="00B268D9" w:rsidRPr="00917BCC">
        <w:rPr>
          <w:rFonts w:ascii="David" w:hAnsi="David" w:cs="David"/>
          <w:color w:val="000000" w:themeColor="text1"/>
          <w:shd w:val="clear" w:color="auto" w:fill="FFFFFF"/>
        </w:rPr>
        <w:t xml:space="preserve"> </w:t>
      </w:r>
      <w:r w:rsidR="00B268D9" w:rsidRPr="00917BCC">
        <w:rPr>
          <w:rFonts w:ascii="David" w:hAnsi="David" w:cs="David"/>
          <w:color w:val="000000" w:themeColor="text1"/>
          <w:shd w:val="clear" w:color="auto" w:fill="FFFFFF"/>
          <w:rtl/>
        </w:rPr>
        <w:t>פ"</w:t>
      </w:r>
      <w:r w:rsidR="00B268D9">
        <w:rPr>
          <w:rFonts w:ascii="David" w:hAnsi="David" w:cs="David"/>
          <w:color w:val="000000" w:themeColor="text1"/>
          <w:shd w:val="clear" w:color="auto" w:fill="FFFFFF"/>
          <w:rtl/>
        </w:rPr>
        <w:t>ד לט(4) 149</w:t>
      </w:r>
      <w:r w:rsidR="00B268D9">
        <w:rPr>
          <w:rFonts w:ascii="David" w:hAnsi="David" w:cs="David"/>
          <w:color w:val="000000" w:themeColor="text1"/>
          <w:rtl/>
        </w:rPr>
        <w:t>,</w:t>
      </w:r>
      <w:r w:rsidR="00B268D9">
        <w:rPr>
          <w:rFonts w:ascii="David" w:hAnsi="David" w:cs="David"/>
          <w:rtl/>
        </w:rPr>
        <w:t xml:space="preserve"> </w:t>
      </w:r>
      <w:r w:rsidR="00B268D9">
        <w:rPr>
          <w:rFonts w:ascii="David" w:hAnsi="David" w:cs="David" w:hint="cs"/>
          <w:rtl/>
        </w:rPr>
        <w:t>157</w:t>
      </w:r>
      <w:r w:rsidR="00B268D9">
        <w:rPr>
          <w:rFonts w:ascii="David" w:hAnsi="David" w:cs="David"/>
          <w:rtl/>
        </w:rPr>
        <w:t xml:space="preserve"> (1985).</w:t>
      </w:r>
    </w:p>
  </w:footnote>
  <w:footnote w:id="44">
    <w:p w:rsidR="00DF27EC" w:rsidRPr="003F7F75" w:rsidRDefault="00DF27EC">
      <w:pPr>
        <w:pStyle w:val="a3"/>
        <w:rPr>
          <w:rFonts w:ascii="David" w:hAnsi="David" w:cs="David"/>
        </w:rPr>
      </w:pPr>
      <w:r w:rsidRPr="003F7F75">
        <w:rPr>
          <w:rStyle w:val="a5"/>
          <w:rFonts w:ascii="David" w:hAnsi="David" w:cs="David"/>
        </w:rPr>
        <w:footnoteRef/>
      </w:r>
      <w:r w:rsidRPr="003F7F75">
        <w:rPr>
          <w:rFonts w:ascii="David" w:hAnsi="David" w:cs="David"/>
          <w:rtl/>
        </w:rPr>
        <w:t xml:space="preserve"> </w:t>
      </w:r>
      <w:r w:rsidR="000D6752">
        <w:rPr>
          <w:rFonts w:ascii="David" w:hAnsi="David" w:cs="David"/>
          <w:rtl/>
        </w:rPr>
        <w:t xml:space="preserve">סעיף </w:t>
      </w:r>
      <w:r w:rsidR="000D6752" w:rsidRPr="003F7F75">
        <w:rPr>
          <w:rFonts w:ascii="David" w:hAnsi="David" w:cs="David"/>
          <w:rtl/>
        </w:rPr>
        <w:t>18 לחוק החוזים(חלק כללי) התשל"ג-1973</w:t>
      </w:r>
    </w:p>
  </w:footnote>
  <w:footnote w:id="45">
    <w:p w:rsidR="003F5A1F" w:rsidRPr="003F7F75" w:rsidRDefault="003F5A1F" w:rsidP="00E22ABA">
      <w:pPr>
        <w:pStyle w:val="a3"/>
        <w:rPr>
          <w:rFonts w:ascii="David" w:hAnsi="David" w:cs="David"/>
          <w:rtl/>
        </w:rPr>
      </w:pPr>
      <w:r w:rsidRPr="003F7F75">
        <w:rPr>
          <w:rStyle w:val="a5"/>
          <w:rFonts w:ascii="David" w:hAnsi="David" w:cs="David"/>
        </w:rPr>
        <w:footnoteRef/>
      </w:r>
      <w:r w:rsidRPr="003F7F75">
        <w:rPr>
          <w:rFonts w:ascii="David" w:hAnsi="David" w:cs="David"/>
          <w:rtl/>
        </w:rPr>
        <w:t xml:space="preserve"> </w:t>
      </w:r>
      <w:r w:rsidR="00E22ABA" w:rsidRPr="003F7F75">
        <w:rPr>
          <w:rFonts w:ascii="David" w:hAnsi="David" w:cs="David"/>
          <w:rtl/>
        </w:rPr>
        <w:t>ג</w:t>
      </w:r>
      <w:r w:rsidR="00E22ABA" w:rsidRPr="003F7F75">
        <w:rPr>
          <w:rFonts w:ascii="David" w:hAnsi="David" w:cs="David"/>
          <w:color w:val="000000" w:themeColor="text1"/>
          <w:shd w:val="clear" w:color="auto" w:fill="FFFFFF"/>
          <w:rtl/>
        </w:rPr>
        <w:t xml:space="preserve">בריאלה שלו </w:t>
      </w:r>
      <w:r w:rsidR="00E22ABA" w:rsidRPr="003F7F75">
        <w:rPr>
          <w:rFonts w:ascii="David" w:hAnsi="David" w:cs="David"/>
          <w:b/>
          <w:bCs/>
          <w:color w:val="000000" w:themeColor="text1"/>
          <w:shd w:val="clear" w:color="auto" w:fill="FFFFFF"/>
          <w:rtl/>
        </w:rPr>
        <w:t>דיני חוזים החלק הכללי – לקראת קודיפיקציה של המשפט האזרחי</w:t>
      </w:r>
      <w:r w:rsidR="00E22ABA" w:rsidRPr="003F7F75">
        <w:rPr>
          <w:rFonts w:ascii="David" w:hAnsi="David" w:cs="David"/>
          <w:color w:val="000000" w:themeColor="text1"/>
          <w:rtl/>
        </w:rPr>
        <w:t xml:space="preserve"> </w:t>
      </w:r>
      <w:r w:rsidR="00E22ABA">
        <w:rPr>
          <w:rFonts w:ascii="David" w:hAnsi="David" w:cs="David" w:hint="cs"/>
          <w:color w:val="000000" w:themeColor="text1"/>
          <w:rtl/>
        </w:rPr>
        <w:t>346</w:t>
      </w:r>
      <w:r w:rsidR="00E22ABA" w:rsidRPr="003F7F75">
        <w:rPr>
          <w:rFonts w:ascii="David" w:hAnsi="David" w:cs="David"/>
          <w:color w:val="000000" w:themeColor="text1"/>
          <w:shd w:val="clear" w:color="auto" w:fill="FFFFFF"/>
        </w:rPr>
        <w:t xml:space="preserve">)  </w:t>
      </w:r>
      <w:r w:rsidR="00E22ABA" w:rsidRPr="003F7F75">
        <w:rPr>
          <w:rFonts w:ascii="David" w:hAnsi="David" w:cs="David"/>
          <w:color w:val="000000" w:themeColor="text1"/>
          <w:shd w:val="clear" w:color="auto" w:fill="FFFFFF"/>
          <w:rtl/>
        </w:rPr>
        <w:t>תשס"ה</w:t>
      </w:r>
      <w:r w:rsidR="00E22ABA" w:rsidRPr="003F7F75">
        <w:rPr>
          <w:rFonts w:ascii="David" w:hAnsi="David" w:cs="David"/>
          <w:color w:val="000000" w:themeColor="text1"/>
          <w:shd w:val="clear" w:color="auto" w:fill="FFFFFF"/>
        </w:rPr>
        <w:t>(</w:t>
      </w:r>
      <w:r w:rsidR="00E22ABA" w:rsidRPr="003F7F75">
        <w:rPr>
          <w:rFonts w:ascii="David" w:hAnsi="David" w:cs="David"/>
          <w:rtl/>
        </w:rPr>
        <w:t>.</w:t>
      </w:r>
    </w:p>
  </w:footnote>
  <w:footnote w:id="46">
    <w:p w:rsidR="005213DD" w:rsidRPr="003F7F75" w:rsidRDefault="005213DD">
      <w:pPr>
        <w:pStyle w:val="a3"/>
        <w:rPr>
          <w:rFonts w:ascii="David" w:hAnsi="David" w:cs="David"/>
          <w:rtl/>
        </w:rPr>
      </w:pPr>
      <w:r w:rsidRPr="003F7F75">
        <w:rPr>
          <w:rStyle w:val="a5"/>
          <w:rFonts w:ascii="David" w:hAnsi="David" w:cs="David"/>
        </w:rPr>
        <w:footnoteRef/>
      </w:r>
      <w:r w:rsidRPr="003F7F75">
        <w:rPr>
          <w:rFonts w:ascii="David" w:hAnsi="David" w:cs="David"/>
          <w:rtl/>
        </w:rPr>
        <w:t xml:space="preserve"> </w:t>
      </w:r>
      <w:r w:rsidR="00565691">
        <w:rPr>
          <w:rFonts w:ascii="David" w:hAnsi="David" w:cs="David"/>
          <w:rtl/>
        </w:rPr>
        <w:t xml:space="preserve">דוגמא </w:t>
      </w:r>
      <w:r w:rsidR="00AA0F7A" w:rsidRPr="003F7F75">
        <w:rPr>
          <w:rFonts w:ascii="David" w:hAnsi="David" w:cs="David"/>
          <w:rtl/>
        </w:rPr>
        <w:t>ללחץ במעמד חתימת חוז</w:t>
      </w:r>
      <w:r w:rsidR="00FA7412">
        <w:rPr>
          <w:rFonts w:ascii="David" w:hAnsi="David" w:cs="David"/>
          <w:rtl/>
        </w:rPr>
        <w:t xml:space="preserve">ה ושיבוש שיקול הדעת ניתן לראות </w:t>
      </w:r>
      <w:r w:rsidR="00FA7412">
        <w:rPr>
          <w:rFonts w:ascii="David" w:hAnsi="David" w:cs="David" w:hint="cs"/>
          <w:rtl/>
        </w:rPr>
        <w:t xml:space="preserve">בע"א 700/38, </w:t>
      </w:r>
      <w:r w:rsidR="00FA7412">
        <w:rPr>
          <w:rFonts w:ascii="David" w:hAnsi="David" w:cs="David" w:hint="cs"/>
          <w:b/>
          <w:bCs/>
          <w:rtl/>
        </w:rPr>
        <w:t>כהן נ' הרשקוביץ</w:t>
      </w:r>
      <w:r w:rsidR="00FA7412">
        <w:rPr>
          <w:rFonts w:ascii="David" w:hAnsi="David" w:cs="David" w:hint="cs"/>
          <w:rtl/>
        </w:rPr>
        <w:t>, פ"ד לט (4) 471</w:t>
      </w:r>
      <w:r w:rsidR="002552CB">
        <w:rPr>
          <w:rFonts w:ascii="David" w:hAnsi="David" w:cs="David" w:hint="cs"/>
          <w:rtl/>
        </w:rPr>
        <w:t xml:space="preserve"> (1985)</w:t>
      </w:r>
    </w:p>
  </w:footnote>
  <w:footnote w:id="47">
    <w:p w:rsidR="006A2AEA" w:rsidRPr="003A4F57" w:rsidRDefault="006A2AEA">
      <w:pPr>
        <w:pStyle w:val="a3"/>
        <w:rPr>
          <w:rFonts w:ascii="David" w:hAnsi="David" w:cs="David"/>
        </w:rPr>
      </w:pPr>
      <w:r w:rsidRPr="003F7F75">
        <w:rPr>
          <w:rStyle w:val="a5"/>
          <w:rFonts w:ascii="David" w:hAnsi="David" w:cs="David"/>
        </w:rPr>
        <w:footnoteRef/>
      </w:r>
      <w:r w:rsidRPr="003F7F75">
        <w:rPr>
          <w:rFonts w:ascii="David" w:hAnsi="David" w:cs="David"/>
          <w:rtl/>
        </w:rPr>
        <w:t xml:space="preserve"> </w:t>
      </w:r>
      <w:r w:rsidR="000D6752">
        <w:rPr>
          <w:rFonts w:ascii="David" w:hAnsi="David" w:cs="David"/>
          <w:rtl/>
        </w:rPr>
        <w:t xml:space="preserve">סעיף </w:t>
      </w:r>
      <w:r w:rsidR="000D6752" w:rsidRPr="003F7F75">
        <w:rPr>
          <w:rFonts w:ascii="David" w:hAnsi="David" w:cs="David"/>
          <w:rtl/>
        </w:rPr>
        <w:t xml:space="preserve">18 לחוק החוזים(חלק כללי) </w:t>
      </w:r>
      <w:r w:rsidR="000D6752" w:rsidRPr="003A4F57">
        <w:rPr>
          <w:rFonts w:ascii="David" w:hAnsi="David" w:cs="David"/>
          <w:rtl/>
        </w:rPr>
        <w:t>התשל"ג-1973</w:t>
      </w:r>
    </w:p>
  </w:footnote>
  <w:footnote w:id="48">
    <w:p w:rsidR="00B3362D" w:rsidRPr="003F7F75" w:rsidRDefault="00B3362D">
      <w:pPr>
        <w:pStyle w:val="a3"/>
        <w:rPr>
          <w:rFonts w:ascii="David" w:hAnsi="David" w:cs="David"/>
        </w:rPr>
      </w:pPr>
      <w:r w:rsidRPr="003A4F57">
        <w:rPr>
          <w:rStyle w:val="a5"/>
          <w:rFonts w:ascii="David" w:hAnsi="David" w:cs="David"/>
        </w:rPr>
        <w:footnoteRef/>
      </w:r>
      <w:r w:rsidRPr="003A4F57">
        <w:rPr>
          <w:rFonts w:ascii="David" w:hAnsi="David" w:cs="David"/>
          <w:rtl/>
        </w:rPr>
        <w:t xml:space="preserve"> </w:t>
      </w:r>
      <w:r w:rsidR="003872C8" w:rsidRPr="003A4F57">
        <w:rPr>
          <w:rFonts w:ascii="David" w:hAnsi="David" w:cs="David"/>
          <w:rtl/>
        </w:rPr>
        <w:t xml:space="preserve">ע"א 719/78 </w:t>
      </w:r>
      <w:proofErr w:type="spellStart"/>
      <w:r w:rsidR="003872C8" w:rsidRPr="003A4F57">
        <w:rPr>
          <w:rFonts w:ascii="David" w:hAnsi="David" w:cs="David"/>
          <w:b/>
          <w:bCs/>
          <w:rtl/>
        </w:rPr>
        <w:t>איליט</w:t>
      </w:r>
      <w:proofErr w:type="spellEnd"/>
      <w:r w:rsidR="003872C8" w:rsidRPr="003A4F57">
        <w:rPr>
          <w:rFonts w:ascii="David" w:hAnsi="David" w:cs="David"/>
          <w:b/>
          <w:bCs/>
          <w:rtl/>
        </w:rPr>
        <w:t xml:space="preserve"> נ' אלקו, </w:t>
      </w:r>
      <w:r w:rsidR="003872C8" w:rsidRPr="003A4F57">
        <w:rPr>
          <w:rFonts w:ascii="David" w:hAnsi="David" w:cs="David"/>
          <w:rtl/>
        </w:rPr>
        <w:t xml:space="preserve">פ"ד לד(4) 673, 681 (1991) וגם </w:t>
      </w:r>
      <w:hyperlink r:id="rId10" w:tgtFrame="_blank" w:history="1">
        <w:r w:rsidR="003872C8" w:rsidRPr="003A4F57">
          <w:rPr>
            <w:rStyle w:val="Hyperlink"/>
            <w:rFonts w:ascii="David" w:hAnsi="David" w:cs="David"/>
            <w:color w:val="auto"/>
            <w:u w:val="none"/>
            <w:shd w:val="clear" w:color="auto" w:fill="FFFFFF"/>
            <w:rtl/>
          </w:rPr>
          <w:t>ע"א 403/80</w:t>
        </w:r>
        <w:r w:rsidR="003872C8" w:rsidRPr="003A4F57">
          <w:rPr>
            <w:rStyle w:val="apple-converted-space"/>
            <w:rFonts w:ascii="David" w:hAnsi="David" w:cs="David"/>
            <w:shd w:val="clear" w:color="auto" w:fill="FFFFFF"/>
          </w:rPr>
          <w:t> </w:t>
        </w:r>
        <w:proofErr w:type="spellStart"/>
        <w:r w:rsidR="003872C8" w:rsidRPr="003A4F57">
          <w:rPr>
            <w:rStyle w:val="Hyperlink"/>
            <w:rFonts w:ascii="David" w:hAnsi="David" w:cs="David"/>
            <w:b/>
            <w:bCs/>
            <w:color w:val="auto"/>
            <w:u w:val="none"/>
            <w:shd w:val="clear" w:color="auto" w:fill="FFFFFF"/>
            <w:rtl/>
          </w:rPr>
          <w:t>סאסי</w:t>
        </w:r>
        <w:proofErr w:type="spellEnd"/>
        <w:r w:rsidR="003872C8" w:rsidRPr="003A4F57">
          <w:rPr>
            <w:rStyle w:val="Hyperlink"/>
            <w:rFonts w:ascii="David" w:hAnsi="David" w:cs="David"/>
            <w:b/>
            <w:bCs/>
            <w:color w:val="auto"/>
            <w:u w:val="none"/>
            <w:shd w:val="clear" w:color="auto" w:fill="FFFFFF"/>
            <w:rtl/>
          </w:rPr>
          <w:t xml:space="preserve"> נ' </w:t>
        </w:r>
        <w:proofErr w:type="spellStart"/>
        <w:r w:rsidR="003872C8" w:rsidRPr="003A4F57">
          <w:rPr>
            <w:rStyle w:val="Hyperlink"/>
            <w:rFonts w:ascii="David" w:hAnsi="David" w:cs="David"/>
            <w:b/>
            <w:bCs/>
            <w:color w:val="auto"/>
            <w:u w:val="none"/>
            <w:shd w:val="clear" w:color="auto" w:fill="FFFFFF"/>
            <w:rtl/>
          </w:rPr>
          <w:t>קיקאון</w:t>
        </w:r>
        <w:proofErr w:type="spellEnd"/>
      </w:hyperlink>
      <w:r w:rsidR="003872C8" w:rsidRPr="003A4F57">
        <w:rPr>
          <w:rFonts w:ascii="David" w:hAnsi="David" w:cs="David"/>
          <w:shd w:val="clear" w:color="auto" w:fill="FFFFFF"/>
          <w:rtl/>
        </w:rPr>
        <w:t xml:space="preserve"> </w:t>
      </w:r>
      <w:r w:rsidR="003872C8" w:rsidRPr="003A4F57">
        <w:rPr>
          <w:rFonts w:ascii="David" w:hAnsi="David" w:cs="David"/>
          <w:shd w:val="clear" w:color="auto" w:fill="FFFFFF"/>
        </w:rPr>
        <w:t>,</w:t>
      </w:r>
      <w:r w:rsidR="003872C8" w:rsidRPr="003A4F57">
        <w:rPr>
          <w:rFonts w:ascii="David" w:hAnsi="David" w:cs="David"/>
          <w:shd w:val="clear" w:color="auto" w:fill="FFFFFF"/>
          <w:rtl/>
        </w:rPr>
        <w:t>פ"ד לו(1)</w:t>
      </w:r>
      <w:r w:rsidR="00E47D98">
        <w:rPr>
          <w:rFonts w:ascii="David" w:hAnsi="David" w:cs="David" w:hint="cs"/>
          <w:shd w:val="clear" w:color="auto" w:fill="FFFFFF"/>
          <w:rtl/>
        </w:rPr>
        <w:t xml:space="preserve"> 762,</w:t>
      </w:r>
      <w:r w:rsidR="003872C8" w:rsidRPr="003A4F57">
        <w:rPr>
          <w:rFonts w:ascii="David" w:hAnsi="David" w:cs="David"/>
          <w:shd w:val="clear" w:color="auto" w:fill="FFFFFF"/>
          <w:rtl/>
        </w:rPr>
        <w:t xml:space="preserve"> </w:t>
      </w:r>
      <w:r w:rsidR="003872C8" w:rsidRPr="003A4F57">
        <w:rPr>
          <w:rFonts w:ascii="David" w:hAnsi="David" w:cs="David"/>
          <w:rtl/>
        </w:rPr>
        <w:t>769 (1981)</w:t>
      </w:r>
    </w:p>
  </w:footnote>
  <w:footnote w:id="49">
    <w:p w:rsidR="00E81031" w:rsidRPr="003F7F75" w:rsidRDefault="00E81031" w:rsidP="000C173F">
      <w:pPr>
        <w:pStyle w:val="a3"/>
        <w:rPr>
          <w:rFonts w:ascii="David" w:hAnsi="David" w:cs="David"/>
        </w:rPr>
      </w:pPr>
      <w:r w:rsidRPr="003F7F75">
        <w:rPr>
          <w:rStyle w:val="a5"/>
          <w:rFonts w:ascii="David" w:hAnsi="David" w:cs="David"/>
        </w:rPr>
        <w:footnoteRef/>
      </w:r>
      <w:r w:rsidRPr="003F7F75">
        <w:rPr>
          <w:rFonts w:ascii="David" w:hAnsi="David" w:cs="David"/>
          <w:rtl/>
        </w:rPr>
        <w:t xml:space="preserve"> </w:t>
      </w:r>
      <w:r w:rsidR="000C173F" w:rsidRPr="003F7F75">
        <w:rPr>
          <w:rFonts w:ascii="David" w:hAnsi="David" w:cs="David"/>
          <w:rtl/>
        </w:rPr>
        <w:t xml:space="preserve">ע"א 2041/05 </w:t>
      </w:r>
      <w:proofErr w:type="spellStart"/>
      <w:r w:rsidR="000C173F" w:rsidRPr="003F7F75">
        <w:rPr>
          <w:rFonts w:ascii="David" w:hAnsi="David" w:cs="David"/>
          <w:b/>
          <w:bCs/>
          <w:rtl/>
        </w:rPr>
        <w:t>מחקשווילי</w:t>
      </w:r>
      <w:proofErr w:type="spellEnd"/>
      <w:r w:rsidR="000C173F" w:rsidRPr="003F7F75">
        <w:rPr>
          <w:rFonts w:ascii="David" w:hAnsi="David" w:cs="David"/>
          <w:b/>
          <w:bCs/>
          <w:rtl/>
        </w:rPr>
        <w:t xml:space="preserve"> נ' </w:t>
      </w:r>
      <w:proofErr w:type="spellStart"/>
      <w:r w:rsidR="000C173F" w:rsidRPr="003F7F75">
        <w:rPr>
          <w:rFonts w:ascii="David" w:hAnsi="David" w:cs="David"/>
          <w:b/>
          <w:bCs/>
          <w:rtl/>
        </w:rPr>
        <w:t>מיכקשווילי</w:t>
      </w:r>
      <w:proofErr w:type="spellEnd"/>
      <w:r w:rsidR="000C173F" w:rsidRPr="003F7F75">
        <w:rPr>
          <w:rFonts w:ascii="David" w:hAnsi="David" w:cs="David"/>
          <w:b/>
          <w:bCs/>
          <w:rtl/>
        </w:rPr>
        <w:t>,</w:t>
      </w:r>
      <w:r w:rsidR="000C173F">
        <w:rPr>
          <w:rFonts w:ascii="David" w:hAnsi="David" w:cs="David"/>
          <w:rtl/>
        </w:rPr>
        <w:t xml:space="preserve"> תק-על 2007(4) 2223</w:t>
      </w:r>
    </w:p>
  </w:footnote>
  <w:footnote w:id="50">
    <w:p w:rsidR="00437FB9" w:rsidRPr="003F7F75" w:rsidRDefault="00437FB9" w:rsidP="000D6752">
      <w:pPr>
        <w:pStyle w:val="a3"/>
        <w:rPr>
          <w:rFonts w:ascii="David" w:hAnsi="David" w:cs="David"/>
        </w:rPr>
      </w:pPr>
      <w:r w:rsidRPr="003F7F75">
        <w:rPr>
          <w:rStyle w:val="a5"/>
          <w:rFonts w:ascii="David" w:hAnsi="David" w:cs="David"/>
        </w:rPr>
        <w:footnoteRef/>
      </w:r>
      <w:r w:rsidRPr="003F7F75">
        <w:rPr>
          <w:rFonts w:ascii="David" w:hAnsi="David" w:cs="David"/>
          <w:rtl/>
        </w:rPr>
        <w:t xml:space="preserve"> </w:t>
      </w:r>
      <w:r w:rsidR="000D6752" w:rsidRPr="003F7F75">
        <w:rPr>
          <w:rFonts w:ascii="David" w:hAnsi="David" w:cs="David"/>
          <w:rtl/>
        </w:rPr>
        <w:t>ג</w:t>
      </w:r>
      <w:r w:rsidR="000D6752" w:rsidRPr="003F7F75">
        <w:rPr>
          <w:rFonts w:ascii="David" w:hAnsi="David" w:cs="David"/>
          <w:color w:val="000000" w:themeColor="text1"/>
          <w:shd w:val="clear" w:color="auto" w:fill="FFFFFF"/>
          <w:rtl/>
        </w:rPr>
        <w:t xml:space="preserve">בריאלה שלו </w:t>
      </w:r>
      <w:r w:rsidR="000D6752" w:rsidRPr="003F7F75">
        <w:rPr>
          <w:rFonts w:ascii="David" w:hAnsi="David" w:cs="David"/>
          <w:b/>
          <w:bCs/>
          <w:color w:val="000000" w:themeColor="text1"/>
          <w:shd w:val="clear" w:color="auto" w:fill="FFFFFF"/>
          <w:rtl/>
        </w:rPr>
        <w:t>דיני חוזים החלק הכללי – לקראת קודיפיקציה של המשפט האזרחי</w:t>
      </w:r>
      <w:r w:rsidR="000D6752" w:rsidRPr="003F7F75">
        <w:rPr>
          <w:rFonts w:ascii="David" w:hAnsi="David" w:cs="David"/>
          <w:color w:val="000000" w:themeColor="text1"/>
          <w:rtl/>
        </w:rPr>
        <w:t xml:space="preserve"> </w:t>
      </w:r>
      <w:r w:rsidR="000D6752">
        <w:rPr>
          <w:rFonts w:ascii="David" w:hAnsi="David" w:cs="David" w:hint="cs"/>
          <w:color w:val="000000" w:themeColor="text1"/>
          <w:rtl/>
        </w:rPr>
        <w:t>349-350</w:t>
      </w:r>
      <w:r w:rsidR="000D6752" w:rsidRPr="003F7F75">
        <w:rPr>
          <w:rFonts w:ascii="David" w:hAnsi="David" w:cs="David"/>
          <w:color w:val="000000" w:themeColor="text1"/>
          <w:shd w:val="clear" w:color="auto" w:fill="FFFFFF"/>
        </w:rPr>
        <w:t xml:space="preserve">)  </w:t>
      </w:r>
      <w:r w:rsidR="000D6752" w:rsidRPr="003F7F75">
        <w:rPr>
          <w:rFonts w:ascii="David" w:hAnsi="David" w:cs="David"/>
          <w:color w:val="000000" w:themeColor="text1"/>
          <w:shd w:val="clear" w:color="auto" w:fill="FFFFFF"/>
          <w:rtl/>
        </w:rPr>
        <w:t>תשס"ה</w:t>
      </w:r>
      <w:r w:rsidR="000D6752" w:rsidRPr="003F7F75">
        <w:rPr>
          <w:rFonts w:ascii="David" w:hAnsi="David" w:cs="David"/>
          <w:color w:val="000000" w:themeColor="text1"/>
          <w:shd w:val="clear" w:color="auto" w:fill="FFFFFF"/>
        </w:rPr>
        <w:t>(</w:t>
      </w:r>
      <w:r w:rsidR="000D6752" w:rsidRPr="003F7F75">
        <w:rPr>
          <w:rFonts w:ascii="David" w:hAnsi="David" w:cs="David"/>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01"/>
    <w:rsid w:val="000015B0"/>
    <w:rsid w:val="000062A1"/>
    <w:rsid w:val="00010240"/>
    <w:rsid w:val="0001215C"/>
    <w:rsid w:val="000224E7"/>
    <w:rsid w:val="00030492"/>
    <w:rsid w:val="00033998"/>
    <w:rsid w:val="00041A2D"/>
    <w:rsid w:val="00046138"/>
    <w:rsid w:val="00046C6B"/>
    <w:rsid w:val="00047ACD"/>
    <w:rsid w:val="00061289"/>
    <w:rsid w:val="00061FF0"/>
    <w:rsid w:val="00077BF5"/>
    <w:rsid w:val="00080A2E"/>
    <w:rsid w:val="00086A20"/>
    <w:rsid w:val="000A07DE"/>
    <w:rsid w:val="000B573C"/>
    <w:rsid w:val="000C173F"/>
    <w:rsid w:val="000C1EEC"/>
    <w:rsid w:val="000C5D96"/>
    <w:rsid w:val="000D28FB"/>
    <w:rsid w:val="000D3BEF"/>
    <w:rsid w:val="000D6752"/>
    <w:rsid w:val="000E16D6"/>
    <w:rsid w:val="000E35A0"/>
    <w:rsid w:val="000F1BFD"/>
    <w:rsid w:val="0011461B"/>
    <w:rsid w:val="00117162"/>
    <w:rsid w:val="00122D29"/>
    <w:rsid w:val="00125AA6"/>
    <w:rsid w:val="00133174"/>
    <w:rsid w:val="0013472A"/>
    <w:rsid w:val="00136678"/>
    <w:rsid w:val="001618A1"/>
    <w:rsid w:val="001634BE"/>
    <w:rsid w:val="00191C82"/>
    <w:rsid w:val="00191FBC"/>
    <w:rsid w:val="001B6EC2"/>
    <w:rsid w:val="001D3FCC"/>
    <w:rsid w:val="001D51C5"/>
    <w:rsid w:val="001D5292"/>
    <w:rsid w:val="001D663E"/>
    <w:rsid w:val="001D76E1"/>
    <w:rsid w:val="001D7D34"/>
    <w:rsid w:val="001E4BF6"/>
    <w:rsid w:val="00200C45"/>
    <w:rsid w:val="00211CF3"/>
    <w:rsid w:val="00223226"/>
    <w:rsid w:val="002262AD"/>
    <w:rsid w:val="00226903"/>
    <w:rsid w:val="00230935"/>
    <w:rsid w:val="00236B57"/>
    <w:rsid w:val="00240105"/>
    <w:rsid w:val="002471B1"/>
    <w:rsid w:val="0025037A"/>
    <w:rsid w:val="00254854"/>
    <w:rsid w:val="002552CB"/>
    <w:rsid w:val="0027066E"/>
    <w:rsid w:val="002A150A"/>
    <w:rsid w:val="002A3679"/>
    <w:rsid w:val="002A46F3"/>
    <w:rsid w:val="002A4AC5"/>
    <w:rsid w:val="002A77E1"/>
    <w:rsid w:val="002A78B7"/>
    <w:rsid w:val="002B087A"/>
    <w:rsid w:val="002C2623"/>
    <w:rsid w:val="002C5507"/>
    <w:rsid w:val="002D00B8"/>
    <w:rsid w:val="002D6DB2"/>
    <w:rsid w:val="002E2CBA"/>
    <w:rsid w:val="003071BC"/>
    <w:rsid w:val="00310C6D"/>
    <w:rsid w:val="00315533"/>
    <w:rsid w:val="003219D2"/>
    <w:rsid w:val="00343F8C"/>
    <w:rsid w:val="00344BF8"/>
    <w:rsid w:val="003462F0"/>
    <w:rsid w:val="00351E49"/>
    <w:rsid w:val="00365110"/>
    <w:rsid w:val="00370167"/>
    <w:rsid w:val="00371C65"/>
    <w:rsid w:val="00373E34"/>
    <w:rsid w:val="00385782"/>
    <w:rsid w:val="003872C8"/>
    <w:rsid w:val="003902DB"/>
    <w:rsid w:val="003909DE"/>
    <w:rsid w:val="00394C0F"/>
    <w:rsid w:val="00397E90"/>
    <w:rsid w:val="003A4F57"/>
    <w:rsid w:val="003A7403"/>
    <w:rsid w:val="003B21C2"/>
    <w:rsid w:val="003C025E"/>
    <w:rsid w:val="003C6616"/>
    <w:rsid w:val="003E1779"/>
    <w:rsid w:val="003E1E62"/>
    <w:rsid w:val="003E216E"/>
    <w:rsid w:val="003F1E38"/>
    <w:rsid w:val="003F5A1F"/>
    <w:rsid w:val="003F722D"/>
    <w:rsid w:val="003F7F75"/>
    <w:rsid w:val="00424EC1"/>
    <w:rsid w:val="00437FB9"/>
    <w:rsid w:val="00443EEA"/>
    <w:rsid w:val="004472A4"/>
    <w:rsid w:val="004476F1"/>
    <w:rsid w:val="004709F3"/>
    <w:rsid w:val="004760E1"/>
    <w:rsid w:val="00481B83"/>
    <w:rsid w:val="004B1761"/>
    <w:rsid w:val="004B1988"/>
    <w:rsid w:val="004B61A9"/>
    <w:rsid w:val="004C43BF"/>
    <w:rsid w:val="004D0612"/>
    <w:rsid w:val="004D1B97"/>
    <w:rsid w:val="004E12D7"/>
    <w:rsid w:val="004F21B8"/>
    <w:rsid w:val="004F4888"/>
    <w:rsid w:val="004F602A"/>
    <w:rsid w:val="00501D1F"/>
    <w:rsid w:val="00502A21"/>
    <w:rsid w:val="00503E44"/>
    <w:rsid w:val="00506EC7"/>
    <w:rsid w:val="00516781"/>
    <w:rsid w:val="005213DD"/>
    <w:rsid w:val="00521B5A"/>
    <w:rsid w:val="005275F7"/>
    <w:rsid w:val="00533AA3"/>
    <w:rsid w:val="005342C3"/>
    <w:rsid w:val="00536159"/>
    <w:rsid w:val="005443BC"/>
    <w:rsid w:val="00550FFD"/>
    <w:rsid w:val="005550DB"/>
    <w:rsid w:val="00563356"/>
    <w:rsid w:val="00563564"/>
    <w:rsid w:val="00563BF7"/>
    <w:rsid w:val="00565691"/>
    <w:rsid w:val="00567780"/>
    <w:rsid w:val="005718DD"/>
    <w:rsid w:val="0057479B"/>
    <w:rsid w:val="00580728"/>
    <w:rsid w:val="00583BDC"/>
    <w:rsid w:val="005850FA"/>
    <w:rsid w:val="005906BA"/>
    <w:rsid w:val="00596E59"/>
    <w:rsid w:val="005A56C8"/>
    <w:rsid w:val="005B2E92"/>
    <w:rsid w:val="005C2CC7"/>
    <w:rsid w:val="005E0119"/>
    <w:rsid w:val="005E15D3"/>
    <w:rsid w:val="005E4DA2"/>
    <w:rsid w:val="005F0A7E"/>
    <w:rsid w:val="005F32AE"/>
    <w:rsid w:val="00604515"/>
    <w:rsid w:val="00606661"/>
    <w:rsid w:val="00607265"/>
    <w:rsid w:val="00611FA0"/>
    <w:rsid w:val="00620E01"/>
    <w:rsid w:val="00621ECF"/>
    <w:rsid w:val="00631FB5"/>
    <w:rsid w:val="0063514B"/>
    <w:rsid w:val="00647AA1"/>
    <w:rsid w:val="00652B71"/>
    <w:rsid w:val="00652E3B"/>
    <w:rsid w:val="00654301"/>
    <w:rsid w:val="0065490F"/>
    <w:rsid w:val="0066334E"/>
    <w:rsid w:val="00672B82"/>
    <w:rsid w:val="00675EF3"/>
    <w:rsid w:val="0067745B"/>
    <w:rsid w:val="00677D6F"/>
    <w:rsid w:val="00681A6F"/>
    <w:rsid w:val="00692ECB"/>
    <w:rsid w:val="006A0DFF"/>
    <w:rsid w:val="006A2AEA"/>
    <w:rsid w:val="006A7ADB"/>
    <w:rsid w:val="006B7104"/>
    <w:rsid w:val="006C05EF"/>
    <w:rsid w:val="006C2856"/>
    <w:rsid w:val="006E226D"/>
    <w:rsid w:val="006E2BE0"/>
    <w:rsid w:val="006E2FDA"/>
    <w:rsid w:val="006F0CB4"/>
    <w:rsid w:val="00716F8B"/>
    <w:rsid w:val="007243EE"/>
    <w:rsid w:val="00734050"/>
    <w:rsid w:val="00740F1E"/>
    <w:rsid w:val="007434A5"/>
    <w:rsid w:val="00743777"/>
    <w:rsid w:val="0074677F"/>
    <w:rsid w:val="00750B7E"/>
    <w:rsid w:val="00754E90"/>
    <w:rsid w:val="00760EAC"/>
    <w:rsid w:val="00776AC2"/>
    <w:rsid w:val="00782CA5"/>
    <w:rsid w:val="00795AB3"/>
    <w:rsid w:val="007968F0"/>
    <w:rsid w:val="00796AF1"/>
    <w:rsid w:val="007A538A"/>
    <w:rsid w:val="007B1354"/>
    <w:rsid w:val="007B2255"/>
    <w:rsid w:val="007E404A"/>
    <w:rsid w:val="00805B23"/>
    <w:rsid w:val="00806A47"/>
    <w:rsid w:val="0081756E"/>
    <w:rsid w:val="00825425"/>
    <w:rsid w:val="00833C86"/>
    <w:rsid w:val="008466D8"/>
    <w:rsid w:val="00873151"/>
    <w:rsid w:val="00877BF7"/>
    <w:rsid w:val="00890FB8"/>
    <w:rsid w:val="008A44F5"/>
    <w:rsid w:val="008B2877"/>
    <w:rsid w:val="008C4222"/>
    <w:rsid w:val="008C528C"/>
    <w:rsid w:val="008E377B"/>
    <w:rsid w:val="008E63E9"/>
    <w:rsid w:val="008F40D6"/>
    <w:rsid w:val="008F466C"/>
    <w:rsid w:val="00912395"/>
    <w:rsid w:val="00913E00"/>
    <w:rsid w:val="00917BCC"/>
    <w:rsid w:val="00920D8A"/>
    <w:rsid w:val="00923C3E"/>
    <w:rsid w:val="00932519"/>
    <w:rsid w:val="00936374"/>
    <w:rsid w:val="0093785E"/>
    <w:rsid w:val="009415B0"/>
    <w:rsid w:val="00945552"/>
    <w:rsid w:val="009504C1"/>
    <w:rsid w:val="009539F8"/>
    <w:rsid w:val="009671DE"/>
    <w:rsid w:val="00970361"/>
    <w:rsid w:val="009709D7"/>
    <w:rsid w:val="00975B46"/>
    <w:rsid w:val="00981E37"/>
    <w:rsid w:val="009821D4"/>
    <w:rsid w:val="00987C77"/>
    <w:rsid w:val="0099010F"/>
    <w:rsid w:val="00991F87"/>
    <w:rsid w:val="009A380D"/>
    <w:rsid w:val="009B0182"/>
    <w:rsid w:val="009B1241"/>
    <w:rsid w:val="009B4D25"/>
    <w:rsid w:val="009B5D35"/>
    <w:rsid w:val="009C0A2C"/>
    <w:rsid w:val="009C55D4"/>
    <w:rsid w:val="009D0CF3"/>
    <w:rsid w:val="009D399E"/>
    <w:rsid w:val="009D7F37"/>
    <w:rsid w:val="009D7FB6"/>
    <w:rsid w:val="00A308D3"/>
    <w:rsid w:val="00A34EE2"/>
    <w:rsid w:val="00A42B60"/>
    <w:rsid w:val="00A50B7B"/>
    <w:rsid w:val="00A53F4A"/>
    <w:rsid w:val="00A63313"/>
    <w:rsid w:val="00A736CE"/>
    <w:rsid w:val="00A73FA7"/>
    <w:rsid w:val="00A81DFF"/>
    <w:rsid w:val="00A83277"/>
    <w:rsid w:val="00A8349B"/>
    <w:rsid w:val="00A83837"/>
    <w:rsid w:val="00A92878"/>
    <w:rsid w:val="00A93F79"/>
    <w:rsid w:val="00A95B1D"/>
    <w:rsid w:val="00AA0F7A"/>
    <w:rsid w:val="00AA384E"/>
    <w:rsid w:val="00AA3B8E"/>
    <w:rsid w:val="00AB2140"/>
    <w:rsid w:val="00AB2822"/>
    <w:rsid w:val="00AD1201"/>
    <w:rsid w:val="00AD528D"/>
    <w:rsid w:val="00AE00A9"/>
    <w:rsid w:val="00AE1E85"/>
    <w:rsid w:val="00AE4264"/>
    <w:rsid w:val="00B0134E"/>
    <w:rsid w:val="00B20D2B"/>
    <w:rsid w:val="00B268D9"/>
    <w:rsid w:val="00B2772A"/>
    <w:rsid w:val="00B3313F"/>
    <w:rsid w:val="00B3362D"/>
    <w:rsid w:val="00B52ABE"/>
    <w:rsid w:val="00B55886"/>
    <w:rsid w:val="00B6143C"/>
    <w:rsid w:val="00B62B22"/>
    <w:rsid w:val="00B66301"/>
    <w:rsid w:val="00B66BA6"/>
    <w:rsid w:val="00B7536E"/>
    <w:rsid w:val="00B8518B"/>
    <w:rsid w:val="00B96BD5"/>
    <w:rsid w:val="00BB2DD7"/>
    <w:rsid w:val="00BD0FCB"/>
    <w:rsid w:val="00BE3A41"/>
    <w:rsid w:val="00BE4DFB"/>
    <w:rsid w:val="00C0139D"/>
    <w:rsid w:val="00C031F6"/>
    <w:rsid w:val="00C056C1"/>
    <w:rsid w:val="00C059C8"/>
    <w:rsid w:val="00C34B30"/>
    <w:rsid w:val="00C35F96"/>
    <w:rsid w:val="00C37132"/>
    <w:rsid w:val="00C42E82"/>
    <w:rsid w:val="00C4428C"/>
    <w:rsid w:val="00C45491"/>
    <w:rsid w:val="00C5072B"/>
    <w:rsid w:val="00C535BB"/>
    <w:rsid w:val="00C56C32"/>
    <w:rsid w:val="00C61BD9"/>
    <w:rsid w:val="00C730A7"/>
    <w:rsid w:val="00C81052"/>
    <w:rsid w:val="00C94AEB"/>
    <w:rsid w:val="00CA0364"/>
    <w:rsid w:val="00CA7211"/>
    <w:rsid w:val="00CB2039"/>
    <w:rsid w:val="00CB79A3"/>
    <w:rsid w:val="00CC17EB"/>
    <w:rsid w:val="00CC673E"/>
    <w:rsid w:val="00CD01AD"/>
    <w:rsid w:val="00CD42D1"/>
    <w:rsid w:val="00CD7109"/>
    <w:rsid w:val="00CE0436"/>
    <w:rsid w:val="00CE334E"/>
    <w:rsid w:val="00CE6424"/>
    <w:rsid w:val="00CF05DD"/>
    <w:rsid w:val="00CF2D1F"/>
    <w:rsid w:val="00CF3015"/>
    <w:rsid w:val="00D01EEF"/>
    <w:rsid w:val="00D024BB"/>
    <w:rsid w:val="00D02BE1"/>
    <w:rsid w:val="00D0453C"/>
    <w:rsid w:val="00D10C3A"/>
    <w:rsid w:val="00D1269F"/>
    <w:rsid w:val="00D21A9A"/>
    <w:rsid w:val="00D313D5"/>
    <w:rsid w:val="00D353A8"/>
    <w:rsid w:val="00D4761C"/>
    <w:rsid w:val="00D54DA3"/>
    <w:rsid w:val="00D60CBF"/>
    <w:rsid w:val="00D63036"/>
    <w:rsid w:val="00D6358B"/>
    <w:rsid w:val="00D77EE1"/>
    <w:rsid w:val="00D8064F"/>
    <w:rsid w:val="00D956CD"/>
    <w:rsid w:val="00DB1809"/>
    <w:rsid w:val="00DB22BC"/>
    <w:rsid w:val="00DB7ADD"/>
    <w:rsid w:val="00DD57D9"/>
    <w:rsid w:val="00DF27EC"/>
    <w:rsid w:val="00DF2C32"/>
    <w:rsid w:val="00DF368A"/>
    <w:rsid w:val="00E04895"/>
    <w:rsid w:val="00E226E3"/>
    <w:rsid w:val="00E22ABA"/>
    <w:rsid w:val="00E24FE7"/>
    <w:rsid w:val="00E256C5"/>
    <w:rsid w:val="00E4375A"/>
    <w:rsid w:val="00E47D98"/>
    <w:rsid w:val="00E55764"/>
    <w:rsid w:val="00E66610"/>
    <w:rsid w:val="00E77565"/>
    <w:rsid w:val="00E81031"/>
    <w:rsid w:val="00E8485F"/>
    <w:rsid w:val="00E874DB"/>
    <w:rsid w:val="00E8795D"/>
    <w:rsid w:val="00E95E44"/>
    <w:rsid w:val="00EA00D7"/>
    <w:rsid w:val="00EB7456"/>
    <w:rsid w:val="00EC04D1"/>
    <w:rsid w:val="00EC3527"/>
    <w:rsid w:val="00EC6099"/>
    <w:rsid w:val="00ED22F7"/>
    <w:rsid w:val="00EE5551"/>
    <w:rsid w:val="00EE5C04"/>
    <w:rsid w:val="00EF1625"/>
    <w:rsid w:val="00EF30CA"/>
    <w:rsid w:val="00F00A65"/>
    <w:rsid w:val="00F02B96"/>
    <w:rsid w:val="00F043AE"/>
    <w:rsid w:val="00F14B5E"/>
    <w:rsid w:val="00F16E60"/>
    <w:rsid w:val="00F3232B"/>
    <w:rsid w:val="00F32FC2"/>
    <w:rsid w:val="00F50BEB"/>
    <w:rsid w:val="00F62706"/>
    <w:rsid w:val="00F7228A"/>
    <w:rsid w:val="00F74DA4"/>
    <w:rsid w:val="00F75E6F"/>
    <w:rsid w:val="00F80512"/>
    <w:rsid w:val="00F844A6"/>
    <w:rsid w:val="00FA271D"/>
    <w:rsid w:val="00FA318E"/>
    <w:rsid w:val="00FA59B3"/>
    <w:rsid w:val="00FA7412"/>
    <w:rsid w:val="00FB499B"/>
    <w:rsid w:val="00FC0E6A"/>
    <w:rsid w:val="00FD1131"/>
    <w:rsid w:val="00FD35C0"/>
    <w:rsid w:val="00FD460D"/>
    <w:rsid w:val="00FE71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7F15"/>
  <w15:chartTrackingRefBased/>
  <w15:docId w15:val="{2FBA6D9F-0CA4-489A-88A5-FDA5AC50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54301"/>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B2E92"/>
    <w:pPr>
      <w:spacing w:after="0" w:line="240" w:lineRule="auto"/>
    </w:pPr>
    <w:rPr>
      <w:sz w:val="20"/>
      <w:szCs w:val="20"/>
    </w:rPr>
  </w:style>
  <w:style w:type="character" w:customStyle="1" w:styleId="a4">
    <w:name w:val="טקסט הערת שוליים תו"/>
    <w:basedOn w:val="a0"/>
    <w:link w:val="a3"/>
    <w:uiPriority w:val="99"/>
    <w:semiHidden/>
    <w:rsid w:val="005B2E92"/>
    <w:rPr>
      <w:sz w:val="20"/>
      <w:szCs w:val="20"/>
    </w:rPr>
  </w:style>
  <w:style w:type="character" w:styleId="a5">
    <w:name w:val="footnote reference"/>
    <w:basedOn w:val="a0"/>
    <w:uiPriority w:val="99"/>
    <w:semiHidden/>
    <w:unhideWhenUsed/>
    <w:rsid w:val="005B2E92"/>
    <w:rPr>
      <w:vertAlign w:val="superscript"/>
    </w:rPr>
  </w:style>
  <w:style w:type="character" w:styleId="Hyperlink">
    <w:name w:val="Hyperlink"/>
    <w:basedOn w:val="a0"/>
    <w:uiPriority w:val="99"/>
    <w:semiHidden/>
    <w:unhideWhenUsed/>
    <w:rsid w:val="00D8064F"/>
    <w:rPr>
      <w:color w:val="0000FF"/>
      <w:u w:val="single"/>
    </w:rPr>
  </w:style>
  <w:style w:type="character" w:customStyle="1" w:styleId="apple-converted-space">
    <w:name w:val="apple-converted-space"/>
    <w:basedOn w:val="a0"/>
    <w:rsid w:val="00D8064F"/>
  </w:style>
  <w:style w:type="paragraph" w:styleId="a6">
    <w:name w:val="Quote"/>
    <w:basedOn w:val="a"/>
    <w:link w:val="a7"/>
    <w:qFormat/>
    <w:rsid w:val="00D02BE1"/>
    <w:pPr>
      <w:overflowPunct w:val="0"/>
      <w:autoSpaceDE w:val="0"/>
      <w:autoSpaceDN w:val="0"/>
      <w:adjustRightInd w:val="0"/>
      <w:spacing w:after="240" w:line="280" w:lineRule="exact"/>
      <w:ind w:left="454" w:right="454"/>
      <w:jc w:val="both"/>
      <w:textAlignment w:val="baseline"/>
    </w:pPr>
    <w:rPr>
      <w:rFonts w:ascii="Times New Roman" w:eastAsia="Times New Roman" w:hAnsi="Times New Roman" w:cs="FrankRuehl"/>
      <w:sz w:val="20"/>
      <w:szCs w:val="24"/>
      <w:lang w:eastAsia="he-IL"/>
    </w:rPr>
  </w:style>
  <w:style w:type="character" w:customStyle="1" w:styleId="a7">
    <w:name w:val="ציטוט תו"/>
    <w:basedOn w:val="a0"/>
    <w:link w:val="a6"/>
    <w:rsid w:val="00D02BE1"/>
    <w:rPr>
      <w:rFonts w:ascii="Times New Roman" w:eastAsia="Times New Roman" w:hAnsi="Times New Roman" w:cs="FrankRuehl"/>
      <w:sz w:val="20"/>
      <w:szCs w:val="24"/>
      <w:lang w:eastAsia="he-IL"/>
    </w:rPr>
  </w:style>
  <w:style w:type="character" w:styleId="a8">
    <w:name w:val="annotation reference"/>
    <w:basedOn w:val="a0"/>
    <w:uiPriority w:val="99"/>
    <w:semiHidden/>
    <w:unhideWhenUsed/>
    <w:rsid w:val="000015B0"/>
    <w:rPr>
      <w:sz w:val="16"/>
      <w:szCs w:val="16"/>
    </w:rPr>
  </w:style>
  <w:style w:type="paragraph" w:styleId="a9">
    <w:name w:val="annotation text"/>
    <w:basedOn w:val="a"/>
    <w:link w:val="aa"/>
    <w:uiPriority w:val="99"/>
    <w:semiHidden/>
    <w:unhideWhenUsed/>
    <w:rsid w:val="000015B0"/>
    <w:pPr>
      <w:spacing w:line="240" w:lineRule="auto"/>
    </w:pPr>
    <w:rPr>
      <w:sz w:val="20"/>
      <w:szCs w:val="20"/>
    </w:rPr>
  </w:style>
  <w:style w:type="character" w:customStyle="1" w:styleId="aa">
    <w:name w:val="טקסט הערה תו"/>
    <w:basedOn w:val="a0"/>
    <w:link w:val="a9"/>
    <w:uiPriority w:val="99"/>
    <w:semiHidden/>
    <w:rsid w:val="000015B0"/>
    <w:rPr>
      <w:sz w:val="20"/>
      <w:szCs w:val="20"/>
    </w:rPr>
  </w:style>
  <w:style w:type="paragraph" w:styleId="ab">
    <w:name w:val="annotation subject"/>
    <w:basedOn w:val="a9"/>
    <w:next w:val="a9"/>
    <w:link w:val="ac"/>
    <w:uiPriority w:val="99"/>
    <w:semiHidden/>
    <w:unhideWhenUsed/>
    <w:rsid w:val="000015B0"/>
    <w:rPr>
      <w:b/>
      <w:bCs/>
    </w:rPr>
  </w:style>
  <w:style w:type="character" w:customStyle="1" w:styleId="ac">
    <w:name w:val="נושא הערה תו"/>
    <w:basedOn w:val="aa"/>
    <w:link w:val="ab"/>
    <w:uiPriority w:val="99"/>
    <w:semiHidden/>
    <w:rsid w:val="000015B0"/>
    <w:rPr>
      <w:b/>
      <w:bCs/>
      <w:sz w:val="20"/>
      <w:szCs w:val="20"/>
    </w:rPr>
  </w:style>
  <w:style w:type="paragraph" w:styleId="ad">
    <w:name w:val="Balloon Text"/>
    <w:basedOn w:val="a"/>
    <w:link w:val="ae"/>
    <w:uiPriority w:val="99"/>
    <w:semiHidden/>
    <w:unhideWhenUsed/>
    <w:rsid w:val="000015B0"/>
    <w:pPr>
      <w:spacing w:after="0" w:line="240" w:lineRule="auto"/>
    </w:pPr>
    <w:rPr>
      <w:rFonts w:ascii="Tahoma" w:hAnsi="Tahoma" w:cs="Tahoma"/>
      <w:sz w:val="18"/>
      <w:szCs w:val="18"/>
    </w:rPr>
  </w:style>
  <w:style w:type="character" w:customStyle="1" w:styleId="ae">
    <w:name w:val="טקסט בלונים תו"/>
    <w:basedOn w:val="a0"/>
    <w:link w:val="ad"/>
    <w:uiPriority w:val="99"/>
    <w:semiHidden/>
    <w:rsid w:val="000015B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09857">
      <w:bodyDiv w:val="1"/>
      <w:marLeft w:val="0"/>
      <w:marRight w:val="0"/>
      <w:marTop w:val="0"/>
      <w:marBottom w:val="0"/>
      <w:divBdr>
        <w:top w:val="none" w:sz="0" w:space="0" w:color="auto"/>
        <w:left w:val="none" w:sz="0" w:space="0" w:color="auto"/>
        <w:bottom w:val="none" w:sz="0" w:space="0" w:color="auto"/>
        <w:right w:val="none" w:sz="0" w:space="0" w:color="auto"/>
      </w:divBdr>
    </w:div>
    <w:div w:id="185757509">
      <w:bodyDiv w:val="1"/>
      <w:marLeft w:val="0"/>
      <w:marRight w:val="0"/>
      <w:marTop w:val="0"/>
      <w:marBottom w:val="0"/>
      <w:divBdr>
        <w:top w:val="none" w:sz="0" w:space="0" w:color="auto"/>
        <w:left w:val="none" w:sz="0" w:space="0" w:color="auto"/>
        <w:bottom w:val="none" w:sz="0" w:space="0" w:color="auto"/>
        <w:right w:val="none" w:sz="0" w:space="0" w:color="auto"/>
      </w:divBdr>
    </w:div>
    <w:div w:id="279263287">
      <w:bodyDiv w:val="1"/>
      <w:marLeft w:val="0"/>
      <w:marRight w:val="0"/>
      <w:marTop w:val="0"/>
      <w:marBottom w:val="0"/>
      <w:divBdr>
        <w:top w:val="none" w:sz="0" w:space="0" w:color="auto"/>
        <w:left w:val="none" w:sz="0" w:space="0" w:color="auto"/>
        <w:bottom w:val="none" w:sz="0" w:space="0" w:color="auto"/>
        <w:right w:val="none" w:sz="0" w:space="0" w:color="auto"/>
      </w:divBdr>
    </w:div>
    <w:div w:id="392389042">
      <w:bodyDiv w:val="1"/>
      <w:marLeft w:val="0"/>
      <w:marRight w:val="0"/>
      <w:marTop w:val="0"/>
      <w:marBottom w:val="0"/>
      <w:divBdr>
        <w:top w:val="none" w:sz="0" w:space="0" w:color="auto"/>
        <w:left w:val="none" w:sz="0" w:space="0" w:color="auto"/>
        <w:bottom w:val="none" w:sz="0" w:space="0" w:color="auto"/>
        <w:right w:val="none" w:sz="0" w:space="0" w:color="auto"/>
      </w:divBdr>
    </w:div>
    <w:div w:id="753818881">
      <w:bodyDiv w:val="1"/>
      <w:marLeft w:val="0"/>
      <w:marRight w:val="0"/>
      <w:marTop w:val="0"/>
      <w:marBottom w:val="0"/>
      <w:divBdr>
        <w:top w:val="none" w:sz="0" w:space="0" w:color="auto"/>
        <w:left w:val="none" w:sz="0" w:space="0" w:color="auto"/>
        <w:bottom w:val="none" w:sz="0" w:space="0" w:color="auto"/>
        <w:right w:val="none" w:sz="0" w:space="0" w:color="auto"/>
      </w:divBdr>
    </w:div>
    <w:div w:id="1120026488">
      <w:bodyDiv w:val="1"/>
      <w:marLeft w:val="0"/>
      <w:marRight w:val="0"/>
      <w:marTop w:val="0"/>
      <w:marBottom w:val="0"/>
      <w:divBdr>
        <w:top w:val="none" w:sz="0" w:space="0" w:color="auto"/>
        <w:left w:val="none" w:sz="0" w:space="0" w:color="auto"/>
        <w:bottom w:val="none" w:sz="0" w:space="0" w:color="auto"/>
        <w:right w:val="none" w:sz="0" w:space="0" w:color="auto"/>
      </w:divBdr>
    </w:div>
    <w:div w:id="1185635924">
      <w:bodyDiv w:val="1"/>
      <w:marLeft w:val="0"/>
      <w:marRight w:val="0"/>
      <w:marTop w:val="0"/>
      <w:marBottom w:val="0"/>
      <w:divBdr>
        <w:top w:val="none" w:sz="0" w:space="0" w:color="auto"/>
        <w:left w:val="none" w:sz="0" w:space="0" w:color="auto"/>
        <w:bottom w:val="none" w:sz="0" w:space="0" w:color="auto"/>
        <w:right w:val="none" w:sz="0" w:space="0" w:color="auto"/>
      </w:divBdr>
    </w:div>
    <w:div w:id="1274703202">
      <w:bodyDiv w:val="1"/>
      <w:marLeft w:val="0"/>
      <w:marRight w:val="0"/>
      <w:marTop w:val="0"/>
      <w:marBottom w:val="0"/>
      <w:divBdr>
        <w:top w:val="none" w:sz="0" w:space="0" w:color="auto"/>
        <w:left w:val="none" w:sz="0" w:space="0" w:color="auto"/>
        <w:bottom w:val="none" w:sz="0" w:space="0" w:color="auto"/>
        <w:right w:val="none" w:sz="0" w:space="0" w:color="auto"/>
      </w:divBdr>
    </w:div>
    <w:div w:id="1598172810">
      <w:bodyDiv w:val="1"/>
      <w:marLeft w:val="0"/>
      <w:marRight w:val="0"/>
      <w:marTop w:val="0"/>
      <w:marBottom w:val="0"/>
      <w:divBdr>
        <w:top w:val="none" w:sz="0" w:space="0" w:color="auto"/>
        <w:left w:val="none" w:sz="0" w:space="0" w:color="auto"/>
        <w:bottom w:val="none" w:sz="0" w:space="0" w:color="auto"/>
        <w:right w:val="none" w:sz="0" w:space="0" w:color="auto"/>
      </w:divBdr>
    </w:div>
    <w:div w:id="18440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lemida.biu.ac.il/pluginfile.php/546975/course/section/237284/%D7%A1%D7%90%D7%A1%D7%99%2080.doc" TargetMode="External"/><Relationship Id="rId3" Type="http://schemas.openxmlformats.org/officeDocument/2006/relationships/hyperlink" Target="http://lemida.biu.ac.il/pluginfile.php/546975/course/section/237284/%D7%9E%D7%90%D7%99%D7%94%2093.doc" TargetMode="External"/><Relationship Id="rId7" Type="http://schemas.openxmlformats.org/officeDocument/2006/relationships/hyperlink" Target="http://lemida.biu.ac.il/pluginfile.php/546975/course/section/237284/%D7%A9%D7%A4%D7%99%D7%A8%2081.doc" TargetMode="External"/><Relationship Id="rId2" Type="http://schemas.openxmlformats.org/officeDocument/2006/relationships/hyperlink" Target="http://lemida.biu.ac.il/pluginfile.php/546975/course/section/237284/%D7%93%D7%99%D7%95%D7%A8%20%D7%9C%D7%A2%D7%95%D7%9C%D7%94%2095.doc" TargetMode="External"/><Relationship Id="rId1" Type="http://schemas.openxmlformats.org/officeDocument/2006/relationships/hyperlink" Target="http://lemida.biu.ac.il/pluginfile.php/546975/course/section/237284/%D7%A9%D7%A4%D7%99%D7%A8%2081.doc" TargetMode="External"/><Relationship Id="rId6" Type="http://schemas.openxmlformats.org/officeDocument/2006/relationships/hyperlink" Target="http://lemida.biu.ac.il/pluginfile.php/546975/course/section/237284/%D7%A8%D7%97%D7%9E%D7%99%D7%9D%2088.doc" TargetMode="External"/><Relationship Id="rId5" Type="http://schemas.openxmlformats.org/officeDocument/2006/relationships/hyperlink" Target="http://lemida.biu.ac.il/pluginfile.php/546975/course/section/237284/%D7%A8%D7%97%D7%9E%D7%99%D7%9D%2088.doc" TargetMode="External"/><Relationship Id="rId10" Type="http://schemas.openxmlformats.org/officeDocument/2006/relationships/hyperlink" Target="http://lemida.biu.ac.il/pluginfile.php/546975/course/section/237284/%D7%A1%D7%90%D7%A1%D7%99%2080.doc" TargetMode="External"/><Relationship Id="rId4" Type="http://schemas.openxmlformats.org/officeDocument/2006/relationships/hyperlink" Target="http://lemida.biu.ac.il/pluginfile.php/546975/course/section/237284/%D7%9E%D7%90%D7%99%D7%94%2093.doc" TargetMode="External"/><Relationship Id="rId9" Type="http://schemas.openxmlformats.org/officeDocument/2006/relationships/hyperlink" Target="http://lemida.biu.ac.il/pluginfile.php/546975/course/section/237284/%D7%A9%D7%A4%D7%99%D7%A8%2081.do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6BBA-B4EB-497A-9CA2-8725F2CA8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5</Pages>
  <Words>1733</Words>
  <Characters>8665</Characters>
  <Application>Microsoft Office Word</Application>
  <DocSecurity>0</DocSecurity>
  <Lines>72</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נעמה ושחר</dc:creator>
  <cp:keywords/>
  <dc:description/>
  <cp:lastModifiedBy>נעמה ושחר</cp:lastModifiedBy>
  <cp:revision>347</cp:revision>
  <dcterms:created xsi:type="dcterms:W3CDTF">2016-12-25T10:56:00Z</dcterms:created>
  <dcterms:modified xsi:type="dcterms:W3CDTF">2017-01-09T16:47:00Z</dcterms:modified>
</cp:coreProperties>
</file>