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6F" w:rsidRDefault="004D696F" w:rsidP="00083CA6">
      <w:pPr>
        <w:jc w:val="right"/>
        <w:rPr>
          <w:rFonts w:ascii="David" w:hAnsi="David" w:cs="David"/>
          <w:rtl/>
        </w:rPr>
      </w:pPr>
      <w:r w:rsidRPr="004D696F">
        <w:rPr>
          <w:rFonts w:ascii="David" w:hAnsi="David" w:cs="David"/>
          <w:rtl/>
        </w:rPr>
        <w:t>בבואי לדון בסוגיא האם יוכל פליישר לבטל את חוזה המכר</w:t>
      </w:r>
      <w:r w:rsidR="00083CA6">
        <w:rPr>
          <w:rFonts w:ascii="David" w:hAnsi="David" w:cs="David" w:hint="cs"/>
          <w:rtl/>
        </w:rPr>
        <w:t>,</w:t>
      </w:r>
      <w:r>
        <w:rPr>
          <w:rFonts w:ascii="David" w:hAnsi="David" w:cs="David" w:hint="cs"/>
          <w:rtl/>
        </w:rPr>
        <w:t xml:space="preserve"> ארצה לעמוד על ארבע נקודות רלוונטיות בגינן ייתכן ותעמוד לפליישר זכות הביטול.</w:t>
      </w:r>
      <w:r>
        <w:rPr>
          <w:rFonts w:ascii="David" w:hAnsi="David" w:cs="David"/>
          <w:rtl/>
        </w:rPr>
        <w:br/>
      </w:r>
      <w:r>
        <w:rPr>
          <w:rFonts w:ascii="David" w:hAnsi="David" w:cs="David" w:hint="cs"/>
          <w:rtl/>
        </w:rPr>
        <w:t>אאעיר בתחילה, כי ארבע העילות הפוטנציאלות לביטול דורשות קיום חוזה בטרם תוכלנה לעמוד.</w:t>
      </w:r>
      <w:r w:rsidR="000A5244">
        <w:rPr>
          <w:rFonts w:ascii="David" w:hAnsi="David" w:cs="David"/>
          <w:rtl/>
        </w:rPr>
        <w:br/>
      </w:r>
      <w:r w:rsidR="000A5244">
        <w:rPr>
          <w:rFonts w:ascii="David" w:hAnsi="David" w:cs="David" w:hint="cs"/>
          <w:rtl/>
        </w:rPr>
        <w:t xml:space="preserve">אתייחס בתשובתי </w:t>
      </w:r>
      <w:r w:rsidR="00083CA6">
        <w:rPr>
          <w:rFonts w:ascii="David" w:hAnsi="David" w:cs="David" w:hint="cs"/>
          <w:rtl/>
        </w:rPr>
        <w:t>למצב בו</w:t>
      </w:r>
      <w:r w:rsidR="000A5244">
        <w:rPr>
          <w:rFonts w:ascii="David" w:hAnsi="David" w:cs="David" w:hint="cs"/>
          <w:rtl/>
        </w:rPr>
        <w:t xml:space="preserve"> נכרת חוזה.</w:t>
      </w:r>
    </w:p>
    <w:p w:rsidR="004D696F" w:rsidRDefault="004D696F" w:rsidP="004D696F">
      <w:pPr>
        <w:jc w:val="right"/>
        <w:rPr>
          <w:rFonts w:ascii="David" w:hAnsi="David" w:cs="David"/>
          <w:rtl/>
        </w:rPr>
      </w:pPr>
    </w:p>
    <w:p w:rsidR="004D696F" w:rsidRDefault="004D696F" w:rsidP="004D696F">
      <w:pPr>
        <w:jc w:val="right"/>
        <w:rPr>
          <w:rFonts w:ascii="David" w:hAnsi="David" w:cs="David"/>
          <w:rtl/>
        </w:rPr>
      </w:pPr>
      <w:r>
        <w:rPr>
          <w:rFonts w:ascii="David" w:hAnsi="David" w:cs="David" w:hint="cs"/>
          <w:b/>
          <w:bCs/>
          <w:u w:val="single"/>
          <w:rtl/>
        </w:rPr>
        <w:t>עושק</w:t>
      </w:r>
      <w:r>
        <w:rPr>
          <w:rFonts w:ascii="David" w:hAnsi="David" w:cs="David" w:hint="cs"/>
          <w:b/>
          <w:bCs/>
          <w:rtl/>
        </w:rPr>
        <w:t>:</w:t>
      </w:r>
    </w:p>
    <w:p w:rsidR="004D696F" w:rsidRDefault="004D696F" w:rsidP="000A5244">
      <w:pPr>
        <w:jc w:val="right"/>
        <w:rPr>
          <w:rFonts w:ascii="David" w:hAnsi="David" w:cs="David"/>
          <w:rtl/>
        </w:rPr>
      </w:pPr>
      <w:r>
        <w:rPr>
          <w:rFonts w:ascii="David" w:hAnsi="David" w:cs="David" w:hint="cs"/>
          <w:rtl/>
        </w:rPr>
        <w:t>עילת בטלות חוזה בגין עושק</w:t>
      </w:r>
      <w:r w:rsidR="00B02055">
        <w:rPr>
          <w:rStyle w:val="FootnoteReference"/>
          <w:rFonts w:ascii="David" w:hAnsi="David" w:cs="David"/>
          <w:rtl/>
        </w:rPr>
        <w:footnoteReference w:id="2"/>
      </w:r>
      <w:r>
        <w:rPr>
          <w:rFonts w:ascii="David" w:hAnsi="David" w:cs="David" w:hint="cs"/>
          <w:rtl/>
        </w:rPr>
        <w:t xml:space="preserve"> מחייבת את קיומם של </w:t>
      </w:r>
      <w:r w:rsidR="00DC0371">
        <w:rPr>
          <w:rFonts w:ascii="David" w:hAnsi="David" w:cs="David" w:hint="cs"/>
          <w:rtl/>
        </w:rPr>
        <w:t>שלושה</w:t>
      </w:r>
      <w:r>
        <w:rPr>
          <w:rFonts w:ascii="David" w:hAnsi="David" w:cs="David" w:hint="cs"/>
          <w:rtl/>
        </w:rPr>
        <w:t xml:space="preserve"> </w:t>
      </w:r>
      <w:r w:rsidR="000A5244">
        <w:rPr>
          <w:rFonts w:ascii="David" w:hAnsi="David" w:cs="David" w:hint="cs"/>
          <w:rtl/>
        </w:rPr>
        <w:t>יסודות</w:t>
      </w:r>
      <w:r>
        <w:rPr>
          <w:rFonts w:ascii="David" w:hAnsi="David" w:cs="David" w:hint="cs"/>
          <w:rtl/>
        </w:rPr>
        <w:t xml:space="preserve"> מצטברים</w:t>
      </w:r>
      <w:r w:rsidR="009E2B1A">
        <w:rPr>
          <w:rStyle w:val="FootnoteReference"/>
          <w:rFonts w:ascii="David" w:hAnsi="David" w:cs="David"/>
          <w:rtl/>
        </w:rPr>
        <w:footnoteReference w:id="3"/>
      </w:r>
      <w:r>
        <w:rPr>
          <w:rFonts w:ascii="David" w:hAnsi="David" w:cs="David" w:hint="cs"/>
          <w:rtl/>
        </w:rPr>
        <w:t>:</w:t>
      </w:r>
    </w:p>
    <w:p w:rsidR="000A5244" w:rsidRDefault="004D696F" w:rsidP="004D696F">
      <w:pPr>
        <w:bidi/>
        <w:rPr>
          <w:rFonts w:ascii="David" w:hAnsi="David" w:cs="David"/>
          <w:rtl/>
        </w:rPr>
      </w:pPr>
      <w:r>
        <w:rPr>
          <w:rFonts w:ascii="David" w:hAnsi="David" w:cs="David" w:hint="cs"/>
          <w:rtl/>
        </w:rPr>
        <w:t>התנהגות העושק, מצב העשוק וכי תנאי החוזה יחשבו גרועים במידה בלתי סבירה מן המקובל</w:t>
      </w:r>
      <w:r w:rsidR="00E742D8">
        <w:rPr>
          <w:rStyle w:val="FootnoteReference"/>
          <w:rFonts w:ascii="David" w:hAnsi="David" w:cs="David"/>
          <w:rtl/>
        </w:rPr>
        <w:footnoteReference w:id="4"/>
      </w:r>
      <w:r w:rsidR="000A5244">
        <w:rPr>
          <w:rFonts w:ascii="David" w:hAnsi="David" w:cs="David" w:hint="cs"/>
          <w:rtl/>
        </w:rPr>
        <w:t>.</w:t>
      </w:r>
    </w:p>
    <w:p w:rsidR="00B02055" w:rsidRDefault="000A5244" w:rsidP="000A5244">
      <w:pPr>
        <w:bidi/>
        <w:rPr>
          <w:rFonts w:ascii="David" w:hAnsi="David" w:cs="David"/>
          <w:rtl/>
        </w:rPr>
      </w:pPr>
      <w:r w:rsidRPr="000A5244">
        <w:rPr>
          <w:rFonts w:ascii="David" w:hAnsi="David" w:cs="David" w:hint="cs"/>
          <w:rtl/>
        </w:rPr>
        <w:t>לתנאים אלה נוספים ש</w:t>
      </w:r>
      <w:r>
        <w:rPr>
          <w:rFonts w:ascii="David" w:hAnsi="David" w:cs="David" w:hint="cs"/>
          <w:rtl/>
        </w:rPr>
        <w:t>ני יסודות</w:t>
      </w:r>
      <w:r w:rsidRPr="000A5244">
        <w:rPr>
          <w:rFonts w:ascii="David" w:hAnsi="David" w:cs="David" w:hint="cs"/>
          <w:rtl/>
        </w:rPr>
        <w:t xml:space="preserve"> הם קיומו של חוזה וקשר סיבתי</w:t>
      </w:r>
      <w:r w:rsidR="009E2B1A">
        <w:rPr>
          <w:rStyle w:val="FootnoteReference"/>
          <w:rFonts w:ascii="David" w:hAnsi="David" w:cs="David"/>
          <w:rtl/>
        </w:rPr>
        <w:footnoteReference w:id="5"/>
      </w:r>
      <w:r w:rsidR="004D696F">
        <w:rPr>
          <w:rFonts w:ascii="David" w:hAnsi="David" w:cs="David" w:hint="cs"/>
          <w:rtl/>
        </w:rPr>
        <w:t>.</w:t>
      </w:r>
      <w:r>
        <w:rPr>
          <w:rFonts w:ascii="David" w:hAnsi="David" w:cs="David"/>
          <w:rtl/>
        </w:rPr>
        <w:br/>
      </w:r>
      <w:r>
        <w:rPr>
          <w:rFonts w:ascii="David" w:hAnsi="David" w:cs="David" w:hint="cs"/>
          <w:rtl/>
        </w:rPr>
        <w:t>אעמוד על כל אחד מהם בנפרד</w:t>
      </w:r>
      <w:r w:rsidR="00E27D9A">
        <w:rPr>
          <w:rStyle w:val="FootnoteReference"/>
          <w:rFonts w:ascii="David" w:hAnsi="David" w:cs="David"/>
          <w:rtl/>
        </w:rPr>
        <w:footnoteReference w:id="6"/>
      </w:r>
      <w:r>
        <w:rPr>
          <w:rFonts w:ascii="David" w:hAnsi="David" w:cs="David" w:hint="cs"/>
          <w:rtl/>
        </w:rPr>
        <w:t>:</w:t>
      </w:r>
      <w:r>
        <w:rPr>
          <w:rFonts w:ascii="David" w:hAnsi="David" w:cs="David" w:hint="cs"/>
          <w:rtl/>
        </w:rPr>
        <w:br/>
      </w:r>
      <w:r w:rsidR="00B02055" w:rsidRPr="00DE407E">
        <w:rPr>
          <w:rFonts w:ascii="David" w:hAnsi="David" w:cs="David" w:hint="cs"/>
          <w:u w:val="single"/>
          <w:rtl/>
        </w:rPr>
        <w:t>קיומו של חוזה תקף</w:t>
      </w:r>
      <w:r w:rsidR="00B02055">
        <w:rPr>
          <w:rFonts w:ascii="David" w:hAnsi="David" w:cs="David" w:hint="cs"/>
          <w:rtl/>
        </w:rPr>
        <w:t>- כהנחתי לעיל</w:t>
      </w:r>
      <w:r>
        <w:rPr>
          <w:rFonts w:ascii="David" w:hAnsi="David" w:cs="David" w:hint="cs"/>
          <w:rtl/>
        </w:rPr>
        <w:t>.</w:t>
      </w:r>
    </w:p>
    <w:p w:rsidR="004D696F" w:rsidRDefault="00B02055" w:rsidP="009E5FFC">
      <w:pPr>
        <w:bidi/>
        <w:rPr>
          <w:rFonts w:ascii="David" w:hAnsi="David" w:cs="David"/>
          <w:rtl/>
        </w:rPr>
      </w:pPr>
      <w:r w:rsidRPr="00DE407E">
        <w:rPr>
          <w:rFonts w:ascii="David" w:hAnsi="David" w:cs="David" w:hint="cs"/>
          <w:u w:val="single"/>
          <w:rtl/>
        </w:rPr>
        <w:t>מצב העשוק</w:t>
      </w:r>
      <w:r>
        <w:rPr>
          <w:rFonts w:ascii="David" w:hAnsi="David" w:cs="David" w:hint="cs"/>
          <w:rtl/>
        </w:rPr>
        <w:t xml:space="preserve">- </w:t>
      </w:r>
      <w:r w:rsidR="00FF4903">
        <w:rPr>
          <w:rFonts w:ascii="David" w:hAnsi="David" w:cs="David" w:hint="cs"/>
          <w:rtl/>
        </w:rPr>
        <w:t xml:space="preserve">פליישר המבוהל (העשוק במקרה דנן) </w:t>
      </w:r>
      <w:r w:rsidR="005047DD">
        <w:rPr>
          <w:rFonts w:ascii="David" w:hAnsi="David" w:cs="David" w:hint="cs"/>
          <w:rtl/>
        </w:rPr>
        <w:t xml:space="preserve">היה במצוקה, שכן </w:t>
      </w:r>
      <w:r w:rsidR="00FF4903">
        <w:rPr>
          <w:rFonts w:ascii="David" w:hAnsi="David" w:cs="David" w:hint="cs"/>
          <w:rtl/>
        </w:rPr>
        <w:t>חשש להפסיד את מקור פרנסתו עקב איומו של גיא.</w:t>
      </w:r>
      <w:r w:rsidR="00BB51BD">
        <w:rPr>
          <w:rFonts w:ascii="David" w:hAnsi="David" w:cs="David" w:hint="cs"/>
          <w:rtl/>
        </w:rPr>
        <w:t xml:space="preserve"> נוסף על העובדה כי פליישר היה זקן וערירי שסביר ולא היה בקיא בטיב דרכי התקשרות ותורת חוזים. גם לא היו ילדים שיוכלו לעזור לו בשעת הצורך וביסוסו הכלכלי נשען על יכולותיו לפרנס את עצמו.</w:t>
      </w:r>
      <w:r w:rsidR="005047DD">
        <w:rPr>
          <w:rFonts w:ascii="David" w:hAnsi="David" w:cs="David" w:hint="cs"/>
          <w:rtl/>
        </w:rPr>
        <w:t xml:space="preserve"> מצוקת העשוק היא מצב של צרה ודוחק אליו נקלע המתקשר, זהו שינוי פתאומי המביא ללחץ. במקרה שלנו אכן היה שינוי פתאומי שהביא על פליישר לחץ רב. המצוקה צריכה שתהא במועד ההקשרות וכך אכן קרה במקרה דנן.</w:t>
      </w:r>
      <w:r w:rsidR="000A5244">
        <w:rPr>
          <w:rFonts w:ascii="David" w:hAnsi="David" w:cs="David"/>
          <w:rtl/>
        </w:rPr>
        <w:br/>
      </w:r>
      <w:r w:rsidRPr="00DE407E">
        <w:rPr>
          <w:rFonts w:ascii="David" w:hAnsi="David" w:cs="David" w:hint="cs"/>
          <w:u w:val="single"/>
          <w:rtl/>
        </w:rPr>
        <w:t>קשר סיבתי</w:t>
      </w:r>
      <w:r>
        <w:rPr>
          <w:rFonts w:ascii="David" w:hAnsi="David" w:cs="David" w:hint="cs"/>
          <w:rtl/>
        </w:rPr>
        <w:t xml:space="preserve"> בין מצוקת המתקשר לבין כריתת החוזה </w:t>
      </w:r>
      <w:r w:rsidR="00FF4903">
        <w:rPr>
          <w:rFonts w:ascii="David" w:hAnsi="David" w:cs="David"/>
          <w:rtl/>
        </w:rPr>
        <w:t>–</w:t>
      </w:r>
      <w:r w:rsidR="00FF4903">
        <w:rPr>
          <w:rFonts w:ascii="David" w:hAnsi="David" w:cs="David" w:hint="cs"/>
          <w:rtl/>
        </w:rPr>
        <w:t xml:space="preserve"> משום </w:t>
      </w:r>
      <w:r w:rsidR="00DE407E">
        <w:rPr>
          <w:rFonts w:ascii="David" w:hAnsi="David" w:cs="David" w:hint="cs"/>
          <w:rtl/>
        </w:rPr>
        <w:t>שהיה שרוי במצוקה כרת פליישר את החוזה עם גיא. כך ניתן להניח מהעולה מן הכתוב כי שנתו נדדה כל הלילה ולאחר מכן הודיע כי הוא מסכים למכור את החנות.</w:t>
      </w:r>
      <w:r w:rsidR="00911DC9">
        <w:rPr>
          <w:rFonts w:ascii="David" w:hAnsi="David" w:cs="David" w:hint="cs"/>
          <w:rtl/>
        </w:rPr>
        <w:t xml:space="preserve"> יסוד הקשר הסיבתי עולה מהמילה "עקב" המופיעה בחוק. </w:t>
      </w:r>
    </w:p>
    <w:p w:rsidR="00FF4903" w:rsidRDefault="00FF4903" w:rsidP="006844CA">
      <w:pPr>
        <w:bidi/>
        <w:rPr>
          <w:rFonts w:ascii="David" w:hAnsi="David" w:cs="David"/>
          <w:rtl/>
        </w:rPr>
      </w:pPr>
      <w:r w:rsidRPr="00DE407E">
        <w:rPr>
          <w:rFonts w:ascii="David" w:hAnsi="David" w:cs="David" w:hint="cs"/>
          <w:u w:val="single"/>
          <w:rtl/>
        </w:rPr>
        <w:t>התנהגות העושק</w:t>
      </w:r>
      <w:r>
        <w:rPr>
          <w:rFonts w:ascii="David" w:hAnsi="David" w:cs="David" w:hint="cs"/>
          <w:rtl/>
        </w:rPr>
        <w:t xml:space="preserve">- העושק </w:t>
      </w:r>
      <w:r w:rsidR="008F5CE0">
        <w:rPr>
          <w:rFonts w:ascii="David" w:hAnsi="David" w:cs="David" w:hint="cs"/>
          <w:rtl/>
        </w:rPr>
        <w:t>צריך שיידע</w:t>
      </w:r>
      <w:r>
        <w:rPr>
          <w:rFonts w:ascii="David" w:hAnsi="David" w:cs="David" w:hint="cs"/>
          <w:rtl/>
        </w:rPr>
        <w:t xml:space="preserve"> </w:t>
      </w:r>
      <w:r w:rsidR="008F5CE0">
        <w:rPr>
          <w:rFonts w:ascii="David" w:hAnsi="David" w:cs="David" w:hint="cs"/>
          <w:rtl/>
        </w:rPr>
        <w:t>על מצוק</w:t>
      </w:r>
      <w:r>
        <w:rPr>
          <w:rFonts w:ascii="David" w:hAnsi="David" w:cs="David" w:hint="cs"/>
          <w:rtl/>
        </w:rPr>
        <w:t>תו של הנעשק</w:t>
      </w:r>
      <w:r w:rsidR="00911DC9">
        <w:rPr>
          <w:rFonts w:ascii="David" w:hAnsi="David" w:cs="David" w:hint="cs"/>
          <w:rtl/>
        </w:rPr>
        <w:t xml:space="preserve"> בכדי שהמעשה ייחשב כ"ניצול"</w:t>
      </w:r>
      <w:r w:rsidR="008F5CE0">
        <w:rPr>
          <w:rStyle w:val="FootnoteReference"/>
          <w:rFonts w:ascii="David" w:hAnsi="David" w:cs="David"/>
          <w:rtl/>
        </w:rPr>
        <w:footnoteReference w:id="7"/>
      </w:r>
      <w:r>
        <w:rPr>
          <w:rFonts w:ascii="David" w:hAnsi="David" w:cs="David" w:hint="cs"/>
          <w:rtl/>
        </w:rPr>
        <w:t>. העושק לא חייב שיפגע בפועל בנע</w:t>
      </w:r>
      <w:r w:rsidR="00DE407E">
        <w:rPr>
          <w:rFonts w:ascii="David" w:hAnsi="David" w:cs="David" w:hint="cs"/>
          <w:rtl/>
        </w:rPr>
        <w:t xml:space="preserve">שק. </w:t>
      </w:r>
      <w:r w:rsidR="008F5CE0">
        <w:rPr>
          <w:rFonts w:ascii="David" w:hAnsi="David" w:cs="David" w:hint="cs"/>
          <w:rtl/>
        </w:rPr>
        <w:t>די בכך שפליישר יהיה נטול במצב של מצוקה גם אם לא גיא עצמו הביא אותו לידי כך.</w:t>
      </w:r>
      <w:r w:rsidR="006844CA">
        <w:rPr>
          <w:rFonts w:ascii="David" w:hAnsi="David" w:cs="David" w:hint="cs"/>
          <w:rtl/>
        </w:rPr>
        <w:t xml:space="preserve"> </w:t>
      </w:r>
      <w:r w:rsidR="00DE407E">
        <w:rPr>
          <w:rFonts w:ascii="David" w:hAnsi="David" w:cs="David" w:hint="cs"/>
          <w:rtl/>
        </w:rPr>
        <w:t>במקרה זה, גיא עצמו איים על פ</w:t>
      </w:r>
      <w:r>
        <w:rPr>
          <w:rFonts w:ascii="David" w:hAnsi="David" w:cs="David" w:hint="cs"/>
          <w:rtl/>
        </w:rPr>
        <w:t xml:space="preserve">ליישר </w:t>
      </w:r>
      <w:r w:rsidR="008F5CE0">
        <w:rPr>
          <w:rFonts w:ascii="David" w:hAnsi="David" w:cs="David" w:hint="cs"/>
          <w:rtl/>
        </w:rPr>
        <w:t>(</w:t>
      </w:r>
      <w:r>
        <w:rPr>
          <w:rFonts w:ascii="David" w:hAnsi="David" w:cs="David" w:hint="cs"/>
          <w:rtl/>
        </w:rPr>
        <w:t xml:space="preserve">על אף שאין </w:t>
      </w:r>
      <w:r w:rsidR="008F5CE0">
        <w:rPr>
          <w:rFonts w:ascii="David" w:hAnsi="David" w:cs="David" w:hint="cs"/>
          <w:rtl/>
        </w:rPr>
        <w:t>קריטריון זה נצרך</w:t>
      </w:r>
      <w:r>
        <w:rPr>
          <w:rFonts w:ascii="David" w:hAnsi="David" w:cs="David" w:hint="cs"/>
          <w:rtl/>
        </w:rPr>
        <w:t xml:space="preserve"> על פי חוק</w:t>
      </w:r>
      <w:r w:rsidR="008F5CE0">
        <w:rPr>
          <w:rFonts w:ascii="David" w:hAnsi="David" w:cs="David" w:hint="cs"/>
          <w:rtl/>
        </w:rPr>
        <w:t xml:space="preserve">) ועל כן </w:t>
      </w:r>
      <w:r w:rsidR="006844CA">
        <w:rPr>
          <w:rFonts w:ascii="David" w:hAnsi="David" w:cs="David" w:hint="cs"/>
          <w:rtl/>
        </w:rPr>
        <w:t xml:space="preserve">ברי לנו שידע על מצבו של פליישר וממילא </w:t>
      </w:r>
      <w:r w:rsidR="008F5CE0">
        <w:rPr>
          <w:rFonts w:ascii="David" w:hAnsi="David" w:cs="David" w:hint="cs"/>
          <w:rtl/>
        </w:rPr>
        <w:t xml:space="preserve">מתמלא יסוד זה. </w:t>
      </w:r>
    </w:p>
    <w:p w:rsidR="004D696F" w:rsidRPr="00DE407E" w:rsidRDefault="00DE407E" w:rsidP="004D696F">
      <w:pPr>
        <w:bidi/>
        <w:rPr>
          <w:rFonts w:ascii="David" w:hAnsi="David" w:cs="David"/>
        </w:rPr>
      </w:pPr>
      <w:r>
        <w:rPr>
          <w:rFonts w:ascii="David" w:hAnsi="David" w:cs="David" w:hint="cs"/>
          <w:u w:val="single"/>
          <w:rtl/>
        </w:rPr>
        <w:t>היותם של תנאי החוזה גרועים במידה בלתי סבירה מן המקובל</w:t>
      </w:r>
      <w:r>
        <w:rPr>
          <w:rFonts w:ascii="David" w:hAnsi="David" w:cs="David" w:hint="cs"/>
          <w:rtl/>
        </w:rPr>
        <w:t>-</w:t>
      </w:r>
      <w:r w:rsidR="00B669AF">
        <w:rPr>
          <w:rFonts w:ascii="David" w:hAnsi="David" w:cs="David" w:hint="cs"/>
          <w:rtl/>
        </w:rPr>
        <w:t xml:space="preserve"> יסוד זה הוא המעורפל מבין היסודות שציינתי. בו צריך לקבוע מהו "המקובל" ומהי "מידה בלתי סבירה".</w:t>
      </w:r>
      <w:r w:rsidR="00DB452F">
        <w:rPr>
          <w:rFonts w:ascii="David" w:hAnsi="David" w:cs="David" w:hint="cs"/>
          <w:rtl/>
        </w:rPr>
        <w:t xml:space="preserve"> בד"כ יהיו לנו כלים להבין ולראות מהו הנוהג המקובל כשנשווה לחוזים מאותו סוג, אך לעיתים יהיה זה על בית המשפט להחליט מה נכנס תחת הגדרות אלה</w:t>
      </w:r>
      <w:r w:rsidR="00DB452F">
        <w:rPr>
          <w:rStyle w:val="FootnoteReference"/>
          <w:rFonts w:ascii="David" w:hAnsi="David" w:cs="David"/>
          <w:rtl/>
        </w:rPr>
        <w:footnoteReference w:id="8"/>
      </w:r>
      <w:r w:rsidR="00DB452F">
        <w:rPr>
          <w:rFonts w:ascii="David" w:hAnsi="David" w:cs="David" w:hint="cs"/>
          <w:rtl/>
        </w:rPr>
        <w:t>.</w:t>
      </w:r>
      <w:r w:rsidR="00AF5EFD">
        <w:rPr>
          <w:rFonts w:ascii="David" w:hAnsi="David" w:cs="David" w:hint="cs"/>
          <w:rtl/>
        </w:rPr>
        <w:t xml:space="preserve"> גם המושג "מידה בלתי סבירה" הינו אמורפי ונתון ברובו להכרעה עפ"י שיקול דעת. משום כך דווקא בגין יסוד זה העילה כולה אינה יציבה כפי שדימנו.</w:t>
      </w:r>
    </w:p>
    <w:p w:rsidR="00B02055" w:rsidRDefault="00B02055">
      <w:pPr>
        <w:bidi/>
        <w:rPr>
          <w:rFonts w:ascii="David" w:hAnsi="David" w:cs="David"/>
          <w:rtl/>
        </w:rPr>
      </w:pPr>
    </w:p>
    <w:p w:rsidR="00911DC9" w:rsidRDefault="00911DC9" w:rsidP="00911DC9">
      <w:pPr>
        <w:bidi/>
        <w:rPr>
          <w:rFonts w:ascii="David" w:hAnsi="David" w:cs="David"/>
          <w:rtl/>
        </w:rPr>
      </w:pPr>
      <w:r>
        <w:rPr>
          <w:rFonts w:ascii="David" w:hAnsi="David" w:cs="David" w:hint="cs"/>
          <w:rtl/>
        </w:rPr>
        <w:t>כנגד טיעונים אלו, גיא יוכל לטעון כי:</w:t>
      </w:r>
    </w:p>
    <w:p w:rsidR="005047DD" w:rsidRDefault="005047DD" w:rsidP="005047DD">
      <w:pPr>
        <w:bidi/>
        <w:rPr>
          <w:rFonts w:ascii="David" w:hAnsi="David" w:cs="David"/>
          <w:rtl/>
        </w:rPr>
      </w:pPr>
      <w:r>
        <w:rPr>
          <w:rFonts w:ascii="David" w:hAnsi="David" w:cs="David" w:hint="cs"/>
          <w:rtl/>
        </w:rPr>
        <w:t>מצב העשוק- יסוד זה אינו מתקיים מכיון</w:t>
      </w:r>
      <w:r w:rsidRPr="005047DD">
        <w:rPr>
          <w:rFonts w:ascii="David" w:hAnsi="David" w:cs="David"/>
          <w:rtl/>
        </w:rPr>
        <w:t xml:space="preserve"> שהמועד הקובע לעניין מצבו של העשוק הוא </w:t>
      </w:r>
      <w:r w:rsidRPr="005047DD">
        <w:rPr>
          <w:rFonts w:ascii="David" w:hAnsi="David" w:cs="David"/>
          <w:b/>
          <w:bCs/>
          <w:rtl/>
        </w:rPr>
        <w:t>מועד ההתקשרות</w:t>
      </w:r>
      <w:r>
        <w:rPr>
          <w:rFonts w:ascii="David" w:hAnsi="David" w:cs="David" w:hint="cs"/>
          <w:rtl/>
        </w:rPr>
        <w:t>, ובמקרה זה פליישר לקח זמן לחשוב על ההצעה והביע הסכמה לחתום</w:t>
      </w:r>
      <w:r w:rsidR="006844CA">
        <w:rPr>
          <w:rFonts w:ascii="David" w:hAnsi="David" w:cs="David" w:hint="cs"/>
          <w:rtl/>
        </w:rPr>
        <w:t xml:space="preserve"> על החוזה יום למחרת. על כן, לא ניתן להגיד כי היה במצוקה בשעת כריתת החוזה. טיעון זה לדעתי, אין בו כח של ממש שכן אין צרוך שהמצוקה תהא מתמידה ומתמשכת וברור לכל שפליישר היה נתון במצוקה. מצוקה זו היא שגרמה לו לכרות את החוזה ולפיכך לדעתי כן חל זה היסוד.</w:t>
      </w:r>
    </w:p>
    <w:p w:rsidR="00BB51BD" w:rsidRDefault="00BB51BD" w:rsidP="00BB51BD">
      <w:pPr>
        <w:bidi/>
        <w:rPr>
          <w:rFonts w:ascii="David" w:hAnsi="David" w:cs="David"/>
          <w:rtl/>
        </w:rPr>
      </w:pPr>
      <w:r>
        <w:rPr>
          <w:rFonts w:ascii="David" w:hAnsi="David" w:cs="David" w:hint="cs"/>
          <w:rtl/>
        </w:rPr>
        <w:t xml:space="preserve">לגבי היות פליישר זקן שככל הנראה אינו בקיא בחוזה כפי שצויין שאכן לא הבין חלק גדול ממנו, יטען גיא כי היה עליו לשאול ולברר דברים שאינם מובנים לפני שחותם על חוזה. </w:t>
      </w:r>
      <w:r w:rsidR="001649EF">
        <w:rPr>
          <w:rFonts w:ascii="David" w:hAnsi="David" w:cs="David" w:hint="cs"/>
          <w:rtl/>
        </w:rPr>
        <w:t>לטענת ערירותו של פליישר יטען גיא כי אין זה שייך כלל</w:t>
      </w:r>
      <w:r w:rsidR="00346DAA">
        <w:rPr>
          <w:rStyle w:val="FootnoteReference"/>
          <w:rFonts w:ascii="David" w:hAnsi="David" w:cs="David"/>
          <w:rtl/>
        </w:rPr>
        <w:footnoteReference w:id="9"/>
      </w:r>
      <w:r w:rsidR="001649EF">
        <w:rPr>
          <w:rFonts w:ascii="David" w:hAnsi="David" w:cs="David" w:hint="cs"/>
          <w:rtl/>
        </w:rPr>
        <w:t>. ומה אם יהיו לו ילדים יידע לנהל את עסקיו וחוזיו טוב יותר? ומהי אשמתו של גיא בכך. טיעונים אלו לדעתי אין גם בהם לשכנע שכן היה על גיא להבהיר לפליישר את פרטי החוזה וטענת הערירות כן מהווה שיקול באשר לחוסר מען אליו יוכל לפנות.</w:t>
      </w:r>
    </w:p>
    <w:p w:rsidR="00911DC9" w:rsidRDefault="006844CA" w:rsidP="006844CA">
      <w:pPr>
        <w:bidi/>
        <w:rPr>
          <w:rFonts w:ascii="David" w:hAnsi="David" w:cs="David"/>
          <w:rtl/>
        </w:rPr>
      </w:pPr>
      <w:r>
        <w:rPr>
          <w:rFonts w:ascii="David" w:hAnsi="David" w:cs="David" w:hint="cs"/>
          <w:rtl/>
        </w:rPr>
        <w:t>קשר סיבתי- הקשר הסיבתי בעינ</w:t>
      </w:r>
      <w:r w:rsidR="00911DC9">
        <w:rPr>
          <w:rFonts w:ascii="David" w:hAnsi="David" w:cs="David" w:hint="cs"/>
          <w:rtl/>
        </w:rPr>
        <w:t>יננו מ</w:t>
      </w:r>
      <w:r w:rsidR="009E5FFC">
        <w:rPr>
          <w:rFonts w:ascii="David" w:hAnsi="David" w:cs="David" w:hint="cs"/>
          <w:rtl/>
        </w:rPr>
        <w:t>עורער ולא ניתן להשליך את מצוק</w:t>
      </w:r>
      <w:r w:rsidR="00911DC9">
        <w:rPr>
          <w:rFonts w:ascii="David" w:hAnsi="David" w:cs="David" w:hint="cs"/>
          <w:rtl/>
        </w:rPr>
        <w:t>תו של פליישר</w:t>
      </w:r>
      <w:r w:rsidR="009E5FFC">
        <w:rPr>
          <w:rFonts w:ascii="David" w:hAnsi="David" w:cs="David" w:hint="cs"/>
          <w:rtl/>
        </w:rPr>
        <w:t>,</w:t>
      </w:r>
      <w:r w:rsidR="00911DC9">
        <w:rPr>
          <w:rFonts w:ascii="David" w:hAnsi="David" w:cs="David" w:hint="cs"/>
          <w:rtl/>
        </w:rPr>
        <w:t xml:space="preserve"> באם הייתה, כגורם מכריע לכריתת החוזה. טיעון זה לדעתי אינו מחזיק מים מכיון ש</w:t>
      </w:r>
      <w:r w:rsidR="009E5FFC">
        <w:rPr>
          <w:rFonts w:ascii="David" w:hAnsi="David" w:cs="David" w:hint="cs"/>
          <w:rtl/>
        </w:rPr>
        <w:t>גם אם לא היווה הניצול גורם בלעדי ומכריע להתקשרות עדיין עומדת עילת העושק כעולה מפס"ד שפיר</w:t>
      </w:r>
      <w:r w:rsidR="009E5FFC">
        <w:rPr>
          <w:rStyle w:val="FootnoteReference"/>
          <w:rFonts w:ascii="David" w:hAnsi="David" w:cs="David"/>
          <w:rtl/>
        </w:rPr>
        <w:footnoteReference w:id="10"/>
      </w:r>
      <w:r w:rsidR="009E5FFC">
        <w:rPr>
          <w:rFonts w:ascii="David" w:hAnsi="David" w:cs="David" w:hint="cs"/>
          <w:rtl/>
        </w:rPr>
        <w:t>.</w:t>
      </w:r>
    </w:p>
    <w:p w:rsidR="005864AA" w:rsidRDefault="005864AA" w:rsidP="007A7921">
      <w:pPr>
        <w:bidi/>
        <w:rPr>
          <w:rFonts w:ascii="David" w:hAnsi="David" w:cs="David"/>
          <w:rtl/>
        </w:rPr>
      </w:pPr>
      <w:r>
        <w:rPr>
          <w:rFonts w:ascii="David" w:hAnsi="David" w:cs="David" w:hint="cs"/>
          <w:rtl/>
        </w:rPr>
        <w:lastRenderedPageBreak/>
        <w:t xml:space="preserve">תנאי חוזה גרועים במידה בלתי סבירה מן המקובל- בחוזה זה תנאי החוזה אולי לא האידיאליים ואולי אינם מיטיבים עם פליישר, אך </w:t>
      </w:r>
      <w:r w:rsidRPr="00AF5EFD">
        <w:rPr>
          <w:rFonts w:ascii="David" w:hAnsi="David" w:cs="David" w:hint="cs"/>
          <w:b/>
          <w:bCs/>
          <w:rtl/>
        </w:rPr>
        <w:t>אין לקרוא להם גרועים במידה בלתי סבירה מן המקובל</w:t>
      </w:r>
      <w:r>
        <w:rPr>
          <w:rFonts w:ascii="David" w:hAnsi="David" w:cs="David" w:hint="cs"/>
          <w:rtl/>
        </w:rPr>
        <w:t>. האיזון של הערכים המוחלפים בין שני הצדדים אינו גרוע עד כדי ביטול החוזה.</w:t>
      </w:r>
      <w:r w:rsidR="00AF5EFD">
        <w:rPr>
          <w:rFonts w:ascii="David" w:hAnsi="David" w:cs="David" w:hint="cs"/>
          <w:rtl/>
        </w:rPr>
        <w:t xml:space="preserve"> גיא יכול לטעון כי לדעתו שווי החנות אכן היה 700,000 </w:t>
      </w:r>
      <w:r w:rsidR="007A7921">
        <w:rPr>
          <w:rFonts w:ascii="David" w:hAnsi="David" w:cs="David" w:hint="cs"/>
          <w:rtl/>
        </w:rPr>
        <w:t>₪</w:t>
      </w:r>
      <w:r>
        <w:rPr>
          <w:rFonts w:ascii="David" w:hAnsi="David" w:cs="David" w:hint="cs"/>
          <w:rtl/>
        </w:rPr>
        <w:t xml:space="preserve"> אם היה לדעתו של פליישר סיבה לחשוב שערך</w:t>
      </w:r>
      <w:r w:rsidR="007A7921">
        <w:rPr>
          <w:rFonts w:ascii="David" w:hAnsi="David" w:cs="David" w:hint="cs"/>
          <w:rtl/>
        </w:rPr>
        <w:t xml:space="preserve"> המכר שלו גבוה יותר ממה שדרש</w:t>
      </w:r>
      <w:r>
        <w:rPr>
          <w:rFonts w:ascii="David" w:hAnsi="David" w:cs="David" w:hint="cs"/>
          <w:rtl/>
        </w:rPr>
        <w:t>, היה עליו לעמוד על שלו ולתבוע את המגיע לו.</w:t>
      </w:r>
      <w:r w:rsidR="007A7921">
        <w:rPr>
          <w:rFonts w:ascii="David" w:hAnsi="David" w:cs="David" w:hint="cs"/>
          <w:rtl/>
        </w:rPr>
        <w:t xml:space="preserve"> מה גם שההפרש בין המחיר ששולם לערך הדירה בשעת ההתקשרות לדעת רבים לא יוגדר כלל כהפרש גרוע במידה בלתי סבירה.</w:t>
      </w:r>
      <w:r>
        <w:rPr>
          <w:rFonts w:ascii="David" w:hAnsi="David" w:cs="David" w:hint="cs"/>
          <w:rtl/>
        </w:rPr>
        <w:t xml:space="preserve"> אין אנו יכולים להיות אפוטרופוסים של בעלי הדין ולהכתיב להם כיצד יתקשרו, דבר זה מונע את עקרון השוק החופשי ו</w:t>
      </w:r>
      <w:r w:rsidR="00AF5EFD">
        <w:rPr>
          <w:rFonts w:ascii="David" w:hAnsi="David" w:cs="David" w:hint="cs"/>
          <w:rtl/>
        </w:rPr>
        <w:t>מסלק כל אחראיות מהנקשרים בחוזה.</w:t>
      </w:r>
    </w:p>
    <w:p w:rsidR="007A7921" w:rsidRDefault="007A7921" w:rsidP="007A7921">
      <w:pPr>
        <w:bidi/>
        <w:rPr>
          <w:rFonts w:ascii="David" w:hAnsi="David" w:cs="David"/>
          <w:rtl/>
        </w:rPr>
      </w:pPr>
      <w:r w:rsidRPr="00DA6995">
        <w:rPr>
          <w:rFonts w:ascii="David" w:hAnsi="David" w:cs="David" w:hint="cs"/>
          <w:u w:val="single"/>
          <w:rtl/>
        </w:rPr>
        <w:t>אני סבור</w:t>
      </w:r>
      <w:r>
        <w:rPr>
          <w:rFonts w:ascii="David" w:hAnsi="David" w:cs="David" w:hint="cs"/>
          <w:rtl/>
        </w:rPr>
        <w:t xml:space="preserve"> כי על מכלול השיקולים שהצגתי אכן תקום לפליישר עילה לביטול החוזה בטענת עושק.</w:t>
      </w:r>
    </w:p>
    <w:p w:rsidR="00DA6995" w:rsidRDefault="007A7921" w:rsidP="00DA6995">
      <w:pPr>
        <w:bidi/>
        <w:rPr>
          <w:rFonts w:ascii="David" w:hAnsi="David" w:cs="David"/>
          <w:rtl/>
        </w:rPr>
      </w:pPr>
      <w:r>
        <w:rPr>
          <w:rFonts w:ascii="David" w:hAnsi="David" w:cs="David" w:hint="cs"/>
          <w:rtl/>
        </w:rPr>
        <w:t>אכן, כפי שעולה מהשקלא וטריא אותו הצגתי היסוד האחרון של היותם של תנאי החוזה גרועים במידה בלתי סבירה מן המקובל הוא הבעייתי ביותר בעיניי לתביעה אך יתר התנאים גוברים על הפחיתות של יסוד זה</w:t>
      </w:r>
      <w:r w:rsidR="00F24296">
        <w:rPr>
          <w:rStyle w:val="FootnoteReference"/>
          <w:rFonts w:ascii="David" w:hAnsi="David" w:cs="David"/>
          <w:rtl/>
        </w:rPr>
        <w:footnoteReference w:id="11"/>
      </w:r>
      <w:r w:rsidR="00F61BF4">
        <w:rPr>
          <w:rFonts w:ascii="David" w:hAnsi="David" w:cs="David" w:hint="cs"/>
          <w:rtl/>
        </w:rPr>
        <w:t xml:space="preserve"> ולדעתי יש</w:t>
      </w:r>
      <w:r w:rsidR="0033707D">
        <w:rPr>
          <w:rFonts w:ascii="David" w:hAnsi="David" w:cs="David" w:hint="cs"/>
          <w:rtl/>
        </w:rPr>
        <w:t xml:space="preserve"> מקום</w:t>
      </w:r>
      <w:r w:rsidR="00F61BF4">
        <w:rPr>
          <w:rFonts w:ascii="David" w:hAnsi="David" w:cs="David" w:hint="cs"/>
          <w:rtl/>
        </w:rPr>
        <w:t xml:space="preserve"> להתחשב אף בפוטנציאל </w:t>
      </w:r>
      <w:r>
        <w:rPr>
          <w:rFonts w:ascii="David" w:hAnsi="David" w:cs="David" w:hint="cs"/>
          <w:rtl/>
        </w:rPr>
        <w:t>שווי</w:t>
      </w:r>
      <w:r w:rsidR="00F61BF4">
        <w:rPr>
          <w:rFonts w:ascii="David" w:hAnsi="David" w:cs="David" w:hint="cs"/>
          <w:rtl/>
        </w:rPr>
        <w:t xml:space="preserve"> החנות</w:t>
      </w:r>
      <w:r>
        <w:rPr>
          <w:rFonts w:ascii="David" w:hAnsi="David" w:cs="David" w:hint="cs"/>
          <w:rtl/>
        </w:rPr>
        <w:t xml:space="preserve"> אליו היה מודע גיא</w:t>
      </w:r>
      <w:r w:rsidR="0033707D">
        <w:rPr>
          <w:rStyle w:val="FootnoteReference"/>
          <w:rFonts w:ascii="David" w:hAnsi="David" w:cs="David"/>
          <w:rtl/>
        </w:rPr>
        <w:footnoteReference w:id="12"/>
      </w:r>
      <w:r w:rsidR="00DA6995">
        <w:rPr>
          <w:rFonts w:ascii="David" w:hAnsi="David" w:cs="David" w:hint="cs"/>
          <w:rtl/>
        </w:rPr>
        <w:t>.</w:t>
      </w:r>
    </w:p>
    <w:p w:rsidR="001649EF" w:rsidRDefault="001649EF" w:rsidP="00DA6995">
      <w:pPr>
        <w:bidi/>
        <w:rPr>
          <w:rFonts w:ascii="David" w:hAnsi="David" w:cs="David"/>
          <w:b/>
          <w:bCs/>
          <w:u w:val="single"/>
          <w:rtl/>
        </w:rPr>
      </w:pPr>
    </w:p>
    <w:p w:rsidR="007A7921" w:rsidRPr="00DA6995" w:rsidRDefault="007A7921" w:rsidP="001649EF">
      <w:pPr>
        <w:bidi/>
        <w:rPr>
          <w:rFonts w:ascii="David" w:hAnsi="David" w:cs="David"/>
          <w:rtl/>
        </w:rPr>
      </w:pPr>
      <w:r>
        <w:rPr>
          <w:rFonts w:ascii="David" w:hAnsi="David" w:cs="David" w:hint="cs"/>
          <w:b/>
          <w:bCs/>
          <w:u w:val="single"/>
          <w:rtl/>
        </w:rPr>
        <w:t>כפייה</w:t>
      </w:r>
      <w:r>
        <w:rPr>
          <w:rFonts w:ascii="David" w:hAnsi="David" w:cs="David" w:hint="cs"/>
          <w:b/>
          <w:bCs/>
          <w:rtl/>
        </w:rPr>
        <w:t>:</w:t>
      </w:r>
    </w:p>
    <w:p w:rsidR="007A7921" w:rsidRDefault="001649EF" w:rsidP="004A021A">
      <w:pPr>
        <w:bidi/>
        <w:rPr>
          <w:rFonts w:ascii="David" w:hAnsi="David" w:cs="David"/>
          <w:rtl/>
        </w:rPr>
      </w:pPr>
      <w:r>
        <w:rPr>
          <w:rFonts w:ascii="David" w:hAnsi="David" w:cs="David" w:hint="cs"/>
          <w:rtl/>
        </w:rPr>
        <w:t>תוקפה של עילת הכפייה אשר בגינה ניתן לבט</w:t>
      </w:r>
      <w:r w:rsidR="00465F15">
        <w:rPr>
          <w:rFonts w:ascii="David" w:hAnsi="David" w:cs="David" w:hint="cs"/>
          <w:rtl/>
        </w:rPr>
        <w:t>ל חוזה עולה אף הי</w:t>
      </w:r>
      <w:r>
        <w:rPr>
          <w:rFonts w:ascii="David" w:hAnsi="David" w:cs="David" w:hint="cs"/>
          <w:rtl/>
        </w:rPr>
        <w:t>א מחוק החוזים</w:t>
      </w:r>
      <w:r>
        <w:rPr>
          <w:rStyle w:val="FootnoteReference"/>
          <w:rFonts w:ascii="David" w:hAnsi="David" w:cs="David"/>
          <w:rtl/>
        </w:rPr>
        <w:footnoteReference w:id="13"/>
      </w:r>
      <w:r w:rsidR="00043F5F">
        <w:rPr>
          <w:rFonts w:ascii="David" w:hAnsi="David" w:cs="David" w:hint="cs"/>
          <w:rtl/>
        </w:rPr>
        <w:t xml:space="preserve">. </w:t>
      </w:r>
      <w:r w:rsidR="00F3458D">
        <w:rPr>
          <w:rFonts w:ascii="David" w:hAnsi="David" w:cs="David"/>
          <w:rtl/>
        </w:rPr>
        <w:br/>
      </w:r>
      <w:r w:rsidR="00F3458D">
        <w:rPr>
          <w:rFonts w:ascii="David" w:hAnsi="David" w:cs="David" w:hint="cs"/>
          <w:rtl/>
        </w:rPr>
        <w:t>בעילה זו קיימים שני היסודות המנחים המשותפים לארבע העילות, קיום חוזה וקשר סיבתי, ועליהם נוסף יסוד הכפייה.</w:t>
      </w:r>
      <w:r w:rsidR="00E429DE">
        <w:rPr>
          <w:rFonts w:ascii="David" w:hAnsi="David" w:cs="David" w:hint="cs"/>
          <w:rtl/>
        </w:rPr>
        <w:t xml:space="preserve"> הכפייה יכול שתהא בכח או באיום. בעינייננו הכפייה הייתה באיום שקרי כי בשל קשרים, יוכל גיא לגרום לשלילת תעודת הכשרות של פליישר. הכפייה יכולה להיות בין היתר כלפי נכסיו של אדם וכן כלפי מעמדו החברתי או הכלכלי. אני חושב שכאן אכן התבצעה כפייה אחת שפועלת בשני המישורים גם יחד, היא הייתה מכוונת כלפי נכסיו של פליישר (שלילת תעודת הכשרות כגורם דומיננטי ואינטגרלי מהאיטליז עצמו) שלמעשה היוותה פגיעה כלכלית</w:t>
      </w:r>
      <w:r w:rsidR="004A021A">
        <w:rPr>
          <w:rFonts w:ascii="David" w:hAnsi="David" w:cs="David" w:hint="cs"/>
          <w:rtl/>
        </w:rPr>
        <w:t>.</w:t>
      </w:r>
    </w:p>
    <w:p w:rsidR="00C14B38" w:rsidRDefault="00B54A5C" w:rsidP="00C14B38">
      <w:pPr>
        <w:bidi/>
        <w:rPr>
          <w:rFonts w:ascii="David" w:hAnsi="David" w:cs="David"/>
          <w:rtl/>
        </w:rPr>
      </w:pPr>
      <w:r w:rsidRPr="004A021A">
        <w:rPr>
          <w:rFonts w:ascii="David" w:hAnsi="David" w:cs="David"/>
          <w:rtl/>
        </w:rPr>
        <w:t>לחץ כלכלי יכול שיהא לגיטימי ויכול</w:t>
      </w:r>
      <w:r w:rsidRPr="004A021A">
        <w:rPr>
          <w:rFonts w:ascii="David" w:hAnsi="David" w:cs="David"/>
        </w:rPr>
        <w:t xml:space="preserve"> </w:t>
      </w:r>
      <w:r w:rsidRPr="004A021A">
        <w:rPr>
          <w:rFonts w:ascii="David" w:hAnsi="David" w:cs="David"/>
          <w:rtl/>
        </w:rPr>
        <w:t>שיהא</w:t>
      </w:r>
      <w:r w:rsidRPr="004A021A">
        <w:rPr>
          <w:rFonts w:ascii="David" w:hAnsi="David" w:cs="David"/>
        </w:rPr>
        <w:t xml:space="preserve"> </w:t>
      </w:r>
      <w:r w:rsidRPr="004A021A">
        <w:rPr>
          <w:rFonts w:ascii="David" w:hAnsi="David" w:cs="David"/>
          <w:rtl/>
        </w:rPr>
        <w:t xml:space="preserve">בלתי לגיטימי. כאשר צד פעל כפי שפעל </w:t>
      </w:r>
      <w:r w:rsidRPr="004A021A">
        <w:rPr>
          <w:rFonts w:ascii="David" w:hAnsi="David" w:cs="David" w:hint="cs"/>
          <w:rtl/>
        </w:rPr>
        <w:t>גיא</w:t>
      </w:r>
      <w:r w:rsidRPr="004A021A">
        <w:rPr>
          <w:rFonts w:ascii="David" w:hAnsi="David" w:cs="David"/>
          <w:rtl/>
        </w:rPr>
        <w:t>, אשר השתמש באיום</w:t>
      </w:r>
      <w:r w:rsidRPr="004A021A">
        <w:rPr>
          <w:rFonts w:ascii="David" w:hAnsi="David" w:cs="David"/>
        </w:rPr>
        <w:t xml:space="preserve"> </w:t>
      </w:r>
      <w:r w:rsidRPr="004A021A">
        <w:rPr>
          <w:rFonts w:ascii="David" w:hAnsi="David" w:cs="David"/>
          <w:rtl/>
        </w:rPr>
        <w:t>מפתיע שהנזק הצפון במימושו הינו חמור ביותר ובלתי הפיך, אין בכך משום לחץ לגיטימ</w:t>
      </w:r>
      <w:r>
        <w:rPr>
          <w:rFonts w:cs="FrankRuehl"/>
          <w:rtl/>
        </w:rPr>
        <w:t>י</w:t>
      </w:r>
      <w:r w:rsidR="004A021A">
        <w:rPr>
          <w:rStyle w:val="FootnoteReference"/>
          <w:rFonts w:ascii="David" w:hAnsi="David" w:cs="David"/>
          <w:rtl/>
        </w:rPr>
        <w:footnoteReference w:id="14"/>
      </w:r>
      <w:r w:rsidR="004A021A">
        <w:rPr>
          <w:rFonts w:ascii="David" w:hAnsi="David" w:cs="David" w:hint="cs"/>
          <w:rtl/>
        </w:rPr>
        <w:t>. לכפייה הכלכלית שני מבחנים, אותם תבע השפוט חשין</w:t>
      </w:r>
      <w:r w:rsidR="004A021A">
        <w:rPr>
          <w:rStyle w:val="FootnoteReference"/>
          <w:rFonts w:ascii="David" w:hAnsi="David" w:cs="David"/>
          <w:rtl/>
        </w:rPr>
        <w:footnoteReference w:id="15"/>
      </w:r>
      <w:r w:rsidR="00C14B38">
        <w:rPr>
          <w:rFonts w:ascii="David" w:hAnsi="David" w:cs="David" w:hint="cs"/>
          <w:rtl/>
        </w:rPr>
        <w:t>, ואעמוד על שניהם:</w:t>
      </w:r>
    </w:p>
    <w:p w:rsidR="00C14B38" w:rsidRDefault="00E6109B" w:rsidP="00BB02AE">
      <w:pPr>
        <w:bidi/>
        <w:rPr>
          <w:rFonts w:cs="FrankRuehl"/>
          <w:rtl/>
        </w:rPr>
      </w:pPr>
      <w:r w:rsidRPr="00BB02AE">
        <w:rPr>
          <w:rFonts w:ascii="David" w:hAnsi="David" w:cs="David" w:hint="cs"/>
          <w:u w:val="single"/>
          <w:rtl/>
        </w:rPr>
        <w:t>איכות הכפייה</w:t>
      </w:r>
      <w:r>
        <w:rPr>
          <w:rFonts w:ascii="David" w:hAnsi="David" w:cs="David" w:hint="cs"/>
          <w:rtl/>
        </w:rPr>
        <w:t>- האם הכפייה</w:t>
      </w:r>
      <w:r w:rsidR="00BB02AE">
        <w:rPr>
          <w:rFonts w:ascii="David" w:hAnsi="David" w:cs="David" w:hint="cs"/>
          <w:rtl/>
        </w:rPr>
        <w:t xml:space="preserve"> מתגלעת כ</w:t>
      </w:r>
      <w:r w:rsidR="00BB02AE" w:rsidRPr="00BB02AE">
        <w:rPr>
          <w:rFonts w:ascii="David" w:hAnsi="David" w:cs="David"/>
          <w:rtl/>
        </w:rPr>
        <w:t xml:space="preserve">כפייה או </w:t>
      </w:r>
      <w:r w:rsidR="00BB02AE" w:rsidRPr="00BB02AE">
        <w:rPr>
          <w:rFonts w:ascii="David" w:hAnsi="David" w:cs="David" w:hint="cs"/>
          <w:rtl/>
        </w:rPr>
        <w:t>כ</w:t>
      </w:r>
      <w:r w:rsidR="00BB02AE" w:rsidRPr="00BB02AE">
        <w:rPr>
          <w:rFonts w:ascii="David" w:hAnsi="David" w:cs="David"/>
          <w:rtl/>
        </w:rPr>
        <w:t>לחץ שיש בהם פסול מוסרי-חברתי-כלכלי, ואשר חיי עסקים ומסחר תקינים והוגנים לא יוכלו לשאתם</w:t>
      </w:r>
      <w:r w:rsidR="00EB0D8E">
        <w:rPr>
          <w:rFonts w:ascii="David" w:hAnsi="David" w:cs="David" w:hint="cs"/>
          <w:rtl/>
        </w:rPr>
        <w:t>. בעיניננו ב</w:t>
      </w:r>
      <w:r w:rsidR="00BB02AE" w:rsidRPr="00BB02AE">
        <w:rPr>
          <w:rFonts w:ascii="David" w:hAnsi="David" w:cs="David" w:hint="cs"/>
          <w:rtl/>
        </w:rPr>
        <w:t>כפייה אכן היה פסול מוסרי חברתי כלכלי, בכך שגיא איים בשלילת התעודה כפי שהזכרתי לעיל</w:t>
      </w:r>
      <w:r w:rsidR="009E0D77">
        <w:rPr>
          <w:rFonts w:ascii="David" w:hAnsi="David" w:cs="David" w:hint="cs"/>
          <w:rtl/>
        </w:rPr>
        <w:t xml:space="preserve"> וכן ניצל את חולשתו של שלייפר שהתבטאה בחוסר הבנת החוזה והיותו ערירי</w:t>
      </w:r>
      <w:r w:rsidR="00BB02AE">
        <w:rPr>
          <w:rFonts w:cs="FrankRuehl" w:hint="cs"/>
          <w:rtl/>
        </w:rPr>
        <w:t>.</w:t>
      </w:r>
    </w:p>
    <w:p w:rsidR="00BB02AE" w:rsidRDefault="00BB02AE" w:rsidP="009E0D77">
      <w:pPr>
        <w:bidi/>
        <w:rPr>
          <w:rFonts w:ascii="David" w:hAnsi="David" w:cs="David"/>
          <w:rtl/>
        </w:rPr>
      </w:pPr>
      <w:r w:rsidRPr="00BB02AE">
        <w:rPr>
          <w:rFonts w:ascii="David" w:hAnsi="David" w:cs="David" w:hint="cs"/>
          <w:u w:val="single"/>
          <w:rtl/>
        </w:rPr>
        <w:t>עצמת הכפייה</w:t>
      </w:r>
      <w:r>
        <w:rPr>
          <w:rFonts w:ascii="David" w:hAnsi="David" w:cs="David" w:hint="cs"/>
          <w:rtl/>
        </w:rPr>
        <w:t xml:space="preserve">- </w:t>
      </w:r>
      <w:r w:rsidR="00EB0D8E">
        <w:rPr>
          <w:rFonts w:ascii="David" w:hAnsi="David" w:cs="David" w:hint="cs"/>
          <w:rtl/>
        </w:rPr>
        <w:t>האם קיימת חלופה</w:t>
      </w:r>
      <w:r>
        <w:rPr>
          <w:rFonts w:cs="FrankRuehl"/>
          <w:rtl/>
        </w:rPr>
        <w:t xml:space="preserve"> </w:t>
      </w:r>
      <w:r w:rsidRPr="009E0D77">
        <w:rPr>
          <w:rFonts w:ascii="David" w:hAnsi="David" w:cs="David"/>
          <w:rtl/>
        </w:rPr>
        <w:t>מעשית וסבירה העומדת לפני הצד התם</w:t>
      </w:r>
      <w:r w:rsidR="00EB0D8E" w:rsidRPr="009E0D77">
        <w:rPr>
          <w:rFonts w:ascii="David" w:hAnsi="David" w:cs="David" w:hint="cs"/>
          <w:rtl/>
        </w:rPr>
        <w:t>. במקרה שלנו שלייפר יטען כי לא ראה ברירה מעשית אלטרנטיבית וכי מצבו</w:t>
      </w:r>
      <w:r w:rsidR="009E0D77">
        <w:rPr>
          <w:rFonts w:ascii="David" w:hAnsi="David" w:cs="David" w:hint="cs"/>
          <w:rtl/>
        </w:rPr>
        <w:t xml:space="preserve"> </w:t>
      </w:r>
      <w:r w:rsidR="009E0D77" w:rsidRPr="009E0D77">
        <w:rPr>
          <w:rFonts w:ascii="David" w:hAnsi="David" w:cs="David" w:hint="cs"/>
          <w:rtl/>
        </w:rPr>
        <w:t>(היותו זקן וגלמוד)</w:t>
      </w:r>
      <w:r w:rsidR="009E0D77">
        <w:rPr>
          <w:rFonts w:ascii="David" w:hAnsi="David" w:cs="David" w:hint="cs"/>
          <w:rtl/>
        </w:rPr>
        <w:t xml:space="preserve"> הוא שאילץ אותו </w:t>
      </w:r>
      <w:r w:rsidR="00EB0D8E" w:rsidRPr="009E0D77">
        <w:rPr>
          <w:rFonts w:ascii="David" w:hAnsi="David" w:cs="David" w:hint="cs"/>
          <w:rtl/>
        </w:rPr>
        <w:t>להסתמך על דבריו של גיא.</w:t>
      </w:r>
    </w:p>
    <w:p w:rsidR="003005B3" w:rsidRDefault="003005B3" w:rsidP="00C4144D">
      <w:pPr>
        <w:bidi/>
        <w:rPr>
          <w:rFonts w:ascii="David" w:hAnsi="David" w:cs="David"/>
          <w:rtl/>
        </w:rPr>
      </w:pPr>
      <w:r w:rsidRPr="003005B3">
        <w:rPr>
          <w:rFonts w:ascii="David" w:hAnsi="David" w:cs="David"/>
          <w:rtl/>
        </w:rPr>
        <w:t>כפ</w:t>
      </w:r>
      <w:r w:rsidR="00F45C0E">
        <w:rPr>
          <w:rFonts w:ascii="David" w:hAnsi="David" w:cs="David" w:hint="cs"/>
          <w:rtl/>
        </w:rPr>
        <w:t>י</w:t>
      </w:r>
      <w:r w:rsidRPr="003005B3">
        <w:rPr>
          <w:rFonts w:ascii="David" w:hAnsi="David" w:cs="David"/>
          <w:rtl/>
        </w:rPr>
        <w:t>יה באיום היא ההצבעה על תוצאות קשות שיתרחשו בעתיד אם לא ייערך החוזה</w:t>
      </w:r>
      <w:r>
        <w:rPr>
          <w:rStyle w:val="FootnoteReference"/>
          <w:rFonts w:ascii="David" w:hAnsi="David" w:cs="David"/>
          <w:rtl/>
        </w:rPr>
        <w:footnoteReference w:id="16"/>
      </w:r>
      <w:r w:rsidR="00F45C0E">
        <w:rPr>
          <w:rFonts w:ascii="David" w:hAnsi="David" w:cs="David" w:hint="cs"/>
          <w:rtl/>
        </w:rPr>
        <w:t>, האיום בפגיעה צריך שיהא גם בלתי חוקי. על עוולת שאינן חוקיות נמנות בין היתר הוצאת שם רע שאליו פליישר יוכל לטעון, שהסרת תעודת הכשרות מהווה פגיעה בשמו כמוכר בשר כשר. ובנוסף סחיטה באיומים שזה אפשר לטעון לפליישר כי זה מה שאכן שקרה.</w:t>
      </w:r>
      <w:r w:rsidR="00184541">
        <w:rPr>
          <w:rFonts w:ascii="David" w:hAnsi="David" w:cs="David"/>
          <w:rtl/>
        </w:rPr>
        <w:br/>
      </w:r>
      <w:r w:rsidR="00184541">
        <w:rPr>
          <w:rFonts w:ascii="David" w:hAnsi="David" w:cs="David" w:hint="cs"/>
          <w:rtl/>
        </w:rPr>
        <w:t>קיום החוזה- כהנחתי</w:t>
      </w:r>
      <w:r w:rsidR="00184541">
        <w:rPr>
          <w:rFonts w:ascii="David" w:hAnsi="David" w:cs="David"/>
          <w:rtl/>
        </w:rPr>
        <w:br/>
      </w:r>
      <w:r w:rsidR="00184541">
        <w:rPr>
          <w:rFonts w:ascii="David" w:hAnsi="David" w:cs="David" w:hint="cs"/>
          <w:rtl/>
        </w:rPr>
        <w:t xml:space="preserve">קשר סיבתי- </w:t>
      </w:r>
      <w:r w:rsidR="00C4144D">
        <w:rPr>
          <w:rFonts w:ascii="David" w:hAnsi="David" w:cs="David" w:hint="cs"/>
          <w:rtl/>
        </w:rPr>
        <w:t>רק בעקבות הכפייה הסכים פליישר לכרות את החוזה. שהרי לא הסכים פליישר לעסקה בתחילה ועמד על כך באומרו כי "</w:t>
      </w:r>
      <w:r w:rsidR="00C4144D" w:rsidRPr="00C4144D">
        <w:rPr>
          <w:rFonts w:ascii="David" w:hAnsi="David" w:cs="David" w:hint="cs"/>
          <w:rtl/>
        </w:rPr>
        <w:t>כל עוד אני יכול להתפרנס בכוחות עצמי, אני לא מתכוון לעזוב את האטליז".</w:t>
      </w:r>
      <w:r w:rsidR="00C4144D">
        <w:rPr>
          <w:rFonts w:ascii="David" w:hAnsi="David" w:cs="David" w:hint="cs"/>
          <w:rtl/>
        </w:rPr>
        <w:t xml:space="preserve"> רק לאחר האיום נאות פליישר לכרות את החוזה.</w:t>
      </w:r>
    </w:p>
    <w:p w:rsidR="0033707D" w:rsidRDefault="0033707D" w:rsidP="003005B3">
      <w:pPr>
        <w:bidi/>
        <w:rPr>
          <w:rFonts w:ascii="David" w:hAnsi="David" w:cs="David"/>
          <w:rtl/>
        </w:rPr>
      </w:pPr>
    </w:p>
    <w:p w:rsidR="003005B3" w:rsidRDefault="009E0D77" w:rsidP="0033707D">
      <w:pPr>
        <w:bidi/>
        <w:rPr>
          <w:rFonts w:ascii="David" w:hAnsi="David" w:cs="David"/>
          <w:rtl/>
        </w:rPr>
      </w:pPr>
      <w:r>
        <w:rPr>
          <w:rFonts w:ascii="David" w:hAnsi="David" w:cs="David" w:hint="cs"/>
          <w:rtl/>
        </w:rPr>
        <w:t>גיא י</w:t>
      </w:r>
      <w:r w:rsidR="0033707D">
        <w:rPr>
          <w:rFonts w:ascii="David" w:hAnsi="David" w:cs="David" w:hint="cs"/>
          <w:rtl/>
        </w:rPr>
        <w:t>נסה ל</w:t>
      </w:r>
      <w:r>
        <w:rPr>
          <w:rFonts w:ascii="David" w:hAnsi="David" w:cs="David" w:hint="cs"/>
          <w:rtl/>
        </w:rPr>
        <w:t>קעקע בטענותיו את שני המבחנים לכפייה</w:t>
      </w:r>
      <w:r w:rsidR="00B54A5C">
        <w:rPr>
          <w:rFonts w:ascii="David" w:hAnsi="David" w:cs="David" w:hint="cs"/>
          <w:rtl/>
        </w:rPr>
        <w:t>:</w:t>
      </w:r>
      <w:r w:rsidR="00B54A5C">
        <w:rPr>
          <w:rFonts w:ascii="David" w:hAnsi="David" w:cs="David" w:hint="cs"/>
          <w:rtl/>
        </w:rPr>
        <w:br/>
      </w:r>
      <w:r>
        <w:rPr>
          <w:rFonts w:ascii="David" w:hAnsi="David" w:cs="David" w:hint="cs"/>
          <w:rtl/>
        </w:rPr>
        <w:t xml:space="preserve">איכות הכפיה- אינה בעלת פסול מוסרי או חברתי שכן היא עסקה שנועדה בסופה לבצע פעולה עיסקית עם אדם מסויים. </w:t>
      </w:r>
      <w:r w:rsidR="003005B3">
        <w:rPr>
          <w:rFonts w:ascii="David" w:hAnsi="David" w:cs="David" w:hint="cs"/>
          <w:rtl/>
        </w:rPr>
        <w:t xml:space="preserve">הפעולה לא צריכה להטיב עם כל הצדדים ועל הצד השני להזהר ולבדוק את מכרו. </w:t>
      </w:r>
    </w:p>
    <w:p w:rsidR="00B54A5C" w:rsidRDefault="003005B3" w:rsidP="003005B3">
      <w:pPr>
        <w:bidi/>
        <w:rPr>
          <w:rFonts w:ascii="David" w:hAnsi="David" w:cs="David"/>
          <w:rtl/>
        </w:rPr>
      </w:pPr>
      <w:r>
        <w:rPr>
          <w:rFonts w:ascii="David" w:hAnsi="David" w:cs="David" w:hint="cs"/>
          <w:rtl/>
        </w:rPr>
        <w:t xml:space="preserve">עצמת הכפייה- עילת עצמת </w:t>
      </w:r>
      <w:r w:rsidR="00B54A5C">
        <w:rPr>
          <w:rFonts w:ascii="David" w:hAnsi="David" w:cs="David" w:hint="cs"/>
          <w:rtl/>
        </w:rPr>
        <w:t xml:space="preserve">כפייה אינה רלוונטית שכן הייתה פתוחה בפני שלייפר </w:t>
      </w:r>
      <w:r w:rsidR="00EB0D8E">
        <w:rPr>
          <w:rFonts w:ascii="David" w:hAnsi="David" w:cs="David"/>
          <w:rtl/>
        </w:rPr>
        <w:t>האפשרות לפני</w:t>
      </w:r>
      <w:r w:rsidR="00B54A5C" w:rsidRPr="00B54A5C">
        <w:rPr>
          <w:rFonts w:ascii="David" w:hAnsi="David" w:cs="David"/>
          <w:rtl/>
        </w:rPr>
        <w:t>ה לערכאות להשגת סעד</w:t>
      </w:r>
      <w:r w:rsidR="00B54A5C">
        <w:rPr>
          <w:rFonts w:ascii="David" w:hAnsi="David" w:cs="David" w:hint="cs"/>
          <w:rtl/>
        </w:rPr>
        <w:t xml:space="preserve"> ואפשרות מעשית זו יש בה כדי למנוע את האיום אם בכלל התרחש אחד</w:t>
      </w:r>
      <w:r w:rsidR="00B54A5C">
        <w:rPr>
          <w:rStyle w:val="FootnoteReference"/>
          <w:rFonts w:ascii="David" w:hAnsi="David" w:cs="David"/>
          <w:rtl/>
        </w:rPr>
        <w:footnoteReference w:id="17"/>
      </w:r>
      <w:r w:rsidR="00B54A5C">
        <w:rPr>
          <w:rFonts w:ascii="David" w:hAnsi="David" w:cs="David" w:hint="cs"/>
          <w:rtl/>
        </w:rPr>
        <w:t>.</w:t>
      </w:r>
    </w:p>
    <w:p w:rsidR="00465F15" w:rsidRDefault="00465F15" w:rsidP="00F45C0E">
      <w:pPr>
        <w:bidi/>
        <w:rPr>
          <w:rFonts w:ascii="David" w:hAnsi="David" w:cs="David"/>
          <w:rtl/>
        </w:rPr>
      </w:pPr>
      <w:r>
        <w:rPr>
          <w:rFonts w:ascii="David" w:hAnsi="David" w:cs="David" w:hint="cs"/>
          <w:rtl/>
        </w:rPr>
        <w:lastRenderedPageBreak/>
        <w:t>לדעתי</w:t>
      </w:r>
      <w:r w:rsidR="00F45C0E">
        <w:rPr>
          <w:rFonts w:ascii="David" w:hAnsi="David" w:cs="David" w:hint="cs"/>
          <w:rtl/>
        </w:rPr>
        <w:t xml:space="preserve"> כפייה ודאי שהתבצעה פה. הכפי</w:t>
      </w:r>
      <w:r w:rsidR="0033707D">
        <w:rPr>
          <w:rFonts w:ascii="David" w:hAnsi="David" w:cs="David" w:hint="cs"/>
          <w:rtl/>
        </w:rPr>
        <w:t>י</w:t>
      </w:r>
      <w:r w:rsidR="00F45C0E">
        <w:rPr>
          <w:rFonts w:ascii="David" w:hAnsi="David" w:cs="David" w:hint="cs"/>
          <w:rtl/>
        </w:rPr>
        <w:t>ה עונה על הקריטרונים הנצרכים בכדי להוות עילה לביטול החוזה.</w:t>
      </w:r>
    </w:p>
    <w:p w:rsidR="001649EF" w:rsidRDefault="001649EF" w:rsidP="001649EF">
      <w:pPr>
        <w:bidi/>
        <w:rPr>
          <w:rFonts w:ascii="David" w:hAnsi="David" w:cs="David"/>
          <w:rtl/>
        </w:rPr>
      </w:pPr>
    </w:p>
    <w:p w:rsidR="00903058" w:rsidRPr="00903058" w:rsidRDefault="00903058" w:rsidP="001649EF">
      <w:pPr>
        <w:bidi/>
        <w:rPr>
          <w:rFonts w:ascii="David" w:hAnsi="David" w:cs="David"/>
          <w:rtl/>
        </w:rPr>
      </w:pPr>
      <w:r>
        <w:rPr>
          <w:rFonts w:ascii="David" w:hAnsi="David" w:cs="David" w:hint="cs"/>
          <w:b/>
          <w:bCs/>
          <w:u w:val="single"/>
          <w:rtl/>
        </w:rPr>
        <w:t>הטעייה</w:t>
      </w:r>
      <w:r>
        <w:rPr>
          <w:rFonts w:ascii="David" w:hAnsi="David" w:cs="David" w:hint="cs"/>
          <w:b/>
          <w:bCs/>
          <w:rtl/>
        </w:rPr>
        <w:t>:</w:t>
      </w:r>
    </w:p>
    <w:p w:rsidR="00903058" w:rsidRDefault="00903058" w:rsidP="00903058">
      <w:pPr>
        <w:bidi/>
        <w:rPr>
          <w:rFonts w:ascii="David" w:hAnsi="David" w:cs="David"/>
          <w:rtl/>
        </w:rPr>
      </w:pPr>
      <w:r w:rsidRPr="00903058">
        <w:rPr>
          <w:rFonts w:ascii="David" w:hAnsi="David" w:cs="David" w:hint="cs"/>
          <w:rtl/>
        </w:rPr>
        <w:t>הטעייה היא אמרה טרום חוזית, יכול שתהא בע"פ ויכול שתהא דרך התנהגות מסויימת, הגורמת לצד מסויים להבין דבר שגוי לגבי העסקה</w:t>
      </w:r>
      <w:r>
        <w:rPr>
          <w:rFonts w:ascii="David" w:hAnsi="David" w:cs="David" w:hint="cs"/>
          <w:rtl/>
        </w:rPr>
        <w:t>.</w:t>
      </w:r>
      <w:r w:rsidR="003B59E8">
        <w:rPr>
          <w:rFonts w:ascii="David" w:hAnsi="David" w:cs="David" w:hint="cs"/>
          <w:rtl/>
        </w:rPr>
        <w:t xml:space="preserve"> המתקשר על בסיס הטעייה יכול לבטל את החוזה</w:t>
      </w:r>
      <w:r w:rsidR="003B59E8">
        <w:rPr>
          <w:rStyle w:val="FootnoteReference"/>
          <w:rFonts w:ascii="David" w:hAnsi="David" w:cs="David"/>
          <w:rtl/>
        </w:rPr>
        <w:footnoteReference w:id="18"/>
      </w:r>
      <w:r w:rsidR="003B59E8">
        <w:rPr>
          <w:rFonts w:ascii="David" w:hAnsi="David" w:cs="David" w:hint="cs"/>
          <w:rtl/>
        </w:rPr>
        <w:t>.</w:t>
      </w:r>
    </w:p>
    <w:p w:rsidR="003B59E8" w:rsidRDefault="003B59E8" w:rsidP="003B59E8">
      <w:pPr>
        <w:bidi/>
        <w:rPr>
          <w:rFonts w:ascii="David" w:hAnsi="David" w:cs="David"/>
          <w:rtl/>
        </w:rPr>
      </w:pPr>
      <w:r>
        <w:rPr>
          <w:rFonts w:ascii="David" w:hAnsi="David" w:cs="David" w:hint="cs"/>
          <w:rtl/>
        </w:rPr>
        <w:t>האמרה צריכה להיות מוסבת על העבר או ההווה, שכן הצהרה לגבי עתיד ההקשרות</w:t>
      </w:r>
      <w:r w:rsidR="00F26937">
        <w:rPr>
          <w:rFonts w:ascii="David" w:hAnsi="David" w:cs="David" w:hint="cs"/>
          <w:rtl/>
        </w:rPr>
        <w:t>, ברוב המקרים,</w:t>
      </w:r>
      <w:r>
        <w:rPr>
          <w:rFonts w:ascii="David" w:hAnsi="David" w:cs="David" w:hint="cs"/>
          <w:rtl/>
        </w:rPr>
        <w:t xml:space="preserve"> תהווה תניה או הבטחה.</w:t>
      </w:r>
    </w:p>
    <w:p w:rsidR="00346DAA" w:rsidRDefault="00FE0E0E" w:rsidP="00346DAA">
      <w:pPr>
        <w:bidi/>
        <w:rPr>
          <w:rFonts w:ascii="David" w:hAnsi="David" w:cs="David"/>
          <w:rtl/>
        </w:rPr>
      </w:pPr>
      <w:r>
        <w:rPr>
          <w:rFonts w:ascii="David" w:hAnsi="David" w:cs="David" w:hint="cs"/>
          <w:rtl/>
        </w:rPr>
        <w:t>יסודותיה של עילת ההטעייה הם ארבעה:</w:t>
      </w:r>
    </w:p>
    <w:p w:rsidR="00FE0E0E" w:rsidRDefault="00FE0E0E" w:rsidP="00FE0E0E">
      <w:pPr>
        <w:bidi/>
        <w:rPr>
          <w:rFonts w:ascii="David" w:hAnsi="David" w:cs="David"/>
          <w:rtl/>
        </w:rPr>
      </w:pPr>
      <w:r>
        <w:rPr>
          <w:rFonts w:ascii="David" w:hAnsi="David" w:cs="David" w:hint="cs"/>
          <w:rtl/>
        </w:rPr>
        <w:t>חוזה- כהנחתי.</w:t>
      </w:r>
    </w:p>
    <w:p w:rsidR="00FE0E0E" w:rsidRDefault="00FE0E0E" w:rsidP="0055136E">
      <w:pPr>
        <w:bidi/>
        <w:rPr>
          <w:rFonts w:cs="David"/>
          <w:rtl/>
        </w:rPr>
      </w:pPr>
      <w:r>
        <w:rPr>
          <w:rFonts w:ascii="David" w:hAnsi="David" w:cs="David" w:hint="cs"/>
          <w:rtl/>
        </w:rPr>
        <w:t xml:space="preserve">טעות- הטעות הייתה של פליישר שכרת חוזה עקב אמירתו המטעה של גיא כי שווי החנות הינו 700,000 ₪ </w:t>
      </w:r>
      <w:r w:rsidR="0055136E">
        <w:rPr>
          <w:rFonts w:ascii="David" w:hAnsi="David" w:cs="David" w:hint="cs"/>
          <w:rtl/>
        </w:rPr>
        <w:t xml:space="preserve">וכי בדק זאת. </w:t>
      </w:r>
      <w:r w:rsidR="00673E18">
        <w:rPr>
          <w:rFonts w:ascii="David" w:hAnsi="David" w:cs="David" w:hint="cs"/>
          <w:rtl/>
        </w:rPr>
        <w:t>הטעות העומד</w:t>
      </w:r>
      <w:r w:rsidR="00BA6780">
        <w:rPr>
          <w:rFonts w:ascii="David" w:hAnsi="David" w:cs="David" w:hint="cs"/>
          <w:rtl/>
        </w:rPr>
        <w:t>ת</w:t>
      </w:r>
      <w:r w:rsidR="00673E18">
        <w:rPr>
          <w:rFonts w:ascii="David" w:hAnsi="David" w:cs="David" w:hint="cs"/>
          <w:rtl/>
        </w:rPr>
        <w:t xml:space="preserve"> בבסיסה של ההטעייה אינה צריכה שתהיה יסודית.</w:t>
      </w:r>
      <w:r w:rsidR="00BA6780" w:rsidRPr="00BA6780">
        <w:rPr>
          <w:rFonts w:cs="David" w:hint="cs"/>
          <w:rtl/>
        </w:rPr>
        <w:t xml:space="preserve"> </w:t>
      </w:r>
      <w:r w:rsidR="00BA6780">
        <w:rPr>
          <w:rFonts w:cs="David" w:hint="cs"/>
          <w:rtl/>
        </w:rPr>
        <w:t xml:space="preserve">גישתו של </w:t>
      </w:r>
      <w:r w:rsidR="00BA6780" w:rsidRPr="00BA6780">
        <w:rPr>
          <w:rFonts w:cs="David" w:hint="cs"/>
          <w:rtl/>
        </w:rPr>
        <w:t>ד' פרידמן</w:t>
      </w:r>
      <w:r w:rsidR="00BA6780" w:rsidRPr="00BA6780">
        <w:rPr>
          <w:rStyle w:val="FootnoteReference"/>
          <w:rFonts w:cs="David"/>
          <w:rtl/>
        </w:rPr>
        <w:footnoteReference w:id="19"/>
      </w:r>
      <w:r w:rsidR="00BA6780">
        <w:rPr>
          <w:rFonts w:cs="David" w:hint="cs"/>
          <w:rtl/>
        </w:rPr>
        <w:t xml:space="preserve"> טעות שבכדאיות העסקה היא טעות ביחס לסיכון שנטל על עצמו צד לחוזה.</w:t>
      </w:r>
    </w:p>
    <w:p w:rsidR="00BA6780" w:rsidRDefault="00BA6780" w:rsidP="009472C3">
      <w:pPr>
        <w:bidi/>
        <w:rPr>
          <w:rFonts w:ascii="David" w:hAnsi="David" w:cs="David"/>
          <w:rtl/>
        </w:rPr>
      </w:pPr>
      <w:r>
        <w:rPr>
          <w:rFonts w:cs="David" w:hint="cs"/>
          <w:rtl/>
        </w:rPr>
        <w:t xml:space="preserve">יכול להיות שפליישר לקח על עצמו את הסכון בכדאיות העסקה, </w:t>
      </w:r>
      <w:r w:rsidR="009472C3">
        <w:rPr>
          <w:rFonts w:cs="David" w:hint="cs"/>
          <w:rtl/>
        </w:rPr>
        <w:t>תוך הסתמכותו</w:t>
      </w:r>
      <w:r>
        <w:rPr>
          <w:rFonts w:cs="David" w:hint="cs"/>
          <w:rtl/>
        </w:rPr>
        <w:t xml:space="preserve"> על כך שזה </w:t>
      </w:r>
      <w:r w:rsidR="009472C3">
        <w:rPr>
          <w:rFonts w:cs="David" w:hint="cs"/>
          <w:rtl/>
        </w:rPr>
        <w:t xml:space="preserve">אכן </w:t>
      </w:r>
      <w:r>
        <w:rPr>
          <w:rFonts w:cs="David" w:hint="cs"/>
          <w:rtl/>
        </w:rPr>
        <w:t xml:space="preserve">שווי הדירה אך לא הסתמך על כך שגיא משקר לו לגבי השווי.  </w:t>
      </w:r>
    </w:p>
    <w:p w:rsidR="0055136E" w:rsidRDefault="0055136E" w:rsidP="0055136E">
      <w:pPr>
        <w:bidi/>
        <w:rPr>
          <w:rFonts w:ascii="David" w:hAnsi="David" w:cs="David"/>
          <w:rtl/>
        </w:rPr>
      </w:pPr>
      <w:r>
        <w:rPr>
          <w:rFonts w:ascii="David" w:hAnsi="David" w:cs="David" w:hint="cs"/>
          <w:rtl/>
        </w:rPr>
        <w:t>הטעייה- ההטעייה צריכה שתהא מבוססת על טעות. את הטעות הראתי לעיל וההטעייה שהייתה היא אמירתו המפורשת של  גיא כי שווי החנות הינו 700,000 ₪ וכי בדק זאת. שני</w:t>
      </w:r>
      <w:r w:rsidRPr="0055136E">
        <w:rPr>
          <w:rFonts w:ascii="David" w:hAnsi="David" w:cs="David" w:hint="cs"/>
          <w:rtl/>
        </w:rPr>
        <w:t xml:space="preserve"> </w:t>
      </w:r>
      <w:r>
        <w:rPr>
          <w:rFonts w:ascii="David" w:hAnsi="David" w:cs="David" w:hint="cs"/>
          <w:rtl/>
        </w:rPr>
        <w:t>הדברים הטעו את פליישר ועמדו בבסיס כריתת החוזה.</w:t>
      </w:r>
    </w:p>
    <w:p w:rsidR="00FE0E0E" w:rsidRPr="00903058" w:rsidRDefault="00FE0E0E" w:rsidP="00184541">
      <w:pPr>
        <w:bidi/>
        <w:rPr>
          <w:rFonts w:ascii="David" w:hAnsi="David" w:cs="David"/>
          <w:rtl/>
        </w:rPr>
      </w:pPr>
      <w:r>
        <w:rPr>
          <w:rFonts w:ascii="David" w:hAnsi="David" w:cs="David" w:hint="cs"/>
          <w:rtl/>
        </w:rPr>
        <w:t>קשר סיבתי</w:t>
      </w:r>
      <w:r w:rsidR="00184541">
        <w:rPr>
          <w:rFonts w:ascii="David" w:hAnsi="David" w:cs="David" w:hint="cs"/>
          <w:rtl/>
        </w:rPr>
        <w:t xml:space="preserve">- </w:t>
      </w:r>
      <w:r w:rsidR="00184541" w:rsidRPr="00184541">
        <w:rPr>
          <w:rFonts w:ascii="David" w:hAnsi="David" w:cs="David"/>
          <w:rtl/>
        </w:rPr>
        <w:t>הקשר הסיבתי בעילת ההטעי</w:t>
      </w:r>
      <w:r w:rsidR="00184541">
        <w:rPr>
          <w:rFonts w:ascii="David" w:hAnsi="David" w:cs="David" w:hint="cs"/>
          <w:rtl/>
        </w:rPr>
        <w:t>י</w:t>
      </w:r>
      <w:r w:rsidR="00184541" w:rsidRPr="00184541">
        <w:rPr>
          <w:rFonts w:ascii="David" w:hAnsi="David" w:cs="David"/>
          <w:rtl/>
        </w:rPr>
        <w:t xml:space="preserve">ה </w:t>
      </w:r>
      <w:r w:rsidR="00184541">
        <w:rPr>
          <w:rFonts w:ascii="David" w:hAnsi="David" w:cs="David" w:hint="cs"/>
          <w:rtl/>
        </w:rPr>
        <w:t>הינו</w:t>
      </w:r>
      <w:r w:rsidR="00184541">
        <w:rPr>
          <w:rFonts w:ascii="David" w:hAnsi="David" w:cs="David"/>
          <w:rtl/>
        </w:rPr>
        <w:t xml:space="preserve"> </w:t>
      </w:r>
      <w:r w:rsidR="00184541">
        <w:rPr>
          <w:rFonts w:ascii="David" w:hAnsi="David" w:cs="David" w:hint="cs"/>
          <w:rtl/>
        </w:rPr>
        <w:t>כ</w:t>
      </w:r>
      <w:r w:rsidR="00184541">
        <w:rPr>
          <w:rFonts w:ascii="David" w:hAnsi="David" w:cs="David"/>
          <w:rtl/>
        </w:rPr>
        <w:t>פול</w:t>
      </w:r>
      <w:r w:rsidR="00184541">
        <w:rPr>
          <w:rStyle w:val="FootnoteReference"/>
          <w:rFonts w:ascii="David" w:hAnsi="David" w:cs="David"/>
          <w:rtl/>
        </w:rPr>
        <w:footnoteReference w:id="20"/>
      </w:r>
      <w:r w:rsidR="00184541">
        <w:rPr>
          <w:rFonts w:ascii="David" w:hAnsi="David" w:cs="David" w:hint="cs"/>
          <w:rtl/>
        </w:rPr>
        <w:t xml:space="preserve">: </w:t>
      </w:r>
      <w:r w:rsidR="00184541">
        <w:rPr>
          <w:rFonts w:ascii="David" w:hAnsi="David" w:cs="David"/>
          <w:rtl/>
        </w:rPr>
        <w:t xml:space="preserve">בין </w:t>
      </w:r>
      <w:r w:rsidR="00184541">
        <w:rPr>
          <w:rFonts w:ascii="David" w:hAnsi="David" w:cs="David" w:hint="cs"/>
          <w:rtl/>
        </w:rPr>
        <w:t>הט</w:t>
      </w:r>
      <w:r w:rsidR="00184541" w:rsidRPr="00184541">
        <w:rPr>
          <w:rFonts w:ascii="David" w:hAnsi="David" w:cs="David"/>
          <w:rtl/>
        </w:rPr>
        <w:t xml:space="preserve">עות </w:t>
      </w:r>
      <w:r w:rsidR="00184541">
        <w:rPr>
          <w:rFonts w:ascii="David" w:hAnsi="David" w:cs="David" w:hint="cs"/>
          <w:rtl/>
        </w:rPr>
        <w:t>ל</w:t>
      </w:r>
      <w:r w:rsidR="00184541">
        <w:rPr>
          <w:rFonts w:ascii="David" w:hAnsi="David" w:cs="David"/>
          <w:rtl/>
        </w:rPr>
        <w:t>התקשרות בחוזה ובין הה</w:t>
      </w:r>
      <w:r w:rsidR="00184541">
        <w:rPr>
          <w:rFonts w:ascii="David" w:hAnsi="David" w:cs="David" w:hint="cs"/>
          <w:rtl/>
        </w:rPr>
        <w:t>טעייה</w:t>
      </w:r>
      <w:r w:rsidR="00184541" w:rsidRPr="00184541">
        <w:rPr>
          <w:rFonts w:ascii="David" w:hAnsi="David" w:cs="David"/>
          <w:rtl/>
        </w:rPr>
        <w:t xml:space="preserve"> לבין הטעות.</w:t>
      </w:r>
      <w:r w:rsidR="00184541">
        <w:rPr>
          <w:rFonts w:ascii="David" w:hAnsi="David" w:cs="David" w:hint="cs"/>
          <w:rtl/>
        </w:rPr>
        <w:t xml:space="preserve"> </w:t>
      </w:r>
      <w:r w:rsidR="00184541" w:rsidRPr="00184541">
        <w:rPr>
          <w:rFonts w:ascii="David" w:hAnsi="David" w:cs="David"/>
          <w:rtl/>
        </w:rPr>
        <w:t>על-פי סדר הזמנים המוצב בסעיף צריכה ההטעי</w:t>
      </w:r>
      <w:r w:rsidR="00184541">
        <w:rPr>
          <w:rFonts w:ascii="David" w:hAnsi="David" w:cs="David" w:hint="cs"/>
          <w:rtl/>
        </w:rPr>
        <w:t>י</w:t>
      </w:r>
      <w:r w:rsidR="00184541" w:rsidRPr="00184541">
        <w:rPr>
          <w:rFonts w:ascii="David" w:hAnsi="David" w:cs="David"/>
          <w:rtl/>
        </w:rPr>
        <w:t>ה לגרום לטעות,</w:t>
      </w:r>
      <w:r w:rsidR="00184541">
        <w:rPr>
          <w:rFonts w:ascii="David" w:hAnsi="David" w:cs="David" w:hint="cs"/>
          <w:rtl/>
        </w:rPr>
        <w:t xml:space="preserve"> </w:t>
      </w:r>
      <w:r w:rsidR="00184541" w:rsidRPr="00184541">
        <w:rPr>
          <w:rFonts w:ascii="David" w:hAnsi="David" w:cs="David"/>
          <w:rtl/>
        </w:rPr>
        <w:t>והטעות צריכה להניע את הקשר החוזי</w:t>
      </w:r>
      <w:r w:rsidR="00184541">
        <w:rPr>
          <w:rFonts w:ascii="David" w:hAnsi="David" w:cs="David" w:hint="cs"/>
          <w:rtl/>
        </w:rPr>
        <w:t>.</w:t>
      </w:r>
    </w:p>
    <w:p w:rsidR="00903058" w:rsidRDefault="00903058" w:rsidP="00903058">
      <w:pPr>
        <w:bidi/>
        <w:rPr>
          <w:rFonts w:ascii="David" w:hAnsi="David" w:cs="David"/>
          <w:rtl/>
        </w:rPr>
      </w:pPr>
      <w:r w:rsidRPr="00903058">
        <w:rPr>
          <w:rFonts w:ascii="David" w:hAnsi="David" w:cs="David" w:hint="cs"/>
          <w:rtl/>
        </w:rPr>
        <w:t xml:space="preserve">פה ההטעייה ממש זועקת שכן גיא אמר מפורשת לפליישר "אין לך מה לבדוק. </w:t>
      </w:r>
      <w:r w:rsidRPr="00903058">
        <w:rPr>
          <w:rFonts w:ascii="David" w:hAnsi="David" w:cs="David" w:hint="cs"/>
          <w:u w:val="single"/>
          <w:rtl/>
        </w:rPr>
        <w:t>אני בדקתי וזה המחיר</w:t>
      </w:r>
      <w:r w:rsidRPr="00903058">
        <w:rPr>
          <w:rFonts w:ascii="David" w:hAnsi="David" w:cs="David" w:hint="cs"/>
          <w:rtl/>
        </w:rPr>
        <w:t>"</w:t>
      </w:r>
      <w:r w:rsidR="00C4144D">
        <w:rPr>
          <w:rFonts w:ascii="David" w:hAnsi="David" w:cs="David" w:hint="cs"/>
          <w:rtl/>
        </w:rPr>
        <w:t xml:space="preserve"> הטעות היא שהאמין פליישר שזהו המחיר גרמה להתקשרות (קש"ס ראשון), וההטעייה על פי דבריו של גיא היא זו שגרמה לטעות (קש"ס שני).</w:t>
      </w:r>
    </w:p>
    <w:p w:rsidR="00C4144D" w:rsidRPr="00903058" w:rsidRDefault="00C4144D" w:rsidP="00C4144D">
      <w:pPr>
        <w:bidi/>
        <w:rPr>
          <w:rFonts w:ascii="David" w:hAnsi="David" w:cs="David"/>
          <w:rtl/>
        </w:rPr>
      </w:pPr>
    </w:p>
    <w:p w:rsidR="00903058" w:rsidRDefault="00903058" w:rsidP="00F93D4E">
      <w:pPr>
        <w:bidi/>
        <w:rPr>
          <w:rFonts w:ascii="David" w:hAnsi="David" w:cs="David"/>
          <w:rtl/>
        </w:rPr>
      </w:pPr>
      <w:r>
        <w:rPr>
          <w:rFonts w:ascii="David" w:hAnsi="David" w:cs="David" w:hint="cs"/>
          <w:rtl/>
        </w:rPr>
        <w:t>גם במקרה זה יוכל גיא לטעון כי היה על פליישר לבדוק את טיב הדברים וההתקשרות החוזית. גם אם גיא אמר דברים אך דברים אלו לא נראו בעיניו של פליישר שלמען האמת עלתה במחו המחשבה כי ערך החנות גבוה יותר, היה עליו לבדוק את ערכה אם ראה לנכון</w:t>
      </w:r>
      <w:r w:rsidR="00946224">
        <w:rPr>
          <w:rStyle w:val="FootnoteReference"/>
          <w:rFonts w:ascii="David" w:hAnsi="David" w:cs="David"/>
          <w:rtl/>
        </w:rPr>
        <w:footnoteReference w:id="21"/>
      </w:r>
      <w:r>
        <w:rPr>
          <w:rFonts w:ascii="David" w:hAnsi="David" w:cs="David" w:hint="cs"/>
          <w:rtl/>
        </w:rPr>
        <w:t>.</w:t>
      </w:r>
      <w:r w:rsidR="00C4144D">
        <w:rPr>
          <w:rFonts w:ascii="David" w:hAnsi="David" w:cs="David"/>
          <w:rtl/>
        </w:rPr>
        <w:br/>
      </w:r>
      <w:r w:rsidR="00C4144D">
        <w:rPr>
          <w:rFonts w:ascii="David" w:hAnsi="David" w:cs="David" w:hint="cs"/>
          <w:rtl/>
        </w:rPr>
        <w:t>בנוסף יכול פליישר לטעון כי</w:t>
      </w:r>
      <w:r w:rsidR="00F93D4E">
        <w:rPr>
          <w:rFonts w:ascii="David" w:hAnsi="David" w:cs="David" w:hint="cs"/>
          <w:rtl/>
        </w:rPr>
        <w:t xml:space="preserve"> גם אם חלה פה הטעייה, הרי היא הטעייה </w:t>
      </w:r>
      <w:r w:rsidR="00F93D4E" w:rsidRPr="00F93D4E">
        <w:rPr>
          <w:rFonts w:ascii="David" w:hAnsi="David" w:cs="David"/>
          <w:rtl/>
        </w:rPr>
        <w:t>המתייחסת לכדאיות העסקה בלבד,</w:t>
      </w:r>
      <w:r w:rsidR="000D555D">
        <w:rPr>
          <w:rFonts w:ascii="David" w:hAnsi="David" w:cs="David" w:hint="cs"/>
          <w:rtl/>
        </w:rPr>
        <w:t xml:space="preserve"> </w:t>
      </w:r>
      <w:r w:rsidR="00930B11">
        <w:rPr>
          <w:rFonts w:ascii="David" w:hAnsi="David" w:cs="David" w:hint="cs"/>
          <w:rtl/>
        </w:rPr>
        <w:t>ש</w:t>
      </w:r>
      <w:r w:rsidR="00F93D4E" w:rsidRPr="00F93D4E">
        <w:rPr>
          <w:rFonts w:ascii="David" w:hAnsi="David" w:cs="David"/>
          <w:rtl/>
        </w:rPr>
        <w:t>אינה מהווה עילה</w:t>
      </w:r>
      <w:r w:rsidR="00F93D4E">
        <w:rPr>
          <w:rFonts w:ascii="David" w:hAnsi="David" w:cs="David" w:hint="cs"/>
          <w:rtl/>
        </w:rPr>
        <w:t xml:space="preserve"> לביטול החוזה</w:t>
      </w:r>
      <w:r w:rsidR="000D555D">
        <w:rPr>
          <w:rStyle w:val="FootnoteReference"/>
          <w:rFonts w:ascii="David" w:hAnsi="David" w:cs="David"/>
          <w:rtl/>
        </w:rPr>
        <w:footnoteReference w:id="22"/>
      </w:r>
      <w:r w:rsidR="000D555D">
        <w:rPr>
          <w:rFonts w:ascii="David" w:hAnsi="David" w:cs="David" w:hint="cs"/>
          <w:rtl/>
        </w:rPr>
        <w:t>.</w:t>
      </w:r>
      <w:r w:rsidR="00930B11">
        <w:rPr>
          <w:rFonts w:ascii="David" w:hAnsi="David" w:cs="David" w:hint="cs"/>
          <w:rtl/>
        </w:rPr>
        <w:t xml:space="preserve"> היות ואמירתו של גיא הייתה מופנה כלפיי</w:t>
      </w:r>
      <w:r w:rsidR="000D555D">
        <w:rPr>
          <w:rFonts w:ascii="David" w:hAnsi="David" w:cs="David" w:hint="cs"/>
          <w:rtl/>
        </w:rPr>
        <w:t xml:space="preserve"> ערך הממכר אין היא מגיעה לידי הטעייה</w:t>
      </w:r>
      <w:r w:rsidR="000D555D">
        <w:rPr>
          <w:rStyle w:val="FootnoteReference"/>
          <w:rFonts w:ascii="David" w:hAnsi="David" w:cs="David"/>
          <w:rtl/>
        </w:rPr>
        <w:footnoteReference w:id="23"/>
      </w:r>
      <w:r w:rsidR="00946224">
        <w:rPr>
          <w:rFonts w:ascii="David" w:hAnsi="David" w:cs="David" w:hint="cs"/>
          <w:rtl/>
        </w:rPr>
        <w:t>.</w:t>
      </w:r>
    </w:p>
    <w:p w:rsidR="00D23C51" w:rsidRDefault="00D23C51" w:rsidP="00D23C51">
      <w:pPr>
        <w:bidi/>
        <w:rPr>
          <w:rFonts w:ascii="David" w:hAnsi="David" w:cs="David"/>
          <w:rtl/>
        </w:rPr>
      </w:pPr>
    </w:p>
    <w:p w:rsidR="00D23C51" w:rsidRPr="00903058" w:rsidRDefault="00D23C51" w:rsidP="00D23C51">
      <w:pPr>
        <w:bidi/>
        <w:rPr>
          <w:rFonts w:ascii="David" w:hAnsi="David" w:cs="David"/>
          <w:rtl/>
        </w:rPr>
      </w:pPr>
      <w:r>
        <w:rPr>
          <w:rFonts w:ascii="David" w:hAnsi="David" w:cs="David" w:hint="cs"/>
          <w:rtl/>
        </w:rPr>
        <w:t>הטעייה נוספת בה ארצה להתמקד, היא הטעייה במחדל</w:t>
      </w:r>
      <w:r>
        <w:rPr>
          <w:rStyle w:val="FootnoteReference"/>
          <w:rFonts w:ascii="David" w:hAnsi="David" w:cs="David"/>
          <w:rtl/>
        </w:rPr>
        <w:footnoteReference w:id="24"/>
      </w:r>
      <w:r>
        <w:rPr>
          <w:rFonts w:ascii="David" w:hAnsi="David" w:cs="David" w:hint="cs"/>
          <w:rtl/>
        </w:rPr>
        <w:t>.</w:t>
      </w:r>
    </w:p>
    <w:p w:rsidR="00D23C51" w:rsidRDefault="00D23C51" w:rsidP="006C5196">
      <w:pPr>
        <w:bidi/>
        <w:rPr>
          <w:rFonts w:cs="David"/>
          <w:rtl/>
        </w:rPr>
      </w:pPr>
      <w:r w:rsidRPr="00D23C51">
        <w:rPr>
          <w:rFonts w:cs="David" w:hint="cs"/>
          <w:rtl/>
        </w:rPr>
        <w:t>הטעיה</w:t>
      </w:r>
      <w:r w:rsidRPr="00D23C51">
        <w:rPr>
          <w:rFonts w:cs="David"/>
          <w:rtl/>
        </w:rPr>
        <w:t xml:space="preserve"> </w:t>
      </w:r>
      <w:r w:rsidRPr="00D23C51">
        <w:rPr>
          <w:rFonts w:cs="David" w:hint="cs"/>
          <w:rtl/>
        </w:rPr>
        <w:t>יכולה</w:t>
      </w:r>
      <w:r w:rsidRPr="00D23C51">
        <w:rPr>
          <w:rFonts w:cs="David"/>
          <w:rtl/>
        </w:rPr>
        <w:t xml:space="preserve"> </w:t>
      </w:r>
      <w:r w:rsidRPr="00D23C51">
        <w:rPr>
          <w:rFonts w:cs="David" w:hint="cs"/>
          <w:rtl/>
        </w:rPr>
        <w:t>להיות</w:t>
      </w:r>
      <w:r w:rsidRPr="00D23C51">
        <w:rPr>
          <w:rFonts w:cs="David"/>
          <w:rtl/>
        </w:rPr>
        <w:t xml:space="preserve"> </w:t>
      </w:r>
      <w:r w:rsidRPr="00D23C51">
        <w:rPr>
          <w:rFonts w:cs="David" w:hint="cs"/>
          <w:rtl/>
        </w:rPr>
        <w:t>אקטיבית(=במעשה)</w:t>
      </w:r>
      <w:r w:rsidRPr="00D23C51">
        <w:rPr>
          <w:rFonts w:cs="David"/>
          <w:rtl/>
        </w:rPr>
        <w:t xml:space="preserve"> </w:t>
      </w:r>
      <w:r w:rsidRPr="00D23C51">
        <w:rPr>
          <w:rFonts w:cs="David" w:hint="cs"/>
          <w:rtl/>
        </w:rPr>
        <w:t>או</w:t>
      </w:r>
      <w:r w:rsidRPr="00D23C51">
        <w:rPr>
          <w:rFonts w:cs="David"/>
          <w:rtl/>
        </w:rPr>
        <w:t xml:space="preserve"> </w:t>
      </w:r>
      <w:r w:rsidRPr="00D23C51">
        <w:rPr>
          <w:rFonts w:cs="David" w:hint="cs"/>
          <w:rtl/>
        </w:rPr>
        <w:t>פאסיבית (=במחדל)</w:t>
      </w:r>
      <w:r w:rsidRPr="00D23C51">
        <w:rPr>
          <w:rStyle w:val="FootnoteReference"/>
          <w:rFonts w:cs="David"/>
          <w:rtl/>
        </w:rPr>
        <w:footnoteReference w:id="25"/>
      </w:r>
      <w:r w:rsidRPr="00D23C51">
        <w:rPr>
          <w:rFonts w:cs="David"/>
          <w:rtl/>
        </w:rPr>
        <w:t>,</w:t>
      </w:r>
      <w:r w:rsidRPr="00D04B2B">
        <w:rPr>
          <w:rFonts w:cs="David"/>
          <w:rtl/>
        </w:rPr>
        <w:t xml:space="preserve"> </w:t>
      </w:r>
      <w:r w:rsidRPr="00D04B2B">
        <w:rPr>
          <w:rFonts w:cs="David" w:hint="cs"/>
          <w:rtl/>
        </w:rPr>
        <w:t>כלומר</w:t>
      </w:r>
      <w:r w:rsidRPr="00D04B2B">
        <w:rPr>
          <w:rFonts w:cs="David"/>
          <w:rtl/>
        </w:rPr>
        <w:t xml:space="preserve"> </w:t>
      </w:r>
      <w:r w:rsidRPr="00D04B2B">
        <w:rPr>
          <w:rFonts w:cs="David" w:hint="cs"/>
          <w:rtl/>
        </w:rPr>
        <w:t>בדרך</w:t>
      </w:r>
      <w:r w:rsidRPr="00D04B2B">
        <w:rPr>
          <w:rFonts w:cs="David"/>
          <w:rtl/>
        </w:rPr>
        <w:t xml:space="preserve"> </w:t>
      </w:r>
      <w:r w:rsidRPr="00D04B2B">
        <w:rPr>
          <w:rFonts w:cs="David" w:hint="cs"/>
          <w:rtl/>
        </w:rPr>
        <w:t>של</w:t>
      </w:r>
      <w:r w:rsidRPr="00D04B2B">
        <w:rPr>
          <w:rFonts w:cs="David"/>
          <w:rtl/>
        </w:rPr>
        <w:t xml:space="preserve"> </w:t>
      </w:r>
      <w:r w:rsidRPr="00D04B2B">
        <w:rPr>
          <w:rFonts w:cs="David" w:hint="cs"/>
          <w:rtl/>
        </w:rPr>
        <w:t>אי</w:t>
      </w:r>
      <w:r w:rsidRPr="00D04B2B">
        <w:rPr>
          <w:rFonts w:cs="David"/>
          <w:rtl/>
        </w:rPr>
        <w:t xml:space="preserve"> </w:t>
      </w:r>
      <w:r w:rsidRPr="00D04B2B">
        <w:rPr>
          <w:rFonts w:cs="David" w:hint="cs"/>
          <w:rtl/>
        </w:rPr>
        <w:t>גילוין</w:t>
      </w:r>
      <w:r w:rsidRPr="00D04B2B">
        <w:rPr>
          <w:rFonts w:cs="David"/>
          <w:rtl/>
        </w:rPr>
        <w:t xml:space="preserve"> </w:t>
      </w:r>
      <w:r w:rsidRPr="00D04B2B">
        <w:rPr>
          <w:rFonts w:cs="David" w:hint="cs"/>
          <w:rtl/>
        </w:rPr>
        <w:t>של</w:t>
      </w:r>
      <w:r w:rsidRPr="00D04B2B">
        <w:rPr>
          <w:rFonts w:cs="David"/>
          <w:rtl/>
        </w:rPr>
        <w:t xml:space="preserve"> </w:t>
      </w:r>
      <w:r w:rsidRPr="00D04B2B">
        <w:rPr>
          <w:rFonts w:cs="David" w:hint="cs"/>
          <w:rtl/>
        </w:rPr>
        <w:t>עובדות</w:t>
      </w:r>
      <w:r w:rsidRPr="00D04B2B">
        <w:rPr>
          <w:rFonts w:cs="David"/>
          <w:rtl/>
        </w:rPr>
        <w:t xml:space="preserve"> </w:t>
      </w:r>
      <w:r w:rsidRPr="00D04B2B">
        <w:rPr>
          <w:rFonts w:cs="David" w:hint="cs"/>
          <w:rtl/>
        </w:rPr>
        <w:t>שמן</w:t>
      </w:r>
      <w:r w:rsidRPr="00D04B2B">
        <w:rPr>
          <w:rFonts w:cs="David"/>
          <w:rtl/>
        </w:rPr>
        <w:t xml:space="preserve"> </w:t>
      </w:r>
      <w:r w:rsidRPr="00D04B2B">
        <w:rPr>
          <w:rFonts w:cs="David" w:hint="cs"/>
          <w:rtl/>
        </w:rPr>
        <w:t>הראוי</w:t>
      </w:r>
      <w:r w:rsidRPr="00D04B2B">
        <w:rPr>
          <w:rFonts w:cs="David"/>
          <w:rtl/>
        </w:rPr>
        <w:t xml:space="preserve"> </w:t>
      </w:r>
      <w:r w:rsidRPr="00D04B2B">
        <w:rPr>
          <w:rFonts w:cs="David" w:hint="cs"/>
          <w:rtl/>
        </w:rPr>
        <w:t>היה</w:t>
      </w:r>
      <w:r>
        <w:rPr>
          <w:rFonts w:cs="David"/>
          <w:rtl/>
        </w:rPr>
        <w:t xml:space="preserve"> </w:t>
      </w:r>
      <w:r w:rsidRPr="00D04B2B">
        <w:rPr>
          <w:rFonts w:cs="David" w:hint="cs"/>
          <w:rtl/>
        </w:rPr>
        <w:t>לגלות</w:t>
      </w:r>
      <w:r>
        <w:rPr>
          <w:rFonts w:cs="David" w:hint="cs"/>
          <w:rtl/>
        </w:rPr>
        <w:t xml:space="preserve">. </w:t>
      </w:r>
      <w:r w:rsidRPr="00D04B2B">
        <w:rPr>
          <w:rFonts w:cs="David" w:hint="cs"/>
          <w:rtl/>
        </w:rPr>
        <w:t>במקרה</w:t>
      </w:r>
      <w:r>
        <w:rPr>
          <w:rFonts w:cs="David" w:hint="cs"/>
          <w:rtl/>
        </w:rPr>
        <w:t xml:space="preserve"> </w:t>
      </w:r>
      <w:r w:rsidRPr="00D04B2B">
        <w:rPr>
          <w:rFonts w:cs="David" w:hint="cs"/>
          <w:rtl/>
        </w:rPr>
        <w:t>דנן</w:t>
      </w:r>
      <w:r w:rsidRPr="00D04B2B">
        <w:rPr>
          <w:rFonts w:cs="David"/>
          <w:rtl/>
        </w:rPr>
        <w:t xml:space="preserve">, </w:t>
      </w:r>
      <w:r>
        <w:rPr>
          <w:rFonts w:cs="David" w:hint="cs"/>
          <w:rtl/>
        </w:rPr>
        <w:t xml:space="preserve">ישנה </w:t>
      </w:r>
      <w:r w:rsidRPr="00D04B2B">
        <w:rPr>
          <w:rFonts w:cs="David" w:hint="cs"/>
          <w:rtl/>
        </w:rPr>
        <w:t>הטעיה</w:t>
      </w:r>
      <w:r w:rsidRPr="00D04B2B">
        <w:rPr>
          <w:rFonts w:cs="David"/>
          <w:rtl/>
        </w:rPr>
        <w:t xml:space="preserve"> </w:t>
      </w:r>
      <w:r w:rsidRPr="00D04B2B">
        <w:rPr>
          <w:rFonts w:cs="David" w:hint="cs"/>
          <w:rtl/>
        </w:rPr>
        <w:t>פאסיבית</w:t>
      </w:r>
      <w:r w:rsidRPr="00D04B2B">
        <w:rPr>
          <w:rFonts w:cs="David"/>
          <w:rtl/>
        </w:rPr>
        <w:t>,</w:t>
      </w:r>
      <w:r>
        <w:rPr>
          <w:rFonts w:cs="David" w:hint="cs"/>
          <w:rtl/>
        </w:rPr>
        <w:t xml:space="preserve"> שכן גיא התקשר בעודו מחזיק במידע חיוני אשר לא היה ידוע לפליישר</w:t>
      </w:r>
      <w:r w:rsidR="00930B11">
        <w:rPr>
          <w:rFonts w:cs="David" w:hint="cs"/>
          <w:rtl/>
        </w:rPr>
        <w:t>, הוא תכנית המתאר החדשה</w:t>
      </w:r>
      <w:r>
        <w:rPr>
          <w:rFonts w:cs="David" w:hint="cs"/>
          <w:rtl/>
        </w:rPr>
        <w:t>. פה יש לדון האם הייתה חובת גילוי לגיא כלפי פליישר</w:t>
      </w:r>
      <w:r w:rsidR="00930B11">
        <w:rPr>
          <w:rFonts w:cs="David" w:hint="cs"/>
          <w:rtl/>
        </w:rPr>
        <w:t>.</w:t>
      </w:r>
      <w:r w:rsidR="00930B11">
        <w:rPr>
          <w:rFonts w:cs="David"/>
          <w:rtl/>
        </w:rPr>
        <w:br/>
      </w:r>
      <w:r w:rsidR="00930B11">
        <w:rPr>
          <w:rFonts w:cs="David" w:hint="cs"/>
          <w:rtl/>
        </w:rPr>
        <w:t>פליישר יטען כי אם היה גלוי לפניו מידע זה וודאי שלא היה מוכר את חנותו.</w:t>
      </w:r>
      <w:r w:rsidR="00F24296">
        <w:rPr>
          <w:rFonts w:cs="David" w:hint="cs"/>
          <w:rtl/>
        </w:rPr>
        <w:t xml:space="preserve"> מה גם שאילו היה רוצה להשיג מידע זה לא היה יכול כיוון שאין זה מידע שזמין לכל מי שירצה (גיא ידע על כך בשל קשרים שהיו לו בעירייה). על נושא זה עומד </w:t>
      </w:r>
      <w:r w:rsidR="008F6B45">
        <w:rPr>
          <w:rFonts w:cs="David" w:hint="cs"/>
          <w:rtl/>
        </w:rPr>
        <w:t>אנט</w:t>
      </w:r>
      <w:r w:rsidR="008F6B45" w:rsidRPr="008F6B45">
        <w:rPr>
          <w:rFonts w:cs="David" w:hint="cs"/>
          <w:rtl/>
        </w:rPr>
        <w:t>וני קרונמן במאמרו</w:t>
      </w:r>
      <w:r w:rsidR="008F6B45">
        <w:rPr>
          <w:rStyle w:val="FootnoteReference"/>
          <w:rFonts w:cs="David"/>
          <w:rtl/>
        </w:rPr>
        <w:footnoteReference w:id="26"/>
      </w:r>
      <w:r w:rsidR="008F6B45">
        <w:rPr>
          <w:rFonts w:cs="David" w:hint="cs"/>
          <w:rtl/>
        </w:rPr>
        <w:t xml:space="preserve">. לשיטתו של קרונמן ישנם שני סוגים של מידע לגבם עלינו לשים את הדעת: </w:t>
      </w:r>
      <w:r w:rsidR="008F6B45">
        <w:rPr>
          <w:rFonts w:cs="David" w:hint="cs"/>
          <w:b/>
          <w:bCs/>
          <w:rtl/>
        </w:rPr>
        <w:t>מידע שנרכש במכוון-</w:t>
      </w:r>
      <w:r w:rsidR="008F6B45">
        <w:rPr>
          <w:rFonts w:cs="David" w:hint="cs"/>
          <w:rtl/>
        </w:rPr>
        <w:t xml:space="preserve"> מידע שהושקע מאמץ מיוחד לצורך השגתו. לדעת קרונמן, אין להטיל חובת גילוי על מידע שנרכש במכוון, זאת כדי לא לרפות את ידי אלו המשקיעים מאמץ וכסף מלעשות זאת בעתיד (דבר זה עולה בקנה אחד עם גישתו של לנדוי אותה הזכרתי</w:t>
      </w:r>
      <w:r w:rsidR="008F6B45">
        <w:rPr>
          <w:rStyle w:val="FootnoteReference"/>
          <w:rFonts w:cs="David"/>
          <w:rtl/>
        </w:rPr>
        <w:footnoteReference w:id="27"/>
      </w:r>
      <w:r w:rsidR="008F6B45">
        <w:rPr>
          <w:rFonts w:cs="David" w:hint="cs"/>
          <w:rtl/>
        </w:rPr>
        <w:t>)</w:t>
      </w:r>
      <w:r w:rsidR="00282997">
        <w:rPr>
          <w:rFonts w:cs="David" w:hint="cs"/>
          <w:rtl/>
        </w:rPr>
        <w:t>.</w:t>
      </w:r>
      <w:r w:rsidR="008F6B45" w:rsidRPr="008F6B45">
        <w:rPr>
          <w:rFonts w:cs="David" w:hint="cs"/>
          <w:b/>
          <w:bCs/>
          <w:rtl/>
        </w:rPr>
        <w:t xml:space="preserve"> </w:t>
      </w:r>
      <w:r w:rsidR="008F6B45" w:rsidRPr="00DA3048">
        <w:rPr>
          <w:rFonts w:cs="David" w:hint="cs"/>
          <w:b/>
          <w:bCs/>
          <w:rtl/>
        </w:rPr>
        <w:t>מידע אקראי</w:t>
      </w:r>
      <w:r w:rsidR="008F6B45">
        <w:rPr>
          <w:rFonts w:cs="David" w:hint="cs"/>
          <w:rtl/>
        </w:rPr>
        <w:t xml:space="preserve">- מידע שהושג באקראי, </w:t>
      </w:r>
      <w:r w:rsidR="00282997">
        <w:rPr>
          <w:rFonts w:cs="David" w:hint="cs"/>
          <w:rtl/>
        </w:rPr>
        <w:t>שהיה נתון לכל ו</w:t>
      </w:r>
      <w:r w:rsidR="008F6B45">
        <w:rPr>
          <w:rFonts w:cs="David" w:hint="cs"/>
          <w:rtl/>
        </w:rPr>
        <w:t xml:space="preserve">שלא הושקע </w:t>
      </w:r>
      <w:r w:rsidR="00282997">
        <w:rPr>
          <w:rFonts w:cs="David" w:hint="cs"/>
          <w:rtl/>
        </w:rPr>
        <w:t>מאמץ מיוחד</w:t>
      </w:r>
      <w:r w:rsidR="008F6B45">
        <w:rPr>
          <w:rFonts w:cs="David" w:hint="cs"/>
          <w:rtl/>
        </w:rPr>
        <w:t xml:space="preserve"> להשגתו.</w:t>
      </w:r>
      <w:r w:rsidR="006C5196">
        <w:rPr>
          <w:rFonts w:cs="David" w:hint="cs"/>
          <w:rtl/>
        </w:rPr>
        <w:t xml:space="preserve"> פליישר יוסיף לטעון כי </w:t>
      </w:r>
      <w:r w:rsidR="006C5196" w:rsidRPr="00F40BE4">
        <w:rPr>
          <w:rFonts w:cs="David" w:hint="cs"/>
          <w:rtl/>
        </w:rPr>
        <w:t>חלה</w:t>
      </w:r>
      <w:r w:rsidR="006C5196" w:rsidRPr="00F40BE4">
        <w:rPr>
          <w:rFonts w:cs="David"/>
          <w:rtl/>
        </w:rPr>
        <w:t xml:space="preserve"> </w:t>
      </w:r>
      <w:r w:rsidR="007969D6">
        <w:rPr>
          <w:rFonts w:cs="David" w:hint="cs"/>
          <w:rtl/>
        </w:rPr>
        <w:t xml:space="preserve">במקרה זה גם </w:t>
      </w:r>
      <w:r w:rsidR="006C5196" w:rsidRPr="006C5196">
        <w:rPr>
          <w:rFonts w:cs="David" w:hint="cs"/>
          <w:rtl/>
        </w:rPr>
        <w:t>חובת</w:t>
      </w:r>
      <w:r w:rsidR="006C5196" w:rsidRPr="006C5196">
        <w:rPr>
          <w:rFonts w:cs="David"/>
          <w:rtl/>
        </w:rPr>
        <w:t xml:space="preserve"> </w:t>
      </w:r>
      <w:r w:rsidR="006C5196" w:rsidRPr="006C5196">
        <w:rPr>
          <w:rFonts w:cs="David" w:hint="cs"/>
          <w:rtl/>
        </w:rPr>
        <w:t>גילוי</w:t>
      </w:r>
      <w:r w:rsidR="006C5196" w:rsidRPr="006C5196">
        <w:rPr>
          <w:rFonts w:cs="David"/>
          <w:rtl/>
        </w:rPr>
        <w:t xml:space="preserve"> </w:t>
      </w:r>
      <w:r w:rsidR="006C5196" w:rsidRPr="006C5196">
        <w:rPr>
          <w:rFonts w:cs="David" w:hint="cs"/>
          <w:rtl/>
        </w:rPr>
        <w:t>ע</w:t>
      </w:r>
      <w:r w:rsidR="006C5196" w:rsidRPr="006C5196">
        <w:rPr>
          <w:rFonts w:cs="David"/>
          <w:rtl/>
        </w:rPr>
        <w:t>"</w:t>
      </w:r>
      <w:r w:rsidR="006C5196" w:rsidRPr="006C5196">
        <w:rPr>
          <w:rFonts w:cs="David" w:hint="cs"/>
          <w:rtl/>
        </w:rPr>
        <w:t>פ</w:t>
      </w:r>
      <w:r w:rsidR="006C5196" w:rsidRPr="006C5196">
        <w:rPr>
          <w:rFonts w:cs="David"/>
          <w:rtl/>
        </w:rPr>
        <w:t xml:space="preserve"> </w:t>
      </w:r>
      <w:r w:rsidR="006C5196" w:rsidRPr="006C5196">
        <w:rPr>
          <w:rFonts w:cs="David" w:hint="cs"/>
          <w:rtl/>
        </w:rPr>
        <w:t>דין</w:t>
      </w:r>
      <w:r w:rsidR="006C5196" w:rsidRPr="00F40BE4">
        <w:rPr>
          <w:rFonts w:cs="David"/>
          <w:rtl/>
        </w:rPr>
        <w:t xml:space="preserve"> </w:t>
      </w:r>
      <w:r w:rsidR="006C5196" w:rsidRPr="00F40BE4">
        <w:rPr>
          <w:rFonts w:cs="David" w:hint="cs"/>
          <w:rtl/>
        </w:rPr>
        <w:lastRenderedPageBreak/>
        <w:t>המעוגן</w:t>
      </w:r>
      <w:r w:rsidR="006C5196">
        <w:rPr>
          <w:rFonts w:cs="David" w:hint="cs"/>
          <w:rtl/>
        </w:rPr>
        <w:t xml:space="preserve"> </w:t>
      </w:r>
      <w:r w:rsidR="006C5196" w:rsidRPr="00F40BE4">
        <w:rPr>
          <w:rFonts w:cs="David" w:hint="cs"/>
          <w:rtl/>
        </w:rPr>
        <w:t>בסעיף</w:t>
      </w:r>
      <w:r w:rsidR="006C5196" w:rsidRPr="00F40BE4">
        <w:rPr>
          <w:rFonts w:cs="David"/>
          <w:rtl/>
        </w:rPr>
        <w:t xml:space="preserve"> 12 </w:t>
      </w:r>
      <w:r w:rsidR="006C5196" w:rsidRPr="00F40BE4">
        <w:rPr>
          <w:rFonts w:cs="David" w:hint="cs"/>
          <w:rtl/>
        </w:rPr>
        <w:t>לחוק</w:t>
      </w:r>
      <w:r w:rsidR="006C5196" w:rsidRPr="00F40BE4">
        <w:rPr>
          <w:rFonts w:cs="David"/>
          <w:rtl/>
        </w:rPr>
        <w:t xml:space="preserve"> </w:t>
      </w:r>
      <w:r w:rsidR="006C5196" w:rsidRPr="00F40BE4">
        <w:rPr>
          <w:rFonts w:cs="David" w:hint="cs"/>
          <w:rtl/>
        </w:rPr>
        <w:t>החוזים</w:t>
      </w:r>
      <w:r w:rsidR="006C5196">
        <w:rPr>
          <w:rStyle w:val="FootnoteReference"/>
          <w:rFonts w:cs="David"/>
          <w:rtl/>
        </w:rPr>
        <w:footnoteReference w:id="28"/>
      </w:r>
      <w:r w:rsidR="006C5196">
        <w:rPr>
          <w:rFonts w:cs="David"/>
          <w:rtl/>
        </w:rPr>
        <w:t>,</w:t>
      </w:r>
      <w:r w:rsidR="006C5196">
        <w:rPr>
          <w:rFonts w:cs="David" w:hint="cs"/>
          <w:rtl/>
        </w:rPr>
        <w:t xml:space="preserve"> </w:t>
      </w:r>
      <w:r w:rsidR="006C5196" w:rsidRPr="00F40BE4">
        <w:rPr>
          <w:rFonts w:cs="David" w:hint="cs"/>
          <w:rtl/>
        </w:rPr>
        <w:t>לפיו</w:t>
      </w:r>
      <w:r w:rsidR="006C5196" w:rsidRPr="00F40BE4">
        <w:rPr>
          <w:rFonts w:cs="David"/>
          <w:rtl/>
        </w:rPr>
        <w:t xml:space="preserve"> </w:t>
      </w:r>
      <w:r w:rsidR="006C5196" w:rsidRPr="00F40BE4">
        <w:rPr>
          <w:rFonts w:cs="David" w:hint="cs"/>
          <w:rtl/>
        </w:rPr>
        <w:t>ישנה</w:t>
      </w:r>
      <w:r w:rsidR="006C5196" w:rsidRPr="00F40BE4">
        <w:rPr>
          <w:rFonts w:cs="David"/>
          <w:rtl/>
        </w:rPr>
        <w:t xml:space="preserve"> </w:t>
      </w:r>
      <w:r w:rsidR="006C5196" w:rsidRPr="00F40BE4">
        <w:rPr>
          <w:rFonts w:cs="David" w:hint="cs"/>
          <w:rtl/>
        </w:rPr>
        <w:t>חובה</w:t>
      </w:r>
      <w:r w:rsidR="006C5196" w:rsidRPr="00F40BE4">
        <w:rPr>
          <w:rFonts w:cs="David"/>
          <w:rtl/>
        </w:rPr>
        <w:t xml:space="preserve"> </w:t>
      </w:r>
      <w:r w:rsidR="006C5196" w:rsidRPr="00F40BE4">
        <w:rPr>
          <w:rFonts w:cs="David" w:hint="cs"/>
          <w:rtl/>
        </w:rPr>
        <w:t>לנהוג</w:t>
      </w:r>
      <w:r w:rsidR="006C5196" w:rsidRPr="00F40BE4">
        <w:rPr>
          <w:rFonts w:cs="David"/>
          <w:rtl/>
        </w:rPr>
        <w:t xml:space="preserve"> </w:t>
      </w:r>
      <w:r w:rsidR="006C5196" w:rsidRPr="00F40BE4">
        <w:rPr>
          <w:rFonts w:cs="David" w:hint="cs"/>
          <w:rtl/>
        </w:rPr>
        <w:t>בתום</w:t>
      </w:r>
      <w:r w:rsidR="006C5196" w:rsidRPr="00F40BE4">
        <w:rPr>
          <w:rFonts w:cs="David"/>
          <w:rtl/>
        </w:rPr>
        <w:t xml:space="preserve"> </w:t>
      </w:r>
      <w:r w:rsidR="006C5196" w:rsidRPr="00F40BE4">
        <w:rPr>
          <w:rFonts w:cs="David" w:hint="cs"/>
          <w:rtl/>
        </w:rPr>
        <w:t>לב</w:t>
      </w:r>
      <w:r w:rsidR="006C5196">
        <w:rPr>
          <w:rFonts w:cs="David" w:hint="cs"/>
          <w:rtl/>
        </w:rPr>
        <w:t xml:space="preserve"> </w:t>
      </w:r>
      <w:r w:rsidR="006C5196" w:rsidRPr="00F40BE4">
        <w:rPr>
          <w:rFonts w:cs="David" w:hint="cs"/>
          <w:rtl/>
        </w:rPr>
        <w:t>בעת</w:t>
      </w:r>
      <w:r w:rsidR="006C5196" w:rsidRPr="00F40BE4">
        <w:rPr>
          <w:rFonts w:cs="David"/>
          <w:rtl/>
        </w:rPr>
        <w:t xml:space="preserve"> </w:t>
      </w:r>
      <w:r w:rsidR="006C5196" w:rsidRPr="00F40BE4">
        <w:rPr>
          <w:rFonts w:cs="David" w:hint="cs"/>
          <w:rtl/>
        </w:rPr>
        <w:t>מו</w:t>
      </w:r>
      <w:r w:rsidR="006C5196" w:rsidRPr="00F40BE4">
        <w:rPr>
          <w:rFonts w:cs="David"/>
          <w:rtl/>
        </w:rPr>
        <w:t>"</w:t>
      </w:r>
      <w:r w:rsidR="006C5196" w:rsidRPr="00F40BE4">
        <w:rPr>
          <w:rFonts w:cs="David" w:hint="cs"/>
          <w:rtl/>
        </w:rPr>
        <w:t>מ</w:t>
      </w:r>
      <w:r w:rsidR="006C5196" w:rsidRPr="00F40BE4">
        <w:rPr>
          <w:rFonts w:cs="David"/>
          <w:rtl/>
        </w:rPr>
        <w:t xml:space="preserve"> </w:t>
      </w:r>
      <w:r w:rsidR="006C5196" w:rsidRPr="00F40BE4">
        <w:rPr>
          <w:rFonts w:cs="David" w:hint="cs"/>
          <w:rtl/>
        </w:rPr>
        <w:t>לכריתת</w:t>
      </w:r>
      <w:r w:rsidR="006C5196" w:rsidRPr="00F40BE4">
        <w:rPr>
          <w:rFonts w:cs="David"/>
          <w:rtl/>
        </w:rPr>
        <w:t xml:space="preserve"> </w:t>
      </w:r>
      <w:r w:rsidR="006C5196" w:rsidRPr="00F40BE4">
        <w:rPr>
          <w:rFonts w:cs="David" w:hint="cs"/>
          <w:rtl/>
        </w:rPr>
        <w:t>חוזה</w:t>
      </w:r>
      <w:r w:rsidR="006C5196">
        <w:rPr>
          <w:rFonts w:cs="David" w:hint="cs"/>
          <w:rtl/>
        </w:rPr>
        <w:t xml:space="preserve">. </w:t>
      </w:r>
      <w:r w:rsidR="006C5196" w:rsidRPr="00F40BE4">
        <w:rPr>
          <w:rFonts w:cs="David" w:hint="cs"/>
          <w:rtl/>
        </w:rPr>
        <w:t>מחובתו</w:t>
      </w:r>
      <w:r w:rsidR="006C5196" w:rsidRPr="00F40BE4">
        <w:rPr>
          <w:rFonts w:cs="David"/>
          <w:rtl/>
        </w:rPr>
        <w:t xml:space="preserve"> </w:t>
      </w:r>
      <w:r w:rsidR="006C5196" w:rsidRPr="00F40BE4">
        <w:rPr>
          <w:rFonts w:cs="David" w:hint="cs"/>
          <w:rtl/>
        </w:rPr>
        <w:t>של</w:t>
      </w:r>
      <w:r w:rsidR="006C5196" w:rsidRPr="00F40BE4">
        <w:rPr>
          <w:rFonts w:cs="David"/>
          <w:rtl/>
        </w:rPr>
        <w:t xml:space="preserve"> </w:t>
      </w:r>
      <w:r w:rsidR="006C5196" w:rsidRPr="00F40BE4">
        <w:rPr>
          <w:rFonts w:cs="David" w:hint="cs"/>
          <w:rtl/>
        </w:rPr>
        <w:t>סעיף</w:t>
      </w:r>
      <w:r w:rsidR="006C5196" w:rsidRPr="00F40BE4">
        <w:rPr>
          <w:rFonts w:cs="David"/>
          <w:rtl/>
        </w:rPr>
        <w:t xml:space="preserve"> </w:t>
      </w:r>
      <w:r w:rsidR="006C5196" w:rsidRPr="00F40BE4">
        <w:rPr>
          <w:rFonts w:cs="David" w:hint="cs"/>
          <w:rtl/>
        </w:rPr>
        <w:t>זה</w:t>
      </w:r>
      <w:r w:rsidR="006C5196" w:rsidRPr="00F40BE4">
        <w:rPr>
          <w:rFonts w:cs="David"/>
          <w:rtl/>
        </w:rPr>
        <w:t xml:space="preserve"> </w:t>
      </w:r>
      <w:r w:rsidR="006C5196" w:rsidRPr="00F40BE4">
        <w:rPr>
          <w:rFonts w:cs="David" w:hint="cs"/>
          <w:rtl/>
        </w:rPr>
        <w:t>נגזרת</w:t>
      </w:r>
      <w:r w:rsidR="006C5196" w:rsidRPr="00F40BE4">
        <w:rPr>
          <w:rFonts w:cs="David"/>
          <w:rtl/>
        </w:rPr>
        <w:t xml:space="preserve"> </w:t>
      </w:r>
      <w:r w:rsidR="006C5196" w:rsidRPr="00F40BE4">
        <w:rPr>
          <w:rFonts w:cs="David" w:hint="cs"/>
          <w:rtl/>
        </w:rPr>
        <w:t>חובת</w:t>
      </w:r>
      <w:r w:rsidR="006C5196" w:rsidRPr="00F40BE4">
        <w:rPr>
          <w:rFonts w:cs="David"/>
          <w:rtl/>
        </w:rPr>
        <w:t xml:space="preserve"> </w:t>
      </w:r>
      <w:r w:rsidR="006C5196" w:rsidRPr="00F40BE4">
        <w:rPr>
          <w:rFonts w:cs="David" w:hint="cs"/>
          <w:rtl/>
        </w:rPr>
        <w:t>גילוין</w:t>
      </w:r>
      <w:r w:rsidR="006C5196" w:rsidRPr="00F40BE4">
        <w:rPr>
          <w:rFonts w:cs="David"/>
          <w:rtl/>
        </w:rPr>
        <w:t xml:space="preserve"> </w:t>
      </w:r>
      <w:r w:rsidR="006C5196" w:rsidRPr="00F40BE4">
        <w:rPr>
          <w:rFonts w:cs="David" w:hint="cs"/>
          <w:rtl/>
        </w:rPr>
        <w:t>של</w:t>
      </w:r>
      <w:r w:rsidR="006C5196" w:rsidRPr="00F40BE4">
        <w:rPr>
          <w:rFonts w:cs="David"/>
          <w:rtl/>
        </w:rPr>
        <w:t xml:space="preserve"> </w:t>
      </w:r>
      <w:r w:rsidR="006C5196" w:rsidRPr="00F40BE4">
        <w:rPr>
          <w:rFonts w:cs="David" w:hint="cs"/>
          <w:rtl/>
        </w:rPr>
        <w:t>עובדות</w:t>
      </w:r>
      <w:r w:rsidR="006C5196" w:rsidRPr="00F40BE4">
        <w:rPr>
          <w:rFonts w:cs="David"/>
          <w:rtl/>
        </w:rPr>
        <w:t xml:space="preserve"> </w:t>
      </w:r>
      <w:r w:rsidR="006C5196" w:rsidRPr="00F40BE4">
        <w:rPr>
          <w:rFonts w:cs="David" w:hint="cs"/>
          <w:rtl/>
        </w:rPr>
        <w:t>מהותיות</w:t>
      </w:r>
      <w:r w:rsidR="006C5196" w:rsidRPr="00F40BE4">
        <w:rPr>
          <w:rFonts w:cs="David"/>
          <w:rtl/>
        </w:rPr>
        <w:t xml:space="preserve"> </w:t>
      </w:r>
      <w:r w:rsidR="006C5196" w:rsidRPr="00F40BE4">
        <w:rPr>
          <w:rFonts w:cs="David" w:hint="cs"/>
          <w:rtl/>
        </w:rPr>
        <w:t>בעת</w:t>
      </w:r>
      <w:r w:rsidR="006C5196" w:rsidRPr="00F40BE4">
        <w:rPr>
          <w:rFonts w:cs="David"/>
          <w:rtl/>
        </w:rPr>
        <w:t xml:space="preserve"> </w:t>
      </w:r>
      <w:r w:rsidR="006C5196" w:rsidRPr="00F40BE4">
        <w:rPr>
          <w:rFonts w:cs="David" w:hint="cs"/>
          <w:rtl/>
        </w:rPr>
        <w:t>המו</w:t>
      </w:r>
      <w:r w:rsidR="006C5196" w:rsidRPr="00F40BE4">
        <w:rPr>
          <w:rFonts w:cs="David"/>
          <w:rtl/>
        </w:rPr>
        <w:t>"</w:t>
      </w:r>
      <w:r w:rsidR="006C5196" w:rsidRPr="00F40BE4">
        <w:rPr>
          <w:rFonts w:cs="David" w:hint="cs"/>
          <w:rtl/>
        </w:rPr>
        <w:t>מ</w:t>
      </w:r>
      <w:r w:rsidR="006C5196">
        <w:rPr>
          <w:rFonts w:cs="David" w:hint="cs"/>
          <w:rtl/>
        </w:rPr>
        <w:t xml:space="preserve"> אי גילוי מהווה הפרה של חובת תום הלב</w:t>
      </w:r>
      <w:r w:rsidR="006C5196">
        <w:rPr>
          <w:rStyle w:val="FootnoteReference"/>
          <w:rFonts w:cs="David"/>
          <w:rtl/>
        </w:rPr>
        <w:footnoteReference w:id="29"/>
      </w:r>
      <w:r w:rsidR="006C5196">
        <w:rPr>
          <w:rFonts w:cs="David" w:hint="cs"/>
          <w:rtl/>
        </w:rPr>
        <w:t>.</w:t>
      </w:r>
      <w:r w:rsidR="007969D6">
        <w:rPr>
          <w:rFonts w:cs="David" w:hint="cs"/>
          <w:rtl/>
        </w:rPr>
        <w:t xml:space="preserve"> העובדה כי הסתיר גיא את הידיעה על תוכנית המתאר שיש להניח שבגינה רצה לרכוש לפתע את החנות, יש בה משום </w:t>
      </w:r>
      <w:r w:rsidR="007969D6" w:rsidRPr="00F40BE4">
        <w:rPr>
          <w:rFonts w:cs="David"/>
          <w:rtl/>
        </w:rPr>
        <w:t>"</w:t>
      </w:r>
      <w:r w:rsidR="007969D6" w:rsidRPr="00F40BE4">
        <w:rPr>
          <w:rFonts w:cs="David" w:hint="cs"/>
          <w:rtl/>
        </w:rPr>
        <w:t>דופי</w:t>
      </w:r>
      <w:r w:rsidR="007969D6" w:rsidRPr="00F40BE4">
        <w:rPr>
          <w:rFonts w:cs="David"/>
          <w:rtl/>
        </w:rPr>
        <w:t xml:space="preserve"> </w:t>
      </w:r>
      <w:r w:rsidR="007969D6" w:rsidRPr="00F40BE4">
        <w:rPr>
          <w:rFonts w:cs="David" w:hint="cs"/>
          <w:rtl/>
        </w:rPr>
        <w:t>מוסרי</w:t>
      </w:r>
      <w:r w:rsidR="007969D6">
        <w:rPr>
          <w:rFonts w:cs="David"/>
          <w:rtl/>
        </w:rPr>
        <w:t>"</w:t>
      </w:r>
      <w:r w:rsidR="007969D6">
        <w:rPr>
          <w:rStyle w:val="FootnoteReference"/>
          <w:rFonts w:cs="David"/>
          <w:rtl/>
        </w:rPr>
        <w:footnoteReference w:id="30"/>
      </w:r>
      <w:r w:rsidR="007969D6">
        <w:rPr>
          <w:rFonts w:cs="David" w:hint="cs"/>
          <w:rtl/>
        </w:rPr>
        <w:t>.</w:t>
      </w:r>
    </w:p>
    <w:p w:rsidR="006C5196" w:rsidRDefault="006C5196" w:rsidP="006C5196">
      <w:pPr>
        <w:bidi/>
        <w:rPr>
          <w:rFonts w:cs="David"/>
          <w:rtl/>
        </w:rPr>
      </w:pPr>
    </w:p>
    <w:p w:rsidR="00F24296" w:rsidRDefault="00F24296" w:rsidP="007B1C83">
      <w:pPr>
        <w:bidi/>
        <w:rPr>
          <w:rFonts w:ascii="David" w:hAnsi="David" w:cs="David"/>
          <w:b/>
          <w:bCs/>
          <w:u w:val="single"/>
          <w:rtl/>
        </w:rPr>
      </w:pPr>
      <w:r>
        <w:rPr>
          <w:rFonts w:cs="David" w:hint="cs"/>
          <w:rtl/>
        </w:rPr>
        <w:t xml:space="preserve">גיא ירצה לטעון כי </w:t>
      </w:r>
      <w:r w:rsidR="007B1C83">
        <w:rPr>
          <w:rFonts w:cs="David" w:hint="cs"/>
          <w:rtl/>
        </w:rPr>
        <w:t>"יזהר הקונה"</w:t>
      </w:r>
      <w:r w:rsidR="007B1C83">
        <w:rPr>
          <w:rStyle w:val="FootnoteReference"/>
          <w:rFonts w:cs="David"/>
          <w:rtl/>
        </w:rPr>
        <w:footnoteReference w:id="31"/>
      </w:r>
      <w:r w:rsidR="007B1C83">
        <w:rPr>
          <w:rFonts w:cs="David" w:hint="cs"/>
          <w:rtl/>
        </w:rPr>
        <w:t xml:space="preserve"> </w:t>
      </w:r>
      <w:r w:rsidR="007969D6">
        <w:rPr>
          <w:rFonts w:cs="David" w:hint="cs"/>
          <w:rtl/>
        </w:rPr>
        <w:t xml:space="preserve">וכי אין הוא אפוטרופוס להחלטותיו של פליישר. יש </w:t>
      </w:r>
      <w:r>
        <w:rPr>
          <w:rFonts w:cs="David" w:hint="cs"/>
          <w:rtl/>
        </w:rPr>
        <w:t>אך טענה זו ודאי שלא תועיל לו, שהרי לא הייתה כל דרך לפליישר להשיג מידע זה. מידע זה הגיע</w:t>
      </w:r>
      <w:r w:rsidR="007B1C83">
        <w:rPr>
          <w:rFonts w:cs="David" w:hint="cs"/>
          <w:rtl/>
        </w:rPr>
        <w:t xml:space="preserve"> רק בעקבות הקשרים.</w:t>
      </w:r>
      <w:r w:rsidR="007B1C83">
        <w:rPr>
          <w:rFonts w:cs="David"/>
          <w:rtl/>
        </w:rPr>
        <w:br/>
      </w:r>
      <w:r w:rsidR="007B1C83">
        <w:rPr>
          <w:rFonts w:cs="David" w:hint="cs"/>
          <w:rtl/>
        </w:rPr>
        <w:t xml:space="preserve">לפיכך אני חושב כי קיימת עילת ההטעייה וכי </w:t>
      </w:r>
      <w:r w:rsidR="005A7344">
        <w:rPr>
          <w:rFonts w:cs="David" w:hint="cs"/>
          <w:rtl/>
        </w:rPr>
        <w:t xml:space="preserve">יוכל </w:t>
      </w:r>
      <w:r w:rsidR="007B1C83">
        <w:rPr>
          <w:rFonts w:cs="David" w:hint="cs"/>
          <w:rtl/>
        </w:rPr>
        <w:t>פליישר לתבוע את ביטול החוזה מחמתה.</w:t>
      </w:r>
    </w:p>
    <w:p w:rsidR="00D23C51" w:rsidRDefault="00D23C51" w:rsidP="00D23C51">
      <w:pPr>
        <w:bidi/>
        <w:rPr>
          <w:rFonts w:ascii="David" w:hAnsi="David" w:cs="David"/>
          <w:b/>
          <w:bCs/>
          <w:u w:val="single"/>
          <w:rtl/>
        </w:rPr>
      </w:pPr>
    </w:p>
    <w:p w:rsidR="001649EF" w:rsidRDefault="001649EF" w:rsidP="00D23C51">
      <w:pPr>
        <w:bidi/>
        <w:rPr>
          <w:rFonts w:ascii="David" w:hAnsi="David" w:cs="David"/>
          <w:b/>
          <w:bCs/>
          <w:rtl/>
        </w:rPr>
      </w:pPr>
      <w:r>
        <w:rPr>
          <w:rFonts w:ascii="David" w:hAnsi="David" w:cs="David" w:hint="cs"/>
          <w:b/>
          <w:bCs/>
          <w:u w:val="single"/>
          <w:rtl/>
        </w:rPr>
        <w:t>טעות</w:t>
      </w:r>
      <w:r>
        <w:rPr>
          <w:rFonts w:ascii="David" w:hAnsi="David" w:cs="David" w:hint="cs"/>
          <w:b/>
          <w:bCs/>
          <w:rtl/>
        </w:rPr>
        <w:t>:</w:t>
      </w:r>
    </w:p>
    <w:p w:rsidR="001649EF" w:rsidRDefault="001649EF" w:rsidP="008C1255">
      <w:pPr>
        <w:bidi/>
        <w:rPr>
          <w:rFonts w:ascii="David" w:hAnsi="David" w:cs="David"/>
          <w:rtl/>
        </w:rPr>
      </w:pPr>
      <w:r>
        <w:rPr>
          <w:rFonts w:ascii="David" w:hAnsi="David" w:cs="David" w:hint="cs"/>
          <w:rtl/>
        </w:rPr>
        <w:t xml:space="preserve">עילה נוספת </w:t>
      </w:r>
      <w:r w:rsidR="00805D16">
        <w:rPr>
          <w:rFonts w:ascii="David" w:hAnsi="David" w:cs="David" w:hint="cs"/>
          <w:rtl/>
        </w:rPr>
        <w:t>ב</w:t>
      </w:r>
      <w:r>
        <w:rPr>
          <w:rFonts w:ascii="David" w:hAnsi="David" w:cs="David" w:hint="cs"/>
          <w:rtl/>
        </w:rPr>
        <w:t>גינה ניתן לבטל חוזה היא עילת הטעות</w:t>
      </w:r>
      <w:r w:rsidR="005A7344">
        <w:rPr>
          <w:rStyle w:val="FootnoteReference"/>
          <w:rFonts w:ascii="David" w:hAnsi="David" w:cs="David"/>
          <w:rtl/>
        </w:rPr>
        <w:footnoteReference w:id="32"/>
      </w:r>
      <w:r w:rsidR="00805D16">
        <w:rPr>
          <w:rFonts w:ascii="David" w:hAnsi="David" w:cs="David" w:hint="cs"/>
          <w:rtl/>
        </w:rPr>
        <w:t>.</w:t>
      </w:r>
      <w:r w:rsidR="0099067A">
        <w:rPr>
          <w:rFonts w:ascii="David" w:hAnsi="David" w:cs="David" w:hint="cs"/>
          <w:rtl/>
        </w:rPr>
        <w:t xml:space="preserve"> טעות לעניננו היא אמונה בדבר מה שאינו תואם את המציאות בפועל</w:t>
      </w:r>
      <w:r w:rsidR="008C1255">
        <w:rPr>
          <w:rFonts w:ascii="David" w:hAnsi="David" w:cs="David" w:hint="cs"/>
          <w:rtl/>
        </w:rPr>
        <w:t xml:space="preserve">. </w:t>
      </w:r>
    </w:p>
    <w:p w:rsidR="001D77A5" w:rsidRPr="00DE1B70" w:rsidRDefault="00DE1B70" w:rsidP="00761B19">
      <w:pPr>
        <w:bidi/>
        <w:rPr>
          <w:rFonts w:ascii="David" w:hAnsi="David" w:cs="David"/>
          <w:rtl/>
        </w:rPr>
      </w:pPr>
      <w:r>
        <w:rPr>
          <w:rFonts w:ascii="David" w:hAnsi="David" w:cs="David" w:hint="cs"/>
          <w:rtl/>
        </w:rPr>
        <w:t>בבואי לדון בעילת הטעות אציין חלוקה יסודית בין שני סוגי טעויות העולה מלשון החוק:</w:t>
      </w:r>
      <w:r>
        <w:rPr>
          <w:rFonts w:ascii="David" w:hAnsi="David" w:cs="David" w:hint="cs"/>
          <w:rtl/>
        </w:rPr>
        <w:br/>
      </w:r>
      <w:r>
        <w:rPr>
          <w:rFonts w:ascii="David" w:hAnsi="David" w:cs="David" w:hint="cs"/>
          <w:u w:val="single"/>
          <w:rtl/>
        </w:rPr>
        <w:t>טעות שהייתה ידועה לצד השני</w:t>
      </w:r>
      <w:r w:rsidRPr="0099067A">
        <w:rPr>
          <w:rStyle w:val="FootnoteReference"/>
          <w:rFonts w:ascii="David" w:hAnsi="David" w:cs="David"/>
          <w:rtl/>
        </w:rPr>
        <w:footnoteReference w:id="33"/>
      </w:r>
      <w:r w:rsidR="00761B19">
        <w:rPr>
          <w:rFonts w:ascii="David" w:hAnsi="David" w:cs="David" w:hint="cs"/>
          <w:rtl/>
        </w:rPr>
        <w:t>,</w:t>
      </w:r>
      <w:r w:rsidR="0099067A">
        <w:rPr>
          <w:rFonts w:ascii="David" w:hAnsi="David" w:cs="David" w:hint="cs"/>
          <w:rtl/>
        </w:rPr>
        <w:t xml:space="preserve"> עפ"י טעות זו יוכל הטועה להעלות סעד של ביטול החוזה</w:t>
      </w:r>
      <w:r w:rsidR="008C1255">
        <w:rPr>
          <w:rFonts w:ascii="David" w:hAnsi="David" w:cs="David" w:hint="cs"/>
          <w:rtl/>
        </w:rPr>
        <w:t>.</w:t>
      </w:r>
    </w:p>
    <w:p w:rsidR="00DE1B70" w:rsidRDefault="00DE1B70" w:rsidP="00DE1B70">
      <w:pPr>
        <w:bidi/>
        <w:rPr>
          <w:rFonts w:ascii="David" w:hAnsi="David" w:cs="David"/>
          <w:rtl/>
        </w:rPr>
      </w:pPr>
      <w:r>
        <w:rPr>
          <w:rFonts w:ascii="David" w:hAnsi="David" w:cs="David" w:hint="cs"/>
          <w:u w:val="single"/>
          <w:rtl/>
        </w:rPr>
        <w:t>טעות שלא הייתה ידועה לצד השני</w:t>
      </w:r>
      <w:r w:rsidRPr="0099067A">
        <w:rPr>
          <w:rStyle w:val="FootnoteReference"/>
          <w:rFonts w:ascii="David" w:hAnsi="David" w:cs="David"/>
          <w:rtl/>
        </w:rPr>
        <w:footnoteReference w:id="34"/>
      </w:r>
      <w:r w:rsidR="0099067A" w:rsidRPr="0099067A">
        <w:rPr>
          <w:rFonts w:ascii="David" w:hAnsi="David" w:cs="David" w:hint="cs"/>
          <w:rtl/>
        </w:rPr>
        <w:t>, בה כח ביטול החוזה נתון לשיקול בית המשפט אם ראה שמן הצדק לעשות כן</w:t>
      </w:r>
      <w:r w:rsidR="0099067A">
        <w:rPr>
          <w:rFonts w:ascii="David" w:hAnsi="David" w:cs="David" w:hint="cs"/>
          <w:rtl/>
        </w:rPr>
        <w:t>.</w:t>
      </w:r>
    </w:p>
    <w:p w:rsidR="00761B19" w:rsidRDefault="008C1255" w:rsidP="00761B19">
      <w:pPr>
        <w:bidi/>
        <w:rPr>
          <w:rFonts w:ascii="David" w:hAnsi="David" w:cs="David"/>
          <w:rtl/>
        </w:rPr>
      </w:pPr>
      <w:r>
        <w:rPr>
          <w:rFonts w:ascii="David" w:hAnsi="David" w:cs="David" w:hint="cs"/>
          <w:rtl/>
        </w:rPr>
        <w:t>במקרה דנן</w:t>
      </w:r>
      <w:r w:rsidR="00761B19">
        <w:rPr>
          <w:rFonts w:ascii="David" w:hAnsi="David" w:cs="David" w:hint="cs"/>
          <w:rtl/>
        </w:rPr>
        <w:t xml:space="preserve"> ניתן להניח כי</w:t>
      </w:r>
      <w:r>
        <w:rPr>
          <w:rFonts w:ascii="David" w:hAnsi="David" w:cs="David" w:hint="cs"/>
          <w:rtl/>
        </w:rPr>
        <w:t xml:space="preserve"> </w:t>
      </w:r>
      <w:r w:rsidR="00761B19">
        <w:rPr>
          <w:rFonts w:ascii="David" w:hAnsi="David" w:cs="David" w:hint="cs"/>
          <w:rtl/>
        </w:rPr>
        <w:t>מדובר</w:t>
      </w:r>
      <w:r>
        <w:rPr>
          <w:rFonts w:ascii="David" w:hAnsi="David" w:cs="David" w:hint="cs"/>
          <w:rtl/>
        </w:rPr>
        <w:t xml:space="preserve"> </w:t>
      </w:r>
      <w:r w:rsidR="00761B19">
        <w:rPr>
          <w:rFonts w:ascii="David" w:hAnsi="David" w:cs="David" w:hint="cs"/>
          <w:rtl/>
        </w:rPr>
        <w:t>ב</w:t>
      </w:r>
      <w:r>
        <w:rPr>
          <w:rFonts w:ascii="David" w:hAnsi="David" w:cs="David" w:hint="cs"/>
          <w:rtl/>
        </w:rPr>
        <w:t xml:space="preserve">טעות אשר הייתה ידועה לצד השני והיא הטעות בשווי החנות. </w:t>
      </w:r>
    </w:p>
    <w:p w:rsidR="008C1255" w:rsidRDefault="00BF0DA9" w:rsidP="00C021B8">
      <w:pPr>
        <w:bidi/>
        <w:rPr>
          <w:rFonts w:ascii="David" w:hAnsi="David" w:cs="David"/>
          <w:rtl/>
        </w:rPr>
      </w:pPr>
      <w:r>
        <w:rPr>
          <w:rFonts w:ascii="David" w:hAnsi="David" w:cs="David" w:hint="cs"/>
          <w:rtl/>
        </w:rPr>
        <w:t xml:space="preserve">סביר כי גיא, </w:t>
      </w:r>
      <w:r w:rsidR="00761B19">
        <w:rPr>
          <w:rFonts w:ascii="David" w:hAnsi="David" w:cs="David" w:hint="cs"/>
          <w:rtl/>
        </w:rPr>
        <w:t xml:space="preserve">יזם </w:t>
      </w:r>
      <w:r>
        <w:rPr>
          <w:rFonts w:ascii="David" w:hAnsi="David" w:cs="David" w:hint="cs"/>
          <w:rtl/>
        </w:rPr>
        <w:t>ה</w:t>
      </w:r>
      <w:r w:rsidR="00761B19">
        <w:rPr>
          <w:rFonts w:ascii="David" w:hAnsi="David" w:cs="David" w:hint="cs"/>
          <w:rtl/>
        </w:rPr>
        <w:t>נדלן</w:t>
      </w:r>
      <w:r>
        <w:rPr>
          <w:rFonts w:ascii="David" w:hAnsi="David" w:cs="David" w:hint="cs"/>
          <w:rtl/>
        </w:rPr>
        <w:t xml:space="preserve">, היה מודע לשוויה האמיתי של החנות. </w:t>
      </w:r>
      <w:r w:rsidR="00C021B8">
        <w:rPr>
          <w:rFonts w:ascii="David" w:hAnsi="David" w:cs="David" w:hint="cs"/>
          <w:rtl/>
        </w:rPr>
        <w:t xml:space="preserve">אף אם גיא לא ידע בפועל על שוויה של הדירה, לדעתי היה עליו לדעת את שוויה כשבא לקנותה וזאת בהיותו גם המציע וגם הבקיא בתחום. </w:t>
      </w:r>
      <w:r>
        <w:rPr>
          <w:rFonts w:ascii="David" w:hAnsi="David" w:cs="David" w:hint="cs"/>
          <w:rtl/>
        </w:rPr>
        <w:t>גיא אמר נחרצות כי זהו</w:t>
      </w:r>
      <w:r w:rsidR="00C021B8">
        <w:rPr>
          <w:rFonts w:ascii="David" w:hAnsi="David" w:cs="David" w:hint="cs"/>
          <w:rtl/>
        </w:rPr>
        <w:t xml:space="preserve"> השווי ו</w:t>
      </w:r>
      <w:r w:rsidR="005648FD">
        <w:rPr>
          <w:rFonts w:ascii="David" w:hAnsi="David" w:cs="David" w:hint="cs"/>
          <w:rtl/>
        </w:rPr>
        <w:t xml:space="preserve">כי אין לפליישר מה לבדוק. </w:t>
      </w:r>
      <w:r w:rsidR="00C021B8">
        <w:rPr>
          <w:rFonts w:ascii="David" w:hAnsi="David" w:cs="David" w:hint="cs"/>
          <w:rtl/>
        </w:rPr>
        <w:t>אפשר כי פליישר יגיד שמתוך כך הסיר ממנו</w:t>
      </w:r>
      <w:r w:rsidR="005648FD">
        <w:rPr>
          <w:rFonts w:ascii="David" w:hAnsi="David" w:cs="David" w:hint="cs"/>
          <w:rtl/>
        </w:rPr>
        <w:t xml:space="preserve"> גיא</w:t>
      </w:r>
      <w:r w:rsidR="00C021B8">
        <w:rPr>
          <w:rFonts w:ascii="David" w:hAnsi="David" w:cs="David" w:hint="cs"/>
          <w:rtl/>
        </w:rPr>
        <w:t xml:space="preserve"> את חובת הבדיקה בעצמו.</w:t>
      </w:r>
      <w:r w:rsidR="00CB5E72">
        <w:rPr>
          <w:rFonts w:ascii="David" w:hAnsi="David" w:cs="David" w:hint="cs"/>
          <w:rtl/>
        </w:rPr>
        <w:t xml:space="preserve"> </w:t>
      </w:r>
      <w:r w:rsidR="008C1255">
        <w:rPr>
          <w:rFonts w:ascii="David" w:hAnsi="David" w:cs="David" w:hint="cs"/>
          <w:rtl/>
        </w:rPr>
        <w:t>אדון איפא ב</w:t>
      </w:r>
      <w:r w:rsidR="00761B19">
        <w:rPr>
          <w:rFonts w:ascii="David" w:hAnsi="David" w:cs="David" w:hint="cs"/>
          <w:rtl/>
        </w:rPr>
        <w:t xml:space="preserve">סוג זה של </w:t>
      </w:r>
      <w:r>
        <w:rPr>
          <w:rFonts w:ascii="David" w:hAnsi="David" w:cs="David" w:hint="cs"/>
          <w:rtl/>
        </w:rPr>
        <w:t>טעות</w:t>
      </w:r>
      <w:r w:rsidR="008C1255">
        <w:rPr>
          <w:rFonts w:ascii="David" w:hAnsi="David" w:cs="David" w:hint="cs"/>
          <w:rtl/>
        </w:rPr>
        <w:t xml:space="preserve"> בלבד.</w:t>
      </w:r>
    </w:p>
    <w:p w:rsidR="0099067A" w:rsidRPr="0099067A" w:rsidRDefault="00BF0DA9" w:rsidP="0099067A">
      <w:pPr>
        <w:bidi/>
        <w:rPr>
          <w:rFonts w:ascii="David" w:hAnsi="David" w:cs="David"/>
          <w:rtl/>
        </w:rPr>
      </w:pPr>
      <w:r>
        <w:rPr>
          <w:rFonts w:ascii="David" w:hAnsi="David" w:cs="David" w:hint="cs"/>
          <w:rtl/>
        </w:rPr>
        <w:t xml:space="preserve">יסודות </w:t>
      </w:r>
      <w:r w:rsidR="0099067A">
        <w:rPr>
          <w:rFonts w:ascii="David" w:hAnsi="David" w:cs="David" w:hint="cs"/>
          <w:rtl/>
        </w:rPr>
        <w:t xml:space="preserve">טעות </w:t>
      </w:r>
      <w:r>
        <w:rPr>
          <w:rFonts w:ascii="David" w:hAnsi="David" w:cs="David" w:hint="cs"/>
          <w:rtl/>
        </w:rPr>
        <w:t>זו הם</w:t>
      </w:r>
      <w:r w:rsidR="0099067A">
        <w:rPr>
          <w:rFonts w:ascii="David" w:hAnsi="David" w:cs="David" w:hint="cs"/>
          <w:rtl/>
        </w:rPr>
        <w:t xml:space="preserve"> ארבע</w:t>
      </w:r>
      <w:r>
        <w:rPr>
          <w:rFonts w:ascii="David" w:hAnsi="David" w:cs="David" w:hint="cs"/>
          <w:rtl/>
        </w:rPr>
        <w:t>ה</w:t>
      </w:r>
      <w:r w:rsidR="0099067A">
        <w:rPr>
          <w:rFonts w:ascii="David" w:hAnsi="David" w:cs="David" w:hint="cs"/>
          <w:rtl/>
        </w:rPr>
        <w:t>:</w:t>
      </w:r>
    </w:p>
    <w:p w:rsidR="0099067A" w:rsidRDefault="00761B19" w:rsidP="00F45C0E">
      <w:pPr>
        <w:bidi/>
        <w:rPr>
          <w:rFonts w:ascii="David" w:hAnsi="David" w:cs="David"/>
          <w:rtl/>
        </w:rPr>
      </w:pPr>
      <w:r w:rsidRPr="005648FD">
        <w:rPr>
          <w:rFonts w:ascii="David" w:hAnsi="David" w:cs="David" w:hint="cs"/>
          <w:u w:val="single"/>
          <w:rtl/>
        </w:rPr>
        <w:t>קיום חוזה</w:t>
      </w:r>
      <w:r>
        <w:rPr>
          <w:rFonts w:ascii="David" w:hAnsi="David" w:cs="David" w:hint="cs"/>
          <w:rtl/>
        </w:rPr>
        <w:t>- כדאמרן.</w:t>
      </w:r>
    </w:p>
    <w:p w:rsidR="00761B19" w:rsidRDefault="00761B19" w:rsidP="00CB5E72">
      <w:pPr>
        <w:bidi/>
        <w:rPr>
          <w:rFonts w:ascii="David" w:hAnsi="David" w:cs="David"/>
          <w:rtl/>
        </w:rPr>
      </w:pPr>
      <w:r w:rsidRPr="005648FD">
        <w:rPr>
          <w:rFonts w:ascii="David" w:hAnsi="David" w:cs="David" w:hint="cs"/>
          <w:u w:val="single"/>
          <w:rtl/>
        </w:rPr>
        <w:t>קשר סיבתי</w:t>
      </w:r>
      <w:r>
        <w:rPr>
          <w:rFonts w:ascii="David" w:hAnsi="David" w:cs="David" w:hint="cs"/>
          <w:rtl/>
        </w:rPr>
        <w:t xml:space="preserve">- </w:t>
      </w:r>
      <w:r w:rsidR="00BF0DA9">
        <w:rPr>
          <w:rFonts w:ascii="David" w:hAnsi="David" w:cs="David" w:hint="cs"/>
          <w:rtl/>
        </w:rPr>
        <w:t xml:space="preserve"> פליישר</w:t>
      </w:r>
      <w:r>
        <w:rPr>
          <w:rFonts w:ascii="David" w:hAnsi="David" w:cs="David" w:hint="cs"/>
          <w:rtl/>
        </w:rPr>
        <w:t xml:space="preserve"> הסת</w:t>
      </w:r>
      <w:r w:rsidR="00BF0DA9">
        <w:rPr>
          <w:rFonts w:ascii="David" w:hAnsi="David" w:cs="David" w:hint="cs"/>
          <w:rtl/>
        </w:rPr>
        <w:t>מך על שווי הדירה אותו אמר גיא</w:t>
      </w:r>
      <w:r>
        <w:rPr>
          <w:rFonts w:ascii="David" w:hAnsi="David" w:cs="David" w:hint="cs"/>
          <w:rtl/>
        </w:rPr>
        <w:t xml:space="preserve"> ומשום שהאמין כי זהו שווי הדירה </w:t>
      </w:r>
      <w:r w:rsidR="00BF0DA9">
        <w:rPr>
          <w:rFonts w:ascii="David" w:hAnsi="David" w:cs="David" w:hint="cs"/>
          <w:rtl/>
        </w:rPr>
        <w:t>הסכים למוכרה בזה המחיר. ההתקשרות בחוזה נבעה מהסתמכות</w:t>
      </w:r>
      <w:r w:rsidR="00CB5E72">
        <w:rPr>
          <w:rFonts w:ascii="David" w:hAnsi="David" w:cs="David" w:hint="cs"/>
          <w:rtl/>
        </w:rPr>
        <w:t xml:space="preserve"> סובייקטיבית</w:t>
      </w:r>
      <w:r w:rsidR="00C021B8">
        <w:rPr>
          <w:rStyle w:val="FootnoteReference"/>
          <w:rFonts w:ascii="David" w:hAnsi="David" w:cs="David"/>
          <w:rtl/>
        </w:rPr>
        <w:footnoteReference w:id="35"/>
      </w:r>
      <w:r w:rsidR="00CB5E72">
        <w:rPr>
          <w:rFonts w:ascii="David" w:hAnsi="David" w:cs="David" w:hint="cs"/>
          <w:rtl/>
        </w:rPr>
        <w:t xml:space="preserve"> על טעות זו.</w:t>
      </w:r>
    </w:p>
    <w:p w:rsidR="00761B19" w:rsidRDefault="00761B19" w:rsidP="00CB5E72">
      <w:pPr>
        <w:bidi/>
        <w:rPr>
          <w:rFonts w:ascii="David" w:hAnsi="David" w:cs="David"/>
          <w:rtl/>
        </w:rPr>
      </w:pPr>
      <w:r w:rsidRPr="005648FD">
        <w:rPr>
          <w:rFonts w:ascii="David" w:hAnsi="David" w:cs="David"/>
          <w:u w:val="single"/>
          <w:rtl/>
        </w:rPr>
        <w:t>יסודיות הטעות</w:t>
      </w:r>
      <w:r w:rsidR="00BF0DA9">
        <w:rPr>
          <w:rFonts w:ascii="David" w:hAnsi="David" w:cs="David" w:hint="cs"/>
          <w:rtl/>
        </w:rPr>
        <w:t xml:space="preserve">- </w:t>
      </w:r>
      <w:r w:rsidR="00CB5E72">
        <w:rPr>
          <w:rFonts w:ascii="David" w:hAnsi="David" w:cs="David" w:hint="cs"/>
          <w:rtl/>
        </w:rPr>
        <w:t>על יסודיות הטעות לענות על מבחן סבירות אובייקטיבי, אשר לפיו לולא הטעות לא היה נקשר בחוזה</w:t>
      </w:r>
      <w:r w:rsidR="00CB5E72">
        <w:rPr>
          <w:rStyle w:val="FootnoteReference"/>
          <w:rFonts w:ascii="David" w:hAnsi="David" w:cs="David"/>
          <w:rtl/>
        </w:rPr>
        <w:footnoteReference w:id="36"/>
      </w:r>
      <w:r w:rsidR="00CB5E72">
        <w:rPr>
          <w:rFonts w:ascii="David" w:hAnsi="David" w:cs="David" w:hint="cs"/>
          <w:rtl/>
        </w:rPr>
        <w:t>.</w:t>
      </w:r>
    </w:p>
    <w:p w:rsidR="00761B19" w:rsidRDefault="00761B19" w:rsidP="00761B19">
      <w:pPr>
        <w:bidi/>
        <w:rPr>
          <w:rFonts w:ascii="David" w:hAnsi="David" w:cs="David"/>
          <w:rtl/>
        </w:rPr>
      </w:pPr>
      <w:r w:rsidRPr="005648FD">
        <w:rPr>
          <w:rFonts w:ascii="David" w:hAnsi="David" w:cs="David"/>
          <w:u w:val="single"/>
          <w:rtl/>
        </w:rPr>
        <w:t>ידיעת הצד השני</w:t>
      </w:r>
      <w:r w:rsidR="00C021B8">
        <w:rPr>
          <w:rFonts w:ascii="David" w:hAnsi="David" w:cs="David" w:hint="cs"/>
          <w:rtl/>
        </w:rPr>
        <w:t>- גיא היה יזם נדלן שסביר שידע על שווי החנות וגם אם לא ידע, היה עליו לדעת.</w:t>
      </w:r>
    </w:p>
    <w:p w:rsidR="005648FD" w:rsidRDefault="005648FD" w:rsidP="00BF0DA9">
      <w:pPr>
        <w:bidi/>
        <w:rPr>
          <w:rFonts w:ascii="David" w:hAnsi="David" w:cs="David"/>
          <w:rtl/>
        </w:rPr>
      </w:pPr>
    </w:p>
    <w:p w:rsidR="00BF0DA9" w:rsidRDefault="00C021B8" w:rsidP="005648FD">
      <w:pPr>
        <w:bidi/>
        <w:rPr>
          <w:rFonts w:ascii="David" w:hAnsi="David" w:cs="David"/>
          <w:rtl/>
        </w:rPr>
      </w:pPr>
      <w:r>
        <w:rPr>
          <w:rFonts w:ascii="David" w:hAnsi="David" w:cs="David" w:hint="cs"/>
          <w:rtl/>
        </w:rPr>
        <w:t>ייתכן ש</w:t>
      </w:r>
      <w:r w:rsidR="00BF0DA9">
        <w:rPr>
          <w:rFonts w:ascii="David" w:hAnsi="David" w:cs="David" w:hint="cs"/>
          <w:rtl/>
        </w:rPr>
        <w:t>גיא יטען כי</w:t>
      </w:r>
      <w:r>
        <w:rPr>
          <w:rFonts w:ascii="David" w:hAnsi="David" w:cs="David" w:hint="cs"/>
          <w:rtl/>
        </w:rPr>
        <w:t xml:space="preserve"> טעות זו לא באמת הייתה ידועה לו, וכי כמו שהיה עליו לבדוק כך גם רובצת על פליישר חובת הבדיקה ואל לו להסתפק בדבריו של גיא כדי למנוע מעצמו בדיקה בנושא</w:t>
      </w:r>
      <w:r w:rsidR="005648FD">
        <w:rPr>
          <w:rStyle w:val="FootnoteReference"/>
          <w:rFonts w:ascii="David" w:hAnsi="David" w:cs="David"/>
          <w:rtl/>
        </w:rPr>
        <w:footnoteReference w:id="37"/>
      </w:r>
      <w:r>
        <w:rPr>
          <w:rFonts w:ascii="David" w:hAnsi="David" w:cs="David" w:hint="cs"/>
          <w:rtl/>
        </w:rPr>
        <w:t>.</w:t>
      </w:r>
    </w:p>
    <w:p w:rsidR="00BF0DA9" w:rsidRDefault="005648FD" w:rsidP="005648FD">
      <w:pPr>
        <w:bidi/>
        <w:rPr>
          <w:rFonts w:ascii="David" w:hAnsi="David" w:cs="David"/>
          <w:rtl/>
        </w:rPr>
      </w:pPr>
      <w:r>
        <w:rPr>
          <w:rFonts w:ascii="David" w:hAnsi="David" w:cs="David" w:hint="cs"/>
          <w:rtl/>
        </w:rPr>
        <w:t xml:space="preserve">טענה חזקה יותר העולה לגיא היא כי </w:t>
      </w:r>
      <w:r w:rsidR="00BF0DA9">
        <w:rPr>
          <w:rFonts w:ascii="David" w:hAnsi="David" w:cs="David" w:hint="cs"/>
          <w:rtl/>
        </w:rPr>
        <w:t>זוהי טעות בכדאיות העסקה גרידא ולפיכך לא קמה עילת בטלות החוזה במקרה זה</w:t>
      </w:r>
      <w:r>
        <w:rPr>
          <w:rStyle w:val="FootnoteReference"/>
          <w:rFonts w:ascii="David" w:hAnsi="David" w:cs="David"/>
          <w:rtl/>
        </w:rPr>
        <w:footnoteReference w:id="38"/>
      </w:r>
      <w:r>
        <w:rPr>
          <w:rFonts w:ascii="David" w:hAnsi="David" w:cs="David" w:hint="cs"/>
          <w:rtl/>
        </w:rPr>
        <w:t xml:space="preserve">. </w:t>
      </w:r>
      <w:r w:rsidR="00CC594D">
        <w:rPr>
          <w:rFonts w:ascii="David" w:hAnsi="David" w:cs="David" w:hint="cs"/>
          <w:rtl/>
        </w:rPr>
        <w:t>טיעון זה הינו קשה שכן טעות</w:t>
      </w:r>
      <w:r w:rsidR="00EC69FE">
        <w:rPr>
          <w:rFonts w:ascii="David" w:hAnsi="David" w:cs="David" w:hint="cs"/>
          <w:rtl/>
        </w:rPr>
        <w:t xml:space="preserve"> זו מתייחסת להווה (שווי החנות ב</w:t>
      </w:r>
      <w:r w:rsidR="00CC594D">
        <w:rPr>
          <w:rFonts w:ascii="David" w:hAnsi="David" w:cs="David" w:hint="cs"/>
          <w:rtl/>
        </w:rPr>
        <w:t>עת כריתת החוזה) לעומת טעות בכדאיות שתיסוב על טעות של ציפיה/הסתמכות עתידית</w:t>
      </w:r>
      <w:r w:rsidR="00CC594D">
        <w:rPr>
          <w:rStyle w:val="FootnoteReference"/>
          <w:rFonts w:ascii="David" w:hAnsi="David" w:cs="David"/>
          <w:rtl/>
        </w:rPr>
        <w:footnoteReference w:id="39"/>
      </w:r>
      <w:r w:rsidR="00EC69FE">
        <w:rPr>
          <w:rFonts w:ascii="David" w:hAnsi="David" w:cs="David" w:hint="cs"/>
          <w:rtl/>
        </w:rPr>
        <w:t xml:space="preserve">. </w:t>
      </w:r>
    </w:p>
    <w:p w:rsidR="00EC69FE" w:rsidRDefault="00EC69FE" w:rsidP="00EC69FE">
      <w:pPr>
        <w:bidi/>
        <w:rPr>
          <w:rFonts w:ascii="David" w:hAnsi="David" w:cs="David"/>
          <w:rtl/>
        </w:rPr>
      </w:pPr>
      <w:r>
        <w:rPr>
          <w:rFonts w:ascii="David" w:hAnsi="David" w:cs="David" w:hint="cs"/>
          <w:rtl/>
        </w:rPr>
        <w:t>גיא יוכל עוד לטעון כי טעות זו אינה עומדת במבחן האובייקטיבי של יסודיות הטעות, שכן ההפרש בין המחיר ששולם לבין שווי הדירה בשעת כריתת החוזה אינו הפרש כזה שעל פיו תקום ותפול העסקה.</w:t>
      </w:r>
    </w:p>
    <w:p w:rsidR="00EC69FE" w:rsidRDefault="00EC69FE" w:rsidP="00EC69FE">
      <w:pPr>
        <w:bidi/>
        <w:rPr>
          <w:rFonts w:ascii="David" w:hAnsi="David" w:cs="David"/>
          <w:rtl/>
        </w:rPr>
      </w:pPr>
    </w:p>
    <w:p w:rsidR="00F45C0E" w:rsidRPr="001649EF" w:rsidRDefault="00EC69FE" w:rsidP="0099067A">
      <w:pPr>
        <w:bidi/>
        <w:rPr>
          <w:rFonts w:ascii="David" w:hAnsi="David" w:cs="David"/>
        </w:rPr>
      </w:pPr>
      <w:r>
        <w:rPr>
          <w:rFonts w:ascii="David" w:hAnsi="David" w:cs="David" w:hint="cs"/>
          <w:rtl/>
        </w:rPr>
        <w:t xml:space="preserve">לעניות דעתי, אכן חלה כאן טעות בנוסף ליתר העילות אם כי זו העילה החלשה ביותר ועל כן הבאתיה באחרונה. אייעץ לפליישר לטעון את טענת הטעות כטענה מתווספת לשלוש העילות שהזכרתי </w:t>
      </w:r>
      <w:r w:rsidR="00E27A0B">
        <w:rPr>
          <w:rFonts w:ascii="David" w:hAnsi="David" w:cs="David" w:hint="cs"/>
          <w:rtl/>
        </w:rPr>
        <w:t>לעיל ואני סבור כי על מכלול ארבע</w:t>
      </w:r>
      <w:r>
        <w:rPr>
          <w:rFonts w:ascii="David" w:hAnsi="David" w:cs="David" w:hint="cs"/>
          <w:rtl/>
        </w:rPr>
        <w:t xml:space="preserve"> העילות כן תקום לפליישר הזכות לבטל את החוזה</w:t>
      </w:r>
      <w:r w:rsidR="00EE4FFC">
        <w:rPr>
          <w:rStyle w:val="FootnoteReference"/>
          <w:rFonts w:ascii="David" w:hAnsi="David" w:cs="David"/>
          <w:rtl/>
        </w:rPr>
        <w:footnoteReference w:id="40"/>
      </w:r>
      <w:r>
        <w:rPr>
          <w:rFonts w:ascii="David" w:hAnsi="David" w:cs="David" w:hint="cs"/>
          <w:rtl/>
        </w:rPr>
        <w:t>.</w:t>
      </w:r>
    </w:p>
    <w:sectPr w:rsidR="00F45C0E" w:rsidRPr="001649EF" w:rsidSect="00C073AD">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CE" w:rsidRDefault="00B16ACE" w:rsidP="00DC0371">
      <w:r>
        <w:separator/>
      </w:r>
    </w:p>
  </w:endnote>
  <w:endnote w:type="continuationSeparator" w:id="1">
    <w:p w:rsidR="00B16ACE" w:rsidRDefault="00B16ACE" w:rsidP="00DC0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CE" w:rsidRDefault="00B16ACE" w:rsidP="00DC0371">
      <w:r>
        <w:separator/>
      </w:r>
    </w:p>
  </w:footnote>
  <w:footnote w:type="continuationSeparator" w:id="1">
    <w:p w:rsidR="00B16ACE" w:rsidRDefault="00B16ACE" w:rsidP="00DC0371">
      <w:r>
        <w:continuationSeparator/>
      </w:r>
    </w:p>
  </w:footnote>
  <w:footnote w:id="2">
    <w:p w:rsidR="00B02055" w:rsidRPr="00B02055" w:rsidRDefault="00B02055" w:rsidP="00B02055">
      <w:pPr>
        <w:pStyle w:val="FootnoteText"/>
        <w:bidi/>
        <w:rPr>
          <w:rtl/>
        </w:rPr>
      </w:pPr>
      <w:r>
        <w:rPr>
          <w:rStyle w:val="FootnoteReference"/>
        </w:rPr>
        <w:footnoteRef/>
      </w:r>
      <w:r>
        <w:t xml:space="preserve"> </w:t>
      </w:r>
      <w:r>
        <w:rPr>
          <w:rFonts w:hint="cs"/>
          <w:rtl/>
        </w:rPr>
        <w:t xml:space="preserve"> </w:t>
      </w:r>
      <w:r w:rsidRPr="00B02055">
        <w:rPr>
          <w:rFonts w:asciiTheme="minorBidi" w:hAnsiTheme="minorBidi" w:cstheme="minorBidi" w:hint="cs"/>
          <w:color w:val="333333"/>
          <w:shd w:val="clear" w:color="auto" w:fill="FFFFFF"/>
          <w:rtl/>
        </w:rPr>
        <w:t>סעיף 18 לחוק החוזים (חלק כללי), תשל"ג-1973.</w:t>
      </w:r>
      <w:r w:rsidR="00911DC9">
        <w:rPr>
          <w:rFonts w:asciiTheme="minorBidi" w:hAnsiTheme="minorBidi" w:cstheme="minorBidi" w:hint="cs"/>
          <w:color w:val="333333"/>
          <w:shd w:val="clear" w:color="auto" w:fill="FFFFFF"/>
          <w:rtl/>
        </w:rPr>
        <w:t xml:space="preserve"> (להלן "החוק").</w:t>
      </w:r>
    </w:p>
  </w:footnote>
  <w:footnote w:id="3">
    <w:p w:rsidR="009E2B1A" w:rsidRDefault="009E2B1A" w:rsidP="009E5FFC">
      <w:pPr>
        <w:pStyle w:val="FootnoteText"/>
        <w:bidi/>
        <w:rPr>
          <w:rtl/>
        </w:rPr>
      </w:pPr>
      <w:r w:rsidRPr="009E2B1A">
        <w:rPr>
          <w:rStyle w:val="FootnoteReference"/>
        </w:rPr>
        <w:footnoteRef/>
      </w:r>
      <w:r w:rsidRPr="009E2B1A">
        <w:t xml:space="preserve"> </w:t>
      </w:r>
      <w:r>
        <w:rPr>
          <w:rFonts w:hint="cs"/>
          <w:rtl/>
        </w:rPr>
        <w:t xml:space="preserve"> </w:t>
      </w:r>
      <w:hyperlink r:id="rId1" w:tgtFrame="_blank" w:history="1">
        <w:r w:rsidRPr="009E2B1A">
          <w:rPr>
            <w:rStyle w:val="Hyperlink"/>
            <w:rFonts w:asciiTheme="minorBidi" w:hAnsiTheme="minorBidi" w:cstheme="minorBidi"/>
            <w:color w:val="333333"/>
            <w:u w:val="none"/>
            <w:shd w:val="clear" w:color="auto" w:fill="FFFFFF"/>
            <w:rtl/>
          </w:rPr>
          <w:t>ע"א 403/80</w:t>
        </w:r>
        <w:r w:rsidR="009E5FFC" w:rsidRPr="009E2B1A">
          <w:rPr>
            <w:rStyle w:val="Hyperlink"/>
            <w:rFonts w:asciiTheme="minorBidi" w:hAnsiTheme="minorBidi" w:cstheme="minorBidi"/>
            <w:b/>
            <w:bCs/>
            <w:color w:val="333333"/>
            <w:u w:val="none"/>
            <w:shd w:val="clear" w:color="auto" w:fill="FFFFFF"/>
            <w:rtl/>
          </w:rPr>
          <w:t xml:space="preserve"> </w:t>
        </w:r>
        <w:r w:rsidRPr="009E2B1A">
          <w:rPr>
            <w:rStyle w:val="Hyperlink"/>
            <w:rFonts w:asciiTheme="minorBidi" w:hAnsiTheme="minorBidi" w:cstheme="minorBidi"/>
            <w:b/>
            <w:bCs/>
            <w:color w:val="333333"/>
            <w:u w:val="none"/>
            <w:shd w:val="clear" w:color="auto" w:fill="FFFFFF"/>
            <w:rtl/>
          </w:rPr>
          <w:t>סאסי נ' קיקאון</w:t>
        </w:r>
      </w:hyperlink>
      <w:r w:rsidR="009E5FFC">
        <w:rPr>
          <w:rFonts w:asciiTheme="minorBidi" w:hAnsiTheme="minorBidi" w:cstheme="minorBidi" w:hint="cs"/>
          <w:rtl/>
        </w:rPr>
        <w:t>,</w:t>
      </w:r>
      <w:r w:rsidRPr="009E2B1A">
        <w:rPr>
          <w:rFonts w:asciiTheme="minorBidi" w:hAnsiTheme="minorBidi" w:cstheme="minorBidi"/>
          <w:color w:val="333333"/>
          <w:shd w:val="clear" w:color="auto" w:fill="FFFFFF"/>
        </w:rPr>
        <w:t xml:space="preserve"> </w:t>
      </w:r>
      <w:r w:rsidR="009E5FFC">
        <w:rPr>
          <w:rFonts w:asciiTheme="minorBidi" w:hAnsiTheme="minorBidi" w:cstheme="minorBidi" w:hint="cs"/>
          <w:color w:val="333333"/>
          <w:shd w:val="clear" w:color="auto" w:fill="FFFFFF"/>
          <w:rtl/>
        </w:rPr>
        <w:t xml:space="preserve"> פ"ד </w:t>
      </w:r>
      <w:r w:rsidR="009E5FFC">
        <w:rPr>
          <w:rFonts w:asciiTheme="minorBidi" w:hAnsiTheme="minorBidi" w:cstheme="minorBidi"/>
          <w:color w:val="333333"/>
          <w:shd w:val="clear" w:color="auto" w:fill="FFFFFF"/>
          <w:rtl/>
        </w:rPr>
        <w:t>לו</w:t>
      </w:r>
      <w:r w:rsidRPr="009E2B1A">
        <w:rPr>
          <w:rFonts w:asciiTheme="minorBidi" w:hAnsiTheme="minorBidi" w:cstheme="minorBidi"/>
          <w:color w:val="333333"/>
          <w:shd w:val="clear" w:color="auto" w:fill="FFFFFF"/>
          <w:rtl/>
        </w:rPr>
        <w:t>(1) 762</w:t>
      </w:r>
      <w:r>
        <w:rPr>
          <w:rFonts w:asciiTheme="minorBidi" w:hAnsiTheme="minorBidi" w:cstheme="minorBidi" w:hint="cs"/>
          <w:color w:val="333333"/>
          <w:shd w:val="clear" w:color="auto" w:fill="FFFFFF"/>
          <w:rtl/>
        </w:rPr>
        <w:t xml:space="preserve">. </w:t>
      </w:r>
      <w:r w:rsidR="008F5CE0">
        <w:rPr>
          <w:rFonts w:asciiTheme="minorBidi" w:hAnsiTheme="minorBidi" w:cstheme="minorBidi" w:hint="cs"/>
          <w:color w:val="333333"/>
          <w:shd w:val="clear" w:color="auto" w:fill="FFFFFF"/>
          <w:rtl/>
        </w:rPr>
        <w:t>(להלן: פס"ד סאסי).</w:t>
      </w:r>
      <w:r w:rsidR="009E5FFC">
        <w:rPr>
          <w:rFonts w:asciiTheme="minorBidi" w:hAnsiTheme="minorBidi" w:cstheme="minorBidi" w:hint="cs"/>
          <w:color w:val="333333"/>
          <w:shd w:val="clear" w:color="auto" w:fill="FFFFFF"/>
          <w:rtl/>
        </w:rPr>
        <w:t xml:space="preserve"> </w:t>
      </w:r>
      <w:r>
        <w:rPr>
          <w:rFonts w:asciiTheme="minorBidi" w:hAnsiTheme="minorBidi" w:cstheme="minorBidi" w:hint="cs"/>
          <w:color w:val="333333"/>
          <w:shd w:val="clear" w:color="auto" w:fill="FFFFFF"/>
          <w:rtl/>
        </w:rPr>
        <w:t>פסקה 6 לפסק דינו של השופט טירקל</w:t>
      </w:r>
      <w:r w:rsidR="004A021A">
        <w:rPr>
          <w:rFonts w:asciiTheme="minorBidi" w:hAnsiTheme="minorBidi" w:cstheme="minorBidi" w:hint="cs"/>
          <w:color w:val="333333"/>
          <w:shd w:val="clear" w:color="auto" w:fill="FFFFFF"/>
          <w:rtl/>
        </w:rPr>
        <w:t xml:space="preserve"> בראשיתה, עמ' 767.</w:t>
      </w:r>
    </w:p>
  </w:footnote>
  <w:footnote w:id="4">
    <w:p w:rsidR="00E742D8" w:rsidRPr="00E742D8" w:rsidRDefault="00E742D8" w:rsidP="00E742D8">
      <w:pPr>
        <w:pStyle w:val="FootnoteText"/>
        <w:bidi/>
        <w:rPr>
          <w:rFonts w:asciiTheme="minorBidi" w:hAnsiTheme="minorBidi" w:cstheme="minorBidi"/>
          <w:color w:val="333333"/>
          <w:shd w:val="clear" w:color="auto" w:fill="FFFFFF"/>
          <w:rtl/>
        </w:rPr>
      </w:pPr>
      <w:r>
        <w:rPr>
          <w:rStyle w:val="FootnoteReference"/>
        </w:rPr>
        <w:footnoteRef/>
      </w:r>
      <w:r>
        <w:t xml:space="preserve"> </w:t>
      </w:r>
      <w:r>
        <w:rPr>
          <w:rFonts w:hint="cs"/>
          <w:rtl/>
        </w:rPr>
        <w:t xml:space="preserve"> </w:t>
      </w:r>
      <w:r w:rsidRPr="00E742D8">
        <w:rPr>
          <w:rFonts w:asciiTheme="minorBidi" w:hAnsiTheme="minorBidi" w:cstheme="minorBidi" w:hint="cs"/>
          <w:color w:val="333333"/>
          <w:shd w:val="clear" w:color="auto" w:fill="FFFFFF"/>
          <w:rtl/>
        </w:rPr>
        <w:t xml:space="preserve">שלושת העקרונות עולים גם </w:t>
      </w:r>
      <w:r>
        <w:rPr>
          <w:rFonts w:asciiTheme="minorBidi" w:hAnsiTheme="minorBidi" w:cstheme="minorBidi" w:hint="cs"/>
          <w:color w:val="333333"/>
          <w:shd w:val="clear" w:color="auto" w:fill="FFFFFF"/>
          <w:rtl/>
        </w:rPr>
        <w:t>ב</w:t>
      </w:r>
      <w:hyperlink r:id="rId2" w:tgtFrame="_blank" w:history="1">
        <w:r w:rsidRPr="00E742D8">
          <w:rPr>
            <w:rFonts w:asciiTheme="minorBidi" w:hAnsiTheme="minorBidi" w:cstheme="minorBidi"/>
            <w:color w:val="333333"/>
            <w:rtl/>
          </w:rPr>
          <w:t>ע"א 2041/05</w:t>
        </w:r>
        <w:r w:rsidRPr="00E742D8">
          <w:rPr>
            <w:rFonts w:asciiTheme="minorBidi" w:hAnsiTheme="minorBidi" w:cstheme="minorBidi"/>
            <w:color w:val="333333"/>
          </w:rPr>
          <w:t> </w:t>
        </w:r>
        <w:r w:rsidRPr="00E742D8">
          <w:rPr>
            <w:rFonts w:asciiTheme="minorBidi" w:hAnsiTheme="minorBidi" w:cstheme="minorBidi"/>
            <w:b/>
            <w:bCs/>
            <w:color w:val="333333"/>
            <w:rtl/>
          </w:rPr>
          <w:t>מחקשווילי נ</w:t>
        </w:r>
        <w:r w:rsidRPr="00E742D8">
          <w:rPr>
            <w:rFonts w:asciiTheme="minorBidi" w:hAnsiTheme="minorBidi" w:cstheme="minorBidi"/>
            <w:b/>
            <w:bCs/>
            <w:color w:val="333333"/>
          </w:rPr>
          <w:t>' </w:t>
        </w:r>
        <w:r w:rsidRPr="00E742D8">
          <w:rPr>
            <w:rFonts w:asciiTheme="minorBidi" w:hAnsiTheme="minorBidi" w:cstheme="minorBidi"/>
            <w:b/>
            <w:bCs/>
            <w:color w:val="333333"/>
            <w:rtl/>
          </w:rPr>
          <w:t>מיכקשווילי</w:t>
        </w:r>
      </w:hyperlink>
      <w:r>
        <w:rPr>
          <w:rFonts w:asciiTheme="minorBidi" w:hAnsiTheme="minorBidi" w:cstheme="minorBidi" w:hint="cs"/>
          <w:color w:val="333333"/>
          <w:shd w:val="clear" w:color="auto" w:fill="FFFFFF"/>
          <w:rtl/>
        </w:rPr>
        <w:t>,</w:t>
      </w:r>
      <w:r w:rsidRPr="00E742D8">
        <w:rPr>
          <w:rFonts w:asciiTheme="minorBidi" w:hAnsiTheme="minorBidi" w:cstheme="minorBidi"/>
          <w:color w:val="333333"/>
          <w:shd w:val="clear" w:color="auto" w:fill="FFFFFF"/>
        </w:rPr>
        <w:t xml:space="preserve"> </w:t>
      </w:r>
      <w:r w:rsidRPr="00E742D8">
        <w:rPr>
          <w:rFonts w:asciiTheme="minorBidi" w:hAnsiTheme="minorBidi" w:cstheme="minorBidi"/>
          <w:color w:val="333333"/>
          <w:shd w:val="clear" w:color="auto" w:fill="FFFFFF"/>
          <w:rtl/>
        </w:rPr>
        <w:t>תק-על 2007(4) 2223</w:t>
      </w:r>
      <w:r w:rsidRPr="00E742D8">
        <w:rPr>
          <w:rFonts w:asciiTheme="minorBidi" w:hAnsiTheme="minorBidi" w:cstheme="minorBidi"/>
          <w:color w:val="333333"/>
          <w:shd w:val="clear" w:color="auto" w:fill="FFFFFF"/>
        </w:rPr>
        <w:t>.</w:t>
      </w:r>
    </w:p>
  </w:footnote>
  <w:footnote w:id="5">
    <w:p w:rsidR="009E2B1A" w:rsidRDefault="009E2B1A" w:rsidP="009E5FFC">
      <w:pPr>
        <w:pStyle w:val="FootnoteText"/>
        <w:bidi/>
        <w:rPr>
          <w:rtl/>
        </w:rPr>
      </w:pPr>
      <w:r>
        <w:rPr>
          <w:rStyle w:val="FootnoteReference"/>
        </w:rPr>
        <w:footnoteRef/>
      </w:r>
      <w:r>
        <w:t xml:space="preserve"> </w:t>
      </w:r>
      <w:r>
        <w:rPr>
          <w:rFonts w:hint="cs"/>
          <w:rtl/>
        </w:rPr>
        <w:t xml:space="preserve"> </w:t>
      </w:r>
      <w:r>
        <w:rPr>
          <w:rFonts w:asciiTheme="minorBidi" w:hAnsiTheme="minorBidi" w:cstheme="minorBidi" w:hint="cs"/>
          <w:color w:val="333333"/>
          <w:shd w:val="clear" w:color="auto" w:fill="FFFFFF"/>
          <w:rtl/>
        </w:rPr>
        <w:t>עפ"י מאמרה של</w:t>
      </w:r>
      <w:r>
        <w:rPr>
          <w:rFonts w:hint="cs"/>
          <w:rtl/>
        </w:rPr>
        <w:t xml:space="preserve"> </w:t>
      </w:r>
      <w:r w:rsidRPr="009E2B1A">
        <w:rPr>
          <w:rFonts w:asciiTheme="minorBidi" w:hAnsiTheme="minorBidi" w:cstheme="minorBidi"/>
          <w:color w:val="333333"/>
          <w:shd w:val="clear" w:color="auto" w:fill="FFFFFF"/>
          <w:rtl/>
        </w:rPr>
        <w:t xml:space="preserve">גבריאלה שלו, </w:t>
      </w:r>
      <w:r w:rsidRPr="009E2B1A">
        <w:rPr>
          <w:rFonts w:asciiTheme="minorBidi" w:hAnsiTheme="minorBidi" w:cstheme="minorBidi"/>
          <w:b/>
          <w:bCs/>
          <w:color w:val="333333"/>
          <w:shd w:val="clear" w:color="auto" w:fill="FFFFFF"/>
          <w:rtl/>
        </w:rPr>
        <w:t>דיני חוזים החלק הכללי – לקראת קודיפיקציה של המשפט האזרחי</w:t>
      </w:r>
      <w:r w:rsidRPr="009E2B1A">
        <w:rPr>
          <w:rFonts w:asciiTheme="minorBidi" w:hAnsiTheme="minorBidi" w:cstheme="minorBidi"/>
          <w:color w:val="333333"/>
          <w:shd w:val="clear" w:color="auto" w:fill="FFFFFF"/>
          <w:rtl/>
        </w:rPr>
        <w:t xml:space="preserve"> (תשס"ה)</w:t>
      </w:r>
      <w:r>
        <w:rPr>
          <w:rFonts w:asciiTheme="minorBidi" w:hAnsiTheme="minorBidi" w:cstheme="minorBidi" w:hint="cs"/>
          <w:color w:val="333333"/>
          <w:shd w:val="clear" w:color="auto" w:fill="FFFFFF"/>
          <w:rtl/>
        </w:rPr>
        <w:t xml:space="preserve"> (להלן: מאמרה של שלו)</w:t>
      </w:r>
      <w:r w:rsidR="000A5244">
        <w:rPr>
          <w:rFonts w:asciiTheme="minorBidi" w:hAnsiTheme="minorBidi" w:cstheme="minorBidi" w:hint="cs"/>
          <w:color w:val="333333"/>
          <w:shd w:val="clear" w:color="auto" w:fill="FFFFFF"/>
          <w:rtl/>
        </w:rPr>
        <w:t>.</w:t>
      </w:r>
      <w:r w:rsidR="00DE407E">
        <w:rPr>
          <w:rFonts w:asciiTheme="minorBidi" w:hAnsiTheme="minorBidi" w:cstheme="minorBidi" w:hint="cs"/>
          <w:color w:val="333333"/>
          <w:shd w:val="clear" w:color="auto" w:fill="FFFFFF"/>
          <w:rtl/>
        </w:rPr>
        <w:t xml:space="preserve"> יסודות אלו נכונים לכל העילות בהן אעסוק.</w:t>
      </w:r>
    </w:p>
  </w:footnote>
  <w:footnote w:id="6">
    <w:p w:rsidR="00E27D9A" w:rsidRPr="00E27D9A" w:rsidRDefault="00E27D9A" w:rsidP="00E27D9A">
      <w:pPr>
        <w:pStyle w:val="FootnoteText"/>
        <w:bidi/>
        <w:rPr>
          <w:rtl/>
        </w:rPr>
      </w:pPr>
      <w:r>
        <w:rPr>
          <w:rStyle w:val="FootnoteReference"/>
        </w:rPr>
        <w:footnoteRef/>
      </w:r>
      <w:r>
        <w:t xml:space="preserve"> </w:t>
      </w:r>
      <w:r>
        <w:rPr>
          <w:rFonts w:hint="cs"/>
          <w:rtl/>
        </w:rPr>
        <w:t xml:space="preserve"> </w:t>
      </w:r>
      <w:r w:rsidRPr="00E27D9A">
        <w:rPr>
          <w:rFonts w:asciiTheme="minorBidi" w:hAnsiTheme="minorBidi" w:cstheme="minorBidi" w:hint="cs"/>
          <w:color w:val="333333"/>
          <w:shd w:val="clear" w:color="auto" w:fill="FFFFFF"/>
          <w:rtl/>
        </w:rPr>
        <w:t>טיעוניי כעת מצדדים בשיטתו של פליישר</w:t>
      </w:r>
      <w:r>
        <w:rPr>
          <w:rFonts w:hint="cs"/>
          <w:rtl/>
        </w:rPr>
        <w:t>.</w:t>
      </w:r>
    </w:p>
  </w:footnote>
  <w:footnote w:id="7">
    <w:p w:rsidR="008F5CE0" w:rsidRDefault="008F5CE0" w:rsidP="008F5CE0">
      <w:pPr>
        <w:pStyle w:val="FootnoteText"/>
        <w:bidi/>
        <w:rPr>
          <w:rtl/>
        </w:rPr>
      </w:pPr>
      <w:r>
        <w:rPr>
          <w:rStyle w:val="FootnoteReference"/>
        </w:rPr>
        <w:footnoteRef/>
      </w:r>
      <w:r>
        <w:t xml:space="preserve"> </w:t>
      </w:r>
      <w:r>
        <w:rPr>
          <w:rFonts w:hint="cs"/>
          <w:rtl/>
        </w:rPr>
        <w:t xml:space="preserve"> </w:t>
      </w:r>
      <w:r w:rsidRPr="00083CA6">
        <w:rPr>
          <w:rFonts w:asciiTheme="minorBidi" w:hAnsiTheme="minorBidi" w:cstheme="minorBidi" w:hint="cs"/>
          <w:color w:val="333333"/>
          <w:shd w:val="clear" w:color="auto" w:fill="FFFFFF"/>
          <w:rtl/>
        </w:rPr>
        <w:t>ע</w:t>
      </w:r>
      <w:r w:rsidR="00911DC9" w:rsidRPr="00083CA6">
        <w:rPr>
          <w:rFonts w:asciiTheme="minorBidi" w:hAnsiTheme="minorBidi" w:cstheme="minorBidi" w:hint="cs"/>
          <w:color w:val="333333"/>
          <w:shd w:val="clear" w:color="auto" w:fill="FFFFFF"/>
          <w:rtl/>
        </w:rPr>
        <w:t>פ"י דברי השופט טירקל בפס"ד סאסי, פ</w:t>
      </w:r>
      <w:r w:rsidR="004A021A">
        <w:rPr>
          <w:rFonts w:asciiTheme="minorBidi" w:hAnsiTheme="minorBidi" w:cstheme="minorBidi" w:hint="cs"/>
          <w:color w:val="333333"/>
          <w:shd w:val="clear" w:color="auto" w:fill="FFFFFF"/>
          <w:rtl/>
        </w:rPr>
        <w:t>סקה 8, עמ' 768.</w:t>
      </w:r>
    </w:p>
  </w:footnote>
  <w:footnote w:id="8">
    <w:p w:rsidR="00DB452F" w:rsidRPr="00DB452F" w:rsidRDefault="00DB452F" w:rsidP="00DB452F">
      <w:pPr>
        <w:pStyle w:val="FootnoteText"/>
        <w:bidi/>
        <w:rPr>
          <w:rtl/>
        </w:rPr>
      </w:pPr>
      <w:r>
        <w:rPr>
          <w:rStyle w:val="FootnoteReference"/>
        </w:rPr>
        <w:footnoteRef/>
      </w:r>
      <w:r>
        <w:t xml:space="preserve"> </w:t>
      </w:r>
      <w:r>
        <w:rPr>
          <w:rFonts w:hint="cs"/>
          <w:rtl/>
        </w:rPr>
        <w:t xml:space="preserve"> </w:t>
      </w:r>
      <w:r w:rsidRPr="00083CA6">
        <w:rPr>
          <w:rFonts w:asciiTheme="minorBidi" w:hAnsiTheme="minorBidi" w:cstheme="minorBidi" w:hint="cs"/>
          <w:color w:val="333333"/>
          <w:shd w:val="clear" w:color="auto" w:fill="FFFFFF"/>
          <w:rtl/>
        </w:rPr>
        <w:t xml:space="preserve">ע"א 719/78 </w:t>
      </w:r>
      <w:r w:rsidRPr="00083CA6">
        <w:rPr>
          <w:rFonts w:asciiTheme="minorBidi" w:hAnsiTheme="minorBidi" w:cstheme="minorBidi" w:hint="cs"/>
          <w:b/>
          <w:bCs/>
          <w:color w:val="333333"/>
          <w:shd w:val="clear" w:color="auto" w:fill="FFFFFF"/>
          <w:rtl/>
        </w:rPr>
        <w:t>איליט</w:t>
      </w:r>
      <w:r w:rsidR="00083CA6" w:rsidRPr="00083CA6">
        <w:rPr>
          <w:rFonts w:asciiTheme="minorBidi" w:hAnsiTheme="minorBidi" w:cstheme="minorBidi" w:hint="cs"/>
          <w:b/>
          <w:bCs/>
          <w:color w:val="333333"/>
          <w:shd w:val="clear" w:color="auto" w:fill="FFFFFF"/>
          <w:rtl/>
        </w:rPr>
        <w:t xml:space="preserve"> </w:t>
      </w:r>
      <w:hyperlink r:id="rId3" w:tgtFrame="_blank" w:history="1">
        <w:r w:rsidR="00083CA6" w:rsidRPr="00083CA6">
          <w:rPr>
            <w:rFonts w:asciiTheme="minorBidi" w:hAnsiTheme="minorBidi" w:cstheme="minorBidi"/>
            <w:b/>
            <w:bCs/>
            <w:rtl/>
          </w:rPr>
          <w:t>נ' אלקו</w:t>
        </w:r>
      </w:hyperlink>
      <w:r w:rsidR="00083CA6" w:rsidRPr="00083CA6">
        <w:rPr>
          <w:rFonts w:asciiTheme="minorBidi" w:hAnsiTheme="minorBidi" w:cstheme="minorBidi"/>
          <w:color w:val="333333"/>
          <w:shd w:val="clear" w:color="auto" w:fill="FFFFFF"/>
        </w:rPr>
        <w:t xml:space="preserve">, </w:t>
      </w:r>
      <w:r w:rsidR="00083CA6" w:rsidRPr="00083CA6">
        <w:rPr>
          <w:rFonts w:asciiTheme="minorBidi" w:hAnsiTheme="minorBidi" w:cstheme="minorBidi"/>
          <w:color w:val="333333"/>
          <w:shd w:val="clear" w:color="auto" w:fill="FFFFFF"/>
          <w:rtl/>
        </w:rPr>
        <w:t>פ"ד לד(4) 673</w:t>
      </w:r>
      <w:r w:rsidR="00083CA6">
        <w:rPr>
          <w:rFonts w:asciiTheme="minorBidi" w:hAnsiTheme="minorBidi" w:cstheme="minorBidi" w:hint="cs"/>
          <w:color w:val="333333"/>
          <w:shd w:val="clear" w:color="auto" w:fill="FFFFFF"/>
          <w:rtl/>
        </w:rPr>
        <w:t>.</w:t>
      </w:r>
    </w:p>
  </w:footnote>
  <w:footnote w:id="9">
    <w:p w:rsidR="00346DAA" w:rsidRPr="00346DAA" w:rsidRDefault="00346DAA" w:rsidP="00346DAA">
      <w:pPr>
        <w:pStyle w:val="FootnoteText"/>
        <w:bidi/>
        <w:rPr>
          <w:rtl/>
        </w:rPr>
      </w:pPr>
      <w:r>
        <w:rPr>
          <w:rStyle w:val="FootnoteReference"/>
        </w:rPr>
        <w:footnoteRef/>
      </w:r>
      <w:r>
        <w:t xml:space="preserve"> </w:t>
      </w:r>
      <w:r>
        <w:rPr>
          <w:rFonts w:hint="cs"/>
          <w:rtl/>
        </w:rPr>
        <w:t xml:space="preserve"> </w:t>
      </w:r>
      <w:r w:rsidRPr="00346DAA">
        <w:rPr>
          <w:rFonts w:asciiTheme="minorBidi" w:hAnsiTheme="minorBidi" w:cstheme="minorBidi" w:hint="cs"/>
          <w:color w:val="333333"/>
          <w:shd w:val="clear" w:color="auto" w:fill="FFFFFF"/>
          <w:rtl/>
        </w:rPr>
        <w:t xml:space="preserve">ראה גם פס"ד סאסי, פסקה 2(א) </w:t>
      </w:r>
      <w:r>
        <w:rPr>
          <w:rFonts w:asciiTheme="minorBidi" w:hAnsiTheme="minorBidi" w:cstheme="minorBidi" w:hint="cs"/>
          <w:color w:val="333333"/>
          <w:shd w:val="clear" w:color="auto" w:fill="FFFFFF"/>
          <w:rtl/>
        </w:rPr>
        <w:t>לפסק דינו של השופט טירקל</w:t>
      </w:r>
      <w:r w:rsidRPr="00346DAA">
        <w:rPr>
          <w:rFonts w:asciiTheme="minorBidi" w:hAnsiTheme="minorBidi" w:cstheme="minorBidi" w:hint="cs"/>
          <w:color w:val="333333"/>
          <w:shd w:val="clear" w:color="auto" w:fill="FFFFFF"/>
          <w:rtl/>
        </w:rPr>
        <w:t xml:space="preserve"> עפ"י השופט טיר</w:t>
      </w:r>
      <w:r>
        <w:rPr>
          <w:rFonts w:asciiTheme="minorBidi" w:hAnsiTheme="minorBidi" w:cstheme="minorBidi" w:hint="cs"/>
          <w:color w:val="333333"/>
          <w:shd w:val="clear" w:color="auto" w:fill="FFFFFF"/>
          <w:rtl/>
        </w:rPr>
        <w:t xml:space="preserve">קל </w:t>
      </w:r>
      <w:r w:rsidR="005A7344">
        <w:rPr>
          <w:rFonts w:asciiTheme="minorBidi" w:hAnsiTheme="minorBidi" w:cstheme="minorBidi" w:hint="cs"/>
          <w:color w:val="333333"/>
          <w:shd w:val="clear" w:color="auto" w:fill="FFFFFF"/>
          <w:rtl/>
        </w:rPr>
        <w:t>עולה ש</w:t>
      </w:r>
      <w:r>
        <w:rPr>
          <w:rFonts w:asciiTheme="minorBidi" w:hAnsiTheme="minorBidi" w:cstheme="minorBidi" w:hint="cs"/>
          <w:color w:val="333333"/>
          <w:shd w:val="clear" w:color="auto" w:fill="FFFFFF"/>
          <w:rtl/>
        </w:rPr>
        <w:t>אין בערירות הוכחה למצוקה</w:t>
      </w:r>
      <w:r w:rsidR="005A7344">
        <w:rPr>
          <w:rFonts w:asciiTheme="minorBidi" w:hAnsiTheme="minorBidi" w:cstheme="minorBidi" w:hint="cs"/>
          <w:color w:val="333333"/>
          <w:shd w:val="clear" w:color="auto" w:fill="FFFFFF"/>
          <w:rtl/>
        </w:rPr>
        <w:t>.</w:t>
      </w:r>
    </w:p>
  </w:footnote>
  <w:footnote w:id="10">
    <w:p w:rsidR="009E5FFC" w:rsidRPr="00911DC9" w:rsidRDefault="009E5FFC" w:rsidP="009E5FFC">
      <w:pPr>
        <w:pStyle w:val="FootnoteText"/>
        <w:bidi/>
        <w:rPr>
          <w:rtl/>
        </w:rPr>
      </w:pPr>
      <w:r>
        <w:rPr>
          <w:rStyle w:val="FootnoteReference"/>
        </w:rPr>
        <w:footnoteRef/>
      </w:r>
      <w:r>
        <w:t xml:space="preserve"> </w:t>
      </w:r>
      <w:r>
        <w:rPr>
          <w:rFonts w:hint="cs"/>
          <w:rtl/>
        </w:rPr>
        <w:t xml:space="preserve"> </w:t>
      </w:r>
      <w:r w:rsidRPr="009E5FFC">
        <w:rPr>
          <w:rStyle w:val="Hyperlink"/>
          <w:rFonts w:asciiTheme="minorBidi" w:hAnsiTheme="minorBidi" w:cstheme="minorBidi" w:hint="cs"/>
          <w:color w:val="333333"/>
          <w:u w:val="none"/>
          <w:shd w:val="clear" w:color="auto" w:fill="FFFFFF"/>
          <w:rtl/>
        </w:rPr>
        <w:t xml:space="preserve">ע"א </w:t>
      </w:r>
      <w:hyperlink r:id="rId4" w:tgtFrame="_blank" w:history="1">
        <w:r w:rsidRPr="009E5FFC">
          <w:rPr>
            <w:rStyle w:val="Hyperlink"/>
            <w:rFonts w:asciiTheme="minorBidi" w:hAnsiTheme="minorBidi" w:cstheme="minorBidi"/>
            <w:color w:val="333333"/>
            <w:u w:val="none"/>
            <w:shd w:val="clear" w:color="auto" w:fill="FFFFFF"/>
            <w:rtl/>
          </w:rPr>
          <w:t xml:space="preserve"> 784/81</w:t>
        </w:r>
        <w:r>
          <w:rPr>
            <w:rStyle w:val="Hyperlink"/>
            <w:rFonts w:asciiTheme="minorBidi" w:hAnsiTheme="minorBidi" w:cstheme="minorBidi" w:hint="cs"/>
            <w:color w:val="333333"/>
            <w:u w:val="none"/>
            <w:rtl/>
          </w:rPr>
          <w:t xml:space="preserve"> </w:t>
        </w:r>
        <w:r w:rsidRPr="009E5FFC">
          <w:rPr>
            <w:rStyle w:val="Hyperlink"/>
            <w:rFonts w:asciiTheme="minorBidi" w:hAnsiTheme="minorBidi" w:cstheme="minorBidi"/>
            <w:b/>
            <w:bCs/>
            <w:color w:val="333333"/>
            <w:u w:val="none"/>
            <w:shd w:val="clear" w:color="auto" w:fill="FFFFFF"/>
            <w:rtl/>
          </w:rPr>
          <w:t>ישראל שפיר נ' מרטין אפל ואח</w:t>
        </w:r>
        <w:r w:rsidRPr="009E5FFC">
          <w:rPr>
            <w:rStyle w:val="Hyperlink"/>
            <w:rFonts w:asciiTheme="minorBidi" w:hAnsiTheme="minorBidi" w:cstheme="minorBidi"/>
            <w:color w:val="333333"/>
            <w:u w:val="none"/>
            <w:shd w:val="clear" w:color="auto" w:fill="FFFFFF"/>
          </w:rPr>
          <w:t>'</w:t>
        </w:r>
      </w:hyperlink>
      <w:r>
        <w:rPr>
          <w:rStyle w:val="Hyperlink"/>
          <w:rFonts w:asciiTheme="minorBidi" w:hAnsiTheme="minorBidi" w:cstheme="minorBidi" w:hint="cs"/>
          <w:color w:val="333333"/>
          <w:u w:val="none"/>
          <w:shd w:val="clear" w:color="auto" w:fill="FFFFFF"/>
          <w:rtl/>
        </w:rPr>
        <w:t xml:space="preserve"> </w:t>
      </w:r>
      <w:r w:rsidRPr="009E5FFC">
        <w:rPr>
          <w:rStyle w:val="Hyperlink"/>
          <w:rFonts w:asciiTheme="minorBidi" w:hAnsiTheme="minorBidi" w:cstheme="minorBidi"/>
          <w:color w:val="333333"/>
          <w:u w:val="none"/>
          <w:rtl/>
        </w:rPr>
        <w:t>פ"ד לט (4) 149</w:t>
      </w:r>
      <w:r>
        <w:rPr>
          <w:rFonts w:ascii="Helvetica" w:hAnsi="Helvetica"/>
          <w:color w:val="333333"/>
          <w:sz w:val="16"/>
          <w:szCs w:val="16"/>
          <w:shd w:val="clear" w:color="auto" w:fill="FFFFFF"/>
        </w:rPr>
        <w:t>.</w:t>
      </w:r>
    </w:p>
  </w:footnote>
  <w:footnote w:id="11">
    <w:p w:rsidR="00F24296" w:rsidRPr="00F24296" w:rsidRDefault="00F24296" w:rsidP="00F24296">
      <w:pPr>
        <w:pStyle w:val="FootnoteText"/>
        <w:bidi/>
        <w:rPr>
          <w:rtl/>
        </w:rPr>
      </w:pPr>
      <w:r>
        <w:rPr>
          <w:rStyle w:val="FootnoteReference"/>
        </w:rPr>
        <w:footnoteRef/>
      </w:r>
      <w:r>
        <w:t xml:space="preserve"> </w:t>
      </w:r>
      <w:r>
        <w:rPr>
          <w:rFonts w:hint="cs"/>
          <w:rtl/>
        </w:rPr>
        <w:t xml:space="preserve"> </w:t>
      </w:r>
      <w:hyperlink r:id="rId5" w:tgtFrame="_blank" w:history="1">
        <w:r w:rsidRPr="00E742D8">
          <w:rPr>
            <w:rFonts w:asciiTheme="minorBidi" w:hAnsiTheme="minorBidi" w:cstheme="minorBidi"/>
            <w:color w:val="333333"/>
            <w:rtl/>
          </w:rPr>
          <w:t>ע"א 2041/05</w:t>
        </w:r>
        <w:r w:rsidRPr="00E742D8">
          <w:rPr>
            <w:rFonts w:asciiTheme="minorBidi" w:hAnsiTheme="minorBidi" w:cstheme="minorBidi"/>
            <w:color w:val="333333"/>
          </w:rPr>
          <w:t> </w:t>
        </w:r>
        <w:r w:rsidRPr="00E742D8">
          <w:rPr>
            <w:rFonts w:asciiTheme="minorBidi" w:hAnsiTheme="minorBidi" w:cstheme="minorBidi"/>
            <w:b/>
            <w:bCs/>
            <w:color w:val="333333"/>
            <w:rtl/>
          </w:rPr>
          <w:t>מחקשווילי נ</w:t>
        </w:r>
        <w:r w:rsidRPr="00E742D8">
          <w:rPr>
            <w:rFonts w:asciiTheme="minorBidi" w:hAnsiTheme="minorBidi" w:cstheme="minorBidi"/>
            <w:b/>
            <w:bCs/>
            <w:color w:val="333333"/>
          </w:rPr>
          <w:t>' </w:t>
        </w:r>
        <w:r w:rsidRPr="00E742D8">
          <w:rPr>
            <w:rFonts w:asciiTheme="minorBidi" w:hAnsiTheme="minorBidi" w:cstheme="minorBidi"/>
            <w:b/>
            <w:bCs/>
            <w:color w:val="333333"/>
            <w:rtl/>
          </w:rPr>
          <w:t>מיכקשווילי</w:t>
        </w:r>
      </w:hyperlink>
      <w:r>
        <w:rPr>
          <w:rFonts w:asciiTheme="minorBidi" w:hAnsiTheme="minorBidi" w:cstheme="minorBidi" w:hint="cs"/>
          <w:color w:val="333333"/>
          <w:shd w:val="clear" w:color="auto" w:fill="FFFFFF"/>
          <w:rtl/>
        </w:rPr>
        <w:t>,</w:t>
      </w:r>
      <w:r w:rsidRPr="00E742D8">
        <w:rPr>
          <w:rFonts w:asciiTheme="minorBidi" w:hAnsiTheme="minorBidi" w:cstheme="minorBidi"/>
          <w:color w:val="333333"/>
          <w:shd w:val="clear" w:color="auto" w:fill="FFFFFF"/>
        </w:rPr>
        <w:t xml:space="preserve"> </w:t>
      </w:r>
      <w:r w:rsidRPr="00E742D8">
        <w:rPr>
          <w:rFonts w:asciiTheme="minorBidi" w:hAnsiTheme="minorBidi" w:cstheme="minorBidi"/>
          <w:color w:val="333333"/>
          <w:shd w:val="clear" w:color="auto" w:fill="FFFFFF"/>
          <w:rtl/>
        </w:rPr>
        <w:t>תק-על 2007(4) 2223</w:t>
      </w:r>
      <w:r>
        <w:rPr>
          <w:rFonts w:asciiTheme="minorBidi" w:hAnsiTheme="minorBidi" w:cstheme="minorBidi" w:hint="cs"/>
          <w:color w:val="333333"/>
          <w:shd w:val="clear" w:color="auto" w:fill="FFFFFF"/>
          <w:rtl/>
        </w:rPr>
        <w:t xml:space="preserve"> פסקה 12 לפסק דינו של השופט ברלינר עמ' 15</w:t>
      </w:r>
      <w:r w:rsidR="005A7344">
        <w:rPr>
          <w:rFonts w:asciiTheme="minorBidi" w:hAnsiTheme="minorBidi" w:cstheme="minorBidi" w:hint="cs"/>
          <w:color w:val="333333"/>
          <w:shd w:val="clear" w:color="auto" w:fill="FFFFFF"/>
          <w:rtl/>
        </w:rPr>
        <w:t>.</w:t>
      </w:r>
    </w:p>
  </w:footnote>
  <w:footnote w:id="12">
    <w:p w:rsidR="0033707D" w:rsidRPr="0033707D" w:rsidRDefault="0033707D" w:rsidP="0033707D">
      <w:pPr>
        <w:pStyle w:val="FootnoteText"/>
        <w:bidi/>
        <w:rPr>
          <w:rFonts w:asciiTheme="minorBidi" w:hAnsiTheme="minorBidi" w:cstheme="minorBidi"/>
          <w:color w:val="333333"/>
          <w:shd w:val="clear" w:color="auto" w:fill="FFFFFF"/>
          <w:rtl/>
        </w:rPr>
      </w:pPr>
      <w:r>
        <w:rPr>
          <w:rStyle w:val="FootnoteReference"/>
        </w:rPr>
        <w:footnoteRef/>
      </w:r>
      <w:r>
        <w:t xml:space="preserve"> </w:t>
      </w:r>
      <w:r>
        <w:rPr>
          <w:rFonts w:hint="cs"/>
          <w:sz w:val="16"/>
          <w:szCs w:val="16"/>
          <w:rtl/>
        </w:rPr>
        <w:t xml:space="preserve"> </w:t>
      </w:r>
      <w:r w:rsidRPr="0033707D">
        <w:rPr>
          <w:rFonts w:asciiTheme="minorBidi" w:hAnsiTheme="minorBidi" w:cstheme="minorBidi" w:hint="cs"/>
          <w:color w:val="333333"/>
          <w:shd w:val="clear" w:color="auto" w:fill="FFFFFF"/>
          <w:rtl/>
        </w:rPr>
        <w:t>גיא ידע כי פוטניצאל השווי של החנות גבוה יותר מערכה העכשווי בשוק. אין זה טיעון כבד משקל לדעתי, אך כן ניתן להתחשב בו.</w:t>
      </w:r>
    </w:p>
  </w:footnote>
  <w:footnote w:id="13">
    <w:p w:rsidR="001649EF" w:rsidRDefault="001649EF" w:rsidP="001649EF">
      <w:pPr>
        <w:pStyle w:val="FootnoteText"/>
        <w:bidi/>
        <w:rPr>
          <w:rtl/>
        </w:rPr>
      </w:pPr>
      <w:r>
        <w:rPr>
          <w:rStyle w:val="FootnoteReference"/>
        </w:rPr>
        <w:footnoteRef/>
      </w:r>
      <w:r>
        <w:t xml:space="preserve"> </w:t>
      </w:r>
      <w:r>
        <w:rPr>
          <w:rFonts w:hint="cs"/>
          <w:rtl/>
        </w:rPr>
        <w:t xml:space="preserve"> </w:t>
      </w:r>
      <w:r w:rsidR="00903058">
        <w:rPr>
          <w:rFonts w:hint="cs"/>
          <w:rtl/>
        </w:rPr>
        <w:t xml:space="preserve"> </w:t>
      </w:r>
      <w:r w:rsidRPr="00F45C0E">
        <w:rPr>
          <w:rFonts w:asciiTheme="minorBidi" w:hAnsiTheme="minorBidi" w:cstheme="minorBidi" w:hint="cs"/>
          <w:color w:val="333333"/>
          <w:shd w:val="clear" w:color="auto" w:fill="FFFFFF"/>
          <w:rtl/>
        </w:rPr>
        <w:t>סעיף 17(א) לחוק.</w:t>
      </w:r>
    </w:p>
  </w:footnote>
  <w:footnote w:id="14">
    <w:p w:rsidR="004A021A" w:rsidRPr="00F45C0E" w:rsidRDefault="004A021A" w:rsidP="004A021A">
      <w:pPr>
        <w:pStyle w:val="FootnoteText"/>
        <w:bidi/>
        <w:rPr>
          <w:rFonts w:asciiTheme="minorBidi" w:hAnsiTheme="minorBidi" w:cstheme="minorBidi"/>
          <w:color w:val="333333"/>
          <w:shd w:val="clear" w:color="auto" w:fill="FFFFFF"/>
          <w:rtl/>
        </w:rPr>
      </w:pPr>
      <w:r>
        <w:rPr>
          <w:rStyle w:val="FootnoteReference"/>
        </w:rPr>
        <w:footnoteRef/>
      </w:r>
      <w:r>
        <w:t xml:space="preserve"> </w:t>
      </w:r>
      <w:r w:rsidR="00903058">
        <w:rPr>
          <w:rFonts w:hint="cs"/>
          <w:rtl/>
        </w:rPr>
        <w:t xml:space="preserve">  </w:t>
      </w:r>
      <w:r w:rsidRPr="00F45C0E">
        <w:rPr>
          <w:rFonts w:asciiTheme="minorBidi" w:hAnsiTheme="minorBidi" w:cstheme="minorBidi" w:hint="cs"/>
          <w:color w:val="333333"/>
          <w:shd w:val="clear" w:color="auto" w:fill="FFFFFF"/>
          <w:rtl/>
        </w:rPr>
        <w:t>ע"א 8/88</w:t>
      </w:r>
      <w:hyperlink r:id="rId6" w:tgtFrame="_blank" w:history="1">
        <w:r w:rsidRPr="00F45C0E">
          <w:rPr>
            <w:rFonts w:asciiTheme="minorBidi" w:hAnsiTheme="minorBidi" w:cstheme="minorBidi"/>
            <w:color w:val="333333"/>
            <w:shd w:val="clear" w:color="auto" w:fill="FFFFFF"/>
          </w:rPr>
          <w:t> </w:t>
        </w:r>
        <w:r w:rsidRPr="00F45C0E">
          <w:rPr>
            <w:rFonts w:asciiTheme="minorBidi" w:hAnsiTheme="minorBidi" w:cstheme="minorBidi"/>
            <w:color w:val="333333"/>
            <w:shd w:val="clear" w:color="auto" w:fill="FFFFFF"/>
            <w:rtl/>
          </w:rPr>
          <w:t>שאול רחמים בע"מ נ' אקספומדיה בע"מ</w:t>
        </w:r>
      </w:hyperlink>
      <w:r w:rsidRPr="00F45C0E">
        <w:rPr>
          <w:rFonts w:asciiTheme="minorBidi" w:hAnsiTheme="minorBidi" w:cstheme="minorBidi"/>
          <w:color w:val="333333"/>
          <w:shd w:val="clear" w:color="auto" w:fill="FFFFFF"/>
        </w:rPr>
        <w:t xml:space="preserve">, </w:t>
      </w:r>
      <w:r w:rsidRPr="00F45C0E">
        <w:rPr>
          <w:rFonts w:asciiTheme="minorBidi" w:hAnsiTheme="minorBidi" w:cstheme="minorBidi"/>
          <w:color w:val="333333"/>
          <w:shd w:val="clear" w:color="auto" w:fill="FFFFFF"/>
          <w:rtl/>
        </w:rPr>
        <w:t>פ"ד מג (4) 95</w:t>
      </w:r>
      <w:r w:rsidRPr="00F45C0E">
        <w:rPr>
          <w:rFonts w:asciiTheme="minorBidi" w:hAnsiTheme="minorBidi" w:cstheme="minorBidi"/>
          <w:color w:val="333333"/>
          <w:shd w:val="clear" w:color="auto" w:fill="FFFFFF"/>
        </w:rPr>
        <w:t>.</w:t>
      </w:r>
      <w:r w:rsidRPr="00F45C0E">
        <w:rPr>
          <w:rFonts w:asciiTheme="minorBidi" w:hAnsiTheme="minorBidi" w:cstheme="minorBidi" w:hint="cs"/>
          <w:color w:val="333333"/>
          <w:shd w:val="clear" w:color="auto" w:fill="FFFFFF"/>
          <w:rtl/>
        </w:rPr>
        <w:t xml:space="preserve"> (להלן: פס"ד רחמים)</w:t>
      </w:r>
      <w:r w:rsidR="005A7344">
        <w:rPr>
          <w:rFonts w:asciiTheme="minorBidi" w:hAnsiTheme="minorBidi" w:cstheme="minorBidi" w:hint="cs"/>
          <w:color w:val="333333"/>
          <w:shd w:val="clear" w:color="auto" w:fill="FFFFFF"/>
          <w:rtl/>
        </w:rPr>
        <w:t>.</w:t>
      </w:r>
    </w:p>
  </w:footnote>
  <w:footnote w:id="15">
    <w:p w:rsidR="004A021A" w:rsidRPr="00F45C0E" w:rsidRDefault="004A021A" w:rsidP="004A021A">
      <w:pPr>
        <w:pStyle w:val="FootnoteText"/>
        <w:bidi/>
        <w:rPr>
          <w:rFonts w:asciiTheme="minorBidi" w:hAnsiTheme="minorBidi" w:cstheme="minorBidi"/>
          <w:color w:val="333333"/>
          <w:shd w:val="clear" w:color="auto" w:fill="FFFFFF"/>
          <w:rtl/>
        </w:rPr>
      </w:pPr>
      <w:r>
        <w:rPr>
          <w:rStyle w:val="FootnoteReference"/>
        </w:rPr>
        <w:footnoteRef/>
      </w:r>
      <w:r>
        <w:t xml:space="preserve"> </w:t>
      </w:r>
      <w:r w:rsidR="00903058">
        <w:rPr>
          <w:rFonts w:hint="cs"/>
          <w:rtl/>
        </w:rPr>
        <w:t xml:space="preserve"> </w:t>
      </w:r>
      <w:r>
        <w:rPr>
          <w:rStyle w:val="apple-converted-space"/>
          <w:rFonts w:ascii="Helvetica" w:hAnsi="Helvetica" w:cs="Helvetica"/>
          <w:color w:val="333333"/>
          <w:sz w:val="16"/>
          <w:szCs w:val="16"/>
          <w:shd w:val="clear" w:color="auto" w:fill="FFFFFF"/>
        </w:rPr>
        <w:t> </w:t>
      </w:r>
      <w:hyperlink r:id="rId7" w:tgtFrame="_blank" w:history="1">
        <w:r w:rsidRPr="00F45C0E">
          <w:rPr>
            <w:rFonts w:asciiTheme="minorBidi" w:hAnsiTheme="minorBidi" w:cstheme="minorBidi"/>
            <w:color w:val="333333"/>
            <w:rtl/>
          </w:rPr>
          <w:t>ע"א 1569/93</w:t>
        </w:r>
        <w:r w:rsidRPr="00F45C0E">
          <w:rPr>
            <w:rFonts w:asciiTheme="minorBidi" w:hAnsiTheme="minorBidi" w:cstheme="minorBidi"/>
            <w:color w:val="333333"/>
          </w:rPr>
          <w:t>, </w:t>
        </w:r>
        <w:r w:rsidRPr="00F45C0E">
          <w:rPr>
            <w:rFonts w:asciiTheme="minorBidi" w:hAnsiTheme="minorBidi" w:cstheme="minorBidi"/>
            <w:color w:val="333333"/>
            <w:rtl/>
          </w:rPr>
          <w:t>יוסי מאיה נ' פנפורד</w:t>
        </w:r>
      </w:hyperlink>
      <w:r w:rsidRPr="00F45C0E">
        <w:rPr>
          <w:rFonts w:asciiTheme="minorBidi" w:hAnsiTheme="minorBidi" w:cstheme="minorBidi"/>
          <w:color w:val="333333"/>
          <w:shd w:val="clear" w:color="auto" w:fill="FFFFFF"/>
        </w:rPr>
        <w:t xml:space="preserve">, </w:t>
      </w:r>
      <w:r w:rsidRPr="00F45C0E">
        <w:rPr>
          <w:rFonts w:asciiTheme="minorBidi" w:hAnsiTheme="minorBidi" w:cstheme="minorBidi"/>
          <w:color w:val="333333"/>
          <w:shd w:val="clear" w:color="auto" w:fill="FFFFFF"/>
          <w:rtl/>
        </w:rPr>
        <w:t>פ"ד מח (5) 705</w:t>
      </w:r>
      <w:r w:rsidRPr="00F45C0E">
        <w:rPr>
          <w:rFonts w:asciiTheme="minorBidi" w:hAnsiTheme="minorBidi" w:cstheme="minorBidi"/>
          <w:color w:val="333333"/>
          <w:shd w:val="clear" w:color="auto" w:fill="FFFFFF"/>
        </w:rPr>
        <w:t>.</w:t>
      </w:r>
      <w:r w:rsidR="00C14B38" w:rsidRPr="00F45C0E">
        <w:rPr>
          <w:rFonts w:asciiTheme="minorBidi" w:hAnsiTheme="minorBidi" w:cstheme="minorBidi" w:hint="cs"/>
          <w:color w:val="333333"/>
          <w:shd w:val="clear" w:color="auto" w:fill="FFFFFF"/>
          <w:rtl/>
        </w:rPr>
        <w:t xml:space="preserve"> פסקה 9 לפסק דינו של השופט חשין, עמ' 717.</w:t>
      </w:r>
    </w:p>
  </w:footnote>
  <w:footnote w:id="16">
    <w:p w:rsidR="003005B3" w:rsidRPr="003005B3" w:rsidRDefault="003005B3" w:rsidP="003005B3">
      <w:pPr>
        <w:pStyle w:val="FootnoteText"/>
        <w:bidi/>
        <w:rPr>
          <w:rtl/>
        </w:rPr>
      </w:pPr>
      <w:r>
        <w:rPr>
          <w:rStyle w:val="FootnoteReference"/>
        </w:rPr>
        <w:footnoteRef/>
      </w:r>
      <w:r>
        <w:t xml:space="preserve"> </w:t>
      </w:r>
      <w:r>
        <w:rPr>
          <w:rFonts w:hint="cs"/>
          <w:rtl/>
        </w:rPr>
        <w:t xml:space="preserve"> </w:t>
      </w:r>
      <w:r>
        <w:rPr>
          <w:rStyle w:val="apple-converted-space"/>
          <w:rFonts w:ascii="Helvetica" w:hAnsi="Helvetica" w:cs="Helvetica"/>
          <w:color w:val="333333"/>
          <w:sz w:val="16"/>
          <w:szCs w:val="16"/>
          <w:shd w:val="clear" w:color="auto" w:fill="FFFFFF"/>
        </w:rPr>
        <w:t> </w:t>
      </w:r>
      <w:hyperlink r:id="rId8" w:tgtFrame="_blank" w:history="1">
        <w:r w:rsidRPr="00F45C0E">
          <w:rPr>
            <w:rFonts w:asciiTheme="minorBidi" w:hAnsiTheme="minorBidi" w:cstheme="minorBidi"/>
            <w:color w:val="333333"/>
            <w:rtl/>
          </w:rPr>
          <w:t>ע"א 661/88</w:t>
        </w:r>
        <w:r w:rsidRPr="00F45C0E">
          <w:rPr>
            <w:rFonts w:asciiTheme="minorBidi" w:hAnsiTheme="minorBidi" w:cstheme="minorBidi"/>
            <w:color w:val="333333"/>
          </w:rPr>
          <w:t>, </w:t>
        </w:r>
        <w:r w:rsidRPr="00F45C0E">
          <w:rPr>
            <w:rFonts w:asciiTheme="minorBidi" w:hAnsiTheme="minorBidi" w:cstheme="minorBidi"/>
            <w:color w:val="333333"/>
            <w:rtl/>
          </w:rPr>
          <w:t>פיסאר חיימוב נ' פארס חמיד ואח</w:t>
        </w:r>
        <w:r w:rsidRPr="00F45C0E">
          <w:rPr>
            <w:rFonts w:asciiTheme="minorBidi" w:hAnsiTheme="minorBidi" w:cstheme="minorBidi"/>
            <w:color w:val="333333"/>
          </w:rPr>
          <w:t>'</w:t>
        </w:r>
      </w:hyperlink>
      <w:r w:rsidRPr="00F45C0E">
        <w:rPr>
          <w:rFonts w:asciiTheme="minorBidi" w:hAnsiTheme="minorBidi" w:cstheme="minorBidi"/>
          <w:color w:val="333333"/>
          <w:shd w:val="clear" w:color="auto" w:fill="FFFFFF"/>
        </w:rPr>
        <w:t xml:space="preserve">, </w:t>
      </w:r>
      <w:r w:rsidRPr="00F45C0E">
        <w:rPr>
          <w:rFonts w:asciiTheme="minorBidi" w:hAnsiTheme="minorBidi" w:cstheme="minorBidi"/>
          <w:color w:val="333333"/>
          <w:shd w:val="clear" w:color="auto" w:fill="FFFFFF"/>
          <w:rtl/>
        </w:rPr>
        <w:t>פ"ד מד (1) 75</w:t>
      </w:r>
      <w:r w:rsidR="005A7344">
        <w:rPr>
          <w:rFonts w:asciiTheme="minorBidi" w:hAnsiTheme="minorBidi" w:cstheme="minorBidi" w:hint="cs"/>
          <w:color w:val="333333"/>
          <w:shd w:val="clear" w:color="auto" w:fill="FFFFFF"/>
          <w:rtl/>
        </w:rPr>
        <w:t>.</w:t>
      </w:r>
    </w:p>
  </w:footnote>
  <w:footnote w:id="17">
    <w:p w:rsidR="00B54A5C" w:rsidRDefault="00B54A5C" w:rsidP="00B54A5C">
      <w:pPr>
        <w:pStyle w:val="FootnoteText"/>
        <w:bidi/>
        <w:rPr>
          <w:rtl/>
        </w:rPr>
      </w:pPr>
      <w:r>
        <w:rPr>
          <w:rStyle w:val="FootnoteReference"/>
        </w:rPr>
        <w:footnoteRef/>
      </w:r>
      <w:r>
        <w:t xml:space="preserve"> </w:t>
      </w:r>
      <w:r>
        <w:rPr>
          <w:rFonts w:hint="cs"/>
          <w:rtl/>
        </w:rPr>
        <w:t xml:space="preserve"> </w:t>
      </w:r>
      <w:r w:rsidR="00903058">
        <w:rPr>
          <w:rFonts w:hint="cs"/>
          <w:rtl/>
        </w:rPr>
        <w:t xml:space="preserve"> </w:t>
      </w:r>
      <w:r w:rsidRPr="000C2ADE">
        <w:rPr>
          <w:rFonts w:asciiTheme="minorBidi" w:hAnsiTheme="minorBidi" w:cstheme="minorBidi" w:hint="cs"/>
          <w:color w:val="333333"/>
          <w:rtl/>
        </w:rPr>
        <w:t>ע</w:t>
      </w:r>
      <w:r w:rsidRPr="00F45C0E">
        <w:rPr>
          <w:rFonts w:asciiTheme="minorBidi" w:hAnsiTheme="minorBidi" w:cstheme="minorBidi" w:hint="cs"/>
          <w:color w:val="333333"/>
          <w:rtl/>
        </w:rPr>
        <w:t>פ"י פס"ד רחמים, פסקה 7</w:t>
      </w:r>
      <w:r w:rsidR="004A021A" w:rsidRPr="00F45C0E">
        <w:rPr>
          <w:rFonts w:asciiTheme="minorBidi" w:hAnsiTheme="minorBidi" w:cstheme="minorBidi" w:hint="cs"/>
          <w:color w:val="333333"/>
          <w:rtl/>
        </w:rPr>
        <w:t xml:space="preserve"> לפסק דינו של השפוט מלץ,</w:t>
      </w:r>
      <w:r w:rsidRPr="00F45C0E">
        <w:rPr>
          <w:rFonts w:asciiTheme="minorBidi" w:hAnsiTheme="minorBidi" w:cstheme="minorBidi" w:hint="cs"/>
          <w:color w:val="333333"/>
          <w:rtl/>
        </w:rPr>
        <w:t xml:space="preserve"> עמ' 100.</w:t>
      </w:r>
    </w:p>
  </w:footnote>
  <w:footnote w:id="18">
    <w:p w:rsidR="003B59E8" w:rsidRDefault="003B59E8" w:rsidP="003B59E8">
      <w:pPr>
        <w:pStyle w:val="FootnoteText"/>
        <w:bidi/>
        <w:rPr>
          <w:rtl/>
        </w:rPr>
      </w:pPr>
      <w:r>
        <w:rPr>
          <w:rStyle w:val="FootnoteReference"/>
        </w:rPr>
        <w:footnoteRef/>
      </w:r>
      <w:r>
        <w:t xml:space="preserve"> </w:t>
      </w:r>
      <w:r w:rsidRPr="00C4144D">
        <w:rPr>
          <w:rFonts w:asciiTheme="minorBidi" w:hAnsiTheme="minorBidi" w:cstheme="minorBidi" w:hint="cs"/>
          <w:color w:val="333333"/>
          <w:rtl/>
        </w:rPr>
        <w:t xml:space="preserve"> סעיף 15 לחוק.</w:t>
      </w:r>
    </w:p>
  </w:footnote>
  <w:footnote w:id="19">
    <w:p w:rsidR="00BA6780" w:rsidRDefault="00BA6780" w:rsidP="00BA6780">
      <w:pPr>
        <w:pStyle w:val="FootnoteText"/>
        <w:bidi/>
        <w:rPr>
          <w:rtl/>
        </w:rPr>
      </w:pPr>
      <w:r>
        <w:rPr>
          <w:rStyle w:val="FootnoteReference"/>
        </w:rPr>
        <w:footnoteRef/>
      </w:r>
      <w:r>
        <w:rPr>
          <w:rtl/>
        </w:rPr>
        <w:t xml:space="preserve"> </w:t>
      </w:r>
      <w:r w:rsidRPr="00385C28">
        <w:rPr>
          <w:rFonts w:cs="Arial" w:hint="cs"/>
          <w:rtl/>
        </w:rPr>
        <w:t>ע</w:t>
      </w:r>
      <w:r w:rsidRPr="00385C28">
        <w:rPr>
          <w:rFonts w:cs="Arial"/>
          <w:rtl/>
        </w:rPr>
        <w:t>"</w:t>
      </w:r>
      <w:r w:rsidRPr="00385C28">
        <w:rPr>
          <w:rFonts w:cs="Arial" w:hint="cs"/>
          <w:rtl/>
        </w:rPr>
        <w:t>א</w:t>
      </w:r>
      <w:r w:rsidRPr="00385C28">
        <w:rPr>
          <w:rFonts w:cs="Arial"/>
          <w:rtl/>
        </w:rPr>
        <w:t xml:space="preserve"> 2469/06 </w:t>
      </w:r>
      <w:r w:rsidRPr="00385C28">
        <w:rPr>
          <w:rFonts w:cs="Arial" w:hint="cs"/>
          <w:b/>
          <w:bCs/>
          <w:rtl/>
        </w:rPr>
        <w:t>סויסה</w:t>
      </w:r>
      <w:r w:rsidRPr="00385C28">
        <w:rPr>
          <w:rFonts w:cs="Arial"/>
          <w:b/>
          <w:bCs/>
          <w:rtl/>
        </w:rPr>
        <w:t xml:space="preserve"> </w:t>
      </w:r>
      <w:r w:rsidRPr="00385C28">
        <w:rPr>
          <w:rFonts w:cs="Arial" w:hint="cs"/>
          <w:b/>
          <w:bCs/>
          <w:rtl/>
        </w:rPr>
        <w:t>נ</w:t>
      </w:r>
      <w:r w:rsidRPr="00385C28">
        <w:rPr>
          <w:rFonts w:cs="Arial"/>
          <w:b/>
          <w:bCs/>
          <w:rtl/>
        </w:rPr>
        <w:t xml:space="preserve">' </w:t>
      </w:r>
      <w:r w:rsidRPr="00385C28">
        <w:rPr>
          <w:rFonts w:cs="Arial" w:hint="cs"/>
          <w:b/>
          <w:bCs/>
          <w:rtl/>
        </w:rPr>
        <w:t>חברת</w:t>
      </w:r>
      <w:r w:rsidRPr="00385C28">
        <w:rPr>
          <w:rFonts w:cs="Arial"/>
          <w:b/>
          <w:bCs/>
          <w:rtl/>
        </w:rPr>
        <w:t xml:space="preserve"> </w:t>
      </w:r>
      <w:r w:rsidRPr="00385C28">
        <w:rPr>
          <w:rFonts w:cs="Arial" w:hint="cs"/>
          <w:b/>
          <w:bCs/>
          <w:rtl/>
        </w:rPr>
        <w:t>זאגא</w:t>
      </w:r>
      <w:r w:rsidRPr="00385C28">
        <w:rPr>
          <w:rFonts w:cs="Arial"/>
          <w:b/>
          <w:bCs/>
          <w:rtl/>
        </w:rPr>
        <w:t xml:space="preserve"> </w:t>
      </w:r>
      <w:r w:rsidRPr="00385C28">
        <w:rPr>
          <w:rFonts w:cs="Arial" w:hint="cs"/>
          <w:b/>
          <w:bCs/>
          <w:rtl/>
        </w:rPr>
        <w:t>בע</w:t>
      </w:r>
      <w:r w:rsidRPr="00385C28">
        <w:rPr>
          <w:rFonts w:cs="Arial"/>
          <w:b/>
          <w:bCs/>
          <w:rtl/>
        </w:rPr>
        <w:t>"</w:t>
      </w:r>
      <w:r w:rsidRPr="00385C28">
        <w:rPr>
          <w:rFonts w:cs="Arial" w:hint="cs"/>
          <w:b/>
          <w:bCs/>
          <w:rtl/>
        </w:rPr>
        <w:t>מ</w:t>
      </w:r>
      <w:r w:rsidRPr="00385C28">
        <w:rPr>
          <w:rFonts w:cs="Arial"/>
          <w:b/>
          <w:bCs/>
          <w:rtl/>
        </w:rPr>
        <w:t>,</w:t>
      </w:r>
      <w:r w:rsidRPr="00385C28">
        <w:rPr>
          <w:rFonts w:cs="Arial"/>
          <w:rtl/>
        </w:rPr>
        <w:t xml:space="preserve"> </w:t>
      </w:r>
      <w:r w:rsidRPr="00385C28">
        <w:rPr>
          <w:rFonts w:cs="Arial" w:hint="cs"/>
          <w:rtl/>
        </w:rPr>
        <w:t>פסקה</w:t>
      </w:r>
      <w:r w:rsidRPr="00385C28">
        <w:rPr>
          <w:rFonts w:cs="Arial"/>
          <w:rtl/>
        </w:rPr>
        <w:t xml:space="preserve"> </w:t>
      </w:r>
      <w:r>
        <w:rPr>
          <w:rFonts w:cs="Arial" w:hint="cs"/>
          <w:rtl/>
        </w:rPr>
        <w:t>12</w:t>
      </w:r>
      <w:r w:rsidRPr="00385C28">
        <w:rPr>
          <w:rFonts w:cs="Arial"/>
          <w:rtl/>
        </w:rPr>
        <w:t xml:space="preserve"> </w:t>
      </w:r>
      <w:r w:rsidR="00A35BCE">
        <w:rPr>
          <w:rFonts w:cs="Arial" w:hint="cs"/>
          <w:rtl/>
        </w:rPr>
        <w:t>לפסק דינה</w:t>
      </w:r>
      <w:r w:rsidRPr="00385C28">
        <w:rPr>
          <w:rFonts w:cs="Arial"/>
          <w:rtl/>
        </w:rPr>
        <w:t xml:space="preserve"> </w:t>
      </w:r>
      <w:r w:rsidRPr="00385C28">
        <w:rPr>
          <w:rFonts w:cs="Arial" w:hint="cs"/>
          <w:rtl/>
        </w:rPr>
        <w:t>של</w:t>
      </w:r>
      <w:r w:rsidRPr="00385C28">
        <w:rPr>
          <w:rFonts w:cs="Arial"/>
          <w:rtl/>
        </w:rPr>
        <w:t xml:space="preserve"> </w:t>
      </w:r>
      <w:r w:rsidRPr="00385C28">
        <w:rPr>
          <w:rFonts w:cs="Arial" w:hint="cs"/>
          <w:rtl/>
        </w:rPr>
        <w:t>השופטת</w:t>
      </w:r>
      <w:r w:rsidRPr="00385C28">
        <w:rPr>
          <w:rFonts w:cs="Arial"/>
          <w:rtl/>
        </w:rPr>
        <w:t xml:space="preserve"> </w:t>
      </w:r>
      <w:r w:rsidRPr="00385C28">
        <w:rPr>
          <w:rFonts w:cs="Arial" w:hint="cs"/>
          <w:rtl/>
        </w:rPr>
        <w:t>חיות</w:t>
      </w:r>
      <w:r w:rsidR="00A35BCE">
        <w:rPr>
          <w:rFonts w:cs="Arial" w:hint="cs"/>
          <w:rtl/>
        </w:rPr>
        <w:t>.</w:t>
      </w:r>
    </w:p>
  </w:footnote>
  <w:footnote w:id="20">
    <w:p w:rsidR="00184541" w:rsidRPr="00946224" w:rsidRDefault="00184541" w:rsidP="00184541">
      <w:pPr>
        <w:pStyle w:val="FootnoteText"/>
        <w:bidi/>
        <w:rPr>
          <w:rFonts w:asciiTheme="minorBidi" w:hAnsiTheme="minorBidi" w:cstheme="minorBidi"/>
          <w:color w:val="333333"/>
          <w:rtl/>
        </w:rPr>
      </w:pPr>
      <w:r>
        <w:rPr>
          <w:rStyle w:val="FootnoteReference"/>
        </w:rPr>
        <w:footnoteRef/>
      </w:r>
      <w:r>
        <w:t xml:space="preserve"> </w:t>
      </w:r>
      <w:r>
        <w:rPr>
          <w:rFonts w:hint="cs"/>
          <w:rtl/>
        </w:rPr>
        <w:t xml:space="preserve"> </w:t>
      </w:r>
      <w:r w:rsidRPr="00C4144D">
        <w:rPr>
          <w:rFonts w:asciiTheme="minorBidi" w:hAnsiTheme="minorBidi" w:cstheme="minorBidi" w:hint="cs"/>
          <w:color w:val="333333"/>
          <w:rtl/>
        </w:rPr>
        <w:t>עפ"י מאמרה של שלו.</w:t>
      </w:r>
    </w:p>
  </w:footnote>
  <w:footnote w:id="21">
    <w:p w:rsidR="00946224" w:rsidRPr="00946224" w:rsidRDefault="00946224" w:rsidP="00946224">
      <w:pPr>
        <w:pStyle w:val="FootnoteText"/>
        <w:bidi/>
        <w:rPr>
          <w:rFonts w:asciiTheme="minorBidi" w:hAnsiTheme="minorBidi" w:cstheme="minorBidi"/>
          <w:color w:val="333333"/>
          <w:rtl/>
        </w:rPr>
      </w:pPr>
      <w:r>
        <w:rPr>
          <w:rStyle w:val="FootnoteReference"/>
        </w:rPr>
        <w:footnoteRef/>
      </w:r>
      <w:r>
        <w:t xml:space="preserve"> </w:t>
      </w:r>
      <w:r>
        <w:rPr>
          <w:rFonts w:hint="cs"/>
          <w:rtl/>
        </w:rPr>
        <w:t xml:space="preserve"> </w:t>
      </w:r>
      <w:r>
        <w:rPr>
          <w:rStyle w:val="apple-converted-space"/>
          <w:rFonts w:ascii="Helvetica" w:hAnsi="Helvetica" w:cs="Helvetica"/>
          <w:color w:val="333333"/>
          <w:sz w:val="16"/>
          <w:szCs w:val="16"/>
          <w:shd w:val="clear" w:color="auto" w:fill="FFFFFF"/>
        </w:rPr>
        <w:t> </w:t>
      </w:r>
      <w:hyperlink r:id="rId9" w:tgtFrame="_blank" w:history="1">
        <w:r w:rsidRPr="00946224">
          <w:rPr>
            <w:rFonts w:asciiTheme="minorBidi" w:hAnsiTheme="minorBidi" w:cstheme="minorBidi"/>
            <w:color w:val="333333"/>
            <w:rtl/>
          </w:rPr>
          <w:t>ע"א 838/75</w:t>
        </w:r>
        <w:r>
          <w:rPr>
            <w:rFonts w:asciiTheme="minorBidi" w:hAnsiTheme="minorBidi" w:cstheme="minorBidi" w:hint="cs"/>
            <w:color w:val="333333"/>
            <w:rtl/>
          </w:rPr>
          <w:t xml:space="preserve"> </w:t>
        </w:r>
        <w:r w:rsidRPr="00946224">
          <w:rPr>
            <w:rFonts w:asciiTheme="minorBidi" w:hAnsiTheme="minorBidi" w:cstheme="minorBidi"/>
            <w:b/>
            <w:bCs/>
            <w:color w:val="333333"/>
            <w:rtl/>
          </w:rPr>
          <w:t>ספקטור נ' צרפתי</w:t>
        </w:r>
      </w:hyperlink>
      <w:r w:rsidRPr="00946224">
        <w:rPr>
          <w:rFonts w:asciiTheme="minorBidi" w:hAnsiTheme="minorBidi" w:cstheme="minorBidi"/>
          <w:color w:val="333333"/>
        </w:rPr>
        <w:t xml:space="preserve">, </w:t>
      </w:r>
      <w:r w:rsidRPr="00946224">
        <w:rPr>
          <w:rFonts w:asciiTheme="minorBidi" w:hAnsiTheme="minorBidi" w:cstheme="minorBidi"/>
          <w:color w:val="333333"/>
          <w:rtl/>
        </w:rPr>
        <w:t>פ"ד ל"ב (1) 231</w:t>
      </w:r>
      <w:r w:rsidRPr="00946224">
        <w:rPr>
          <w:rFonts w:asciiTheme="minorBidi" w:hAnsiTheme="minorBidi" w:cstheme="minorBidi"/>
          <w:color w:val="333333"/>
        </w:rPr>
        <w:t>.</w:t>
      </w:r>
      <w:r>
        <w:rPr>
          <w:rFonts w:asciiTheme="minorBidi" w:hAnsiTheme="minorBidi" w:cstheme="minorBidi" w:hint="cs"/>
          <w:color w:val="333333"/>
          <w:rtl/>
        </w:rPr>
        <w:t xml:space="preserve"> </w:t>
      </w:r>
      <w:r w:rsidR="00D23C51">
        <w:rPr>
          <w:rFonts w:asciiTheme="minorBidi" w:hAnsiTheme="minorBidi" w:cstheme="minorBidi" w:hint="cs"/>
          <w:color w:val="333333"/>
          <w:rtl/>
        </w:rPr>
        <w:t>עפ"י פסק דינו של השפוט לנדוי.</w:t>
      </w:r>
    </w:p>
  </w:footnote>
  <w:footnote w:id="22">
    <w:p w:rsidR="000D555D" w:rsidRDefault="000D555D" w:rsidP="000D555D">
      <w:pPr>
        <w:pStyle w:val="FootnoteText"/>
        <w:bidi/>
        <w:rPr>
          <w:rtl/>
        </w:rPr>
      </w:pPr>
      <w:r>
        <w:rPr>
          <w:rStyle w:val="FootnoteReference"/>
        </w:rPr>
        <w:footnoteRef/>
      </w:r>
      <w:r>
        <w:t xml:space="preserve"> </w:t>
      </w:r>
      <w:r>
        <w:rPr>
          <w:rFonts w:hint="cs"/>
          <w:rtl/>
        </w:rPr>
        <w:t xml:space="preserve"> </w:t>
      </w:r>
      <w:r w:rsidRPr="00D23C51">
        <w:rPr>
          <w:rFonts w:asciiTheme="minorBidi" w:hAnsiTheme="minorBidi" w:cstheme="minorBidi" w:hint="cs"/>
          <w:color w:val="333333"/>
          <w:rtl/>
        </w:rPr>
        <w:t>סעיף 14(ד) לחוק</w:t>
      </w:r>
      <w:r>
        <w:rPr>
          <w:rFonts w:hint="cs"/>
          <w:rtl/>
        </w:rPr>
        <w:t>.</w:t>
      </w:r>
    </w:p>
  </w:footnote>
  <w:footnote w:id="23">
    <w:p w:rsidR="000D555D" w:rsidRDefault="000D555D" w:rsidP="000D555D">
      <w:pPr>
        <w:pStyle w:val="FootnoteText"/>
        <w:bidi/>
        <w:rPr>
          <w:rtl/>
        </w:rPr>
      </w:pPr>
      <w:r>
        <w:rPr>
          <w:rStyle w:val="FootnoteReference"/>
        </w:rPr>
        <w:footnoteRef/>
      </w:r>
      <w:r>
        <w:t xml:space="preserve"> </w:t>
      </w:r>
      <w:r>
        <w:rPr>
          <w:rFonts w:hint="cs"/>
          <w:rtl/>
        </w:rPr>
        <w:t xml:space="preserve"> </w:t>
      </w:r>
      <w:r w:rsidRPr="00D23C51">
        <w:rPr>
          <w:rFonts w:asciiTheme="minorBidi" w:hAnsiTheme="minorBidi" w:cstheme="minorBidi" w:hint="cs"/>
          <w:color w:val="333333"/>
          <w:rtl/>
        </w:rPr>
        <w:t>אאעיר בהערת אגב כי אין זה אומר שהטעייה כזו מותרת, אך אינה נכנסת לעילת ההטעייה אשר מכוחה יהיה ניתן לבטל חוזה</w:t>
      </w:r>
      <w:r>
        <w:rPr>
          <w:rFonts w:hint="cs"/>
          <w:rtl/>
        </w:rPr>
        <w:t>.</w:t>
      </w:r>
    </w:p>
  </w:footnote>
  <w:footnote w:id="24">
    <w:p w:rsidR="00D23C51" w:rsidRPr="00D23C51" w:rsidRDefault="00D23C51" w:rsidP="00D23C51">
      <w:pPr>
        <w:pStyle w:val="FootnoteText"/>
        <w:bidi/>
        <w:rPr>
          <w:rtl/>
        </w:rPr>
      </w:pPr>
      <w:r>
        <w:rPr>
          <w:rStyle w:val="FootnoteReference"/>
        </w:rPr>
        <w:footnoteRef/>
      </w:r>
      <w:r>
        <w:t xml:space="preserve"> </w:t>
      </w:r>
      <w:r>
        <w:rPr>
          <w:rFonts w:hint="cs"/>
          <w:rtl/>
        </w:rPr>
        <w:t xml:space="preserve"> </w:t>
      </w:r>
      <w:r w:rsidRPr="00D23C51">
        <w:rPr>
          <w:rFonts w:asciiTheme="minorBidi" w:hAnsiTheme="minorBidi" w:cstheme="minorBidi" w:hint="cs"/>
          <w:color w:val="333333"/>
          <w:rtl/>
        </w:rPr>
        <w:t>סעיף 15 לחוק</w:t>
      </w:r>
      <w:r>
        <w:rPr>
          <w:rFonts w:asciiTheme="minorBidi" w:hAnsiTheme="minorBidi" w:cstheme="minorBidi" w:hint="cs"/>
          <w:color w:val="333333"/>
          <w:rtl/>
        </w:rPr>
        <w:t xml:space="preserve"> בסופו.</w:t>
      </w:r>
    </w:p>
  </w:footnote>
  <w:footnote w:id="25">
    <w:p w:rsidR="00D23C51" w:rsidRDefault="00D23C51" w:rsidP="006C5196">
      <w:pPr>
        <w:pStyle w:val="FootnoteText"/>
        <w:bidi/>
        <w:rPr>
          <w:rtl/>
        </w:rPr>
      </w:pPr>
      <w:r>
        <w:rPr>
          <w:rStyle w:val="FootnoteReference"/>
        </w:rPr>
        <w:footnoteRef/>
      </w:r>
      <w:r>
        <w:rPr>
          <w:rtl/>
        </w:rPr>
        <w:t xml:space="preserve"> </w:t>
      </w:r>
      <w:r>
        <w:rPr>
          <w:rFonts w:cs="Arial" w:hint="cs"/>
          <w:rtl/>
        </w:rPr>
        <w:t>ע"א 44/66</w:t>
      </w:r>
      <w:r w:rsidR="006C5196">
        <w:rPr>
          <w:rFonts w:cs="Arial" w:hint="cs"/>
          <w:rtl/>
        </w:rPr>
        <w:t xml:space="preserve">, 309, </w:t>
      </w:r>
      <w:r w:rsidRPr="00E367A5">
        <w:rPr>
          <w:rFonts w:cs="Arial" w:hint="cs"/>
          <w:b/>
          <w:bCs/>
          <w:rtl/>
        </w:rPr>
        <w:t>לקי דרייב נ' הרץ,</w:t>
      </w:r>
      <w:r>
        <w:rPr>
          <w:rFonts w:cs="Arial" w:hint="cs"/>
          <w:rtl/>
        </w:rPr>
        <w:t xml:space="preserve"> פ"ד כא(1) 576, 585</w:t>
      </w:r>
    </w:p>
  </w:footnote>
  <w:footnote w:id="26">
    <w:p w:rsidR="008F6B45" w:rsidRDefault="008F6B45" w:rsidP="008F6B45">
      <w:pPr>
        <w:pStyle w:val="FootnoteText"/>
        <w:bidi/>
        <w:rPr>
          <w:rtl/>
        </w:rPr>
      </w:pPr>
      <w:r>
        <w:rPr>
          <w:rStyle w:val="FootnoteReference"/>
        </w:rPr>
        <w:footnoteRef/>
      </w:r>
      <w:r>
        <w:t xml:space="preserve"> </w:t>
      </w:r>
      <w:r>
        <w:rPr>
          <w:rFonts w:hint="cs"/>
          <w:rtl/>
        </w:rPr>
        <w:t xml:space="preserve"> </w:t>
      </w:r>
      <w:r w:rsidRPr="00A40E8D">
        <w:t xml:space="preserve">Anthony T.Kronman, "mistake, disclosure, information, and the law of contracts" </w:t>
      </w:r>
      <w:r w:rsidRPr="000B01F1">
        <w:rPr>
          <w:b/>
          <w:bCs/>
        </w:rPr>
        <w:t>the journal of legal studies,</w:t>
      </w:r>
      <w:r w:rsidRPr="00A40E8D">
        <w:t xml:space="preserve"> vol.7, no.1 ,pp.</w:t>
      </w:r>
      <w:r>
        <w:t xml:space="preserve"> 13-16</w:t>
      </w:r>
      <w:r w:rsidRPr="00A40E8D">
        <w:t xml:space="preserve"> (1978</w:t>
      </w:r>
      <w:r>
        <w:t>).</w:t>
      </w:r>
    </w:p>
  </w:footnote>
  <w:footnote w:id="27">
    <w:p w:rsidR="008F6B45" w:rsidRDefault="008F6B45" w:rsidP="008F6B45">
      <w:pPr>
        <w:pStyle w:val="FootnoteText"/>
        <w:bidi/>
        <w:rPr>
          <w:rtl/>
        </w:rPr>
      </w:pPr>
      <w:r>
        <w:rPr>
          <w:rStyle w:val="FootnoteReference"/>
        </w:rPr>
        <w:footnoteRef/>
      </w:r>
      <w:r>
        <w:t xml:space="preserve"> </w:t>
      </w:r>
      <w:r>
        <w:rPr>
          <w:rFonts w:hint="cs"/>
          <w:rtl/>
        </w:rPr>
        <w:t xml:space="preserve"> </w:t>
      </w:r>
      <w:r w:rsidRPr="00282997">
        <w:rPr>
          <w:rFonts w:asciiTheme="minorBidi" w:hAnsiTheme="minorBidi" w:cstheme="minorBidi" w:hint="cs"/>
          <w:color w:val="333333"/>
          <w:rtl/>
        </w:rPr>
        <w:t>ראה ה"ש 20.</w:t>
      </w:r>
    </w:p>
  </w:footnote>
  <w:footnote w:id="28">
    <w:p w:rsidR="006C5196" w:rsidRDefault="006C5196" w:rsidP="005A7344">
      <w:pPr>
        <w:pStyle w:val="FootnoteText"/>
        <w:bidi/>
        <w:rPr>
          <w:rtl/>
        </w:rPr>
      </w:pPr>
      <w:r>
        <w:rPr>
          <w:rStyle w:val="FootnoteReference"/>
        </w:rPr>
        <w:footnoteRef/>
      </w:r>
      <w:r>
        <w:rPr>
          <w:rtl/>
        </w:rPr>
        <w:t xml:space="preserve"> </w:t>
      </w:r>
      <w:r w:rsidRPr="00F40BE4">
        <w:rPr>
          <w:rFonts w:cs="Arial" w:hint="cs"/>
          <w:rtl/>
        </w:rPr>
        <w:t>סעיף</w:t>
      </w:r>
      <w:r w:rsidRPr="00F40BE4">
        <w:rPr>
          <w:rFonts w:cs="Arial"/>
          <w:rtl/>
        </w:rPr>
        <w:t xml:space="preserve"> 12 </w:t>
      </w:r>
      <w:r w:rsidRPr="00F40BE4">
        <w:rPr>
          <w:rFonts w:cs="Arial" w:hint="cs"/>
          <w:rtl/>
        </w:rPr>
        <w:t>לחוק</w:t>
      </w:r>
      <w:r w:rsidR="005A7344">
        <w:rPr>
          <w:rFonts w:cs="Arial" w:hint="cs"/>
          <w:rtl/>
        </w:rPr>
        <w:t>.</w:t>
      </w:r>
    </w:p>
  </w:footnote>
  <w:footnote w:id="29">
    <w:p w:rsidR="006C5196" w:rsidRDefault="006C5196" w:rsidP="005A7344">
      <w:pPr>
        <w:pStyle w:val="FootnoteText"/>
        <w:bidi/>
      </w:pPr>
      <w:r>
        <w:rPr>
          <w:rStyle w:val="FootnoteReference"/>
        </w:rPr>
        <w:footnoteRef/>
      </w:r>
      <w:r>
        <w:rPr>
          <w:rtl/>
        </w:rPr>
        <w:t xml:space="preserve"> </w:t>
      </w:r>
      <w:r w:rsidRPr="00F40BE4">
        <w:rPr>
          <w:rFonts w:cs="Arial" w:hint="cs"/>
          <w:rtl/>
        </w:rPr>
        <w:t>ע</w:t>
      </w:r>
      <w:r w:rsidRPr="00F40BE4">
        <w:rPr>
          <w:rFonts w:cs="Arial"/>
          <w:rtl/>
        </w:rPr>
        <w:t>"</w:t>
      </w:r>
      <w:r w:rsidRPr="00F40BE4">
        <w:rPr>
          <w:rFonts w:cs="Arial" w:hint="cs"/>
          <w:rtl/>
        </w:rPr>
        <w:t>א</w:t>
      </w:r>
      <w:r w:rsidRPr="00F40BE4">
        <w:rPr>
          <w:rFonts w:cs="Arial"/>
          <w:rtl/>
        </w:rPr>
        <w:t xml:space="preserve"> 9019/99 </w:t>
      </w:r>
      <w:r w:rsidRPr="00F40BE4">
        <w:rPr>
          <w:rFonts w:cs="Arial" w:hint="cs"/>
          <w:b/>
          <w:bCs/>
          <w:rtl/>
        </w:rPr>
        <w:t>קינסטלינגר</w:t>
      </w:r>
      <w:r w:rsidRPr="00F40BE4">
        <w:rPr>
          <w:rFonts w:cs="Arial"/>
          <w:b/>
          <w:bCs/>
          <w:rtl/>
        </w:rPr>
        <w:t xml:space="preserve"> </w:t>
      </w:r>
      <w:r w:rsidRPr="00F40BE4">
        <w:rPr>
          <w:rFonts w:cs="Arial" w:hint="cs"/>
          <w:b/>
          <w:bCs/>
          <w:rtl/>
        </w:rPr>
        <w:t>נ</w:t>
      </w:r>
      <w:r w:rsidRPr="00F40BE4">
        <w:rPr>
          <w:rFonts w:cs="Arial"/>
          <w:b/>
          <w:bCs/>
          <w:rtl/>
        </w:rPr>
        <w:t xml:space="preserve">' </w:t>
      </w:r>
      <w:r w:rsidRPr="00F40BE4">
        <w:rPr>
          <w:rFonts w:cs="Arial" w:hint="cs"/>
          <w:b/>
          <w:bCs/>
          <w:rtl/>
        </w:rPr>
        <w:t>אליה</w:t>
      </w:r>
      <w:r w:rsidRPr="00F40BE4">
        <w:rPr>
          <w:rFonts w:cs="Arial"/>
          <w:b/>
          <w:bCs/>
          <w:rtl/>
        </w:rPr>
        <w:t>,</w:t>
      </w:r>
      <w:r w:rsidRPr="00F40BE4">
        <w:rPr>
          <w:rFonts w:cs="Arial"/>
          <w:rtl/>
        </w:rPr>
        <w:t xml:space="preserve"> </w:t>
      </w:r>
      <w:r w:rsidRPr="00F40BE4">
        <w:rPr>
          <w:rFonts w:cs="Arial" w:hint="cs"/>
          <w:rtl/>
        </w:rPr>
        <w:t>פ</w:t>
      </w:r>
      <w:r w:rsidRPr="00F40BE4">
        <w:rPr>
          <w:rFonts w:cs="Arial"/>
          <w:rtl/>
        </w:rPr>
        <w:t>"</w:t>
      </w:r>
      <w:r w:rsidRPr="00F40BE4">
        <w:rPr>
          <w:rFonts w:cs="Arial" w:hint="cs"/>
          <w:rtl/>
        </w:rPr>
        <w:t>ד</w:t>
      </w:r>
      <w:r w:rsidRPr="00F40BE4">
        <w:rPr>
          <w:rFonts w:cs="Arial"/>
          <w:rtl/>
        </w:rPr>
        <w:t xml:space="preserve"> </w:t>
      </w:r>
      <w:r w:rsidRPr="00F40BE4">
        <w:rPr>
          <w:rFonts w:cs="Arial" w:hint="cs"/>
          <w:rtl/>
        </w:rPr>
        <w:t>נה</w:t>
      </w:r>
      <w:r w:rsidR="005A7344">
        <w:rPr>
          <w:rFonts w:cs="Arial"/>
          <w:rtl/>
        </w:rPr>
        <w:t>(3) 542</w:t>
      </w:r>
      <w:r w:rsidR="005A7344">
        <w:rPr>
          <w:rFonts w:cs="Arial" w:hint="cs"/>
          <w:rtl/>
        </w:rPr>
        <w:t>-</w:t>
      </w:r>
      <w:r w:rsidR="005A7344">
        <w:rPr>
          <w:rFonts w:cs="Arial"/>
          <w:rtl/>
        </w:rPr>
        <w:t>547 (2001)</w:t>
      </w:r>
      <w:r w:rsidR="005A7344">
        <w:rPr>
          <w:rFonts w:cs="Arial" w:hint="cs"/>
          <w:rtl/>
        </w:rPr>
        <w:t>, פסקה 9 לפסק דינו של השופט אנגלרד עמ 546.</w:t>
      </w:r>
    </w:p>
  </w:footnote>
  <w:footnote w:id="30">
    <w:p w:rsidR="007969D6" w:rsidRDefault="007969D6" w:rsidP="007B1C83">
      <w:pPr>
        <w:pStyle w:val="FootnoteText"/>
        <w:bidi/>
      </w:pPr>
      <w:r>
        <w:rPr>
          <w:rStyle w:val="FootnoteReference"/>
        </w:rPr>
        <w:footnoteRef/>
      </w:r>
      <w:r>
        <w:rPr>
          <w:rtl/>
        </w:rPr>
        <w:t xml:space="preserve"> </w:t>
      </w:r>
      <w:r w:rsidRPr="00506430">
        <w:rPr>
          <w:rFonts w:cs="Arial" w:hint="cs"/>
          <w:rtl/>
        </w:rPr>
        <w:t>ע</w:t>
      </w:r>
      <w:r w:rsidRPr="00506430">
        <w:rPr>
          <w:rFonts w:cs="Arial"/>
          <w:rtl/>
        </w:rPr>
        <w:t>"</w:t>
      </w:r>
      <w:r w:rsidRPr="00506430">
        <w:rPr>
          <w:rFonts w:cs="Arial" w:hint="cs"/>
          <w:rtl/>
        </w:rPr>
        <w:t>א</w:t>
      </w:r>
      <w:r w:rsidRPr="00506430">
        <w:rPr>
          <w:rFonts w:cs="Arial"/>
          <w:rtl/>
        </w:rPr>
        <w:t xml:space="preserve"> 5393/03 </w:t>
      </w:r>
      <w:r w:rsidRPr="00506430">
        <w:rPr>
          <w:rFonts w:cs="Arial" w:hint="cs"/>
          <w:b/>
          <w:bCs/>
          <w:rtl/>
        </w:rPr>
        <w:t>פרג</w:t>
      </w:r>
      <w:r w:rsidRPr="00506430">
        <w:rPr>
          <w:rFonts w:cs="Arial"/>
          <w:b/>
          <w:bCs/>
          <w:rtl/>
        </w:rPr>
        <w:t xml:space="preserve">' </w:t>
      </w:r>
      <w:r w:rsidRPr="00506430">
        <w:rPr>
          <w:rFonts w:cs="Arial" w:hint="cs"/>
          <w:b/>
          <w:bCs/>
          <w:rtl/>
        </w:rPr>
        <w:t>נ</w:t>
      </w:r>
      <w:r w:rsidRPr="00506430">
        <w:rPr>
          <w:rFonts w:cs="Arial"/>
          <w:b/>
          <w:bCs/>
          <w:rtl/>
        </w:rPr>
        <w:t xml:space="preserve">' </w:t>
      </w:r>
      <w:r w:rsidRPr="00506430">
        <w:rPr>
          <w:rFonts w:cs="Arial" w:hint="cs"/>
          <w:b/>
          <w:bCs/>
          <w:rtl/>
        </w:rPr>
        <w:t>מיטל</w:t>
      </w:r>
      <w:r w:rsidRPr="00506430">
        <w:rPr>
          <w:rFonts w:cs="Arial"/>
          <w:b/>
          <w:bCs/>
          <w:rtl/>
        </w:rPr>
        <w:t>,</w:t>
      </w:r>
      <w:r w:rsidRPr="00506430">
        <w:rPr>
          <w:rFonts w:cs="Arial"/>
          <w:rtl/>
        </w:rPr>
        <w:t xml:space="preserve"> </w:t>
      </w:r>
      <w:r w:rsidRPr="00506430">
        <w:rPr>
          <w:rFonts w:cs="Arial" w:hint="cs"/>
          <w:rtl/>
        </w:rPr>
        <w:t>פסקה</w:t>
      </w:r>
      <w:r w:rsidRPr="00506430">
        <w:rPr>
          <w:rFonts w:cs="Arial"/>
          <w:rtl/>
        </w:rPr>
        <w:t xml:space="preserve"> </w:t>
      </w:r>
      <w:r>
        <w:rPr>
          <w:rFonts w:cs="Arial" w:hint="cs"/>
          <w:rtl/>
        </w:rPr>
        <w:t>9</w:t>
      </w:r>
      <w:r w:rsidRPr="00506430">
        <w:rPr>
          <w:rFonts w:cs="Arial"/>
          <w:rtl/>
        </w:rPr>
        <w:t xml:space="preserve"> </w:t>
      </w:r>
      <w:r w:rsidR="007B1C83">
        <w:rPr>
          <w:rFonts w:cs="Arial" w:hint="cs"/>
          <w:rtl/>
        </w:rPr>
        <w:t xml:space="preserve">לפסק דינה של השופטת ארבל, </w:t>
      </w:r>
      <w:r>
        <w:rPr>
          <w:rFonts w:cs="Arial" w:hint="cs"/>
          <w:rtl/>
        </w:rPr>
        <w:t>עמ'</w:t>
      </w:r>
      <w:r w:rsidRPr="00506430">
        <w:rPr>
          <w:rFonts w:cs="Arial"/>
          <w:rtl/>
        </w:rPr>
        <w:t xml:space="preserve"> </w:t>
      </w:r>
      <w:r>
        <w:rPr>
          <w:rFonts w:cs="Arial" w:hint="cs"/>
          <w:rtl/>
        </w:rPr>
        <w:t>11</w:t>
      </w:r>
      <w:r w:rsidR="007B1C83">
        <w:rPr>
          <w:rFonts w:cs="Arial" w:hint="cs"/>
          <w:rtl/>
        </w:rPr>
        <w:t>.</w:t>
      </w:r>
    </w:p>
  </w:footnote>
  <w:footnote w:id="31">
    <w:p w:rsidR="007B1C83" w:rsidRDefault="007B1C83" w:rsidP="007B1C83">
      <w:pPr>
        <w:pStyle w:val="FootnoteText"/>
        <w:bidi/>
        <w:rPr>
          <w:rtl/>
        </w:rPr>
      </w:pPr>
      <w:r>
        <w:rPr>
          <w:rStyle w:val="FootnoteReference"/>
        </w:rPr>
        <w:footnoteRef/>
      </w:r>
      <w:r w:rsidRPr="007B1C83">
        <w:rPr>
          <w:rFonts w:cs="Arial"/>
          <w:rtl/>
        </w:rPr>
        <w:t xml:space="preserve"> </w:t>
      </w:r>
      <w:r>
        <w:rPr>
          <w:rFonts w:cs="Arial" w:hint="cs"/>
          <w:rtl/>
        </w:rPr>
        <w:t>שם</w:t>
      </w:r>
      <w:r w:rsidRPr="007B1C83">
        <w:rPr>
          <w:rFonts w:cs="Arial" w:hint="cs"/>
          <w:rtl/>
        </w:rPr>
        <w:t xml:space="preserve">, פסקה 6 </w:t>
      </w:r>
      <w:r>
        <w:rPr>
          <w:rFonts w:cs="Arial" w:hint="cs"/>
          <w:rtl/>
        </w:rPr>
        <w:t xml:space="preserve">לפסק דינה של השופטת ארבל, </w:t>
      </w:r>
      <w:r w:rsidRPr="007B1C83">
        <w:rPr>
          <w:rFonts w:cs="Arial" w:hint="cs"/>
          <w:rtl/>
        </w:rPr>
        <w:t>עמ'</w:t>
      </w:r>
      <w:r>
        <w:rPr>
          <w:rFonts w:cs="Arial" w:hint="cs"/>
          <w:rtl/>
        </w:rPr>
        <w:t xml:space="preserve"> 8.</w:t>
      </w:r>
    </w:p>
  </w:footnote>
  <w:footnote w:id="32">
    <w:p w:rsidR="005A7344" w:rsidRDefault="005A7344" w:rsidP="005A7344">
      <w:pPr>
        <w:pStyle w:val="FootnoteText"/>
        <w:bidi/>
        <w:rPr>
          <w:rtl/>
        </w:rPr>
      </w:pPr>
      <w:r>
        <w:rPr>
          <w:rStyle w:val="FootnoteReference"/>
        </w:rPr>
        <w:footnoteRef/>
      </w:r>
      <w:r>
        <w:t xml:space="preserve"> </w:t>
      </w:r>
      <w:r>
        <w:rPr>
          <w:rFonts w:hint="cs"/>
          <w:rtl/>
        </w:rPr>
        <w:t xml:space="preserve"> </w:t>
      </w:r>
      <w:r w:rsidRPr="00C021B8">
        <w:rPr>
          <w:rFonts w:cs="Arial" w:hint="cs"/>
          <w:rtl/>
        </w:rPr>
        <w:t>סעיף 14 לחוק.</w:t>
      </w:r>
    </w:p>
  </w:footnote>
  <w:footnote w:id="33">
    <w:p w:rsidR="00DE1B70" w:rsidRDefault="00DE1B70" w:rsidP="00DE1B70">
      <w:pPr>
        <w:pStyle w:val="FootnoteText"/>
        <w:bidi/>
        <w:rPr>
          <w:rtl/>
        </w:rPr>
      </w:pPr>
      <w:r>
        <w:rPr>
          <w:rStyle w:val="FootnoteReference"/>
        </w:rPr>
        <w:footnoteRef/>
      </w:r>
      <w:r>
        <w:t xml:space="preserve"> </w:t>
      </w:r>
      <w:r>
        <w:rPr>
          <w:rFonts w:hint="cs"/>
          <w:rtl/>
        </w:rPr>
        <w:t xml:space="preserve"> </w:t>
      </w:r>
      <w:r w:rsidRPr="00C021B8">
        <w:rPr>
          <w:rFonts w:cs="Arial" w:hint="cs"/>
          <w:rtl/>
        </w:rPr>
        <w:t>סעיף 14 (א) לחוק.</w:t>
      </w:r>
    </w:p>
  </w:footnote>
  <w:footnote w:id="34">
    <w:p w:rsidR="00DE1B70" w:rsidRDefault="00DE1B70" w:rsidP="00DE1B70">
      <w:pPr>
        <w:pStyle w:val="FootnoteText"/>
        <w:bidi/>
        <w:rPr>
          <w:rtl/>
        </w:rPr>
      </w:pPr>
      <w:r>
        <w:rPr>
          <w:rStyle w:val="FootnoteReference"/>
        </w:rPr>
        <w:footnoteRef/>
      </w:r>
      <w:r>
        <w:t xml:space="preserve"> </w:t>
      </w:r>
      <w:r>
        <w:rPr>
          <w:rFonts w:hint="cs"/>
          <w:rtl/>
        </w:rPr>
        <w:t xml:space="preserve"> </w:t>
      </w:r>
      <w:r w:rsidRPr="00C021B8">
        <w:rPr>
          <w:rFonts w:cs="Arial" w:hint="cs"/>
          <w:rtl/>
        </w:rPr>
        <w:t>סעיף 14(ב) לחוק.</w:t>
      </w:r>
    </w:p>
  </w:footnote>
  <w:footnote w:id="35">
    <w:p w:rsidR="00C021B8" w:rsidRPr="00C021B8" w:rsidRDefault="00C021B8" w:rsidP="00C021B8">
      <w:pPr>
        <w:pStyle w:val="FootnoteText"/>
        <w:bidi/>
        <w:rPr>
          <w:rtl/>
        </w:rPr>
      </w:pPr>
      <w:r>
        <w:rPr>
          <w:rStyle w:val="FootnoteReference"/>
        </w:rPr>
        <w:footnoteRef/>
      </w:r>
      <w:r>
        <w:t xml:space="preserve"> </w:t>
      </w:r>
      <w:r>
        <w:rPr>
          <w:rFonts w:hint="cs"/>
          <w:rtl/>
        </w:rPr>
        <w:t xml:space="preserve"> </w:t>
      </w:r>
      <w:hyperlink r:id="rId10" w:tgtFrame="_blank" w:history="1">
        <w:r w:rsidRPr="00C021B8">
          <w:rPr>
            <w:rFonts w:cs="Arial"/>
            <w:rtl/>
          </w:rPr>
          <w:t>בג"צ 221/86</w:t>
        </w:r>
        <w:r>
          <w:rPr>
            <w:rFonts w:cs="Arial" w:hint="cs"/>
            <w:rtl/>
          </w:rPr>
          <w:t xml:space="preserve"> </w:t>
        </w:r>
        <w:r w:rsidRPr="00C021B8">
          <w:rPr>
            <w:rFonts w:cs="Arial"/>
            <w:b/>
            <w:bCs/>
            <w:rtl/>
          </w:rPr>
          <w:t>כנפי נ' בית הדין הארצי לעבודה</w:t>
        </w:r>
      </w:hyperlink>
      <w:r>
        <w:rPr>
          <w:rFonts w:cs="Arial"/>
        </w:rPr>
        <w:t>,</w:t>
      </w:r>
      <w:r>
        <w:rPr>
          <w:rFonts w:cs="Arial" w:hint="cs"/>
          <w:rtl/>
        </w:rPr>
        <w:t xml:space="preserve"> </w:t>
      </w:r>
      <w:r w:rsidRPr="00C021B8">
        <w:rPr>
          <w:rFonts w:cs="Arial"/>
          <w:rtl/>
        </w:rPr>
        <w:t>פ"ד מא (1)</w:t>
      </w:r>
      <w:r w:rsidRPr="00C021B8">
        <w:rPr>
          <w:rFonts w:cs="Arial" w:hint="cs"/>
          <w:rtl/>
        </w:rPr>
        <w:t>, פסקה 8 לפסק דינה של השופטת בן-פורת עמ' 481.</w:t>
      </w:r>
    </w:p>
  </w:footnote>
  <w:footnote w:id="36">
    <w:p w:rsidR="00CB5E72" w:rsidRPr="00CB5E72" w:rsidRDefault="00CB5E72" w:rsidP="00CB5E72">
      <w:pPr>
        <w:pStyle w:val="FootnoteText"/>
        <w:bidi/>
        <w:rPr>
          <w:rFonts w:cs="Arial"/>
          <w:rtl/>
        </w:rPr>
      </w:pPr>
      <w:r>
        <w:rPr>
          <w:rStyle w:val="FootnoteReference"/>
        </w:rPr>
        <w:footnoteRef/>
      </w:r>
      <w:r>
        <w:t xml:space="preserve"> </w:t>
      </w:r>
      <w:r>
        <w:rPr>
          <w:rFonts w:hint="cs"/>
          <w:rtl/>
        </w:rPr>
        <w:t xml:space="preserve"> </w:t>
      </w:r>
      <w:hyperlink r:id="rId11" w:tgtFrame="_blank" w:history="1">
        <w:r w:rsidRPr="00CB5E72">
          <w:rPr>
            <w:rFonts w:cs="Arial"/>
            <w:rtl/>
          </w:rPr>
          <w:t>ע"א 838/75</w:t>
        </w:r>
        <w:r>
          <w:rPr>
            <w:rFonts w:cs="Arial" w:hint="cs"/>
            <w:rtl/>
          </w:rPr>
          <w:t xml:space="preserve"> </w:t>
        </w:r>
        <w:r w:rsidRPr="00CB5E72">
          <w:rPr>
            <w:rFonts w:cs="Arial"/>
            <w:b/>
            <w:bCs/>
            <w:rtl/>
          </w:rPr>
          <w:t>ספקטור נ' צרפתי</w:t>
        </w:r>
      </w:hyperlink>
      <w:r>
        <w:rPr>
          <w:rFonts w:cs="Arial" w:hint="cs"/>
          <w:rtl/>
        </w:rPr>
        <w:t>,</w:t>
      </w:r>
      <w:r w:rsidRPr="00CB5E72">
        <w:rPr>
          <w:rFonts w:cs="Arial"/>
        </w:rPr>
        <w:t xml:space="preserve"> </w:t>
      </w:r>
      <w:r w:rsidRPr="00CB5E72">
        <w:rPr>
          <w:rFonts w:cs="Arial"/>
          <w:rtl/>
        </w:rPr>
        <w:t>פ"ד ל"ב (1) 231</w:t>
      </w:r>
    </w:p>
  </w:footnote>
  <w:footnote w:id="37">
    <w:p w:rsidR="005648FD" w:rsidRDefault="005648FD" w:rsidP="005648FD">
      <w:pPr>
        <w:pStyle w:val="FootnoteText"/>
        <w:bidi/>
        <w:rPr>
          <w:rtl/>
        </w:rPr>
      </w:pPr>
      <w:r>
        <w:rPr>
          <w:rStyle w:val="FootnoteReference"/>
        </w:rPr>
        <w:footnoteRef/>
      </w:r>
      <w:r>
        <w:t xml:space="preserve"> </w:t>
      </w:r>
      <w:r>
        <w:rPr>
          <w:rFonts w:hint="cs"/>
          <w:rtl/>
        </w:rPr>
        <w:t xml:space="preserve"> </w:t>
      </w:r>
      <w:hyperlink r:id="rId12" w:tgtFrame="_blank" w:history="1">
        <w:r w:rsidRPr="005648FD">
          <w:rPr>
            <w:rFonts w:cs="Arial"/>
            <w:rtl/>
          </w:rPr>
          <w:t>ע"א 338/85</w:t>
        </w:r>
        <w:r w:rsidRPr="005648FD">
          <w:rPr>
            <w:rFonts w:cs="Arial"/>
          </w:rPr>
          <w:t>, </w:t>
        </w:r>
        <w:r w:rsidRPr="005648FD">
          <w:rPr>
            <w:rFonts w:cs="Arial"/>
            <w:b/>
            <w:bCs/>
            <w:rtl/>
          </w:rPr>
          <w:t>שפיגלמן נ' צ'פניק ואח</w:t>
        </w:r>
        <w:r w:rsidRPr="005648FD">
          <w:rPr>
            <w:rFonts w:cs="Arial"/>
          </w:rPr>
          <w:t>'</w:t>
        </w:r>
      </w:hyperlink>
      <w:r w:rsidRPr="005648FD">
        <w:rPr>
          <w:rFonts w:cs="Arial"/>
        </w:rPr>
        <w:t xml:space="preserve">, </w:t>
      </w:r>
      <w:r w:rsidRPr="005648FD">
        <w:rPr>
          <w:rFonts w:cs="Arial"/>
          <w:rtl/>
        </w:rPr>
        <w:t>פ"ד מא (4) 421</w:t>
      </w:r>
      <w:r w:rsidRPr="005648FD">
        <w:rPr>
          <w:rFonts w:cs="Arial"/>
        </w:rPr>
        <w:t>.</w:t>
      </w:r>
      <w:r w:rsidRPr="005648FD">
        <w:rPr>
          <w:rFonts w:cs="Arial" w:hint="cs"/>
          <w:rtl/>
        </w:rPr>
        <w:t xml:space="preserve"> שיטת השופט שמגר לכל אורך פסק הדין.</w:t>
      </w:r>
    </w:p>
  </w:footnote>
  <w:footnote w:id="38">
    <w:p w:rsidR="005648FD" w:rsidRDefault="005648FD" w:rsidP="005648FD">
      <w:pPr>
        <w:pStyle w:val="FootnoteText"/>
        <w:bidi/>
        <w:rPr>
          <w:rtl/>
        </w:rPr>
      </w:pPr>
      <w:r>
        <w:rPr>
          <w:rStyle w:val="FootnoteReference"/>
        </w:rPr>
        <w:footnoteRef/>
      </w:r>
      <w:r>
        <w:t xml:space="preserve"> </w:t>
      </w:r>
      <w:r>
        <w:rPr>
          <w:rFonts w:hint="cs"/>
          <w:rtl/>
        </w:rPr>
        <w:t xml:space="preserve"> </w:t>
      </w:r>
      <w:r w:rsidRPr="00EC69FE">
        <w:rPr>
          <w:rFonts w:cs="Arial" w:hint="cs"/>
          <w:rtl/>
        </w:rPr>
        <w:t>סעיף 14(ד) לחוק.</w:t>
      </w:r>
    </w:p>
  </w:footnote>
  <w:footnote w:id="39">
    <w:p w:rsidR="00CC594D" w:rsidRDefault="00CC594D" w:rsidP="00CC594D">
      <w:pPr>
        <w:pStyle w:val="FootnoteText"/>
        <w:bidi/>
        <w:rPr>
          <w:rtl/>
        </w:rPr>
      </w:pPr>
      <w:r>
        <w:rPr>
          <w:rStyle w:val="FootnoteReference"/>
        </w:rPr>
        <w:footnoteRef/>
      </w:r>
      <w:r>
        <w:t xml:space="preserve"> </w:t>
      </w:r>
      <w:r>
        <w:rPr>
          <w:rFonts w:hint="cs"/>
          <w:rtl/>
        </w:rPr>
        <w:t xml:space="preserve"> </w:t>
      </w:r>
      <w:r w:rsidRPr="00EC69FE">
        <w:rPr>
          <w:rFonts w:cs="Arial" w:hint="cs"/>
          <w:rtl/>
        </w:rPr>
        <w:t xml:space="preserve">עפ"י </w:t>
      </w:r>
      <w:r w:rsidR="00EC69FE" w:rsidRPr="00EC69FE">
        <w:rPr>
          <w:rFonts w:cs="Arial" w:hint="cs"/>
          <w:rtl/>
        </w:rPr>
        <w:t>גישתו של פרופ' גד טדסקי כעולה ממאמרה של שלו.</w:t>
      </w:r>
    </w:p>
  </w:footnote>
  <w:footnote w:id="40">
    <w:p w:rsidR="00EE4FFC" w:rsidRDefault="00EE4FFC" w:rsidP="00EE4FFC">
      <w:pPr>
        <w:pStyle w:val="FootnoteText"/>
        <w:bidi/>
        <w:rPr>
          <w:rtl/>
        </w:rPr>
      </w:pPr>
      <w:r>
        <w:rPr>
          <w:rStyle w:val="FootnoteReference"/>
        </w:rPr>
        <w:footnoteRef/>
      </w:r>
      <w:r>
        <w:t xml:space="preserve"> </w:t>
      </w:r>
      <w:r>
        <w:rPr>
          <w:rFonts w:hint="cs"/>
          <w:rtl/>
        </w:rPr>
        <w:t xml:space="preserve"> </w:t>
      </w:r>
      <w:r w:rsidRPr="00EE4FFC">
        <w:rPr>
          <w:rFonts w:cs="Arial" w:hint="cs"/>
          <w:rtl/>
        </w:rPr>
        <w:t>בהתאם לדרך הביטול הרלוונטית עפ"י סעיף 20 לחוק.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E02"/>
    <w:multiLevelType w:val="hybridMultilevel"/>
    <w:tmpl w:val="2288237A"/>
    <w:lvl w:ilvl="0" w:tplc="DCAC55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93941"/>
    <w:multiLevelType w:val="hybridMultilevel"/>
    <w:tmpl w:val="986A9FC8"/>
    <w:lvl w:ilvl="0" w:tplc="560A11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696F"/>
    <w:rsid w:val="00043F5F"/>
    <w:rsid w:val="00083CA6"/>
    <w:rsid w:val="000A5244"/>
    <w:rsid w:val="000B0CE3"/>
    <w:rsid w:val="000C2ADE"/>
    <w:rsid w:val="000D555D"/>
    <w:rsid w:val="001649EF"/>
    <w:rsid w:val="00184541"/>
    <w:rsid w:val="00196A8F"/>
    <w:rsid w:val="001C6709"/>
    <w:rsid w:val="001D08D3"/>
    <w:rsid w:val="001D77A5"/>
    <w:rsid w:val="001F7065"/>
    <w:rsid w:val="00282997"/>
    <w:rsid w:val="003005B3"/>
    <w:rsid w:val="0033707D"/>
    <w:rsid w:val="00346DAA"/>
    <w:rsid w:val="003B59E8"/>
    <w:rsid w:val="00465F15"/>
    <w:rsid w:val="004A021A"/>
    <w:rsid w:val="004A361A"/>
    <w:rsid w:val="004D696F"/>
    <w:rsid w:val="004F6981"/>
    <w:rsid w:val="005047DD"/>
    <w:rsid w:val="00513588"/>
    <w:rsid w:val="00533D69"/>
    <w:rsid w:val="0055136E"/>
    <w:rsid w:val="005648FD"/>
    <w:rsid w:val="005864AA"/>
    <w:rsid w:val="005A3414"/>
    <w:rsid w:val="005A7344"/>
    <w:rsid w:val="005F1FFB"/>
    <w:rsid w:val="00673E18"/>
    <w:rsid w:val="006844CA"/>
    <w:rsid w:val="006C5196"/>
    <w:rsid w:val="00761B19"/>
    <w:rsid w:val="00770994"/>
    <w:rsid w:val="007969D6"/>
    <w:rsid w:val="007A7921"/>
    <w:rsid w:val="007B1C83"/>
    <w:rsid w:val="007B62B6"/>
    <w:rsid w:val="00805D16"/>
    <w:rsid w:val="008C1255"/>
    <w:rsid w:val="008F5CE0"/>
    <w:rsid w:val="008F6B45"/>
    <w:rsid w:val="00903058"/>
    <w:rsid w:val="00911DC9"/>
    <w:rsid w:val="00930B11"/>
    <w:rsid w:val="00946224"/>
    <w:rsid w:val="009472C3"/>
    <w:rsid w:val="0099067A"/>
    <w:rsid w:val="009E0D77"/>
    <w:rsid w:val="009E2B1A"/>
    <w:rsid w:val="009E5FFC"/>
    <w:rsid w:val="00A35BCE"/>
    <w:rsid w:val="00AF5EFD"/>
    <w:rsid w:val="00B02055"/>
    <w:rsid w:val="00B16ACE"/>
    <w:rsid w:val="00B3002A"/>
    <w:rsid w:val="00B54A5C"/>
    <w:rsid w:val="00B669AF"/>
    <w:rsid w:val="00B84ED5"/>
    <w:rsid w:val="00BA6780"/>
    <w:rsid w:val="00BB02AE"/>
    <w:rsid w:val="00BB51BD"/>
    <w:rsid w:val="00BF0DA9"/>
    <w:rsid w:val="00C021B8"/>
    <w:rsid w:val="00C073AD"/>
    <w:rsid w:val="00C14B38"/>
    <w:rsid w:val="00C4144D"/>
    <w:rsid w:val="00CB5E72"/>
    <w:rsid w:val="00CC594D"/>
    <w:rsid w:val="00D23C51"/>
    <w:rsid w:val="00DA6995"/>
    <w:rsid w:val="00DB452F"/>
    <w:rsid w:val="00DC0371"/>
    <w:rsid w:val="00DE1B70"/>
    <w:rsid w:val="00DE407E"/>
    <w:rsid w:val="00DF0DF5"/>
    <w:rsid w:val="00E27A0B"/>
    <w:rsid w:val="00E27D9A"/>
    <w:rsid w:val="00E429DE"/>
    <w:rsid w:val="00E6109B"/>
    <w:rsid w:val="00E742D8"/>
    <w:rsid w:val="00EB0D8E"/>
    <w:rsid w:val="00EC69FE"/>
    <w:rsid w:val="00EE4FFC"/>
    <w:rsid w:val="00F24296"/>
    <w:rsid w:val="00F26937"/>
    <w:rsid w:val="00F3458D"/>
    <w:rsid w:val="00F45C0E"/>
    <w:rsid w:val="00F61BF4"/>
    <w:rsid w:val="00F93D4E"/>
    <w:rsid w:val="00FE0E0E"/>
    <w:rsid w:val="00FF490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6F"/>
    <w:pPr>
      <w:spacing w:after="0" w:line="240" w:lineRule="auto"/>
    </w:pPr>
    <w:rPr>
      <w:rFonts w:ascii="Times New Roman" w:eastAsia="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6F"/>
    <w:pPr>
      <w:ind w:left="720"/>
      <w:contextualSpacing/>
    </w:pPr>
  </w:style>
  <w:style w:type="paragraph" w:styleId="FootnoteText">
    <w:name w:val="footnote text"/>
    <w:basedOn w:val="Normal"/>
    <w:link w:val="FootnoteTextChar"/>
    <w:uiPriority w:val="99"/>
    <w:semiHidden/>
    <w:unhideWhenUsed/>
    <w:rsid w:val="00DC0371"/>
    <w:rPr>
      <w:sz w:val="20"/>
      <w:szCs w:val="20"/>
    </w:rPr>
  </w:style>
  <w:style w:type="character" w:customStyle="1" w:styleId="FootnoteTextChar">
    <w:name w:val="Footnote Text Char"/>
    <w:basedOn w:val="DefaultParagraphFont"/>
    <w:link w:val="FootnoteText"/>
    <w:uiPriority w:val="99"/>
    <w:semiHidden/>
    <w:rsid w:val="00DC0371"/>
    <w:rPr>
      <w:rFonts w:ascii="Times New Roman" w:eastAsia="Times New Roman" w:hAnsi="Times New Roman" w:cs="Miriam"/>
      <w:sz w:val="20"/>
      <w:szCs w:val="20"/>
    </w:rPr>
  </w:style>
  <w:style w:type="character" w:styleId="FootnoteReference">
    <w:name w:val="footnote reference"/>
    <w:basedOn w:val="DefaultParagraphFont"/>
    <w:uiPriority w:val="99"/>
    <w:semiHidden/>
    <w:unhideWhenUsed/>
    <w:rsid w:val="00DC0371"/>
    <w:rPr>
      <w:vertAlign w:val="superscript"/>
    </w:rPr>
  </w:style>
  <w:style w:type="character" w:styleId="Hyperlink">
    <w:name w:val="Hyperlink"/>
    <w:basedOn w:val="DefaultParagraphFont"/>
    <w:uiPriority w:val="99"/>
    <w:semiHidden/>
    <w:unhideWhenUsed/>
    <w:rsid w:val="009E2B1A"/>
    <w:rPr>
      <w:color w:val="0000FF"/>
      <w:u w:val="single"/>
    </w:rPr>
  </w:style>
  <w:style w:type="character" w:customStyle="1" w:styleId="apple-converted-space">
    <w:name w:val="apple-converted-space"/>
    <w:basedOn w:val="DefaultParagraphFont"/>
    <w:rsid w:val="009E2B1A"/>
  </w:style>
  <w:style w:type="paragraph" w:styleId="BalloonText">
    <w:name w:val="Balloon Text"/>
    <w:basedOn w:val="Normal"/>
    <w:link w:val="BalloonTextChar"/>
    <w:uiPriority w:val="99"/>
    <w:semiHidden/>
    <w:unhideWhenUsed/>
    <w:rsid w:val="00196A8F"/>
    <w:rPr>
      <w:rFonts w:ascii="Tahoma" w:hAnsi="Tahoma" w:cs="Tahoma"/>
      <w:sz w:val="16"/>
      <w:szCs w:val="16"/>
    </w:rPr>
  </w:style>
  <w:style w:type="character" w:customStyle="1" w:styleId="BalloonTextChar">
    <w:name w:val="Balloon Text Char"/>
    <w:basedOn w:val="DefaultParagraphFont"/>
    <w:link w:val="BalloonText"/>
    <w:uiPriority w:val="99"/>
    <w:semiHidden/>
    <w:rsid w:val="00196A8F"/>
    <w:rPr>
      <w:rFonts w:ascii="Tahoma" w:eastAsia="Times New Roman" w:hAnsi="Tahoma" w:cs="Tahoma"/>
      <w:sz w:val="16"/>
      <w:szCs w:val="16"/>
    </w:rPr>
  </w:style>
  <w:style w:type="paragraph" w:styleId="NoSpacing">
    <w:name w:val="No Spacing"/>
    <w:link w:val="NoSpacingChar"/>
    <w:uiPriority w:val="1"/>
    <w:qFormat/>
    <w:rsid w:val="00196A8F"/>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96A8F"/>
    <w:rPr>
      <w:rFonts w:eastAsiaTheme="minorEastAsia"/>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emida.biu.ac.il/pluginfile.php/718410/course/section/332726/%D7%97%D7%99%D7%99%D7%9E%D7%95%D7%91%2088.doc" TargetMode="External"/><Relationship Id="rId3" Type="http://schemas.openxmlformats.org/officeDocument/2006/relationships/hyperlink" Target="http://lemida.biu.ac.il/pluginfile.php/718410/course/section/332725/%D7%90%D7%99%D7%9C%D7%99%D7%98%2078.doc" TargetMode="External"/><Relationship Id="rId7" Type="http://schemas.openxmlformats.org/officeDocument/2006/relationships/hyperlink" Target="http://lemida.biu.ac.il/pluginfile.php/718410/course/section/332725/%D7%9E%D7%90%D7%99%D7%94%2093.doc" TargetMode="External"/><Relationship Id="rId12" Type="http://schemas.openxmlformats.org/officeDocument/2006/relationships/hyperlink" Target="http://lemida.biu.ac.il/pluginfile.php/718410/course/section/332725/%D7%A9%D7%A4%D7%99%D7%92%D7%9C%D7%9E%D7%9F%2085.doc" TargetMode="External"/><Relationship Id="rId2" Type="http://schemas.openxmlformats.org/officeDocument/2006/relationships/hyperlink" Target="http://lemida.biu.ac.il/pluginfile.php/718410/course/section/332725/%D7%9E%D7%97%D7%A7%D7%A9%D7%95%D7%95%D7%99%D7%9C%D7%9905.doc" TargetMode="External"/><Relationship Id="rId1" Type="http://schemas.openxmlformats.org/officeDocument/2006/relationships/hyperlink" Target="http://lemida.biu.ac.il/pluginfile.php/718410/course/section/332725/%D7%A1%D7%90%D7%A1%D7%99%2080.doc" TargetMode="External"/><Relationship Id="rId6" Type="http://schemas.openxmlformats.org/officeDocument/2006/relationships/hyperlink" Target="http://lemida.biu.ac.il/pluginfile.php/718410/course/section/332725/%D7%A8%D7%97%D7%9E%D7%99%D7%9D%2088.doc" TargetMode="External"/><Relationship Id="rId11" Type="http://schemas.openxmlformats.org/officeDocument/2006/relationships/hyperlink" Target="http://lemida.biu.ac.il/pluginfile.php/718410/course/section/332725/%D7%A1%D7%A4%D7%A7%D7%98%D7%95%D7%A8%2075.doc" TargetMode="External"/><Relationship Id="rId5" Type="http://schemas.openxmlformats.org/officeDocument/2006/relationships/hyperlink" Target="http://lemida.biu.ac.il/pluginfile.php/718410/course/section/332725/%D7%9E%D7%97%D7%A7%D7%A9%D7%95%D7%95%D7%99%D7%9C%D7%9905.doc" TargetMode="External"/><Relationship Id="rId10" Type="http://schemas.openxmlformats.org/officeDocument/2006/relationships/hyperlink" Target="http://lemida.biu.ac.il/pluginfile.php/718410/course/section/332725/%D7%9B%D7%A0%D7%A4%D7%99%2086.doc" TargetMode="External"/><Relationship Id="rId4" Type="http://schemas.openxmlformats.org/officeDocument/2006/relationships/hyperlink" Target="http://lemida.biu.ac.il/pluginfile.php/718410/course/section/332725/%D7%A9%D7%A4%D7%99%D7%A8%2081.doc" TargetMode="External"/><Relationship Id="rId9" Type="http://schemas.openxmlformats.org/officeDocument/2006/relationships/hyperlink" Target="http://lemida.biu.ac.il/pluginfile.php/718410/course/section/332725/%D7%A1%D7%A4%D7%A7%D7%98%D7%95%D7%A8%2075.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29B7-4400-4C97-A064-711FE990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avichai dekel</dc:creator>
  <cp:lastModifiedBy>avichai dekel</cp:lastModifiedBy>
  <cp:revision>4</cp:revision>
  <dcterms:created xsi:type="dcterms:W3CDTF">2017-01-10T10:52:00Z</dcterms:created>
  <dcterms:modified xsi:type="dcterms:W3CDTF">2017-05-04T15:21:00Z</dcterms:modified>
</cp:coreProperties>
</file>