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46" w:rsidRPr="005A71A7" w:rsidRDefault="00013C3D" w:rsidP="00837207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1. </w:t>
      </w:r>
      <w:r w:rsidR="001223A5">
        <w:rPr>
          <w:rFonts w:cs="David" w:hint="cs"/>
          <w:sz w:val="24"/>
          <w:szCs w:val="24"/>
          <w:rtl/>
        </w:rPr>
        <w:t>בבואי ל</w:t>
      </w:r>
      <w:r w:rsidR="00814058">
        <w:rPr>
          <w:rFonts w:cs="David" w:hint="cs"/>
          <w:sz w:val="24"/>
          <w:szCs w:val="24"/>
          <w:rtl/>
        </w:rPr>
        <w:t>ייעץ לרני מה עליו לעשות,</w:t>
      </w:r>
      <w:r w:rsidR="00DA5985">
        <w:rPr>
          <w:rFonts w:cs="David" w:hint="cs"/>
          <w:sz w:val="24"/>
          <w:szCs w:val="24"/>
          <w:rtl/>
        </w:rPr>
        <w:t xml:space="preserve"> אקח </w:t>
      </w:r>
      <w:r w:rsidR="001223A5">
        <w:rPr>
          <w:rFonts w:cs="David" w:hint="cs"/>
          <w:sz w:val="24"/>
          <w:szCs w:val="24"/>
          <w:rtl/>
        </w:rPr>
        <w:t xml:space="preserve">בחשבון ראשית שמדובר </w:t>
      </w:r>
      <w:r w:rsidR="00920428" w:rsidRPr="00AF702D">
        <w:rPr>
          <w:rFonts w:cs="David" w:hint="cs"/>
          <w:b/>
          <w:bCs/>
          <w:sz w:val="24"/>
          <w:szCs w:val="24"/>
          <w:rtl/>
        </w:rPr>
        <w:t>בהפרה צפ</w:t>
      </w:r>
      <w:r w:rsidR="007C754A" w:rsidRPr="00AF702D">
        <w:rPr>
          <w:rFonts w:cs="David" w:hint="cs"/>
          <w:b/>
          <w:bCs/>
          <w:sz w:val="24"/>
          <w:szCs w:val="24"/>
          <w:rtl/>
        </w:rPr>
        <w:t>ויה</w:t>
      </w:r>
      <w:r w:rsidR="007C754A" w:rsidRPr="000877DF">
        <w:rPr>
          <w:rStyle w:val="a8"/>
          <w:rFonts w:cs="David"/>
          <w:sz w:val="24"/>
          <w:szCs w:val="24"/>
          <w:rtl/>
        </w:rPr>
        <w:footnoteReference w:id="1"/>
      </w:r>
      <w:r w:rsidR="00E306B0">
        <w:rPr>
          <w:rFonts w:cs="David" w:hint="cs"/>
          <w:sz w:val="24"/>
          <w:szCs w:val="24"/>
          <w:rtl/>
        </w:rPr>
        <w:t>,</w:t>
      </w:r>
      <w:r w:rsidR="000877DF" w:rsidRPr="000877DF">
        <w:rPr>
          <w:rFonts w:cs="David" w:hint="cs"/>
          <w:sz w:val="24"/>
          <w:szCs w:val="24"/>
          <w:rtl/>
        </w:rPr>
        <w:t xml:space="preserve"> נכרת חוזה מחייב אך</w:t>
      </w:r>
      <w:r w:rsidR="000709AA">
        <w:rPr>
          <w:rFonts w:cs="David" w:hint="cs"/>
          <w:b/>
          <w:bCs/>
          <w:sz w:val="24"/>
          <w:szCs w:val="24"/>
          <w:rtl/>
        </w:rPr>
        <w:t xml:space="preserve"> </w:t>
      </w:r>
      <w:r w:rsidR="000877DF">
        <w:rPr>
          <w:rFonts w:cs="David" w:hint="cs"/>
          <w:sz w:val="24"/>
          <w:szCs w:val="24"/>
          <w:rtl/>
        </w:rPr>
        <w:t xml:space="preserve"> טרם הגיע מועד קיומו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F44E7A">
        <w:rPr>
          <w:rFonts w:cs="David" w:hint="cs"/>
          <w:sz w:val="24"/>
          <w:szCs w:val="24"/>
          <w:rtl/>
        </w:rPr>
        <w:t>(</w:t>
      </w:r>
      <w:r w:rsidR="001C6097">
        <w:rPr>
          <w:rFonts w:cs="David" w:hint="cs"/>
          <w:sz w:val="24"/>
          <w:szCs w:val="24"/>
          <w:rtl/>
        </w:rPr>
        <w:t>דצמ' 14</w:t>
      </w:r>
      <w:r w:rsidR="000709AA" w:rsidRPr="000709AA">
        <w:rPr>
          <w:rFonts w:cs="David" w:hint="cs"/>
          <w:sz w:val="24"/>
          <w:szCs w:val="24"/>
          <w:rtl/>
        </w:rPr>
        <w:t>)</w:t>
      </w:r>
      <w:r w:rsidR="00E74F73" w:rsidRPr="000709AA">
        <w:rPr>
          <w:rFonts w:cs="David" w:hint="cs"/>
          <w:sz w:val="24"/>
          <w:szCs w:val="24"/>
          <w:rtl/>
        </w:rPr>
        <w:t>.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E74F73" w:rsidRPr="000709AA">
        <w:rPr>
          <w:rFonts w:cs="David" w:hint="cs"/>
          <w:sz w:val="24"/>
          <w:szCs w:val="24"/>
          <w:rtl/>
        </w:rPr>
        <w:t>הפרה צפויה יכולה שתעשה בהצהרה או שתהיה ברורה מ</w:t>
      </w:r>
      <w:r w:rsidR="007C754A" w:rsidRPr="000709AA">
        <w:rPr>
          <w:rFonts w:cs="David" w:hint="cs"/>
          <w:sz w:val="24"/>
          <w:szCs w:val="24"/>
          <w:rtl/>
        </w:rPr>
        <w:t>הנסיבות</w:t>
      </w:r>
      <w:r w:rsidR="005831BE">
        <w:rPr>
          <w:rStyle w:val="a8"/>
          <w:rFonts w:cs="David"/>
          <w:sz w:val="24"/>
          <w:szCs w:val="24"/>
          <w:rtl/>
        </w:rPr>
        <w:footnoteReference w:id="2"/>
      </w:r>
      <w:r w:rsidR="007C754A">
        <w:rPr>
          <w:rFonts w:cs="David" w:hint="cs"/>
          <w:sz w:val="24"/>
          <w:szCs w:val="24"/>
          <w:rtl/>
        </w:rPr>
        <w:t>.</w:t>
      </w:r>
      <w:r w:rsidR="00277648">
        <w:rPr>
          <w:rFonts w:cs="David" w:hint="cs"/>
          <w:sz w:val="24"/>
          <w:szCs w:val="24"/>
          <w:rtl/>
        </w:rPr>
        <w:t xml:space="preserve"> </w:t>
      </w:r>
      <w:r w:rsidR="00490426">
        <w:rPr>
          <w:rFonts w:cs="David" w:hint="cs"/>
          <w:sz w:val="24"/>
          <w:szCs w:val="24"/>
          <w:rtl/>
        </w:rPr>
        <w:t>בהתקיים הפרה צפויה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034C30">
        <w:rPr>
          <w:rFonts w:cs="David" w:hint="cs"/>
          <w:sz w:val="24"/>
          <w:szCs w:val="24"/>
          <w:rtl/>
        </w:rPr>
        <w:t>(יסודית)</w:t>
      </w:r>
      <w:r w:rsidR="00490426">
        <w:rPr>
          <w:rFonts w:cs="David" w:hint="cs"/>
          <w:sz w:val="24"/>
          <w:szCs w:val="24"/>
          <w:rtl/>
        </w:rPr>
        <w:t xml:space="preserve"> רואים את החוזה כמופר על כל המשתמע מכך על אף שטרם הגיע מועד הח</w:t>
      </w:r>
      <w:r w:rsidR="00337048">
        <w:rPr>
          <w:rFonts w:cs="David" w:hint="cs"/>
          <w:sz w:val="24"/>
          <w:szCs w:val="24"/>
          <w:rtl/>
        </w:rPr>
        <w:t>יוב של החוזה</w:t>
      </w:r>
      <w:r w:rsidR="00277648">
        <w:rPr>
          <w:rStyle w:val="a8"/>
          <w:rFonts w:cs="David"/>
          <w:sz w:val="24"/>
          <w:szCs w:val="24"/>
          <w:rtl/>
        </w:rPr>
        <w:footnoteReference w:id="3"/>
      </w:r>
      <w:r w:rsidR="00337048">
        <w:rPr>
          <w:rFonts w:cs="David" w:hint="cs"/>
          <w:sz w:val="24"/>
          <w:szCs w:val="24"/>
          <w:rtl/>
        </w:rPr>
        <w:t xml:space="preserve">. </w:t>
      </w:r>
      <w:r w:rsidR="00337048" w:rsidRPr="00814058">
        <w:rPr>
          <w:rFonts w:cs="David" w:hint="cs"/>
          <w:sz w:val="24"/>
          <w:szCs w:val="24"/>
          <w:u w:val="single"/>
          <w:rtl/>
        </w:rPr>
        <w:t>הצהרתו</w:t>
      </w:r>
      <w:r w:rsidR="00337048">
        <w:rPr>
          <w:rFonts w:cs="David" w:hint="cs"/>
          <w:sz w:val="24"/>
          <w:szCs w:val="24"/>
          <w:rtl/>
        </w:rPr>
        <w:t xml:space="preserve"> של אלכס </w:t>
      </w:r>
      <w:r w:rsidR="00490426">
        <w:rPr>
          <w:rFonts w:cs="David" w:hint="cs"/>
          <w:sz w:val="24"/>
          <w:szCs w:val="24"/>
          <w:rtl/>
        </w:rPr>
        <w:t>ש</w:t>
      </w:r>
      <w:r w:rsidR="007C754A">
        <w:rPr>
          <w:rFonts w:cs="David" w:hint="cs"/>
          <w:sz w:val="24"/>
          <w:szCs w:val="24"/>
          <w:rtl/>
        </w:rPr>
        <w:t>אין בכוונתו לשלם לרני מעידה כי מבחינתו הסובייקטיבית הפרת החוזה היא עובדה מוגמרת</w:t>
      </w:r>
      <w:r w:rsidR="00814058">
        <w:rPr>
          <w:rFonts w:cs="David" w:hint="cs"/>
          <w:sz w:val="24"/>
          <w:szCs w:val="24"/>
          <w:rtl/>
        </w:rPr>
        <w:t>.</w:t>
      </w:r>
      <w:r w:rsidR="000877DF">
        <w:rPr>
          <w:rFonts w:cs="David" w:hint="cs"/>
          <w:sz w:val="24"/>
          <w:szCs w:val="24"/>
          <w:rtl/>
        </w:rPr>
        <w:t xml:space="preserve"> </w:t>
      </w:r>
      <w:r w:rsidR="00814058">
        <w:rPr>
          <w:rFonts w:cs="David" w:hint="cs"/>
          <w:sz w:val="24"/>
          <w:szCs w:val="24"/>
          <w:rtl/>
        </w:rPr>
        <w:t>האפשרויות העומדות בפני רני</w:t>
      </w:r>
      <w:r w:rsidR="007C754A">
        <w:rPr>
          <w:rStyle w:val="a8"/>
          <w:rFonts w:cs="David"/>
          <w:sz w:val="24"/>
          <w:szCs w:val="24"/>
          <w:rtl/>
        </w:rPr>
        <w:footnoteReference w:id="4"/>
      </w:r>
      <w:r w:rsidR="00FB2546">
        <w:rPr>
          <w:rFonts w:cs="David" w:hint="cs"/>
          <w:sz w:val="24"/>
          <w:szCs w:val="24"/>
          <w:rtl/>
        </w:rPr>
        <w:t>: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7C754A">
        <w:rPr>
          <w:rFonts w:cs="David" w:hint="cs"/>
          <w:sz w:val="24"/>
          <w:szCs w:val="24"/>
          <w:rtl/>
        </w:rPr>
        <w:t>1.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FB2546">
        <w:rPr>
          <w:rFonts w:cs="David" w:hint="cs"/>
          <w:sz w:val="24"/>
          <w:szCs w:val="24"/>
          <w:rtl/>
        </w:rPr>
        <w:t xml:space="preserve">לקבל את ההפרה הצפויה, </w:t>
      </w:r>
      <w:r w:rsidR="00392AEB">
        <w:rPr>
          <w:rFonts w:cs="David" w:hint="cs"/>
          <w:sz w:val="24"/>
          <w:szCs w:val="24"/>
          <w:rtl/>
        </w:rPr>
        <w:t xml:space="preserve">לבטל </w:t>
      </w:r>
      <w:r w:rsidR="00343278">
        <w:rPr>
          <w:rFonts w:cs="David" w:hint="cs"/>
          <w:sz w:val="24"/>
          <w:szCs w:val="24"/>
          <w:rtl/>
        </w:rPr>
        <w:t xml:space="preserve">את החוזה ולשחרר את שני הצדדים מהחובה לפעול על פיו </w:t>
      </w:r>
      <w:r w:rsidR="00343278">
        <w:rPr>
          <w:rFonts w:cs="David"/>
          <w:sz w:val="24"/>
          <w:szCs w:val="24"/>
          <w:rtl/>
        </w:rPr>
        <w:t>–</w:t>
      </w:r>
      <w:r w:rsidR="00392AEB">
        <w:rPr>
          <w:rFonts w:cs="David" w:hint="cs"/>
          <w:sz w:val="24"/>
          <w:szCs w:val="24"/>
          <w:rtl/>
        </w:rPr>
        <w:t xml:space="preserve"> אפשרות זו </w:t>
      </w:r>
      <w:r w:rsidR="00E306B0">
        <w:rPr>
          <w:rFonts w:cs="David" w:hint="cs"/>
          <w:sz w:val="24"/>
          <w:szCs w:val="24"/>
          <w:rtl/>
        </w:rPr>
        <w:t>לא רלוונטית</w:t>
      </w:r>
      <w:r w:rsidR="00343278">
        <w:rPr>
          <w:rFonts w:cs="David" w:hint="cs"/>
          <w:sz w:val="24"/>
          <w:szCs w:val="24"/>
          <w:rtl/>
        </w:rPr>
        <w:t xml:space="preserve"> כוון שרני</w:t>
      </w:r>
      <w:r w:rsidR="00E306B0">
        <w:rPr>
          <w:rFonts w:cs="David" w:hint="cs"/>
          <w:sz w:val="24"/>
          <w:szCs w:val="24"/>
          <w:rtl/>
        </w:rPr>
        <w:t xml:space="preserve"> כבר מילא את רוב חלקו בהסכם. 2.</w:t>
      </w:r>
      <w:r w:rsidR="00343278">
        <w:rPr>
          <w:rFonts w:cs="David" w:hint="cs"/>
          <w:sz w:val="24"/>
          <w:szCs w:val="24"/>
          <w:rtl/>
        </w:rPr>
        <w:t xml:space="preserve">להתעלם מההפרה הצפויה ולעמוד על זכותו לקיים את החוזה </w:t>
      </w:r>
      <w:r w:rsidR="000E449E">
        <w:rPr>
          <w:rFonts w:cs="David" w:hint="cs"/>
          <w:sz w:val="24"/>
          <w:szCs w:val="24"/>
          <w:rtl/>
        </w:rPr>
        <w:t>-</w:t>
      </w:r>
      <w:r w:rsidR="00343278">
        <w:rPr>
          <w:rFonts w:cs="David" w:hint="cs"/>
          <w:sz w:val="24"/>
          <w:szCs w:val="24"/>
          <w:rtl/>
        </w:rPr>
        <w:t xml:space="preserve"> אפשרות זו איננה מומל</w:t>
      </w:r>
      <w:r w:rsidR="00FB2546">
        <w:rPr>
          <w:rFonts w:cs="David" w:hint="cs"/>
          <w:sz w:val="24"/>
          <w:szCs w:val="24"/>
          <w:rtl/>
        </w:rPr>
        <w:t xml:space="preserve">צת כוון </w:t>
      </w:r>
      <w:r w:rsidR="000B501D">
        <w:rPr>
          <w:rFonts w:cs="David" w:hint="cs"/>
          <w:sz w:val="24"/>
          <w:szCs w:val="24"/>
          <w:rtl/>
        </w:rPr>
        <w:t xml:space="preserve">שהמשך העבודה על </w:t>
      </w:r>
      <w:r w:rsidR="00343278">
        <w:rPr>
          <w:rFonts w:cs="David" w:hint="cs"/>
          <w:sz w:val="24"/>
          <w:szCs w:val="24"/>
          <w:rtl/>
        </w:rPr>
        <w:t>פר</w:t>
      </w:r>
      <w:r w:rsidR="00FB2546">
        <w:rPr>
          <w:rFonts w:cs="David" w:hint="cs"/>
          <w:sz w:val="24"/>
          <w:szCs w:val="24"/>
          <w:rtl/>
        </w:rPr>
        <w:t xml:space="preserve">ויקט </w:t>
      </w:r>
      <w:r w:rsidR="000B501D">
        <w:rPr>
          <w:rFonts w:cs="David" w:hint="cs"/>
          <w:sz w:val="24"/>
          <w:szCs w:val="24"/>
          <w:rtl/>
        </w:rPr>
        <w:t>שלא ייצא לפועל היא</w:t>
      </w:r>
      <w:r w:rsidR="00FB2546">
        <w:rPr>
          <w:rFonts w:cs="David" w:hint="cs"/>
          <w:sz w:val="24"/>
          <w:szCs w:val="24"/>
          <w:rtl/>
        </w:rPr>
        <w:t xml:space="preserve"> בגדר בזבוז משאבים ו</w:t>
      </w:r>
      <w:r w:rsidR="0073308C">
        <w:rPr>
          <w:rFonts w:cs="David" w:hint="cs"/>
          <w:sz w:val="24"/>
          <w:szCs w:val="24"/>
          <w:rtl/>
        </w:rPr>
        <w:t>יכול</w:t>
      </w:r>
      <w:r w:rsidR="000B501D">
        <w:rPr>
          <w:rFonts w:cs="David" w:hint="cs"/>
          <w:sz w:val="24"/>
          <w:szCs w:val="24"/>
          <w:rtl/>
        </w:rPr>
        <w:t>ה להיחשב כהתנהגות שלא בתו"ל</w:t>
      </w:r>
      <w:r w:rsidR="00D775B5">
        <w:rPr>
          <w:rStyle w:val="a8"/>
          <w:rFonts w:cs="David"/>
          <w:sz w:val="24"/>
          <w:szCs w:val="24"/>
          <w:rtl/>
        </w:rPr>
        <w:footnoteReference w:id="5"/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0709AA">
        <w:rPr>
          <w:rFonts w:cs="David" w:hint="cs"/>
          <w:sz w:val="24"/>
          <w:szCs w:val="24"/>
          <w:rtl/>
        </w:rPr>
        <w:t>מצ</w:t>
      </w:r>
      <w:r w:rsidR="000B501D">
        <w:rPr>
          <w:rFonts w:cs="David" w:hint="cs"/>
          <w:sz w:val="24"/>
          <w:szCs w:val="24"/>
          <w:rtl/>
        </w:rPr>
        <w:t>דו</w:t>
      </w:r>
      <w:r w:rsidR="00FB2546">
        <w:rPr>
          <w:rFonts w:cs="David" w:hint="cs"/>
          <w:sz w:val="24"/>
          <w:szCs w:val="24"/>
          <w:rtl/>
        </w:rPr>
        <w:t>.</w:t>
      </w:r>
      <w:r w:rsidR="000B501D">
        <w:rPr>
          <w:rFonts w:cs="David" w:hint="cs"/>
          <w:sz w:val="24"/>
          <w:szCs w:val="24"/>
          <w:rtl/>
        </w:rPr>
        <w:t xml:space="preserve"> </w:t>
      </w:r>
      <w:r w:rsidR="0073308C">
        <w:rPr>
          <w:rFonts w:cs="David" w:hint="cs"/>
          <w:sz w:val="24"/>
          <w:szCs w:val="24"/>
          <w:rtl/>
        </w:rPr>
        <w:t xml:space="preserve">בנוסף, רני מצוי </w:t>
      </w:r>
      <w:r w:rsidR="0073308C" w:rsidRPr="00392AEB">
        <w:rPr>
          <w:rFonts w:cs="David" w:hint="cs"/>
          <w:b/>
          <w:bCs/>
          <w:sz w:val="24"/>
          <w:szCs w:val="24"/>
          <w:rtl/>
        </w:rPr>
        <w:t>ב</w:t>
      </w:r>
      <w:r w:rsidR="0073308C">
        <w:rPr>
          <w:rFonts w:cs="David" w:hint="cs"/>
          <w:b/>
          <w:bCs/>
          <w:sz w:val="24"/>
          <w:szCs w:val="24"/>
          <w:rtl/>
        </w:rPr>
        <w:t>חוזה הפסד</w:t>
      </w:r>
      <w:r w:rsidR="004C2D9B">
        <w:rPr>
          <w:rFonts w:cs="David" w:hint="cs"/>
          <w:sz w:val="24"/>
          <w:szCs w:val="24"/>
          <w:rtl/>
        </w:rPr>
        <w:t xml:space="preserve"> עקב תמחור שגוי של ההוצאות ו</w:t>
      </w:r>
      <w:r w:rsidR="00FB2546">
        <w:rPr>
          <w:rFonts w:cs="David" w:hint="cs"/>
          <w:sz w:val="24"/>
          <w:szCs w:val="24"/>
          <w:rtl/>
        </w:rPr>
        <w:t>קיום החוזה</w:t>
      </w:r>
      <w:r w:rsidR="0073308C">
        <w:rPr>
          <w:rFonts w:cs="David" w:hint="cs"/>
          <w:sz w:val="24"/>
          <w:szCs w:val="24"/>
          <w:rtl/>
        </w:rPr>
        <w:t xml:space="preserve"> </w:t>
      </w:r>
      <w:r w:rsidR="00FB2546">
        <w:rPr>
          <w:rFonts w:cs="David" w:hint="cs"/>
          <w:sz w:val="24"/>
          <w:szCs w:val="24"/>
          <w:rtl/>
        </w:rPr>
        <w:t xml:space="preserve">כמתוכנן </w:t>
      </w:r>
      <w:r w:rsidR="0073308C">
        <w:rPr>
          <w:rFonts w:cs="David" w:hint="cs"/>
          <w:sz w:val="24"/>
          <w:szCs w:val="24"/>
          <w:rtl/>
        </w:rPr>
        <w:t>היא אפשרות אינה כדאית עבורו.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73308C">
        <w:rPr>
          <w:rFonts w:cs="David" w:hint="cs"/>
          <w:sz w:val="24"/>
          <w:szCs w:val="24"/>
          <w:rtl/>
        </w:rPr>
        <w:t>3.</w:t>
      </w:r>
      <w:r w:rsidR="0073308C" w:rsidRPr="000B27E5">
        <w:rPr>
          <w:rFonts w:cs="David" w:hint="cs"/>
          <w:sz w:val="24"/>
          <w:szCs w:val="24"/>
          <w:u w:val="single"/>
          <w:rtl/>
        </w:rPr>
        <w:t>למחות על ההפרה הצפויה, לראות את החוזה כבטל ולתבוע בשל כך פיצויים</w:t>
      </w:r>
      <w:r w:rsidR="0073308C" w:rsidRPr="000B27E5">
        <w:rPr>
          <w:rFonts w:cs="David" w:hint="cs"/>
          <w:sz w:val="24"/>
          <w:szCs w:val="24"/>
          <w:rtl/>
        </w:rPr>
        <w:t xml:space="preserve"> </w:t>
      </w:r>
      <w:r w:rsidR="0073308C">
        <w:rPr>
          <w:rFonts w:cs="David"/>
          <w:sz w:val="24"/>
          <w:szCs w:val="24"/>
          <w:rtl/>
        </w:rPr>
        <w:t>–</w:t>
      </w:r>
      <w:r w:rsidR="004C2D9B">
        <w:rPr>
          <w:rFonts w:cs="David" w:hint="cs"/>
          <w:sz w:val="24"/>
          <w:szCs w:val="24"/>
          <w:rtl/>
        </w:rPr>
        <w:t xml:space="preserve"> כך אמליץ לו לנהוג</w:t>
      </w:r>
      <w:r w:rsidR="00AF702D">
        <w:rPr>
          <w:rFonts w:cs="David" w:hint="cs"/>
          <w:sz w:val="24"/>
          <w:szCs w:val="24"/>
          <w:rtl/>
        </w:rPr>
        <w:t>. אלו האפשרויות של ר</w:t>
      </w:r>
      <w:r w:rsidR="00FB2546">
        <w:rPr>
          <w:rFonts w:cs="David" w:hint="cs"/>
          <w:sz w:val="24"/>
          <w:szCs w:val="24"/>
          <w:rtl/>
        </w:rPr>
        <w:t>ני בבואו לתבוע פיצויים:</w:t>
      </w:r>
      <w:r w:rsidR="007F0152" w:rsidRPr="000B27E5">
        <w:rPr>
          <w:rFonts w:cs="David" w:hint="cs"/>
          <w:b/>
          <w:bCs/>
          <w:sz w:val="24"/>
          <w:szCs w:val="24"/>
          <w:rtl/>
        </w:rPr>
        <w:t xml:space="preserve"> </w:t>
      </w:r>
      <w:r w:rsidR="007F0152">
        <w:rPr>
          <w:rFonts w:cs="David" w:hint="cs"/>
          <w:b/>
          <w:bCs/>
          <w:sz w:val="24"/>
          <w:szCs w:val="24"/>
          <w:u w:val="single"/>
          <w:rtl/>
        </w:rPr>
        <w:t>ס'</w:t>
      </w:r>
      <w:r w:rsidR="00FB2546">
        <w:rPr>
          <w:rFonts w:cs="David" w:hint="cs"/>
          <w:b/>
          <w:bCs/>
          <w:sz w:val="24"/>
          <w:szCs w:val="24"/>
          <w:u w:val="single"/>
          <w:rtl/>
        </w:rPr>
        <w:t xml:space="preserve"> 10 לחוק החוזים תרופות</w:t>
      </w:r>
      <w:r w:rsidR="00FB2546" w:rsidRPr="000B27E5">
        <w:rPr>
          <w:rFonts w:cs="David" w:hint="cs"/>
          <w:b/>
          <w:bCs/>
          <w:sz w:val="24"/>
          <w:szCs w:val="24"/>
          <w:rtl/>
        </w:rPr>
        <w:t xml:space="preserve"> </w:t>
      </w:r>
      <w:r w:rsidR="00FB2546" w:rsidRPr="00FB2546">
        <w:rPr>
          <w:rFonts w:cs="David" w:hint="cs"/>
          <w:sz w:val="24"/>
          <w:szCs w:val="24"/>
          <w:rtl/>
        </w:rPr>
        <w:t>(להלן: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FB2546" w:rsidRPr="00FB2546">
        <w:rPr>
          <w:rFonts w:cs="David" w:hint="cs"/>
          <w:sz w:val="24"/>
          <w:szCs w:val="24"/>
          <w:rtl/>
        </w:rPr>
        <w:t>החוק)</w:t>
      </w:r>
      <w:r w:rsidR="000E173D" w:rsidRPr="00FB2546">
        <w:rPr>
          <w:rStyle w:val="a8"/>
          <w:rFonts w:cs="David"/>
          <w:sz w:val="24"/>
          <w:szCs w:val="24"/>
          <w:rtl/>
        </w:rPr>
        <w:footnoteReference w:id="6"/>
      </w:r>
      <w:r w:rsidR="00A06627" w:rsidRPr="0012151C">
        <w:rPr>
          <w:rFonts w:cs="David" w:hint="cs"/>
          <w:sz w:val="24"/>
          <w:szCs w:val="24"/>
          <w:rtl/>
        </w:rPr>
        <w:t xml:space="preserve"> </w:t>
      </w:r>
      <w:r w:rsidR="00A06627" w:rsidRPr="0012151C">
        <w:rPr>
          <w:rFonts w:cs="David"/>
          <w:sz w:val="24"/>
          <w:szCs w:val="24"/>
          <w:rtl/>
        </w:rPr>
        <w:t>–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A06627" w:rsidRPr="0012151C">
        <w:rPr>
          <w:rFonts w:cs="David" w:hint="cs"/>
          <w:sz w:val="24"/>
          <w:szCs w:val="24"/>
          <w:rtl/>
        </w:rPr>
        <w:t xml:space="preserve">ישנם 4 </w:t>
      </w:r>
      <w:r w:rsidR="003425DE" w:rsidRPr="0012151C">
        <w:rPr>
          <w:rFonts w:cs="David" w:hint="cs"/>
          <w:sz w:val="24"/>
          <w:szCs w:val="24"/>
          <w:rtl/>
        </w:rPr>
        <w:t xml:space="preserve">יסודות מצטברים הנדרשים לתביעה על סמך סעיף זה: </w:t>
      </w:r>
      <w:r w:rsidR="003425DE" w:rsidRPr="0012151C">
        <w:rPr>
          <w:rFonts w:cs="David" w:hint="cs"/>
          <w:b/>
          <w:bCs/>
          <w:sz w:val="24"/>
          <w:szCs w:val="24"/>
          <w:rtl/>
        </w:rPr>
        <w:t>נזק, סיבתיות, צפיות והוכחת שיעור הנזק</w:t>
      </w:r>
      <w:r w:rsidR="00AB7E40">
        <w:rPr>
          <w:rFonts w:cs="David" w:hint="cs"/>
          <w:b/>
          <w:bCs/>
          <w:sz w:val="24"/>
          <w:szCs w:val="24"/>
          <w:rtl/>
        </w:rPr>
        <w:t>.</w:t>
      </w:r>
      <w:r w:rsidR="00FB2546">
        <w:rPr>
          <w:rFonts w:cs="David" w:hint="cs"/>
          <w:sz w:val="24"/>
          <w:szCs w:val="24"/>
          <w:rtl/>
        </w:rPr>
        <w:t xml:space="preserve"> </w:t>
      </w:r>
      <w:r w:rsidR="00106E4E">
        <w:rPr>
          <w:rFonts w:cs="David" w:hint="cs"/>
          <w:b/>
          <w:bCs/>
          <w:sz w:val="24"/>
          <w:szCs w:val="24"/>
          <w:rtl/>
        </w:rPr>
        <w:t>לרני נגרם נזק ממוני.</w:t>
      </w:r>
      <w:r w:rsidR="00106E4E">
        <w:rPr>
          <w:rFonts w:cs="David" w:hint="cs"/>
          <w:sz w:val="24"/>
          <w:szCs w:val="24"/>
          <w:rtl/>
        </w:rPr>
        <w:t xml:space="preserve"> </w:t>
      </w:r>
      <w:r w:rsidR="00483694" w:rsidRPr="00BB31D0">
        <w:rPr>
          <w:rFonts w:cs="David" w:hint="cs"/>
          <w:sz w:val="24"/>
          <w:szCs w:val="24"/>
          <w:rtl/>
        </w:rPr>
        <w:t>מ</w:t>
      </w:r>
      <w:r w:rsidR="00106E4E" w:rsidRPr="00BB31D0">
        <w:rPr>
          <w:rFonts w:cs="David" w:hint="cs"/>
          <w:sz w:val="24"/>
          <w:szCs w:val="24"/>
          <w:rtl/>
        </w:rPr>
        <w:t>דובר ב</w:t>
      </w:r>
      <w:r w:rsidR="000B27E5">
        <w:rPr>
          <w:rFonts w:cs="David" w:hint="cs"/>
          <w:sz w:val="24"/>
          <w:szCs w:val="24"/>
          <w:rtl/>
        </w:rPr>
        <w:t>-</w:t>
      </w:r>
      <w:r w:rsidR="00106E4E" w:rsidRPr="00BB31D0">
        <w:rPr>
          <w:rFonts w:cs="David" w:hint="cs"/>
          <w:sz w:val="24"/>
          <w:szCs w:val="24"/>
          <w:rtl/>
        </w:rPr>
        <w:t>9 מיליון</w:t>
      </w:r>
      <w:r w:rsidR="00640F2A" w:rsidRPr="00BB31D0">
        <w:rPr>
          <w:rFonts w:cs="David" w:hint="cs"/>
          <w:sz w:val="24"/>
          <w:szCs w:val="24"/>
          <w:rtl/>
        </w:rPr>
        <w:t xml:space="preserve">₪ שסוכמו בחוזה. </w:t>
      </w:r>
      <w:r w:rsidR="001C1D88" w:rsidRPr="00BB31D0">
        <w:rPr>
          <w:rFonts w:cs="David" w:hint="cs"/>
          <w:sz w:val="24"/>
          <w:szCs w:val="24"/>
          <w:rtl/>
        </w:rPr>
        <w:t xml:space="preserve">בפועל הנזק של רני גדול </w:t>
      </w:r>
      <w:r w:rsidR="00BB31D0">
        <w:rPr>
          <w:rFonts w:cs="David" w:hint="cs"/>
          <w:sz w:val="24"/>
          <w:szCs w:val="24"/>
          <w:rtl/>
        </w:rPr>
        <w:t xml:space="preserve">יותר והוא עומד על </w:t>
      </w:r>
      <w:r w:rsidR="00DB5970" w:rsidRPr="00BB31D0">
        <w:rPr>
          <w:rFonts w:cs="David" w:hint="cs"/>
          <w:sz w:val="24"/>
          <w:szCs w:val="24"/>
          <w:rtl/>
        </w:rPr>
        <w:t xml:space="preserve"> 9.5 מיליון</w:t>
      </w:r>
      <w:r w:rsidR="001C1D88" w:rsidRPr="00BB31D0">
        <w:rPr>
          <w:rFonts w:cs="David" w:hint="cs"/>
          <w:sz w:val="24"/>
          <w:szCs w:val="24"/>
          <w:rtl/>
        </w:rPr>
        <w:t>₪</w:t>
      </w:r>
      <w:r w:rsidR="00DB5970" w:rsidRPr="00BB31D0">
        <w:rPr>
          <w:rFonts w:cs="David" w:hint="cs"/>
          <w:sz w:val="24"/>
          <w:szCs w:val="24"/>
          <w:rtl/>
        </w:rPr>
        <w:t xml:space="preserve"> </w:t>
      </w:r>
      <w:r w:rsidR="001C1D88" w:rsidRPr="0012151C">
        <w:rPr>
          <w:rFonts w:cs="David" w:hint="cs"/>
          <w:b/>
          <w:bCs/>
          <w:sz w:val="24"/>
          <w:szCs w:val="24"/>
          <w:rtl/>
        </w:rPr>
        <w:t>הנזק נגרם עקב</w:t>
      </w:r>
      <w:r w:rsidR="00337048">
        <w:rPr>
          <w:rFonts w:cs="David" w:hint="cs"/>
          <w:b/>
          <w:bCs/>
          <w:sz w:val="24"/>
          <w:szCs w:val="24"/>
          <w:rtl/>
        </w:rPr>
        <w:t xml:space="preserve"> הפרתו של אלכס</w:t>
      </w:r>
      <w:r w:rsidR="001C1D88" w:rsidRPr="0012151C">
        <w:rPr>
          <w:rFonts w:cs="David" w:hint="cs"/>
          <w:b/>
          <w:bCs/>
          <w:sz w:val="24"/>
          <w:szCs w:val="24"/>
          <w:rtl/>
        </w:rPr>
        <w:t xml:space="preserve"> את החוזה</w:t>
      </w:r>
      <w:r w:rsidR="00483694">
        <w:rPr>
          <w:rFonts w:cs="David" w:hint="cs"/>
          <w:sz w:val="24"/>
          <w:szCs w:val="24"/>
          <w:rtl/>
        </w:rPr>
        <w:t xml:space="preserve"> והחלטתו שלא לשלם לרני </w:t>
      </w:r>
      <w:r w:rsidR="001C1D88" w:rsidRPr="0012151C">
        <w:rPr>
          <w:rFonts w:cs="David" w:hint="cs"/>
          <w:sz w:val="24"/>
          <w:szCs w:val="24"/>
          <w:rtl/>
        </w:rPr>
        <w:t xml:space="preserve">(יסוד הסיבתיות). </w:t>
      </w:r>
      <w:r w:rsidR="00337048">
        <w:rPr>
          <w:rFonts w:cs="David" w:hint="cs"/>
          <w:b/>
          <w:bCs/>
          <w:sz w:val="24"/>
          <w:szCs w:val="24"/>
          <w:rtl/>
        </w:rPr>
        <w:t>אלכס</w:t>
      </w:r>
      <w:r w:rsidR="001C1D88" w:rsidRPr="0012151C">
        <w:rPr>
          <w:rFonts w:cs="David" w:hint="cs"/>
          <w:b/>
          <w:bCs/>
          <w:sz w:val="24"/>
          <w:szCs w:val="24"/>
          <w:rtl/>
        </w:rPr>
        <w:t xml:space="preserve"> יכול היה לצפות את הנזק</w:t>
      </w:r>
      <w:r w:rsidR="00A5411B" w:rsidRPr="0012151C">
        <w:rPr>
          <w:rFonts w:cs="David" w:hint="cs"/>
          <w:b/>
          <w:bCs/>
          <w:sz w:val="24"/>
          <w:szCs w:val="24"/>
          <w:rtl/>
        </w:rPr>
        <w:t xml:space="preserve"> שיגרם עקב הפרת החוזה </w:t>
      </w:r>
      <w:r w:rsidR="008D1633">
        <w:rPr>
          <w:rFonts w:cs="David" w:hint="cs"/>
          <w:b/>
          <w:bCs/>
          <w:sz w:val="24"/>
          <w:szCs w:val="24"/>
          <w:rtl/>
        </w:rPr>
        <w:t>בעת כריתתו</w:t>
      </w:r>
      <w:r w:rsidR="008D1633">
        <w:rPr>
          <w:rFonts w:cs="David" w:hint="cs"/>
          <w:sz w:val="24"/>
          <w:szCs w:val="24"/>
          <w:rtl/>
        </w:rPr>
        <w:t xml:space="preserve"> </w:t>
      </w:r>
      <w:r w:rsidR="00FB7DB5" w:rsidRPr="0012151C">
        <w:rPr>
          <w:rFonts w:cs="David" w:hint="cs"/>
          <w:sz w:val="24"/>
          <w:szCs w:val="24"/>
          <w:rtl/>
        </w:rPr>
        <w:t>(י</w:t>
      </w:r>
      <w:r w:rsidR="00034C30">
        <w:rPr>
          <w:rFonts w:cs="David" w:hint="cs"/>
          <w:sz w:val="24"/>
          <w:szCs w:val="24"/>
          <w:rtl/>
        </w:rPr>
        <w:t xml:space="preserve">סוד הצפיות) הן במבחן </w:t>
      </w:r>
      <w:proofErr w:type="spellStart"/>
      <w:r w:rsidR="00034C30">
        <w:rPr>
          <w:rFonts w:cs="David" w:hint="cs"/>
          <w:sz w:val="24"/>
          <w:szCs w:val="24"/>
          <w:rtl/>
        </w:rPr>
        <w:t>הסוב</w:t>
      </w:r>
      <w:proofErr w:type="spellEnd"/>
      <w:r w:rsidR="00034C30">
        <w:rPr>
          <w:rFonts w:cs="David" w:hint="cs"/>
          <w:sz w:val="24"/>
          <w:szCs w:val="24"/>
          <w:rtl/>
        </w:rPr>
        <w:t>' והן במבחן האוב'</w:t>
      </w:r>
      <w:r w:rsidR="00FB7DB5" w:rsidRPr="0012151C">
        <w:rPr>
          <w:rFonts w:cs="David" w:hint="cs"/>
          <w:sz w:val="24"/>
          <w:szCs w:val="24"/>
          <w:rtl/>
        </w:rPr>
        <w:t xml:space="preserve"> -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887687" w:rsidRPr="0012151C">
        <w:rPr>
          <w:rFonts w:cs="David" w:hint="cs"/>
          <w:sz w:val="24"/>
          <w:szCs w:val="24"/>
          <w:rtl/>
        </w:rPr>
        <w:t xml:space="preserve">שכן </w:t>
      </w:r>
      <w:r w:rsidR="00887687" w:rsidRPr="0012151C">
        <w:rPr>
          <w:rFonts w:cs="David" w:hint="cs"/>
          <w:sz w:val="24"/>
          <w:szCs w:val="24"/>
          <w:u w:val="single"/>
          <w:rtl/>
        </w:rPr>
        <w:t>ה</w:t>
      </w:r>
      <w:r w:rsidR="00FB7DB5" w:rsidRPr="0012151C">
        <w:rPr>
          <w:rFonts w:cs="David" w:hint="cs"/>
          <w:sz w:val="24"/>
          <w:szCs w:val="24"/>
          <w:u w:val="single"/>
          <w:rtl/>
        </w:rPr>
        <w:t>וא ידע</w:t>
      </w:r>
      <w:r w:rsidR="00CB095A">
        <w:rPr>
          <w:rFonts w:cs="David" w:hint="cs"/>
          <w:sz w:val="24"/>
          <w:szCs w:val="24"/>
          <w:rtl/>
        </w:rPr>
        <w:t>,</w:t>
      </w:r>
      <w:r w:rsidR="00FB2546">
        <w:rPr>
          <w:rFonts w:cs="David" w:hint="cs"/>
          <w:sz w:val="24"/>
          <w:szCs w:val="24"/>
          <w:rtl/>
        </w:rPr>
        <w:t xml:space="preserve"> </w:t>
      </w:r>
      <w:r w:rsidR="00FB2546">
        <w:rPr>
          <w:rFonts w:cs="David" w:hint="cs"/>
          <w:sz w:val="24"/>
          <w:szCs w:val="24"/>
          <w:u w:val="single"/>
          <w:rtl/>
        </w:rPr>
        <w:t>ו</w:t>
      </w:r>
      <w:r w:rsidR="00EB0C1E" w:rsidRPr="0012151C">
        <w:rPr>
          <w:rFonts w:cs="David" w:hint="cs"/>
          <w:sz w:val="24"/>
          <w:szCs w:val="24"/>
          <w:u w:val="single"/>
          <w:rtl/>
        </w:rPr>
        <w:t>היה עליו לדעת</w:t>
      </w:r>
      <w:r w:rsidR="00CB095A">
        <w:rPr>
          <w:rFonts w:cs="David" w:hint="cs"/>
          <w:sz w:val="24"/>
          <w:szCs w:val="24"/>
          <w:rtl/>
        </w:rPr>
        <w:t xml:space="preserve">, </w:t>
      </w:r>
      <w:r w:rsidR="00D54898" w:rsidRPr="0012151C">
        <w:rPr>
          <w:rFonts w:cs="David" w:hint="cs"/>
          <w:sz w:val="24"/>
          <w:szCs w:val="24"/>
          <w:rtl/>
        </w:rPr>
        <w:t>וכך על כ</w:t>
      </w:r>
      <w:r w:rsidR="007A0538" w:rsidRPr="0012151C">
        <w:rPr>
          <w:rFonts w:cs="David" w:hint="cs"/>
          <w:sz w:val="24"/>
          <w:szCs w:val="24"/>
          <w:rtl/>
        </w:rPr>
        <w:t>ל אדם סביר בנעלי</w:t>
      </w:r>
      <w:r w:rsidR="00CB095A">
        <w:rPr>
          <w:rFonts w:cs="David" w:hint="cs"/>
          <w:sz w:val="24"/>
          <w:szCs w:val="24"/>
          <w:rtl/>
        </w:rPr>
        <w:t>ו,</w:t>
      </w:r>
      <w:r w:rsidR="00A52AE1">
        <w:rPr>
          <w:rFonts w:cs="David" w:hint="cs"/>
          <w:sz w:val="24"/>
          <w:szCs w:val="24"/>
          <w:rtl/>
        </w:rPr>
        <w:t xml:space="preserve"> </w:t>
      </w:r>
      <w:r w:rsidR="00EB0C1E" w:rsidRPr="0012151C">
        <w:rPr>
          <w:rFonts w:cs="David" w:hint="cs"/>
          <w:sz w:val="24"/>
          <w:szCs w:val="24"/>
          <w:rtl/>
        </w:rPr>
        <w:t>ש</w:t>
      </w:r>
      <w:r w:rsidR="00A5411B" w:rsidRPr="0012151C">
        <w:rPr>
          <w:rFonts w:cs="David" w:hint="cs"/>
          <w:sz w:val="24"/>
          <w:szCs w:val="24"/>
          <w:rtl/>
        </w:rPr>
        <w:t>אי ת</w:t>
      </w:r>
      <w:r w:rsidR="00FB7DB5" w:rsidRPr="0012151C">
        <w:rPr>
          <w:rFonts w:cs="David" w:hint="cs"/>
          <w:sz w:val="24"/>
          <w:szCs w:val="24"/>
          <w:rtl/>
        </w:rPr>
        <w:t>שלום עבור שירות משמעו גרימת נזק</w:t>
      </w:r>
      <w:r w:rsidR="00AE5F3B">
        <w:rPr>
          <w:rFonts w:cs="David" w:hint="cs"/>
          <w:sz w:val="24"/>
          <w:szCs w:val="24"/>
          <w:rtl/>
        </w:rPr>
        <w:t xml:space="preserve">. </w:t>
      </w:r>
      <w:r w:rsidR="0084369C">
        <w:rPr>
          <w:rFonts w:cs="David" w:hint="cs"/>
          <w:sz w:val="24"/>
          <w:szCs w:val="24"/>
          <w:rtl/>
        </w:rPr>
        <w:t xml:space="preserve">ס' </w:t>
      </w:r>
      <w:r w:rsidR="00FB2546" w:rsidRPr="00814058">
        <w:rPr>
          <w:rFonts w:cs="David" w:hint="cs"/>
          <w:sz w:val="24"/>
          <w:szCs w:val="24"/>
          <w:rtl/>
        </w:rPr>
        <w:t>10 כפוף להוכחת</w:t>
      </w:r>
      <w:r w:rsidR="00A52AE1">
        <w:rPr>
          <w:rFonts w:cs="David" w:hint="cs"/>
          <w:b/>
          <w:bCs/>
          <w:sz w:val="24"/>
          <w:szCs w:val="24"/>
          <w:rtl/>
        </w:rPr>
        <w:t xml:space="preserve"> שיעור הנזק </w:t>
      </w:r>
      <w:r w:rsidR="00FB2546">
        <w:rPr>
          <w:rFonts w:cs="David" w:hint="cs"/>
          <w:b/>
          <w:bCs/>
          <w:sz w:val="24"/>
          <w:szCs w:val="24"/>
          <w:rtl/>
        </w:rPr>
        <w:t>(בוודאות סבירה)</w:t>
      </w:r>
      <w:r w:rsidR="009B04CB">
        <w:rPr>
          <w:rFonts w:cs="David" w:hint="cs"/>
          <w:sz w:val="24"/>
          <w:szCs w:val="24"/>
          <w:rtl/>
        </w:rPr>
        <w:t xml:space="preserve"> כשבמקרה דנן הוא ברור כוון </w:t>
      </w:r>
      <w:r w:rsidR="008B7BC7">
        <w:rPr>
          <w:rFonts w:cs="David" w:hint="cs"/>
          <w:sz w:val="24"/>
          <w:szCs w:val="24"/>
          <w:rtl/>
        </w:rPr>
        <w:t>שרני השקיע כספים בהכנת החנויות</w:t>
      </w:r>
      <w:r w:rsidR="00CB095A">
        <w:rPr>
          <w:rFonts w:cs="David" w:hint="cs"/>
          <w:sz w:val="24"/>
          <w:szCs w:val="24"/>
          <w:rtl/>
        </w:rPr>
        <w:t>.</w:t>
      </w:r>
      <w:r w:rsidR="009B04CB">
        <w:rPr>
          <w:rFonts w:cs="David" w:hint="cs"/>
          <w:sz w:val="24"/>
          <w:szCs w:val="24"/>
          <w:rtl/>
        </w:rPr>
        <w:t xml:space="preserve"> </w:t>
      </w:r>
      <w:r w:rsidR="00887687" w:rsidRPr="0012151C">
        <w:rPr>
          <w:rFonts w:cs="David" w:hint="cs"/>
          <w:sz w:val="24"/>
          <w:szCs w:val="24"/>
          <w:rtl/>
        </w:rPr>
        <w:t xml:space="preserve">בפס"ד </w:t>
      </w:r>
      <w:proofErr w:type="spellStart"/>
      <w:r w:rsidR="00887687" w:rsidRPr="0012151C">
        <w:rPr>
          <w:rFonts w:cs="David" w:hint="cs"/>
          <w:sz w:val="24"/>
          <w:szCs w:val="24"/>
          <w:rtl/>
        </w:rPr>
        <w:t>אנסימוב</w:t>
      </w:r>
      <w:proofErr w:type="spellEnd"/>
      <w:r w:rsidR="00887687" w:rsidRPr="0012151C">
        <w:rPr>
          <w:rStyle w:val="a8"/>
          <w:rFonts w:cs="David"/>
          <w:sz w:val="24"/>
          <w:szCs w:val="24"/>
          <w:rtl/>
        </w:rPr>
        <w:footnoteReference w:id="7"/>
      </w:r>
      <w:r w:rsidR="00554A0F">
        <w:rPr>
          <w:rFonts w:cs="David" w:hint="cs"/>
          <w:sz w:val="24"/>
          <w:szCs w:val="24"/>
          <w:rtl/>
        </w:rPr>
        <w:t xml:space="preserve"> </w:t>
      </w:r>
      <w:r w:rsidR="00034C30">
        <w:rPr>
          <w:rFonts w:cs="David" w:hint="cs"/>
          <w:sz w:val="24"/>
          <w:szCs w:val="24"/>
          <w:rtl/>
        </w:rPr>
        <w:t>נקבע ש</w:t>
      </w:r>
      <w:r w:rsidR="000B27E5">
        <w:rPr>
          <w:rFonts w:cs="David" w:hint="cs"/>
          <w:sz w:val="24"/>
          <w:szCs w:val="24"/>
          <w:rtl/>
        </w:rPr>
        <w:t>-</w:t>
      </w:r>
      <w:r w:rsidR="00034C30">
        <w:rPr>
          <w:rFonts w:cs="David" w:hint="cs"/>
          <w:sz w:val="24"/>
          <w:szCs w:val="24"/>
          <w:rtl/>
        </w:rPr>
        <w:t>4 היסודות מגיעים ב</w:t>
      </w:r>
      <w:r w:rsidR="000B27E5">
        <w:rPr>
          <w:rFonts w:cs="David" w:hint="cs"/>
          <w:sz w:val="24"/>
          <w:szCs w:val="24"/>
          <w:rtl/>
        </w:rPr>
        <w:t>-</w:t>
      </w:r>
      <w:r w:rsidR="00034C30">
        <w:rPr>
          <w:rFonts w:cs="David" w:hint="cs"/>
          <w:sz w:val="24"/>
          <w:szCs w:val="24"/>
          <w:rtl/>
        </w:rPr>
        <w:t>2 שלבים</w:t>
      </w:r>
      <w:r w:rsidR="002645A6" w:rsidRPr="0012151C">
        <w:rPr>
          <w:rFonts w:cs="David" w:hint="cs"/>
          <w:sz w:val="24"/>
          <w:szCs w:val="24"/>
          <w:rtl/>
        </w:rPr>
        <w:t xml:space="preserve"> </w:t>
      </w:r>
      <w:r w:rsidR="002645A6" w:rsidRPr="0012151C">
        <w:rPr>
          <w:rFonts w:cs="David"/>
          <w:sz w:val="24"/>
          <w:szCs w:val="24"/>
          <w:rtl/>
        </w:rPr>
        <w:t>–</w:t>
      </w:r>
      <w:r w:rsidR="000B27E5">
        <w:rPr>
          <w:rFonts w:cs="David" w:hint="cs"/>
          <w:sz w:val="24"/>
          <w:szCs w:val="24"/>
          <w:rtl/>
        </w:rPr>
        <w:t xml:space="preserve"> </w:t>
      </w:r>
      <w:r w:rsidR="00AE5F3B">
        <w:rPr>
          <w:rFonts w:cs="David" w:hint="cs"/>
          <w:sz w:val="24"/>
          <w:szCs w:val="24"/>
          <w:rtl/>
        </w:rPr>
        <w:t xml:space="preserve">בשלב הראשון קביעת מידתו והיקפו של הנזק </w:t>
      </w:r>
      <w:r w:rsidR="00DB5970" w:rsidRPr="000B27E5">
        <w:rPr>
          <w:rFonts w:cs="David" w:hint="cs"/>
          <w:sz w:val="24"/>
          <w:szCs w:val="24"/>
          <w:rtl/>
        </w:rPr>
        <w:t>(</w:t>
      </w:r>
      <w:r w:rsidR="002645A6" w:rsidRPr="00DB5970">
        <w:rPr>
          <w:rFonts w:cs="David" w:hint="cs"/>
          <w:b/>
          <w:bCs/>
          <w:sz w:val="24"/>
          <w:szCs w:val="24"/>
          <w:rtl/>
        </w:rPr>
        <w:t>תיחום</w:t>
      </w:r>
      <w:r w:rsidR="002645A6" w:rsidRPr="00DB5970">
        <w:rPr>
          <w:rFonts w:cs="David" w:hint="cs"/>
          <w:sz w:val="24"/>
          <w:szCs w:val="24"/>
          <w:rtl/>
        </w:rPr>
        <w:t>)</w:t>
      </w:r>
      <w:r w:rsidR="002645A6" w:rsidRPr="0012151C">
        <w:rPr>
          <w:rFonts w:cs="David" w:hint="cs"/>
          <w:sz w:val="24"/>
          <w:szCs w:val="24"/>
          <w:rtl/>
        </w:rPr>
        <w:t xml:space="preserve"> על סמך יסודות הסיבתיות והצפיות </w:t>
      </w:r>
      <w:r w:rsidR="00B60969" w:rsidRPr="0012151C">
        <w:rPr>
          <w:rFonts w:cs="David" w:hint="cs"/>
          <w:sz w:val="24"/>
          <w:szCs w:val="24"/>
          <w:rtl/>
        </w:rPr>
        <w:t xml:space="preserve">(במקרה דנן </w:t>
      </w:r>
      <w:r w:rsidR="002645A6" w:rsidRPr="0012151C">
        <w:rPr>
          <w:rFonts w:cs="David" w:hint="cs"/>
          <w:sz w:val="24"/>
          <w:szCs w:val="24"/>
          <w:rtl/>
        </w:rPr>
        <w:t xml:space="preserve">הוכחתי לעיל), ובשלב </w:t>
      </w:r>
      <w:r w:rsidR="00C02679" w:rsidRPr="00CB095A">
        <w:rPr>
          <w:rFonts w:cs="David" w:hint="cs"/>
          <w:sz w:val="24"/>
          <w:szCs w:val="24"/>
          <w:rtl/>
        </w:rPr>
        <w:t xml:space="preserve">השני </w:t>
      </w:r>
      <w:r w:rsidR="00C02679">
        <w:rPr>
          <w:rFonts w:cs="David" w:hint="cs"/>
          <w:sz w:val="24"/>
          <w:szCs w:val="24"/>
          <w:u w:val="single"/>
          <w:rtl/>
        </w:rPr>
        <w:t xml:space="preserve">קביעת שיעור </w:t>
      </w:r>
      <w:r w:rsidR="00AE5F3B">
        <w:rPr>
          <w:rFonts w:cs="David" w:hint="cs"/>
          <w:sz w:val="24"/>
          <w:szCs w:val="24"/>
          <w:u w:val="single"/>
          <w:rtl/>
        </w:rPr>
        <w:t>הפיצויים</w:t>
      </w:r>
      <w:r w:rsidR="00AE5F3B">
        <w:rPr>
          <w:rFonts w:cs="David" w:hint="cs"/>
          <w:sz w:val="24"/>
          <w:szCs w:val="24"/>
          <w:rtl/>
        </w:rPr>
        <w:t xml:space="preserve"> </w:t>
      </w:r>
      <w:r w:rsidR="00DB5970" w:rsidRPr="00CB095A">
        <w:rPr>
          <w:rFonts w:cs="David" w:hint="cs"/>
          <w:sz w:val="24"/>
          <w:szCs w:val="24"/>
          <w:rtl/>
        </w:rPr>
        <w:t>(</w:t>
      </w:r>
      <w:r w:rsidR="00DB5970" w:rsidRPr="00CB095A">
        <w:rPr>
          <w:rFonts w:cs="David" w:hint="cs"/>
          <w:b/>
          <w:bCs/>
          <w:sz w:val="24"/>
          <w:szCs w:val="24"/>
          <w:rtl/>
        </w:rPr>
        <w:t>כ</w:t>
      </w:r>
      <w:r w:rsidR="00DB5970">
        <w:rPr>
          <w:rFonts w:cs="David" w:hint="cs"/>
          <w:b/>
          <w:bCs/>
          <w:sz w:val="24"/>
          <w:szCs w:val="24"/>
          <w:rtl/>
        </w:rPr>
        <w:t>ימות</w:t>
      </w:r>
      <w:r w:rsidR="002645A6" w:rsidRPr="0012151C">
        <w:rPr>
          <w:rFonts w:cs="David" w:hint="cs"/>
          <w:sz w:val="24"/>
          <w:szCs w:val="24"/>
          <w:rtl/>
        </w:rPr>
        <w:t>). העיקרון המוביל בקביעת שיעור הפיצויי</w:t>
      </w:r>
      <w:r w:rsidR="00AE5F3B">
        <w:rPr>
          <w:rFonts w:cs="David" w:hint="cs"/>
          <w:sz w:val="24"/>
          <w:szCs w:val="24"/>
          <w:rtl/>
        </w:rPr>
        <w:t xml:space="preserve">ם הוא </w:t>
      </w:r>
      <w:r w:rsidR="00F82435">
        <w:rPr>
          <w:rFonts w:cs="David" w:hint="cs"/>
          <w:sz w:val="24"/>
          <w:szCs w:val="24"/>
          <w:rtl/>
        </w:rPr>
        <w:t>"השבת ה</w:t>
      </w:r>
      <w:r w:rsidR="00AF702D">
        <w:rPr>
          <w:rFonts w:cs="David" w:hint="cs"/>
          <w:sz w:val="24"/>
          <w:szCs w:val="24"/>
          <w:rtl/>
        </w:rPr>
        <w:t>מצב לקדמותו".</w:t>
      </w:r>
      <w:r w:rsidR="00DD310B" w:rsidRPr="0012151C">
        <w:rPr>
          <w:rFonts w:cs="David" w:hint="cs"/>
          <w:sz w:val="24"/>
          <w:szCs w:val="24"/>
          <w:rtl/>
        </w:rPr>
        <w:t xml:space="preserve"> הפיצויים הם </w:t>
      </w:r>
      <w:r w:rsidR="00DD310B" w:rsidRPr="0012151C">
        <w:rPr>
          <w:rFonts w:cs="David" w:hint="cs"/>
          <w:b/>
          <w:bCs/>
          <w:sz w:val="24"/>
          <w:szCs w:val="24"/>
          <w:rtl/>
        </w:rPr>
        <w:t>פיצוי קיום</w:t>
      </w:r>
      <w:r w:rsidR="00A5411B" w:rsidRPr="0012151C">
        <w:rPr>
          <w:rFonts w:cs="David" w:hint="cs"/>
          <w:sz w:val="24"/>
          <w:szCs w:val="24"/>
          <w:rtl/>
        </w:rPr>
        <w:t xml:space="preserve"> - </w:t>
      </w:r>
      <w:r w:rsidR="00A5411B" w:rsidRPr="0012151C">
        <w:rPr>
          <w:rFonts w:cs="David"/>
          <w:sz w:val="24"/>
          <w:szCs w:val="24"/>
          <w:rtl/>
        </w:rPr>
        <w:t>המעמיד</w:t>
      </w:r>
      <w:r w:rsidR="00A5411B" w:rsidRPr="0012151C">
        <w:rPr>
          <w:rFonts w:cs="David" w:hint="cs"/>
          <w:sz w:val="24"/>
          <w:szCs w:val="24"/>
          <w:rtl/>
        </w:rPr>
        <w:t>ים</w:t>
      </w:r>
      <w:r w:rsidR="00A5411B" w:rsidRPr="0012151C">
        <w:rPr>
          <w:rFonts w:cs="David"/>
          <w:sz w:val="24"/>
          <w:szCs w:val="24"/>
          <w:rtl/>
        </w:rPr>
        <w:t xml:space="preserve"> את ה</w:t>
      </w:r>
      <w:r w:rsidR="00AF702D">
        <w:rPr>
          <w:rFonts w:cs="David"/>
          <w:sz w:val="24"/>
          <w:szCs w:val="24"/>
          <w:rtl/>
        </w:rPr>
        <w:t xml:space="preserve">מתקשר במצב בו היה נתון </w:t>
      </w:r>
      <w:r w:rsidR="00A5411B" w:rsidRPr="007B3B30">
        <w:rPr>
          <w:rFonts w:cs="David"/>
          <w:sz w:val="24"/>
          <w:szCs w:val="24"/>
          <w:rtl/>
        </w:rPr>
        <w:t xml:space="preserve">אלמלא </w:t>
      </w:r>
      <w:r w:rsidR="00A5411B" w:rsidRPr="0012151C">
        <w:rPr>
          <w:rFonts w:cs="David"/>
          <w:sz w:val="24"/>
          <w:szCs w:val="24"/>
          <w:u w:val="single"/>
          <w:rtl/>
        </w:rPr>
        <w:t>הופר החוזה</w:t>
      </w:r>
      <w:r w:rsidR="00FB2546">
        <w:rPr>
          <w:rFonts w:cs="David" w:hint="cs"/>
          <w:sz w:val="24"/>
          <w:szCs w:val="24"/>
          <w:rtl/>
        </w:rPr>
        <w:t xml:space="preserve">. </w:t>
      </w:r>
      <w:r w:rsidR="000E173D" w:rsidRPr="0012151C">
        <w:rPr>
          <w:rFonts w:cs="David" w:hint="cs"/>
          <w:sz w:val="24"/>
          <w:szCs w:val="24"/>
          <w:rtl/>
        </w:rPr>
        <w:t>אולם במקרה דנן, רני</w:t>
      </w:r>
      <w:r w:rsidR="00DD310B" w:rsidRPr="0012151C">
        <w:rPr>
          <w:rFonts w:cs="David" w:hint="cs"/>
          <w:sz w:val="24"/>
          <w:szCs w:val="24"/>
          <w:rtl/>
        </w:rPr>
        <w:t xml:space="preserve"> מצוי </w:t>
      </w:r>
      <w:r w:rsidR="00DD310B" w:rsidRPr="0012151C">
        <w:rPr>
          <w:rFonts w:cs="David" w:hint="cs"/>
          <w:b/>
          <w:bCs/>
          <w:sz w:val="24"/>
          <w:szCs w:val="24"/>
          <w:rtl/>
        </w:rPr>
        <w:t xml:space="preserve">בחוזה </w:t>
      </w:r>
      <w:r w:rsidR="00DD310B" w:rsidRPr="001F27E8">
        <w:rPr>
          <w:rFonts w:cs="David" w:hint="cs"/>
          <w:b/>
          <w:bCs/>
          <w:sz w:val="24"/>
          <w:szCs w:val="24"/>
          <w:rtl/>
        </w:rPr>
        <w:t>הפסד</w:t>
      </w:r>
      <w:r w:rsidR="001F27E8">
        <w:rPr>
          <w:rFonts w:cs="David" w:hint="cs"/>
          <w:sz w:val="24"/>
          <w:szCs w:val="24"/>
          <w:rtl/>
        </w:rPr>
        <w:t xml:space="preserve">. </w:t>
      </w:r>
      <w:r w:rsidR="00B7183A" w:rsidRPr="001F27E8">
        <w:rPr>
          <w:rFonts w:cs="David" w:hint="cs"/>
          <w:sz w:val="24"/>
          <w:szCs w:val="24"/>
          <w:rtl/>
        </w:rPr>
        <w:t>התמורה</w:t>
      </w:r>
      <w:r w:rsidR="00B7183A" w:rsidRPr="0012151C">
        <w:rPr>
          <w:rFonts w:cs="David" w:hint="cs"/>
          <w:sz w:val="24"/>
          <w:szCs w:val="24"/>
          <w:rtl/>
        </w:rPr>
        <w:t xml:space="preserve"> </w:t>
      </w:r>
      <w:r w:rsidR="00B7183A" w:rsidRPr="00A315EE">
        <w:rPr>
          <w:rFonts w:cs="David" w:hint="cs"/>
          <w:sz w:val="24"/>
          <w:szCs w:val="24"/>
          <w:rtl/>
        </w:rPr>
        <w:t>שס</w:t>
      </w:r>
      <w:r w:rsidR="008E4352" w:rsidRPr="00A315EE">
        <w:rPr>
          <w:rFonts w:cs="David" w:hint="cs"/>
          <w:sz w:val="24"/>
          <w:szCs w:val="24"/>
          <w:rtl/>
        </w:rPr>
        <w:t>ו</w:t>
      </w:r>
      <w:r w:rsidR="00B7183A" w:rsidRPr="00A315EE">
        <w:rPr>
          <w:rFonts w:cs="David" w:hint="cs"/>
          <w:sz w:val="24"/>
          <w:szCs w:val="24"/>
          <w:rtl/>
        </w:rPr>
        <w:t>כמה</w:t>
      </w:r>
      <w:r w:rsidR="00B7183A" w:rsidRPr="0012151C">
        <w:rPr>
          <w:rFonts w:cs="David" w:hint="cs"/>
          <w:sz w:val="24"/>
          <w:szCs w:val="24"/>
          <w:rtl/>
        </w:rPr>
        <w:t xml:space="preserve"> בינו ובין</w:t>
      </w:r>
      <w:r w:rsidR="00106E4E">
        <w:rPr>
          <w:rFonts w:cs="David" w:hint="cs"/>
          <w:sz w:val="24"/>
          <w:szCs w:val="24"/>
          <w:rtl/>
        </w:rPr>
        <w:t xml:space="preserve"> אלכסנדר עומדת על 9 מיליון</w:t>
      </w:r>
      <w:r w:rsidR="001F27E8">
        <w:rPr>
          <w:rFonts w:cs="David" w:hint="cs"/>
          <w:sz w:val="24"/>
          <w:szCs w:val="24"/>
          <w:rtl/>
        </w:rPr>
        <w:t xml:space="preserve">₪ </w:t>
      </w:r>
      <w:r w:rsidR="00DD310B" w:rsidRPr="0012151C">
        <w:rPr>
          <w:rFonts w:cs="David" w:hint="cs"/>
          <w:sz w:val="24"/>
          <w:szCs w:val="24"/>
          <w:rtl/>
        </w:rPr>
        <w:t xml:space="preserve">בעוד </w:t>
      </w:r>
      <w:r w:rsidR="008E4352">
        <w:rPr>
          <w:rFonts w:cs="David" w:hint="cs"/>
          <w:sz w:val="24"/>
          <w:szCs w:val="24"/>
          <w:rtl/>
        </w:rPr>
        <w:t>ש</w:t>
      </w:r>
      <w:r w:rsidR="00DD310B" w:rsidRPr="0012151C">
        <w:rPr>
          <w:rFonts w:cs="David" w:hint="cs"/>
          <w:sz w:val="24"/>
          <w:szCs w:val="24"/>
          <w:rtl/>
        </w:rPr>
        <w:t xml:space="preserve">בפועל </w:t>
      </w:r>
      <w:r w:rsidR="00106E4E">
        <w:rPr>
          <w:rFonts w:cs="David" w:hint="cs"/>
          <w:sz w:val="24"/>
          <w:szCs w:val="24"/>
          <w:rtl/>
        </w:rPr>
        <w:t>עמדו הוצאותיו על 9.5 מיליון</w:t>
      </w:r>
      <w:r w:rsidR="001F27E8">
        <w:rPr>
          <w:rFonts w:cs="David" w:hint="cs"/>
          <w:sz w:val="24"/>
          <w:szCs w:val="24"/>
          <w:rtl/>
        </w:rPr>
        <w:t>₪</w:t>
      </w:r>
      <w:r w:rsidR="00DD310B" w:rsidRPr="0012151C">
        <w:rPr>
          <w:rFonts w:cs="David" w:hint="cs"/>
          <w:sz w:val="24"/>
          <w:szCs w:val="24"/>
          <w:rtl/>
        </w:rPr>
        <w:t xml:space="preserve"> וזאת מבלי לכלול את הרווח שהיה צפוי להניב מן העסקה. במקרה של חוזה הפסד עדיף לרני לתבוע ל</w:t>
      </w:r>
      <w:r w:rsidR="00DD310B" w:rsidRPr="0012151C">
        <w:rPr>
          <w:rFonts w:cs="David" w:hint="cs"/>
          <w:b/>
          <w:bCs/>
          <w:sz w:val="24"/>
          <w:szCs w:val="24"/>
          <w:rtl/>
        </w:rPr>
        <w:t>פיצוי הסתמכות</w:t>
      </w:r>
      <w:r w:rsidR="00106E4E">
        <w:rPr>
          <w:rFonts w:cs="David" w:hint="cs"/>
          <w:sz w:val="24"/>
          <w:szCs w:val="24"/>
          <w:rtl/>
        </w:rPr>
        <w:t xml:space="preserve"> </w:t>
      </w:r>
      <w:r w:rsidR="00677256">
        <w:rPr>
          <w:rFonts w:cs="David" w:hint="cs"/>
          <w:sz w:val="24"/>
          <w:szCs w:val="24"/>
          <w:rtl/>
        </w:rPr>
        <w:t>שיעמידו</w:t>
      </w:r>
      <w:r w:rsidR="00924A21">
        <w:rPr>
          <w:rFonts w:cs="David" w:hint="cs"/>
          <w:sz w:val="24"/>
          <w:szCs w:val="24"/>
          <w:rtl/>
        </w:rPr>
        <w:t xml:space="preserve"> אותו</w:t>
      </w:r>
      <w:r w:rsidR="00B7183A" w:rsidRPr="0012151C">
        <w:rPr>
          <w:rFonts w:cs="David" w:hint="cs"/>
          <w:sz w:val="24"/>
          <w:szCs w:val="24"/>
          <w:rtl/>
        </w:rPr>
        <w:t xml:space="preserve"> במצב בו היה </w:t>
      </w:r>
      <w:r w:rsidR="00B7183A" w:rsidRPr="007B3B30">
        <w:rPr>
          <w:rFonts w:cs="David" w:hint="cs"/>
          <w:sz w:val="24"/>
          <w:szCs w:val="24"/>
          <w:rtl/>
        </w:rPr>
        <w:t xml:space="preserve">לולא </w:t>
      </w:r>
      <w:r w:rsidR="00B7183A" w:rsidRPr="0012151C">
        <w:rPr>
          <w:rFonts w:cs="David" w:hint="cs"/>
          <w:sz w:val="24"/>
          <w:szCs w:val="24"/>
          <w:u w:val="single"/>
          <w:rtl/>
        </w:rPr>
        <w:t>נכרת החוזה</w:t>
      </w:r>
      <w:r w:rsidR="00B7183A" w:rsidRPr="008E4352">
        <w:rPr>
          <w:rFonts w:cs="David" w:hint="cs"/>
          <w:sz w:val="24"/>
          <w:szCs w:val="24"/>
          <w:rtl/>
        </w:rPr>
        <w:t>.</w:t>
      </w:r>
      <w:r w:rsidR="00FB7DB5" w:rsidRPr="0012151C">
        <w:rPr>
          <w:rFonts w:cs="David" w:hint="cs"/>
          <w:sz w:val="24"/>
          <w:szCs w:val="24"/>
          <w:rtl/>
        </w:rPr>
        <w:t xml:space="preserve"> </w:t>
      </w:r>
      <w:r w:rsidR="00677256">
        <w:rPr>
          <w:rFonts w:cs="David" w:hint="cs"/>
          <w:sz w:val="24"/>
          <w:szCs w:val="24"/>
          <w:rtl/>
        </w:rPr>
        <w:t xml:space="preserve">רני יבקש ללכת </w:t>
      </w:r>
      <w:r w:rsidR="00106E4E">
        <w:rPr>
          <w:rFonts w:cs="David" w:hint="cs"/>
          <w:sz w:val="24"/>
          <w:szCs w:val="24"/>
          <w:rtl/>
        </w:rPr>
        <w:t xml:space="preserve">ע"פ </w:t>
      </w:r>
      <w:r w:rsidR="00677256">
        <w:rPr>
          <w:rFonts w:cs="David" w:hint="cs"/>
          <w:sz w:val="24"/>
          <w:szCs w:val="24"/>
          <w:rtl/>
        </w:rPr>
        <w:t xml:space="preserve">גישת </w:t>
      </w:r>
      <w:r w:rsidR="000E173D" w:rsidRPr="0012151C">
        <w:rPr>
          <w:rFonts w:cs="David" w:hint="cs"/>
          <w:sz w:val="24"/>
          <w:szCs w:val="24"/>
          <w:rtl/>
        </w:rPr>
        <w:t>השופט חשין בפ</w:t>
      </w:r>
      <w:r w:rsidR="00DB5970">
        <w:rPr>
          <w:rFonts w:cs="David" w:hint="cs"/>
          <w:sz w:val="24"/>
          <w:szCs w:val="24"/>
          <w:rtl/>
        </w:rPr>
        <w:t>ס"ד צוקים</w:t>
      </w:r>
      <w:r w:rsidR="000E173D" w:rsidRPr="0012151C">
        <w:rPr>
          <w:rStyle w:val="a8"/>
          <w:rFonts w:cs="David"/>
          <w:sz w:val="24"/>
          <w:szCs w:val="24"/>
          <w:rtl/>
        </w:rPr>
        <w:footnoteReference w:id="8"/>
      </w:r>
      <w:r w:rsidR="00CB095A">
        <w:rPr>
          <w:rFonts w:cs="David" w:hint="cs"/>
          <w:sz w:val="24"/>
          <w:szCs w:val="24"/>
          <w:rtl/>
        </w:rPr>
        <w:t>. הוא יתבע</w:t>
      </w:r>
      <w:r w:rsidR="00677256">
        <w:rPr>
          <w:rFonts w:cs="David" w:hint="cs"/>
          <w:sz w:val="24"/>
          <w:szCs w:val="24"/>
          <w:rtl/>
        </w:rPr>
        <w:t xml:space="preserve"> פיצוי עבור 9.5 מיליון₪ שהוציא תו</w:t>
      </w:r>
      <w:r w:rsidR="001C6097">
        <w:rPr>
          <w:rFonts w:cs="David" w:hint="cs"/>
          <w:sz w:val="24"/>
          <w:szCs w:val="24"/>
          <w:rtl/>
        </w:rPr>
        <w:t xml:space="preserve">ך הסתמכות על החוזה </w:t>
      </w:r>
      <w:r w:rsidR="00BB31D0">
        <w:rPr>
          <w:rFonts w:cs="David" w:hint="cs"/>
          <w:sz w:val="24"/>
          <w:szCs w:val="24"/>
          <w:rtl/>
        </w:rPr>
        <w:t>(הפסד השקעה בפועל)</w:t>
      </w:r>
      <w:r w:rsidR="00F30968">
        <w:rPr>
          <w:rFonts w:cs="David" w:hint="cs"/>
          <w:sz w:val="24"/>
          <w:szCs w:val="24"/>
          <w:rtl/>
        </w:rPr>
        <w:t>, וכן את אובדן הרווח</w:t>
      </w:r>
      <w:r w:rsidR="00BB31D0">
        <w:rPr>
          <w:rFonts w:cs="David" w:hint="cs"/>
          <w:sz w:val="24"/>
          <w:szCs w:val="24"/>
          <w:rtl/>
        </w:rPr>
        <w:t xml:space="preserve"> שנבע עקב אובדן הזדמנות לעסקה חלופית</w:t>
      </w:r>
      <w:r w:rsidR="00DA3D43">
        <w:rPr>
          <w:rStyle w:val="a8"/>
          <w:rFonts w:cs="David"/>
          <w:sz w:val="24"/>
          <w:szCs w:val="24"/>
          <w:rtl/>
        </w:rPr>
        <w:footnoteReference w:id="9"/>
      </w:r>
      <w:r w:rsidR="001C6097">
        <w:rPr>
          <w:rFonts w:cs="David" w:hint="cs"/>
          <w:sz w:val="24"/>
          <w:szCs w:val="24"/>
          <w:rtl/>
        </w:rPr>
        <w:t xml:space="preserve">.לפי </w:t>
      </w:r>
      <w:r w:rsidR="00DA3D43">
        <w:rPr>
          <w:rFonts w:cs="David" w:hint="cs"/>
          <w:sz w:val="24"/>
          <w:szCs w:val="24"/>
          <w:rtl/>
        </w:rPr>
        <w:t>חשין פיצוי ההסתמכות עומדים בפני עצמם, ו</w:t>
      </w:r>
      <w:r w:rsidR="00F57023">
        <w:rPr>
          <w:rFonts w:cs="David" w:hint="cs"/>
          <w:sz w:val="24"/>
          <w:szCs w:val="24"/>
          <w:rtl/>
        </w:rPr>
        <w:t xml:space="preserve">יש לראות את </w:t>
      </w:r>
      <w:r w:rsidR="000567E5" w:rsidRPr="0012151C">
        <w:rPr>
          <w:rFonts w:cs="David" w:hint="cs"/>
          <w:sz w:val="24"/>
          <w:szCs w:val="24"/>
          <w:rtl/>
        </w:rPr>
        <w:t xml:space="preserve">נזקי ההסתמכות כהשקעה שהפכה לנזק לאחר </w:t>
      </w:r>
      <w:r w:rsidR="00106E4E">
        <w:rPr>
          <w:rFonts w:cs="David" w:hint="cs"/>
          <w:sz w:val="24"/>
          <w:szCs w:val="24"/>
          <w:rtl/>
        </w:rPr>
        <w:t xml:space="preserve">הפרת החוזה, </w:t>
      </w:r>
      <w:r w:rsidR="00106E4E" w:rsidRPr="00AE5F3B">
        <w:rPr>
          <w:rFonts w:cs="David" w:hint="cs"/>
          <w:sz w:val="24"/>
          <w:szCs w:val="24"/>
          <w:u w:val="single"/>
          <w:rtl/>
        </w:rPr>
        <w:t xml:space="preserve">כך שמתקיים </w:t>
      </w:r>
      <w:proofErr w:type="spellStart"/>
      <w:r w:rsidR="00106E4E" w:rsidRPr="00AE5F3B">
        <w:rPr>
          <w:rFonts w:cs="David" w:hint="cs"/>
          <w:sz w:val="24"/>
          <w:szCs w:val="24"/>
          <w:u w:val="single"/>
          <w:rtl/>
        </w:rPr>
        <w:t>קש"ס</w:t>
      </w:r>
      <w:proofErr w:type="spellEnd"/>
      <w:r w:rsidR="00677256" w:rsidRPr="00AE5F3B">
        <w:rPr>
          <w:rFonts w:cs="David" w:hint="cs"/>
          <w:sz w:val="24"/>
          <w:szCs w:val="24"/>
          <w:u w:val="single"/>
          <w:rtl/>
        </w:rPr>
        <w:t xml:space="preserve"> בינם </w:t>
      </w:r>
      <w:r w:rsidR="000567E5" w:rsidRPr="00AE5F3B">
        <w:rPr>
          <w:rFonts w:cs="David" w:hint="cs"/>
          <w:sz w:val="24"/>
          <w:szCs w:val="24"/>
          <w:u w:val="single"/>
          <w:rtl/>
        </w:rPr>
        <w:t>לבין ההפרה</w:t>
      </w:r>
      <w:r w:rsidR="000567E5" w:rsidRPr="0012151C">
        <w:rPr>
          <w:rFonts w:cs="David" w:hint="cs"/>
          <w:sz w:val="24"/>
          <w:szCs w:val="24"/>
          <w:rtl/>
        </w:rPr>
        <w:t>.</w:t>
      </w:r>
      <w:r w:rsidR="00DA3D43">
        <w:rPr>
          <w:rFonts w:cs="David" w:hint="cs"/>
          <w:sz w:val="24"/>
          <w:szCs w:val="24"/>
          <w:rtl/>
        </w:rPr>
        <w:t xml:space="preserve"> </w:t>
      </w:r>
      <w:r w:rsidR="00337048">
        <w:rPr>
          <w:rFonts w:cs="David" w:hint="cs"/>
          <w:sz w:val="24"/>
          <w:szCs w:val="24"/>
          <w:rtl/>
        </w:rPr>
        <w:t>לעומתו, אלכס</w:t>
      </w:r>
      <w:r w:rsidR="00E62C58" w:rsidRPr="0012151C">
        <w:rPr>
          <w:rFonts w:cs="David" w:hint="cs"/>
          <w:sz w:val="24"/>
          <w:szCs w:val="24"/>
          <w:rtl/>
        </w:rPr>
        <w:t xml:space="preserve"> יתמוך דווקא בגישתו של השופט מלץ </w:t>
      </w:r>
      <w:r w:rsidR="00DA3D43">
        <w:rPr>
          <w:rFonts w:cs="David" w:hint="cs"/>
          <w:sz w:val="24"/>
          <w:szCs w:val="24"/>
          <w:rtl/>
        </w:rPr>
        <w:t xml:space="preserve">בצוקים, </w:t>
      </w:r>
      <w:r w:rsidR="00B36946">
        <w:rPr>
          <w:rFonts w:cs="David" w:hint="cs"/>
          <w:sz w:val="24"/>
          <w:szCs w:val="24"/>
          <w:rtl/>
        </w:rPr>
        <w:t>שסבר כי ס'</w:t>
      </w:r>
      <w:r w:rsidR="00E62C58" w:rsidRPr="0012151C">
        <w:rPr>
          <w:rFonts w:cs="David" w:hint="cs"/>
          <w:sz w:val="24"/>
          <w:szCs w:val="24"/>
          <w:rtl/>
        </w:rPr>
        <w:t xml:space="preserve"> 10 מקנה פיצויים </w:t>
      </w:r>
      <w:r w:rsidR="00E62C58" w:rsidRPr="00C02679">
        <w:rPr>
          <w:rFonts w:cs="David" w:hint="cs"/>
          <w:sz w:val="24"/>
          <w:szCs w:val="24"/>
          <w:rtl/>
        </w:rPr>
        <w:t xml:space="preserve">רק על נזק שנגרם </w:t>
      </w:r>
      <w:r w:rsidR="00E62C58" w:rsidRPr="00C02679">
        <w:rPr>
          <w:rFonts w:cs="David" w:hint="cs"/>
          <w:sz w:val="24"/>
          <w:szCs w:val="24"/>
          <w:u w:val="single"/>
          <w:rtl/>
        </w:rPr>
        <w:t>עקב ההפרה</w:t>
      </w:r>
      <w:r w:rsidR="00DA3D43">
        <w:rPr>
          <w:rFonts w:cs="David" w:hint="cs"/>
          <w:sz w:val="24"/>
          <w:szCs w:val="24"/>
          <w:rtl/>
        </w:rPr>
        <w:t xml:space="preserve"> </w:t>
      </w:r>
      <w:r w:rsidR="00B36946">
        <w:rPr>
          <w:rFonts w:cs="David" w:hint="cs"/>
          <w:sz w:val="24"/>
          <w:szCs w:val="24"/>
          <w:rtl/>
        </w:rPr>
        <w:t xml:space="preserve">- </w:t>
      </w:r>
      <w:r w:rsidR="00337048">
        <w:rPr>
          <w:rFonts w:cs="David" w:hint="cs"/>
          <w:sz w:val="24"/>
          <w:szCs w:val="24"/>
          <w:rtl/>
        </w:rPr>
        <w:t>אלכס</w:t>
      </w:r>
      <w:r w:rsidR="001F27E8">
        <w:rPr>
          <w:rFonts w:cs="David" w:hint="cs"/>
          <w:sz w:val="24"/>
          <w:szCs w:val="24"/>
          <w:rtl/>
        </w:rPr>
        <w:t xml:space="preserve"> לא יכול היה לצפות שרני יחרוג מההסכם ביניהם</w:t>
      </w:r>
      <w:r w:rsidR="00B36946">
        <w:rPr>
          <w:rFonts w:cs="David" w:hint="cs"/>
          <w:sz w:val="24"/>
          <w:szCs w:val="24"/>
          <w:rtl/>
        </w:rPr>
        <w:t xml:space="preserve"> כך שלא מתקיים יסוד הצפיות, ו</w:t>
      </w:r>
      <w:r w:rsidR="00E62C58" w:rsidRPr="0012151C">
        <w:rPr>
          <w:rFonts w:cs="David" w:hint="cs"/>
          <w:sz w:val="24"/>
          <w:szCs w:val="24"/>
          <w:rtl/>
        </w:rPr>
        <w:t xml:space="preserve">הוצאות ההסתמכות הן הוצאות שהוצאו עקב </w:t>
      </w:r>
      <w:r w:rsidR="00E62C58" w:rsidRPr="00F57023">
        <w:rPr>
          <w:rFonts w:cs="David" w:hint="cs"/>
          <w:sz w:val="24"/>
          <w:szCs w:val="24"/>
          <w:u w:val="single"/>
          <w:rtl/>
        </w:rPr>
        <w:t>כריתת החוזה</w:t>
      </w:r>
      <w:r w:rsidR="00E62C58" w:rsidRPr="0012151C">
        <w:rPr>
          <w:rFonts w:cs="David" w:hint="cs"/>
          <w:sz w:val="24"/>
          <w:szCs w:val="24"/>
          <w:rtl/>
        </w:rPr>
        <w:t xml:space="preserve"> ולא עקב הפרת</w:t>
      </w:r>
      <w:r w:rsidR="003246AB">
        <w:rPr>
          <w:rFonts w:cs="David" w:hint="cs"/>
          <w:sz w:val="24"/>
          <w:szCs w:val="24"/>
          <w:rtl/>
        </w:rPr>
        <w:t>ו, והן היו יוצאות</w:t>
      </w:r>
      <w:r w:rsidR="001F27E8">
        <w:rPr>
          <w:rFonts w:cs="David" w:hint="cs"/>
          <w:sz w:val="24"/>
          <w:szCs w:val="24"/>
          <w:rtl/>
        </w:rPr>
        <w:t xml:space="preserve"> מכיסו של רני </w:t>
      </w:r>
      <w:r w:rsidR="00E62C58" w:rsidRPr="0012151C">
        <w:rPr>
          <w:rFonts w:cs="David" w:hint="cs"/>
          <w:sz w:val="24"/>
          <w:szCs w:val="24"/>
          <w:rtl/>
        </w:rPr>
        <w:t>גם לולא הופר החוזה</w:t>
      </w:r>
      <w:r w:rsidR="00B36946">
        <w:rPr>
          <w:rFonts w:cs="David" w:hint="cs"/>
          <w:sz w:val="24"/>
          <w:szCs w:val="24"/>
          <w:rtl/>
        </w:rPr>
        <w:t>, כך שלא מתקיים יסוד הסיבתיות.</w:t>
      </w:r>
      <w:r w:rsidR="00106E4E">
        <w:rPr>
          <w:rFonts w:cs="David" w:hint="cs"/>
          <w:sz w:val="24"/>
          <w:szCs w:val="24"/>
          <w:rtl/>
        </w:rPr>
        <w:t xml:space="preserve"> </w:t>
      </w:r>
      <w:r w:rsidR="00F57023">
        <w:rPr>
          <w:rFonts w:cs="David" w:hint="cs"/>
          <w:sz w:val="24"/>
          <w:szCs w:val="24"/>
          <w:rtl/>
        </w:rPr>
        <w:t>מלץ סבור כי השימוש באינטרס ההסתמכות יתקיים</w:t>
      </w:r>
      <w:r w:rsidR="00106E4E">
        <w:rPr>
          <w:rFonts w:cs="David" w:hint="cs"/>
          <w:sz w:val="24"/>
          <w:szCs w:val="24"/>
          <w:rtl/>
        </w:rPr>
        <w:t xml:space="preserve"> </w:t>
      </w:r>
      <w:r w:rsidR="00106E4E">
        <w:rPr>
          <w:rFonts w:cs="David" w:hint="cs"/>
          <w:sz w:val="24"/>
          <w:szCs w:val="24"/>
          <w:rtl/>
        </w:rPr>
        <w:lastRenderedPageBreak/>
        <w:t xml:space="preserve">רק כשאין דרך </w:t>
      </w:r>
      <w:r w:rsidR="00E62C58" w:rsidRPr="0012151C">
        <w:rPr>
          <w:rFonts w:cs="David" w:hint="cs"/>
          <w:sz w:val="24"/>
          <w:szCs w:val="24"/>
          <w:rtl/>
        </w:rPr>
        <w:t xml:space="preserve">להעריך מה היה </w:t>
      </w:r>
      <w:r w:rsidR="001F27E8">
        <w:rPr>
          <w:rFonts w:cs="David" w:hint="cs"/>
          <w:sz w:val="24"/>
          <w:szCs w:val="24"/>
          <w:rtl/>
        </w:rPr>
        <w:t xml:space="preserve">אינטרס הקיום, ושאינטרס הקיום צריך לשמש גג עליון. </w:t>
      </w:r>
      <w:r w:rsidR="00AD1D4C">
        <w:rPr>
          <w:rFonts w:cs="David" w:hint="cs"/>
          <w:b/>
          <w:bCs/>
          <w:sz w:val="24"/>
          <w:szCs w:val="24"/>
          <w:u w:val="single"/>
          <w:rtl/>
        </w:rPr>
        <w:t>ס'</w:t>
      </w:r>
      <w:r w:rsidR="00955F39" w:rsidRPr="0012151C">
        <w:rPr>
          <w:rFonts w:cs="David" w:hint="cs"/>
          <w:b/>
          <w:bCs/>
          <w:sz w:val="24"/>
          <w:szCs w:val="24"/>
          <w:u w:val="single"/>
          <w:rtl/>
        </w:rPr>
        <w:t xml:space="preserve"> 13</w:t>
      </w:r>
      <w:r w:rsidR="00924A21">
        <w:rPr>
          <w:rFonts w:cs="David" w:hint="cs"/>
          <w:b/>
          <w:bCs/>
          <w:sz w:val="24"/>
          <w:szCs w:val="24"/>
          <w:u w:val="single"/>
          <w:rtl/>
        </w:rPr>
        <w:t xml:space="preserve"> לחוק</w:t>
      </w:r>
      <w:r w:rsidR="00955F39" w:rsidRPr="0012151C">
        <w:rPr>
          <w:rFonts w:cs="David" w:hint="cs"/>
          <w:b/>
          <w:bCs/>
          <w:sz w:val="24"/>
          <w:szCs w:val="24"/>
          <w:u w:val="single"/>
          <w:rtl/>
        </w:rPr>
        <w:t xml:space="preserve"> מתייחס לנזק שאינו ממוני</w:t>
      </w:r>
      <w:r w:rsidR="00955F39" w:rsidRPr="008E4352">
        <w:rPr>
          <w:rFonts w:cs="David" w:hint="cs"/>
          <w:b/>
          <w:bCs/>
          <w:sz w:val="24"/>
          <w:szCs w:val="24"/>
          <w:rtl/>
        </w:rPr>
        <w:t xml:space="preserve"> </w:t>
      </w:r>
      <w:r w:rsidR="00955F39" w:rsidRPr="008E4352">
        <w:rPr>
          <w:rFonts w:cs="David" w:hint="cs"/>
          <w:sz w:val="24"/>
          <w:szCs w:val="24"/>
          <w:rtl/>
        </w:rPr>
        <w:t xml:space="preserve">- </w:t>
      </w:r>
      <w:r w:rsidR="00955F39" w:rsidRPr="00691177">
        <w:rPr>
          <w:rFonts w:cs="David" w:hint="cs"/>
          <w:sz w:val="24"/>
          <w:szCs w:val="24"/>
          <w:rtl/>
        </w:rPr>
        <w:t>והוא נוגע לפג</w:t>
      </w:r>
      <w:r w:rsidR="00691177" w:rsidRPr="00691177">
        <w:rPr>
          <w:rFonts w:cs="David" w:hint="cs"/>
          <w:sz w:val="24"/>
          <w:szCs w:val="24"/>
          <w:rtl/>
        </w:rPr>
        <w:t xml:space="preserve">יעה נפשית </w:t>
      </w:r>
      <w:r w:rsidR="00306FEF" w:rsidRPr="00691177">
        <w:rPr>
          <w:rFonts w:cs="David" w:hint="cs"/>
          <w:sz w:val="24"/>
          <w:szCs w:val="24"/>
          <w:rtl/>
        </w:rPr>
        <w:t xml:space="preserve">שהתקיימה </w:t>
      </w:r>
      <w:r w:rsidR="00306FEF" w:rsidRPr="00691177">
        <w:rPr>
          <w:rFonts w:cs="David" w:hint="cs"/>
          <w:sz w:val="24"/>
          <w:szCs w:val="24"/>
          <w:u w:val="single"/>
          <w:rtl/>
        </w:rPr>
        <w:t>עקב</w:t>
      </w:r>
      <w:r w:rsidR="00306FEF" w:rsidRPr="00691177">
        <w:rPr>
          <w:rFonts w:cs="David" w:hint="cs"/>
          <w:sz w:val="24"/>
          <w:szCs w:val="24"/>
          <w:rtl/>
        </w:rPr>
        <w:t xml:space="preserve"> ההפר</w:t>
      </w:r>
      <w:r w:rsidR="00924A21" w:rsidRPr="00691177">
        <w:rPr>
          <w:rFonts w:cs="David" w:hint="cs"/>
          <w:sz w:val="24"/>
          <w:szCs w:val="24"/>
          <w:rtl/>
        </w:rPr>
        <w:t>ה</w:t>
      </w:r>
      <w:r w:rsidR="00691177" w:rsidRPr="00691177">
        <w:rPr>
          <w:rFonts w:cs="David" w:hint="cs"/>
          <w:sz w:val="24"/>
          <w:szCs w:val="24"/>
          <w:rtl/>
        </w:rPr>
        <w:t xml:space="preserve">. </w:t>
      </w:r>
      <w:r w:rsidR="00924A21" w:rsidRPr="00691177">
        <w:rPr>
          <w:rFonts w:cs="David" w:hint="cs"/>
          <w:sz w:val="24"/>
          <w:szCs w:val="24"/>
          <w:rtl/>
        </w:rPr>
        <w:t>רני יטען ש</w:t>
      </w:r>
      <w:r w:rsidR="00652F93" w:rsidRPr="00691177">
        <w:rPr>
          <w:rFonts w:cs="David" w:hint="cs"/>
          <w:sz w:val="24"/>
          <w:szCs w:val="24"/>
          <w:rtl/>
        </w:rPr>
        <w:t>השקיע זמן</w:t>
      </w:r>
      <w:r w:rsidR="008E4352">
        <w:rPr>
          <w:rFonts w:cs="David" w:hint="cs"/>
          <w:sz w:val="24"/>
          <w:szCs w:val="24"/>
          <w:rtl/>
        </w:rPr>
        <w:t>,</w:t>
      </w:r>
      <w:r w:rsidR="00652F93" w:rsidRPr="00691177">
        <w:rPr>
          <w:rFonts w:cs="David" w:hint="cs"/>
          <w:sz w:val="24"/>
          <w:szCs w:val="24"/>
          <w:rtl/>
        </w:rPr>
        <w:t xml:space="preserve"> אנרגיה ומא</w:t>
      </w:r>
      <w:r w:rsidR="008932B9" w:rsidRPr="00691177">
        <w:rPr>
          <w:rFonts w:cs="David" w:hint="cs"/>
          <w:sz w:val="24"/>
          <w:szCs w:val="24"/>
          <w:rtl/>
        </w:rPr>
        <w:t xml:space="preserve">מצים שלא ניתנים לכימות. </w:t>
      </w:r>
      <w:r w:rsidR="00483694" w:rsidRPr="00691177">
        <w:rPr>
          <w:rFonts w:cs="David" w:hint="cs"/>
          <w:sz w:val="24"/>
          <w:szCs w:val="24"/>
          <w:rtl/>
        </w:rPr>
        <w:t>עקב</w:t>
      </w:r>
      <w:r w:rsidR="00652F93" w:rsidRPr="00691177">
        <w:rPr>
          <w:rFonts w:cs="David" w:hint="cs"/>
          <w:sz w:val="24"/>
          <w:szCs w:val="24"/>
          <w:rtl/>
        </w:rPr>
        <w:t xml:space="preserve"> ההפרה </w:t>
      </w:r>
      <w:r w:rsidR="009B04CB">
        <w:rPr>
          <w:rFonts w:cs="David" w:hint="cs"/>
          <w:sz w:val="24"/>
          <w:szCs w:val="24"/>
          <w:rtl/>
        </w:rPr>
        <w:t xml:space="preserve">נגרמה לו </w:t>
      </w:r>
      <w:r w:rsidR="00652F93" w:rsidRPr="00691177">
        <w:rPr>
          <w:rFonts w:cs="David" w:hint="cs"/>
          <w:sz w:val="24"/>
          <w:szCs w:val="24"/>
          <w:rtl/>
        </w:rPr>
        <w:t>עוגמת נפש</w:t>
      </w:r>
      <w:r w:rsidR="00C923BD">
        <w:rPr>
          <w:rFonts w:cs="David" w:hint="cs"/>
          <w:sz w:val="24"/>
          <w:szCs w:val="24"/>
          <w:rtl/>
        </w:rPr>
        <w:t>,</w:t>
      </w:r>
      <w:r w:rsidR="00691177" w:rsidRPr="00691177">
        <w:rPr>
          <w:rFonts w:cs="David" w:hint="cs"/>
          <w:sz w:val="24"/>
          <w:szCs w:val="24"/>
          <w:rtl/>
        </w:rPr>
        <w:t xml:space="preserve"> ואלכס צריך היה לצפות זאת</w:t>
      </w:r>
      <w:r w:rsidR="009B04CB">
        <w:rPr>
          <w:rFonts w:cs="David" w:hint="cs"/>
          <w:sz w:val="24"/>
          <w:szCs w:val="24"/>
          <w:rtl/>
        </w:rPr>
        <w:t xml:space="preserve"> שכ</w:t>
      </w:r>
      <w:r w:rsidR="000E449E">
        <w:rPr>
          <w:rFonts w:cs="David" w:hint="cs"/>
          <w:sz w:val="24"/>
          <w:szCs w:val="24"/>
          <w:rtl/>
        </w:rPr>
        <w:t>ן מדובר בפרויקט בסדר גודל עצום.</w:t>
      </w:r>
      <w:r w:rsidR="00710C98" w:rsidRPr="00691177">
        <w:rPr>
          <w:rFonts w:cs="David" w:hint="cs"/>
          <w:sz w:val="24"/>
          <w:szCs w:val="24"/>
          <w:rtl/>
        </w:rPr>
        <w:t>(</w:t>
      </w:r>
      <w:r w:rsidR="00710C98" w:rsidRPr="00670B96">
        <w:rPr>
          <w:rFonts w:cs="David" w:hint="cs"/>
          <w:sz w:val="24"/>
          <w:szCs w:val="24"/>
          <w:rtl/>
        </w:rPr>
        <w:t>ראש</w:t>
      </w:r>
      <w:r w:rsidR="00710C98" w:rsidRPr="00691177">
        <w:rPr>
          <w:rFonts w:cs="David" w:hint="cs"/>
          <w:sz w:val="24"/>
          <w:szCs w:val="24"/>
          <w:rtl/>
        </w:rPr>
        <w:t xml:space="preserve"> נזק</w:t>
      </w:r>
      <w:r w:rsidR="000E449E">
        <w:rPr>
          <w:rFonts w:cs="David" w:hint="cs"/>
          <w:sz w:val="24"/>
          <w:szCs w:val="24"/>
          <w:rtl/>
        </w:rPr>
        <w:t xml:space="preserve"> שונה ולכן ידרוש זאת בנוסף לנזק </w:t>
      </w:r>
      <w:r w:rsidR="00710C98" w:rsidRPr="00691177">
        <w:rPr>
          <w:rFonts w:cs="David" w:hint="cs"/>
          <w:sz w:val="24"/>
          <w:szCs w:val="24"/>
          <w:rtl/>
        </w:rPr>
        <w:t>ממוני).</w:t>
      </w:r>
      <w:r w:rsidR="00652F93" w:rsidRPr="00691177">
        <w:rPr>
          <w:rFonts w:cs="David" w:hint="cs"/>
          <w:sz w:val="24"/>
          <w:szCs w:val="24"/>
          <w:rtl/>
        </w:rPr>
        <w:t xml:space="preserve"> </w:t>
      </w:r>
      <w:r w:rsidR="00924A21" w:rsidRPr="00691177">
        <w:rPr>
          <w:rFonts w:cs="David" w:hint="cs"/>
          <w:sz w:val="24"/>
          <w:szCs w:val="24"/>
          <w:rtl/>
        </w:rPr>
        <w:t xml:space="preserve">מנגד </w:t>
      </w:r>
      <w:r w:rsidR="00337048" w:rsidRPr="00691177">
        <w:rPr>
          <w:rFonts w:cs="David" w:hint="cs"/>
          <w:sz w:val="24"/>
          <w:szCs w:val="24"/>
          <w:rtl/>
        </w:rPr>
        <w:t>אלכס</w:t>
      </w:r>
      <w:r w:rsidR="00DB737A" w:rsidRPr="00691177">
        <w:rPr>
          <w:rFonts w:cs="David" w:hint="cs"/>
          <w:sz w:val="24"/>
          <w:szCs w:val="24"/>
          <w:rtl/>
        </w:rPr>
        <w:t xml:space="preserve"> יטען </w:t>
      </w:r>
      <w:r w:rsidR="00924A21" w:rsidRPr="00691177">
        <w:rPr>
          <w:rFonts w:cs="David" w:hint="cs"/>
          <w:sz w:val="24"/>
          <w:szCs w:val="24"/>
          <w:rtl/>
        </w:rPr>
        <w:t xml:space="preserve">שסעיף זה שמור למקרים מיוחדים </w:t>
      </w:r>
      <w:r w:rsidR="00652F93" w:rsidRPr="00691177">
        <w:rPr>
          <w:rFonts w:cs="David" w:hint="cs"/>
          <w:sz w:val="24"/>
          <w:szCs w:val="24"/>
          <w:rtl/>
        </w:rPr>
        <w:t>ולא</w:t>
      </w:r>
      <w:r w:rsidR="00924A21" w:rsidRPr="00691177">
        <w:rPr>
          <w:rFonts w:cs="David" w:hint="cs"/>
          <w:sz w:val="24"/>
          <w:szCs w:val="24"/>
          <w:rtl/>
        </w:rPr>
        <w:t xml:space="preserve"> נהוג להחילו כשמדובר במערכת יחסים עסקית </w:t>
      </w:r>
      <w:r w:rsidR="00C923BD">
        <w:rPr>
          <w:rFonts w:cs="David" w:hint="cs"/>
          <w:sz w:val="24"/>
          <w:szCs w:val="24"/>
          <w:rtl/>
        </w:rPr>
        <w:t>ובחוזה שלא נועד להניב הנאה</w:t>
      </w:r>
      <w:r w:rsidR="00652F93" w:rsidRPr="00691177">
        <w:rPr>
          <w:rFonts w:cs="David" w:hint="cs"/>
          <w:sz w:val="24"/>
          <w:szCs w:val="24"/>
          <w:rtl/>
        </w:rPr>
        <w:t>.</w:t>
      </w:r>
      <w:r w:rsidR="003F1FAC" w:rsidRPr="00691177">
        <w:rPr>
          <w:rFonts w:cs="David" w:hint="cs"/>
          <w:sz w:val="24"/>
          <w:szCs w:val="24"/>
          <w:rtl/>
        </w:rPr>
        <w:t xml:space="preserve"> </w:t>
      </w:r>
      <w:r w:rsidR="003F1FAC" w:rsidRPr="00691177">
        <w:rPr>
          <w:rFonts w:cs="David" w:hint="cs"/>
          <w:sz w:val="24"/>
          <w:szCs w:val="24"/>
          <w:u w:val="single"/>
          <w:rtl/>
        </w:rPr>
        <w:t>ל</w:t>
      </w:r>
      <w:r w:rsidR="00337048" w:rsidRPr="00691177">
        <w:rPr>
          <w:rFonts w:cs="David" w:hint="cs"/>
          <w:sz w:val="24"/>
          <w:szCs w:val="24"/>
          <w:u w:val="single"/>
          <w:rtl/>
        </w:rPr>
        <w:t xml:space="preserve">אלכס </w:t>
      </w:r>
      <w:r w:rsidR="004D48E6" w:rsidRPr="00691177">
        <w:rPr>
          <w:rFonts w:cs="David" w:hint="cs"/>
          <w:sz w:val="24"/>
          <w:szCs w:val="24"/>
          <w:u w:val="single"/>
          <w:rtl/>
        </w:rPr>
        <w:t>עומדות</w:t>
      </w:r>
      <w:r w:rsidR="00C923BD">
        <w:rPr>
          <w:rFonts w:cs="David" w:hint="cs"/>
          <w:sz w:val="24"/>
          <w:szCs w:val="24"/>
          <w:u w:val="single"/>
          <w:rtl/>
        </w:rPr>
        <w:t xml:space="preserve"> 2</w:t>
      </w:r>
      <w:r w:rsidR="00FC36E3">
        <w:rPr>
          <w:rFonts w:cs="David" w:hint="cs"/>
          <w:sz w:val="24"/>
          <w:szCs w:val="24"/>
          <w:u w:val="single"/>
          <w:rtl/>
        </w:rPr>
        <w:t xml:space="preserve"> </w:t>
      </w:r>
      <w:r w:rsidR="002058B0" w:rsidRPr="008D316C">
        <w:rPr>
          <w:rFonts w:cs="David" w:hint="cs"/>
          <w:sz w:val="24"/>
          <w:szCs w:val="24"/>
          <w:u w:val="single"/>
          <w:rtl/>
        </w:rPr>
        <w:t>טענות הגנה</w:t>
      </w:r>
      <w:r w:rsidR="00FB48D0">
        <w:rPr>
          <w:rFonts w:cs="David" w:hint="cs"/>
          <w:sz w:val="24"/>
          <w:szCs w:val="24"/>
          <w:u w:val="single"/>
          <w:rtl/>
        </w:rPr>
        <w:t xml:space="preserve"> שנבחנות בקנה מידה אובייקטיבי</w:t>
      </w:r>
      <w:r w:rsidR="002058B0">
        <w:rPr>
          <w:rFonts w:cs="David" w:hint="cs"/>
          <w:sz w:val="24"/>
          <w:szCs w:val="24"/>
          <w:rtl/>
        </w:rPr>
        <w:t>:</w:t>
      </w:r>
      <w:r w:rsidR="008E4352">
        <w:rPr>
          <w:rFonts w:cs="David" w:hint="cs"/>
          <w:sz w:val="24"/>
          <w:szCs w:val="24"/>
          <w:rtl/>
        </w:rPr>
        <w:t xml:space="preserve"> </w:t>
      </w:r>
      <w:r w:rsidR="002058B0">
        <w:rPr>
          <w:rFonts w:cs="David" w:hint="cs"/>
          <w:sz w:val="24"/>
          <w:szCs w:val="24"/>
          <w:rtl/>
        </w:rPr>
        <w:t>1.</w:t>
      </w:r>
      <w:r w:rsidR="008E4352">
        <w:rPr>
          <w:rFonts w:cs="David" w:hint="cs"/>
          <w:sz w:val="24"/>
          <w:szCs w:val="24"/>
          <w:rtl/>
        </w:rPr>
        <w:t xml:space="preserve"> </w:t>
      </w:r>
      <w:r w:rsidR="00AD1D4C">
        <w:rPr>
          <w:rFonts w:cs="David" w:hint="cs"/>
          <w:b/>
          <w:bCs/>
          <w:sz w:val="24"/>
          <w:szCs w:val="24"/>
          <w:u w:val="single"/>
          <w:rtl/>
        </w:rPr>
        <w:t>ס'</w:t>
      </w:r>
      <w:r w:rsidR="00924A21">
        <w:rPr>
          <w:rFonts w:cs="David" w:hint="cs"/>
          <w:b/>
          <w:bCs/>
          <w:sz w:val="24"/>
          <w:szCs w:val="24"/>
          <w:u w:val="single"/>
          <w:rtl/>
        </w:rPr>
        <w:t xml:space="preserve"> 14 לחוק ש</w:t>
      </w:r>
      <w:r w:rsidR="00D43283" w:rsidRPr="0012151C">
        <w:rPr>
          <w:rFonts w:cs="David" w:hint="cs"/>
          <w:b/>
          <w:bCs/>
          <w:sz w:val="24"/>
          <w:szCs w:val="24"/>
          <w:u w:val="single"/>
          <w:rtl/>
        </w:rPr>
        <w:t>מטיל נטל הקטנת הנזק על הנפגע</w:t>
      </w:r>
      <w:r w:rsidR="00AD4C3C" w:rsidRPr="008E4352">
        <w:rPr>
          <w:rFonts w:cs="David" w:hint="cs"/>
          <w:b/>
          <w:bCs/>
          <w:sz w:val="24"/>
          <w:szCs w:val="24"/>
          <w:rtl/>
        </w:rPr>
        <w:t xml:space="preserve"> </w:t>
      </w:r>
      <w:r w:rsidR="00AD4C3C" w:rsidRPr="008E4352">
        <w:rPr>
          <w:rFonts w:cs="David" w:hint="cs"/>
          <w:sz w:val="24"/>
          <w:szCs w:val="24"/>
          <w:rtl/>
        </w:rPr>
        <w:t>(</w:t>
      </w:r>
      <w:r w:rsidR="00AD4C3C" w:rsidRPr="00AD4C3C">
        <w:rPr>
          <w:rFonts w:cs="David" w:hint="cs"/>
          <w:sz w:val="24"/>
          <w:szCs w:val="24"/>
          <w:rtl/>
        </w:rPr>
        <w:t>חל מרגע ההפרה)</w:t>
      </w:r>
      <w:r w:rsidR="00D43283" w:rsidRPr="00AD4C3C">
        <w:rPr>
          <w:rFonts w:cs="David" w:hint="cs"/>
          <w:sz w:val="24"/>
          <w:szCs w:val="24"/>
          <w:rtl/>
        </w:rPr>
        <w:t>.</w:t>
      </w:r>
      <w:r w:rsidR="00D43283" w:rsidRPr="0012151C">
        <w:rPr>
          <w:rFonts w:cs="David" w:hint="cs"/>
          <w:sz w:val="24"/>
          <w:szCs w:val="24"/>
          <w:rtl/>
        </w:rPr>
        <w:t xml:space="preserve"> </w:t>
      </w:r>
      <w:r w:rsidR="004D48E6">
        <w:rPr>
          <w:rFonts w:cs="David" w:hint="cs"/>
          <w:sz w:val="24"/>
          <w:szCs w:val="24"/>
          <w:rtl/>
        </w:rPr>
        <w:t xml:space="preserve">ע"פ </w:t>
      </w:r>
      <w:r w:rsidR="00C923BD">
        <w:rPr>
          <w:rFonts w:cs="David" w:hint="cs"/>
          <w:sz w:val="24"/>
          <w:szCs w:val="24"/>
          <w:rtl/>
        </w:rPr>
        <w:t>ס'</w:t>
      </w:r>
      <w:r w:rsidR="00337048">
        <w:rPr>
          <w:rFonts w:cs="David" w:hint="cs"/>
          <w:sz w:val="24"/>
          <w:szCs w:val="24"/>
          <w:rtl/>
        </w:rPr>
        <w:t xml:space="preserve"> זה אלכס</w:t>
      </w:r>
      <w:r w:rsidR="004056AD" w:rsidRPr="0012151C">
        <w:rPr>
          <w:rFonts w:cs="David" w:hint="cs"/>
          <w:sz w:val="24"/>
          <w:szCs w:val="24"/>
          <w:rtl/>
        </w:rPr>
        <w:t xml:space="preserve"> אינו מחויב לשאת בנזקים שרני יכול היה </w:t>
      </w:r>
      <w:r w:rsidR="002058B0">
        <w:rPr>
          <w:rFonts w:cs="David" w:hint="cs"/>
          <w:sz w:val="24"/>
          <w:szCs w:val="24"/>
          <w:rtl/>
        </w:rPr>
        <w:t>להקטין או למנוע באמצעים סבירי</w:t>
      </w:r>
      <w:r w:rsidR="004D48E6">
        <w:rPr>
          <w:rFonts w:cs="David" w:hint="cs"/>
          <w:sz w:val="24"/>
          <w:szCs w:val="24"/>
          <w:rtl/>
        </w:rPr>
        <w:t>ם. הדבר נגזר</w:t>
      </w:r>
      <w:r w:rsidR="00730D29">
        <w:rPr>
          <w:rFonts w:cs="David" w:hint="cs"/>
          <w:sz w:val="24"/>
          <w:szCs w:val="24"/>
          <w:rtl/>
        </w:rPr>
        <w:t xml:space="preserve"> משיקול מוסרי</w:t>
      </w:r>
      <w:r w:rsidR="00490A15">
        <w:rPr>
          <w:rFonts w:cs="David" w:hint="cs"/>
          <w:sz w:val="24"/>
          <w:szCs w:val="24"/>
          <w:rtl/>
        </w:rPr>
        <w:t xml:space="preserve"> </w:t>
      </w:r>
      <w:r w:rsidR="00730D29">
        <w:rPr>
          <w:rFonts w:cs="David" w:hint="cs"/>
          <w:sz w:val="24"/>
          <w:szCs w:val="24"/>
          <w:rtl/>
        </w:rPr>
        <w:t>-</w:t>
      </w:r>
      <w:r w:rsidR="00490A15">
        <w:rPr>
          <w:rFonts w:cs="David" w:hint="cs"/>
          <w:sz w:val="24"/>
          <w:szCs w:val="24"/>
          <w:rtl/>
        </w:rPr>
        <w:t xml:space="preserve"> </w:t>
      </w:r>
      <w:r w:rsidR="004D48E6">
        <w:rPr>
          <w:rFonts w:cs="David" w:hint="cs"/>
          <w:sz w:val="24"/>
          <w:szCs w:val="24"/>
          <w:rtl/>
        </w:rPr>
        <w:t>כפיפות לתו"ל</w:t>
      </w:r>
      <w:r w:rsidR="00E306B0">
        <w:rPr>
          <w:rFonts w:cs="David" w:hint="cs"/>
          <w:sz w:val="24"/>
          <w:szCs w:val="24"/>
          <w:rtl/>
        </w:rPr>
        <w:t xml:space="preserve">, </w:t>
      </w:r>
      <w:r w:rsidR="002058B0">
        <w:rPr>
          <w:rFonts w:cs="David" w:hint="cs"/>
          <w:sz w:val="24"/>
          <w:szCs w:val="24"/>
          <w:rtl/>
        </w:rPr>
        <w:t>וכן</w:t>
      </w:r>
      <w:r w:rsidR="00360BA1" w:rsidRPr="0012151C">
        <w:rPr>
          <w:rFonts w:cs="David" w:hint="cs"/>
          <w:sz w:val="24"/>
          <w:szCs w:val="24"/>
          <w:rtl/>
        </w:rPr>
        <w:t xml:space="preserve"> שיקול כלכלי </w:t>
      </w:r>
      <w:r w:rsidR="004D48E6">
        <w:rPr>
          <w:rFonts w:cs="David" w:hint="cs"/>
          <w:sz w:val="24"/>
          <w:szCs w:val="24"/>
          <w:rtl/>
        </w:rPr>
        <w:t>-</w:t>
      </w:r>
      <w:r w:rsidR="00490A15">
        <w:rPr>
          <w:rFonts w:cs="David" w:hint="cs"/>
          <w:sz w:val="24"/>
          <w:szCs w:val="24"/>
          <w:rtl/>
        </w:rPr>
        <w:t xml:space="preserve"> </w:t>
      </w:r>
      <w:r w:rsidR="00767FDF">
        <w:rPr>
          <w:rFonts w:cs="David" w:hint="cs"/>
          <w:sz w:val="24"/>
          <w:szCs w:val="24"/>
          <w:rtl/>
        </w:rPr>
        <w:t>אי הקטנת הנזק הו</w:t>
      </w:r>
      <w:r w:rsidR="00360BA1" w:rsidRPr="0012151C">
        <w:rPr>
          <w:rFonts w:cs="David" w:hint="cs"/>
          <w:sz w:val="24"/>
          <w:szCs w:val="24"/>
          <w:rtl/>
        </w:rPr>
        <w:t>א בגדר בזבוז משאבים חברתיים</w:t>
      </w:r>
      <w:r w:rsidR="00AC6D3A">
        <w:rPr>
          <w:rFonts w:cs="David" w:hint="cs"/>
          <w:sz w:val="24"/>
          <w:szCs w:val="24"/>
          <w:rtl/>
        </w:rPr>
        <w:t>.</w:t>
      </w:r>
      <w:r w:rsidR="00337048">
        <w:rPr>
          <w:rFonts w:cs="David" w:hint="cs"/>
          <w:sz w:val="24"/>
          <w:szCs w:val="24"/>
          <w:rtl/>
        </w:rPr>
        <w:t xml:space="preserve"> אלכס</w:t>
      </w:r>
      <w:r w:rsidR="00924A21">
        <w:rPr>
          <w:rFonts w:cs="David" w:hint="cs"/>
          <w:sz w:val="24"/>
          <w:szCs w:val="24"/>
          <w:rtl/>
        </w:rPr>
        <w:t xml:space="preserve"> יטען שהתנהלותו של רני נגועה בחוסר תו"ל</w:t>
      </w:r>
      <w:r w:rsidR="00767FDF">
        <w:rPr>
          <w:rFonts w:cs="David" w:hint="cs"/>
          <w:sz w:val="24"/>
          <w:szCs w:val="24"/>
          <w:rtl/>
        </w:rPr>
        <w:t>.</w:t>
      </w:r>
      <w:r w:rsidR="00490A15">
        <w:rPr>
          <w:rFonts w:cs="David" w:hint="cs"/>
          <w:sz w:val="24"/>
          <w:szCs w:val="24"/>
          <w:rtl/>
        </w:rPr>
        <w:t xml:space="preserve"> </w:t>
      </w:r>
      <w:r w:rsidR="00924A21">
        <w:rPr>
          <w:rFonts w:cs="David" w:hint="cs"/>
          <w:sz w:val="24"/>
          <w:szCs w:val="24"/>
          <w:rtl/>
        </w:rPr>
        <w:t>על אף</w:t>
      </w:r>
      <w:r w:rsidR="00571E4E">
        <w:rPr>
          <w:rFonts w:cs="David" w:hint="cs"/>
          <w:sz w:val="24"/>
          <w:szCs w:val="24"/>
          <w:rtl/>
        </w:rPr>
        <w:t xml:space="preserve"> שאמר לו שהוא מתלבט לגבי פתיחת</w:t>
      </w:r>
      <w:r w:rsidR="00924A21">
        <w:rPr>
          <w:rFonts w:cs="David" w:hint="cs"/>
          <w:sz w:val="24"/>
          <w:szCs w:val="24"/>
          <w:rtl/>
        </w:rPr>
        <w:t xml:space="preserve"> החנוי</w:t>
      </w:r>
      <w:r w:rsidR="00106E4E">
        <w:rPr>
          <w:rFonts w:cs="David" w:hint="cs"/>
          <w:sz w:val="24"/>
          <w:szCs w:val="24"/>
          <w:rtl/>
        </w:rPr>
        <w:t>ות</w:t>
      </w:r>
      <w:r w:rsidR="00571E4E">
        <w:rPr>
          <w:rFonts w:cs="David" w:hint="cs"/>
          <w:sz w:val="24"/>
          <w:szCs w:val="24"/>
          <w:rtl/>
        </w:rPr>
        <w:t>,</w:t>
      </w:r>
      <w:r w:rsidR="00106E4E">
        <w:rPr>
          <w:rFonts w:cs="David" w:hint="cs"/>
          <w:sz w:val="24"/>
          <w:szCs w:val="24"/>
          <w:rtl/>
        </w:rPr>
        <w:t xml:space="preserve"> רני </w:t>
      </w:r>
      <w:r w:rsidR="00924A21">
        <w:rPr>
          <w:rFonts w:cs="David" w:hint="cs"/>
          <w:sz w:val="24"/>
          <w:szCs w:val="24"/>
          <w:rtl/>
        </w:rPr>
        <w:t xml:space="preserve">לא רק שלא עשה מאמץ </w:t>
      </w:r>
      <w:r w:rsidR="00924A21" w:rsidRPr="00767FDF">
        <w:rPr>
          <w:rFonts w:cs="David" w:hint="cs"/>
          <w:sz w:val="24"/>
          <w:szCs w:val="24"/>
          <w:rtl/>
        </w:rPr>
        <w:t xml:space="preserve">להקטנת </w:t>
      </w:r>
      <w:r w:rsidR="00924A21">
        <w:rPr>
          <w:rFonts w:cs="David" w:hint="cs"/>
          <w:sz w:val="24"/>
          <w:szCs w:val="24"/>
          <w:rtl/>
        </w:rPr>
        <w:t>הנזק אלא אף הכפיל אותו</w:t>
      </w:r>
      <w:r w:rsidR="00892DA8">
        <w:rPr>
          <w:rFonts w:cs="David" w:hint="cs"/>
          <w:sz w:val="24"/>
          <w:szCs w:val="24"/>
          <w:rtl/>
        </w:rPr>
        <w:t xml:space="preserve"> ע"י התנהלות </w:t>
      </w:r>
      <w:r w:rsidR="00892DA8" w:rsidRPr="00571E4E">
        <w:rPr>
          <w:rFonts w:cs="David" w:hint="cs"/>
          <w:b/>
          <w:bCs/>
          <w:sz w:val="24"/>
          <w:szCs w:val="24"/>
          <w:rtl/>
        </w:rPr>
        <w:t xml:space="preserve">בזבזנית </w:t>
      </w:r>
      <w:r w:rsidR="00892DA8">
        <w:rPr>
          <w:rFonts w:cs="David" w:hint="cs"/>
          <w:sz w:val="24"/>
          <w:szCs w:val="24"/>
          <w:rtl/>
        </w:rPr>
        <w:t>וה</w:t>
      </w:r>
      <w:r w:rsidR="002948C6">
        <w:rPr>
          <w:rFonts w:cs="David" w:hint="cs"/>
          <w:sz w:val="24"/>
          <w:szCs w:val="24"/>
          <w:rtl/>
        </w:rPr>
        <w:t xml:space="preserve">וציא </w:t>
      </w:r>
      <w:r w:rsidR="002948C6" w:rsidRPr="00DA3D43">
        <w:rPr>
          <w:rFonts w:cs="David" w:hint="cs"/>
          <w:sz w:val="24"/>
          <w:szCs w:val="24"/>
          <w:u w:val="single"/>
          <w:rtl/>
        </w:rPr>
        <w:t>סכום לא סביר</w:t>
      </w:r>
      <w:r w:rsidR="002948C6">
        <w:rPr>
          <w:rFonts w:cs="David" w:hint="cs"/>
          <w:sz w:val="24"/>
          <w:szCs w:val="24"/>
          <w:rtl/>
        </w:rPr>
        <w:t xml:space="preserve"> של 4.5 מיליון</w:t>
      </w:r>
      <w:r w:rsidR="00892DA8">
        <w:rPr>
          <w:rFonts w:cs="David" w:hint="cs"/>
          <w:sz w:val="24"/>
          <w:szCs w:val="24"/>
          <w:rtl/>
        </w:rPr>
        <w:t xml:space="preserve">₪ </w:t>
      </w:r>
      <w:r w:rsidR="00571E4E">
        <w:rPr>
          <w:rFonts w:cs="David" w:hint="cs"/>
          <w:sz w:val="24"/>
          <w:szCs w:val="24"/>
          <w:rtl/>
        </w:rPr>
        <w:t>בחודש אחד.</w:t>
      </w:r>
      <w:r w:rsidR="00AD4C3C">
        <w:rPr>
          <w:rFonts w:cs="David" w:hint="cs"/>
          <w:sz w:val="24"/>
          <w:szCs w:val="24"/>
          <w:rtl/>
        </w:rPr>
        <w:t xml:space="preserve"> </w:t>
      </w:r>
      <w:r w:rsidR="00892DA8">
        <w:rPr>
          <w:rFonts w:cs="David" w:hint="cs"/>
          <w:sz w:val="24"/>
          <w:szCs w:val="24"/>
          <w:rtl/>
        </w:rPr>
        <w:t xml:space="preserve">הוא יטען </w:t>
      </w:r>
      <w:r w:rsidR="004E7A32">
        <w:rPr>
          <w:rFonts w:cs="David" w:hint="cs"/>
          <w:sz w:val="24"/>
          <w:szCs w:val="24"/>
          <w:rtl/>
        </w:rPr>
        <w:t xml:space="preserve">שיש להטיל עליו את האחריות להקטנת הנזק </w:t>
      </w:r>
      <w:r w:rsidR="00892DA8">
        <w:rPr>
          <w:rFonts w:cs="David" w:hint="cs"/>
          <w:sz w:val="24"/>
          <w:szCs w:val="24"/>
          <w:rtl/>
        </w:rPr>
        <w:t>החל מה</w:t>
      </w:r>
      <w:r w:rsidR="00490A15">
        <w:rPr>
          <w:rFonts w:cs="David" w:hint="cs"/>
          <w:sz w:val="24"/>
          <w:szCs w:val="24"/>
          <w:rtl/>
        </w:rPr>
        <w:t>-</w:t>
      </w:r>
      <w:r w:rsidR="00892DA8">
        <w:rPr>
          <w:rFonts w:cs="David" w:hint="cs"/>
          <w:sz w:val="24"/>
          <w:szCs w:val="24"/>
          <w:rtl/>
        </w:rPr>
        <w:t>1.6</w:t>
      </w:r>
      <w:r w:rsidR="00730D29">
        <w:rPr>
          <w:rFonts w:cs="David" w:hint="cs"/>
          <w:sz w:val="24"/>
          <w:szCs w:val="24"/>
          <w:rtl/>
        </w:rPr>
        <w:t xml:space="preserve"> כוון שבשלב זה</w:t>
      </w:r>
      <w:r w:rsidR="00892DA8">
        <w:rPr>
          <w:rFonts w:cs="David" w:hint="cs"/>
          <w:sz w:val="24"/>
          <w:szCs w:val="24"/>
          <w:rtl/>
        </w:rPr>
        <w:t xml:space="preserve"> הצהיר</w:t>
      </w:r>
      <w:r w:rsidR="00730D29">
        <w:rPr>
          <w:rFonts w:cs="David" w:hint="cs"/>
          <w:sz w:val="24"/>
          <w:szCs w:val="24"/>
          <w:rtl/>
        </w:rPr>
        <w:t xml:space="preserve"> בפניו</w:t>
      </w:r>
      <w:r w:rsidR="004D48E6">
        <w:rPr>
          <w:rFonts w:cs="David" w:hint="cs"/>
          <w:sz w:val="24"/>
          <w:szCs w:val="24"/>
          <w:rtl/>
        </w:rPr>
        <w:t xml:space="preserve"> </w:t>
      </w:r>
      <w:r w:rsidR="00892DA8">
        <w:rPr>
          <w:rFonts w:cs="David" w:hint="cs"/>
          <w:sz w:val="24"/>
          <w:szCs w:val="24"/>
          <w:rtl/>
        </w:rPr>
        <w:t>שהוא מתלבט וניתן היה להסיק מהנסיבות שקיום החוזה ל</w:t>
      </w:r>
      <w:r w:rsidR="00730D29">
        <w:rPr>
          <w:rFonts w:cs="David" w:hint="cs"/>
          <w:sz w:val="24"/>
          <w:szCs w:val="24"/>
          <w:rtl/>
        </w:rPr>
        <w:t>א יתאפשר</w:t>
      </w:r>
      <w:r w:rsidR="00DB5970">
        <w:rPr>
          <w:rFonts w:cs="David" w:hint="cs"/>
          <w:sz w:val="24"/>
          <w:szCs w:val="24"/>
          <w:rtl/>
        </w:rPr>
        <w:t xml:space="preserve"> (עקב המצב הפוליטי בארץ והשפעתו על דעת הקהל העולמית).</w:t>
      </w:r>
      <w:r w:rsidR="00730D29">
        <w:rPr>
          <w:rFonts w:cs="David" w:hint="cs"/>
          <w:sz w:val="24"/>
          <w:szCs w:val="24"/>
          <w:rtl/>
        </w:rPr>
        <w:t xml:space="preserve"> כך שהתקיימה הפרה צפויה </w:t>
      </w:r>
      <w:r w:rsidR="00730D29" w:rsidRPr="000709AA">
        <w:rPr>
          <w:rFonts w:cs="David" w:hint="cs"/>
          <w:sz w:val="24"/>
          <w:szCs w:val="24"/>
          <w:u w:val="single"/>
          <w:rtl/>
        </w:rPr>
        <w:t>הצהרתית ונסיבתית</w:t>
      </w:r>
      <w:r w:rsidR="008B7385">
        <w:rPr>
          <w:rFonts w:cs="David" w:hint="cs"/>
          <w:sz w:val="24"/>
          <w:szCs w:val="24"/>
          <w:rtl/>
        </w:rPr>
        <w:t xml:space="preserve">. ע"פ מבחן </w:t>
      </w:r>
      <w:proofErr w:type="spellStart"/>
      <w:r w:rsidR="008B7385">
        <w:rPr>
          <w:rFonts w:cs="David" w:hint="cs"/>
          <w:sz w:val="24"/>
          <w:szCs w:val="24"/>
          <w:rtl/>
        </w:rPr>
        <w:t>האי</w:t>
      </w:r>
      <w:r w:rsidR="00730D29">
        <w:rPr>
          <w:rFonts w:cs="David" w:hint="cs"/>
          <w:sz w:val="24"/>
          <w:szCs w:val="24"/>
          <w:rtl/>
        </w:rPr>
        <w:t>זונים</w:t>
      </w:r>
      <w:proofErr w:type="spellEnd"/>
      <w:r w:rsidR="00730D29">
        <w:rPr>
          <w:rFonts w:cs="David" w:hint="cs"/>
          <w:sz w:val="24"/>
          <w:szCs w:val="24"/>
          <w:rtl/>
        </w:rPr>
        <w:t xml:space="preserve"> שמוצע בספרות</w:t>
      </w:r>
      <w:r w:rsidR="00730D29">
        <w:rPr>
          <w:rStyle w:val="a8"/>
          <w:rFonts w:cs="David"/>
          <w:sz w:val="24"/>
          <w:szCs w:val="24"/>
          <w:rtl/>
        </w:rPr>
        <w:footnoteReference w:id="10"/>
      </w:r>
      <w:r w:rsidR="00730D29">
        <w:rPr>
          <w:rFonts w:cs="David" w:hint="cs"/>
          <w:sz w:val="24"/>
          <w:szCs w:val="24"/>
          <w:rtl/>
        </w:rPr>
        <w:t xml:space="preserve"> ככל שההפרה חמורה יותר כך נדרשת </w:t>
      </w:r>
      <w:r w:rsidR="00DB5970">
        <w:rPr>
          <w:rFonts w:cs="David" w:hint="cs"/>
          <w:sz w:val="24"/>
          <w:szCs w:val="24"/>
          <w:rtl/>
        </w:rPr>
        <w:t>ודאות נמוכה יותר</w:t>
      </w:r>
      <w:r w:rsidR="00730D29">
        <w:rPr>
          <w:rFonts w:cs="David" w:hint="cs"/>
          <w:sz w:val="24"/>
          <w:szCs w:val="24"/>
          <w:rtl/>
        </w:rPr>
        <w:t>.</w:t>
      </w:r>
      <w:r w:rsidR="00DB5970">
        <w:rPr>
          <w:rFonts w:cs="David" w:hint="cs"/>
          <w:sz w:val="24"/>
          <w:szCs w:val="24"/>
          <w:rtl/>
        </w:rPr>
        <w:t xml:space="preserve"> במקרה זה מדובר </w:t>
      </w:r>
      <w:r w:rsidR="00DB5970" w:rsidRPr="004E2D7B">
        <w:rPr>
          <w:rFonts w:cs="David" w:hint="cs"/>
          <w:sz w:val="24"/>
          <w:szCs w:val="24"/>
          <w:u w:val="single"/>
          <w:rtl/>
        </w:rPr>
        <w:t>בהפרה יסודית</w:t>
      </w:r>
      <w:r w:rsidR="00DB5970">
        <w:rPr>
          <w:rFonts w:cs="David" w:hint="cs"/>
          <w:sz w:val="24"/>
          <w:szCs w:val="24"/>
          <w:rtl/>
        </w:rPr>
        <w:t xml:space="preserve"> ולכן התלבטות היא בגדר ודאות מספקת</w:t>
      </w:r>
      <w:r w:rsidR="006235B7">
        <w:rPr>
          <w:rFonts w:cs="David" w:hint="cs"/>
          <w:sz w:val="24"/>
          <w:szCs w:val="24"/>
          <w:rtl/>
        </w:rPr>
        <w:t xml:space="preserve"> לקיומה של </w:t>
      </w:r>
      <w:r w:rsidR="00670B96">
        <w:rPr>
          <w:rFonts w:cs="David" w:hint="cs"/>
          <w:sz w:val="24"/>
          <w:szCs w:val="24"/>
          <w:rtl/>
        </w:rPr>
        <w:t>ה</w:t>
      </w:r>
      <w:r w:rsidR="004E2D7B">
        <w:rPr>
          <w:rFonts w:cs="David" w:hint="cs"/>
          <w:sz w:val="24"/>
          <w:szCs w:val="24"/>
          <w:rtl/>
        </w:rPr>
        <w:t>הפרה הצפויה</w:t>
      </w:r>
      <w:r w:rsidR="00DB5970">
        <w:rPr>
          <w:rFonts w:cs="David" w:hint="cs"/>
          <w:sz w:val="24"/>
          <w:szCs w:val="24"/>
          <w:rtl/>
        </w:rPr>
        <w:t>.</w:t>
      </w:r>
      <w:r w:rsidR="00730D29">
        <w:rPr>
          <w:rFonts w:cs="David" w:hint="cs"/>
          <w:sz w:val="24"/>
          <w:szCs w:val="24"/>
          <w:rtl/>
        </w:rPr>
        <w:t xml:space="preserve"> אמנם לרני קיימת זכות להתעלם מההפרה הצפויה</w:t>
      </w:r>
      <w:r w:rsidR="00BE280A">
        <w:rPr>
          <w:rFonts w:cs="David" w:hint="cs"/>
          <w:sz w:val="24"/>
          <w:szCs w:val="24"/>
          <w:rtl/>
        </w:rPr>
        <w:t xml:space="preserve">, </w:t>
      </w:r>
      <w:r w:rsidR="002948C6">
        <w:rPr>
          <w:rFonts w:cs="David" w:hint="cs"/>
          <w:sz w:val="24"/>
          <w:szCs w:val="24"/>
          <w:rtl/>
        </w:rPr>
        <w:t>אך זכות זו כפופה לחובת תו"ל</w:t>
      </w:r>
      <w:r w:rsidR="00730D29">
        <w:rPr>
          <w:rFonts w:cs="David" w:hint="cs"/>
          <w:sz w:val="24"/>
          <w:szCs w:val="24"/>
          <w:rtl/>
        </w:rPr>
        <w:t>. גם הדין האנגלי שנוהג ללכת לקראת הנפגע ומאפשר התעלמות מההפרה הצפויה מסייג זאת בש</w:t>
      </w:r>
      <w:r w:rsidR="00E306B0">
        <w:rPr>
          <w:rFonts w:cs="David" w:hint="cs"/>
          <w:sz w:val="24"/>
          <w:szCs w:val="24"/>
          <w:rtl/>
        </w:rPr>
        <w:t>ני מקרים שמתקיימים כאן</w:t>
      </w:r>
      <w:r w:rsidR="00F13891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א</w:t>
      </w:r>
      <w:r w:rsidR="00F13891">
        <w:rPr>
          <w:rFonts w:cs="David" w:hint="cs"/>
          <w:sz w:val="24"/>
          <w:szCs w:val="24"/>
          <w:rtl/>
        </w:rPr>
        <w:t>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730D29">
        <w:rPr>
          <w:rFonts w:cs="David" w:hint="cs"/>
          <w:sz w:val="24"/>
          <w:szCs w:val="24"/>
          <w:rtl/>
        </w:rPr>
        <w:t>רני לא רק שלא עשה מאמץ להקטנת הנזק אלא אף נקט צ</w:t>
      </w:r>
      <w:r w:rsidR="00E306B0">
        <w:rPr>
          <w:rFonts w:cs="David" w:hint="cs"/>
          <w:sz w:val="24"/>
          <w:szCs w:val="24"/>
          <w:rtl/>
        </w:rPr>
        <w:t>עדים אקטיביים שהביאו להגדלתו</w:t>
      </w:r>
      <w:r w:rsidR="00730D29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ב</w:t>
      </w:r>
      <w:r w:rsidR="00730D29">
        <w:rPr>
          <w:rFonts w:cs="David" w:hint="cs"/>
          <w:sz w:val="24"/>
          <w:szCs w:val="24"/>
          <w:rtl/>
        </w:rPr>
        <w:t>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730D29">
        <w:rPr>
          <w:rFonts w:cs="David" w:hint="cs"/>
          <w:sz w:val="24"/>
          <w:szCs w:val="24"/>
          <w:rtl/>
        </w:rPr>
        <w:t xml:space="preserve">הפעולה שנקט רני להגדלת הנזק היא בסכום בלתי סביר ומבלי שהיה לו אינטרס לגיטימי לפעול כפי </w:t>
      </w:r>
      <w:r w:rsidR="00730D29" w:rsidRPr="00013C3D">
        <w:rPr>
          <w:rFonts w:cs="David" w:hint="cs"/>
          <w:sz w:val="24"/>
          <w:szCs w:val="24"/>
          <w:rtl/>
        </w:rPr>
        <w:t>שפעל</w:t>
      </w:r>
      <w:r w:rsidR="00730D29" w:rsidRPr="00013C3D">
        <w:rPr>
          <w:rStyle w:val="a8"/>
          <w:rFonts w:cs="David"/>
          <w:sz w:val="24"/>
          <w:szCs w:val="24"/>
          <w:rtl/>
        </w:rPr>
        <w:footnoteReference w:id="11"/>
      </w:r>
      <w:r w:rsidR="004C214A" w:rsidRPr="00013C3D">
        <w:rPr>
          <w:rFonts w:cs="David" w:hint="cs"/>
          <w:sz w:val="24"/>
          <w:szCs w:val="24"/>
          <w:rtl/>
        </w:rPr>
        <w:t xml:space="preserve"> </w:t>
      </w:r>
      <w:r w:rsidR="00EF2E5A" w:rsidRPr="00013C3D">
        <w:rPr>
          <w:rFonts w:cs="David" w:hint="cs"/>
          <w:sz w:val="24"/>
          <w:szCs w:val="24"/>
          <w:rtl/>
        </w:rPr>
        <w:t>2</w:t>
      </w:r>
      <w:r w:rsidR="002058B0" w:rsidRPr="00013C3D">
        <w:rPr>
          <w:rFonts w:cs="David" w:hint="cs"/>
          <w:sz w:val="24"/>
          <w:szCs w:val="24"/>
          <w:rtl/>
        </w:rPr>
        <w:t>.</w:t>
      </w:r>
      <w:r w:rsidR="00670B96" w:rsidRPr="00013C3D">
        <w:rPr>
          <w:rFonts w:cs="David" w:hint="cs"/>
          <w:b/>
          <w:bCs/>
          <w:sz w:val="24"/>
          <w:szCs w:val="24"/>
          <w:rtl/>
        </w:rPr>
        <w:t xml:space="preserve"> </w:t>
      </w:r>
      <w:r w:rsidR="004E7A32" w:rsidRPr="00013C3D">
        <w:rPr>
          <w:rFonts w:cs="David" w:hint="cs"/>
          <w:b/>
          <w:bCs/>
          <w:sz w:val="24"/>
          <w:szCs w:val="24"/>
          <w:rtl/>
        </w:rPr>
        <w:t>אשם תורם</w:t>
      </w:r>
      <w:r w:rsidR="004E7A32" w:rsidRPr="00013C3D">
        <w:rPr>
          <w:rFonts w:cs="David" w:hint="cs"/>
          <w:sz w:val="24"/>
          <w:szCs w:val="24"/>
          <w:rtl/>
        </w:rPr>
        <w:t xml:space="preserve"> </w:t>
      </w:r>
      <w:r w:rsidR="00DA3D43" w:rsidRPr="00013C3D">
        <w:rPr>
          <w:rFonts w:cs="David" w:hint="cs"/>
          <w:sz w:val="24"/>
          <w:szCs w:val="24"/>
          <w:rtl/>
        </w:rPr>
        <w:t>(</w:t>
      </w:r>
      <w:r w:rsidR="004E7A32" w:rsidRPr="00013C3D">
        <w:rPr>
          <w:rFonts w:cs="David" w:hint="cs"/>
          <w:sz w:val="24"/>
          <w:szCs w:val="24"/>
          <w:rtl/>
        </w:rPr>
        <w:t>יכול לחול לפני מועד ההפרה</w:t>
      </w:r>
      <w:r w:rsidR="00DA3D43" w:rsidRPr="00013C3D">
        <w:rPr>
          <w:rFonts w:cs="David" w:hint="cs"/>
          <w:sz w:val="24"/>
          <w:szCs w:val="24"/>
          <w:rtl/>
        </w:rPr>
        <w:t>)</w:t>
      </w:r>
      <w:r w:rsidR="004E7A32" w:rsidRPr="00013C3D">
        <w:rPr>
          <w:rFonts w:cs="David" w:hint="cs"/>
          <w:sz w:val="24"/>
          <w:szCs w:val="24"/>
          <w:rtl/>
        </w:rPr>
        <w:t>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AD4C3C">
        <w:rPr>
          <w:rFonts w:cs="David" w:hint="cs"/>
          <w:sz w:val="24"/>
          <w:szCs w:val="24"/>
          <w:rtl/>
        </w:rPr>
        <w:t xml:space="preserve">לפי דוקטרינה זו ניתן לחלק </w:t>
      </w:r>
      <w:r w:rsidR="0012151C" w:rsidRPr="0012151C">
        <w:rPr>
          <w:rFonts w:cs="David" w:hint="cs"/>
          <w:sz w:val="24"/>
          <w:szCs w:val="24"/>
          <w:rtl/>
        </w:rPr>
        <w:t>את הנזק בין הצדדים בא</w:t>
      </w:r>
      <w:r w:rsidR="00AD4C3C">
        <w:rPr>
          <w:rFonts w:cs="David" w:hint="cs"/>
          <w:sz w:val="24"/>
          <w:szCs w:val="24"/>
          <w:rtl/>
        </w:rPr>
        <w:t>ופן יחסי על סמך המבחנים הבאים</w:t>
      </w:r>
      <w:r w:rsidR="0012151C">
        <w:rPr>
          <w:rStyle w:val="a8"/>
          <w:rFonts w:cs="David"/>
          <w:sz w:val="24"/>
          <w:szCs w:val="24"/>
          <w:rtl/>
        </w:rPr>
        <w:footnoteReference w:id="12"/>
      </w:r>
      <w:r w:rsidR="0012151C">
        <w:rPr>
          <w:rFonts w:cs="David" w:hint="cs"/>
          <w:sz w:val="24"/>
          <w:szCs w:val="24"/>
          <w:rtl/>
        </w:rPr>
        <w:t>: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12151C">
        <w:rPr>
          <w:rFonts w:cs="David" w:hint="cs"/>
          <w:sz w:val="24"/>
          <w:szCs w:val="24"/>
          <w:rtl/>
        </w:rPr>
        <w:t>1.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12151C">
        <w:rPr>
          <w:rFonts w:cs="David" w:hint="cs"/>
          <w:sz w:val="24"/>
          <w:szCs w:val="24"/>
          <w:rtl/>
        </w:rPr>
        <w:t>מידת חוסר תו"ל שדבק בכל אחד מהצדדים</w:t>
      </w:r>
      <w:r w:rsidR="00670B96">
        <w:rPr>
          <w:rFonts w:cs="David" w:hint="cs"/>
          <w:sz w:val="24"/>
          <w:szCs w:val="24"/>
          <w:rtl/>
        </w:rPr>
        <w:t>.</w:t>
      </w:r>
      <w:r w:rsidR="0012151C">
        <w:rPr>
          <w:rFonts w:cs="David" w:hint="cs"/>
          <w:sz w:val="24"/>
          <w:szCs w:val="24"/>
          <w:rtl/>
        </w:rPr>
        <w:t xml:space="preserve"> 2.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12151C">
        <w:rPr>
          <w:rFonts w:cs="David" w:hint="cs"/>
          <w:sz w:val="24"/>
          <w:szCs w:val="24"/>
          <w:rtl/>
        </w:rPr>
        <w:t>השוואת התרומה הסיבתית של כל אחד מהצדדים לנזק</w:t>
      </w:r>
      <w:r w:rsidR="00670B96">
        <w:rPr>
          <w:rFonts w:cs="David" w:hint="cs"/>
          <w:sz w:val="24"/>
          <w:szCs w:val="24"/>
          <w:rtl/>
        </w:rPr>
        <w:t>.</w:t>
      </w:r>
      <w:r w:rsidR="0012151C">
        <w:rPr>
          <w:rFonts w:cs="David" w:hint="cs"/>
          <w:sz w:val="24"/>
          <w:szCs w:val="24"/>
          <w:rtl/>
        </w:rPr>
        <w:t xml:space="preserve"> 3. חלוקה המש</w:t>
      </w:r>
      <w:r w:rsidR="00622DFD">
        <w:rPr>
          <w:rFonts w:cs="David" w:hint="cs"/>
          <w:sz w:val="24"/>
          <w:szCs w:val="24"/>
          <w:rtl/>
        </w:rPr>
        <w:t>לבת את שניהם</w:t>
      </w:r>
      <w:r w:rsidR="001A08E3">
        <w:rPr>
          <w:rFonts w:cs="David" w:hint="cs"/>
          <w:sz w:val="24"/>
          <w:szCs w:val="24"/>
          <w:rtl/>
        </w:rPr>
        <w:t xml:space="preserve">. </w:t>
      </w:r>
      <w:r w:rsidR="00337048">
        <w:rPr>
          <w:rFonts w:cs="David" w:hint="cs"/>
          <w:sz w:val="24"/>
          <w:szCs w:val="24"/>
          <w:rtl/>
        </w:rPr>
        <w:t>אלכס</w:t>
      </w:r>
      <w:r w:rsidR="00AC6D3A">
        <w:rPr>
          <w:rFonts w:cs="David" w:hint="cs"/>
          <w:sz w:val="24"/>
          <w:szCs w:val="24"/>
          <w:rtl/>
        </w:rPr>
        <w:t xml:space="preserve"> יטען </w:t>
      </w:r>
      <w:r w:rsidR="00282F4E">
        <w:rPr>
          <w:rFonts w:cs="David" w:hint="cs"/>
          <w:sz w:val="24"/>
          <w:szCs w:val="24"/>
          <w:rtl/>
        </w:rPr>
        <w:t xml:space="preserve">שתרומתו הסיבתית </w:t>
      </w:r>
      <w:r w:rsidR="00AC6D3A">
        <w:rPr>
          <w:rFonts w:cs="David" w:hint="cs"/>
          <w:sz w:val="24"/>
          <w:szCs w:val="24"/>
          <w:rtl/>
        </w:rPr>
        <w:t>של רני</w:t>
      </w:r>
      <w:r w:rsidR="00282F4E">
        <w:rPr>
          <w:rFonts w:cs="David" w:hint="cs"/>
          <w:sz w:val="24"/>
          <w:szCs w:val="24"/>
          <w:rtl/>
        </w:rPr>
        <w:t xml:space="preserve"> לנזק</w:t>
      </w:r>
      <w:r w:rsidR="00AC6D3A">
        <w:rPr>
          <w:rFonts w:cs="David" w:hint="cs"/>
          <w:sz w:val="24"/>
          <w:szCs w:val="24"/>
          <w:rtl/>
        </w:rPr>
        <w:t xml:space="preserve"> ג</w:t>
      </w:r>
      <w:r w:rsidR="00282F4E">
        <w:rPr>
          <w:rFonts w:cs="David" w:hint="cs"/>
          <w:sz w:val="24"/>
          <w:szCs w:val="24"/>
          <w:rtl/>
        </w:rPr>
        <w:t xml:space="preserve">דולה יותר. הוא זה שהוציא את הכספים, </w:t>
      </w:r>
      <w:r w:rsidR="00337048">
        <w:rPr>
          <w:rFonts w:cs="David" w:hint="cs"/>
          <w:sz w:val="24"/>
          <w:szCs w:val="24"/>
          <w:rtl/>
        </w:rPr>
        <w:t>ו</w:t>
      </w:r>
      <w:r w:rsidR="00010944" w:rsidRPr="00FB48D0">
        <w:rPr>
          <w:rFonts w:cs="David" w:hint="cs"/>
          <w:sz w:val="24"/>
          <w:szCs w:val="24"/>
          <w:u w:val="single"/>
          <w:rtl/>
        </w:rPr>
        <w:t>חריגתו</w:t>
      </w:r>
      <w:r w:rsidR="00010944" w:rsidRPr="00670B96">
        <w:rPr>
          <w:rFonts w:cs="David" w:hint="cs"/>
          <w:sz w:val="24"/>
          <w:szCs w:val="24"/>
          <w:rtl/>
        </w:rPr>
        <w:t xml:space="preserve"> </w:t>
      </w:r>
      <w:r w:rsidR="00010944">
        <w:rPr>
          <w:rFonts w:cs="David" w:hint="cs"/>
          <w:sz w:val="24"/>
          <w:szCs w:val="24"/>
          <w:rtl/>
        </w:rPr>
        <w:t>מהתמורה המוסכמת</w:t>
      </w:r>
      <w:r w:rsidR="00571E4E">
        <w:rPr>
          <w:rFonts w:cs="David" w:hint="cs"/>
          <w:sz w:val="24"/>
          <w:szCs w:val="24"/>
          <w:rtl/>
        </w:rPr>
        <w:t xml:space="preserve"> נבעה מ</w:t>
      </w:r>
      <w:r w:rsidR="00337048">
        <w:rPr>
          <w:rFonts w:cs="David" w:hint="cs"/>
          <w:sz w:val="24"/>
          <w:szCs w:val="24"/>
          <w:rtl/>
        </w:rPr>
        <w:t>התנהלות בזבזנית ובחירה ל</w:t>
      </w:r>
      <w:r w:rsidR="004E2D7B">
        <w:rPr>
          <w:rFonts w:cs="David" w:hint="cs"/>
          <w:sz w:val="24"/>
          <w:szCs w:val="24"/>
          <w:rtl/>
        </w:rPr>
        <w:t>א מושכלת של נדל"ן וספקים יקרים. התנהלות זו חמורה יותר</w:t>
      </w:r>
      <w:r w:rsidR="00337048">
        <w:rPr>
          <w:rFonts w:cs="David" w:hint="cs"/>
          <w:sz w:val="24"/>
          <w:szCs w:val="24"/>
          <w:rtl/>
        </w:rPr>
        <w:t xml:space="preserve"> ל</w:t>
      </w:r>
      <w:r w:rsidR="004E2D7B">
        <w:rPr>
          <w:rFonts w:cs="David" w:hint="cs"/>
          <w:sz w:val="24"/>
          <w:szCs w:val="24"/>
          <w:rtl/>
        </w:rPr>
        <w:t>אחר שעלתה האפשרות שיתבטל החוזה.</w:t>
      </w:r>
      <w:r w:rsidR="000709AA">
        <w:rPr>
          <w:rFonts w:cs="David" w:hint="cs"/>
          <w:sz w:val="24"/>
          <w:szCs w:val="24"/>
          <w:rtl/>
        </w:rPr>
        <w:t xml:space="preserve"> גם</w:t>
      </w:r>
      <w:r w:rsidR="004A6D4E">
        <w:rPr>
          <w:rFonts w:cs="David" w:hint="cs"/>
          <w:sz w:val="24"/>
          <w:szCs w:val="24"/>
          <w:rtl/>
        </w:rPr>
        <w:t xml:space="preserve"> במבחן תו"ל</w:t>
      </w:r>
      <w:r w:rsidR="000709AA">
        <w:rPr>
          <w:rFonts w:cs="David" w:hint="cs"/>
          <w:sz w:val="24"/>
          <w:szCs w:val="24"/>
          <w:rtl/>
        </w:rPr>
        <w:t xml:space="preserve"> </w:t>
      </w:r>
      <w:r w:rsidR="00282F4E">
        <w:rPr>
          <w:rFonts w:cs="David" w:hint="cs"/>
          <w:sz w:val="24"/>
          <w:szCs w:val="24"/>
          <w:rtl/>
        </w:rPr>
        <w:t xml:space="preserve">אשמתו גדולה יותר. </w:t>
      </w:r>
      <w:r w:rsidR="00337048">
        <w:rPr>
          <w:rFonts w:cs="David" w:hint="cs"/>
          <w:sz w:val="24"/>
          <w:szCs w:val="24"/>
          <w:rtl/>
        </w:rPr>
        <w:t>הוא התעלם מההפרה הצפויה מתוך הנחה שיפוצה על נזקיו בכל מקרה</w:t>
      </w:r>
      <w:r w:rsidR="00E51613">
        <w:rPr>
          <w:rFonts w:cs="David" w:hint="cs"/>
          <w:sz w:val="24"/>
          <w:szCs w:val="24"/>
          <w:rtl/>
        </w:rPr>
        <w:t>,</w:t>
      </w:r>
      <w:r w:rsidR="004A6D4E">
        <w:rPr>
          <w:rFonts w:cs="David" w:hint="cs"/>
          <w:sz w:val="24"/>
          <w:szCs w:val="24"/>
          <w:rtl/>
        </w:rPr>
        <w:t xml:space="preserve"> והתעקש על קיום החוזה על אף שאלכס נאלץ להפר אותו, בתו"ל, בשל הנסיבות</w:t>
      </w:r>
      <w:r w:rsidR="00337048">
        <w:rPr>
          <w:rFonts w:cs="David" w:hint="cs"/>
          <w:sz w:val="24"/>
          <w:szCs w:val="24"/>
          <w:rtl/>
        </w:rPr>
        <w:t xml:space="preserve">. </w:t>
      </w:r>
      <w:r w:rsidR="00010944">
        <w:rPr>
          <w:rFonts w:cs="David" w:hint="cs"/>
          <w:sz w:val="24"/>
          <w:szCs w:val="24"/>
          <w:rtl/>
        </w:rPr>
        <w:t>מנגד, יטען רני</w:t>
      </w:r>
      <w:r w:rsidR="00E83479">
        <w:rPr>
          <w:rFonts w:cs="David" w:hint="cs"/>
          <w:sz w:val="24"/>
          <w:szCs w:val="24"/>
          <w:rtl/>
        </w:rPr>
        <w:t xml:space="preserve"> ש</w:t>
      </w:r>
      <w:r w:rsidR="00031027">
        <w:rPr>
          <w:rFonts w:cs="David" w:hint="cs"/>
          <w:sz w:val="24"/>
          <w:szCs w:val="24"/>
          <w:rtl/>
        </w:rPr>
        <w:t xml:space="preserve">דרושה </w:t>
      </w:r>
      <w:r w:rsidR="00B42576">
        <w:rPr>
          <w:rFonts w:cs="David" w:hint="cs"/>
          <w:sz w:val="24"/>
          <w:szCs w:val="24"/>
          <w:rtl/>
        </w:rPr>
        <w:t>רמת וודאות גבוהה</w:t>
      </w:r>
      <w:r w:rsidR="00031027">
        <w:rPr>
          <w:rFonts w:cs="David" w:hint="cs"/>
          <w:sz w:val="24"/>
          <w:szCs w:val="24"/>
          <w:rtl/>
        </w:rPr>
        <w:t xml:space="preserve"> שהחוזה הופר כדי לחייב הקטנת נזק. </w:t>
      </w:r>
      <w:r w:rsidR="00337048">
        <w:rPr>
          <w:rFonts w:cs="David" w:hint="cs"/>
          <w:sz w:val="24"/>
          <w:szCs w:val="24"/>
          <w:rtl/>
        </w:rPr>
        <w:t xml:space="preserve">התלבטותו של אלכס </w:t>
      </w:r>
      <w:r w:rsidR="006B324C">
        <w:rPr>
          <w:rFonts w:cs="David" w:hint="cs"/>
          <w:sz w:val="24"/>
          <w:szCs w:val="24"/>
          <w:rtl/>
        </w:rPr>
        <w:t>היא איננה גילוי ברור וחד משמעי</w:t>
      </w:r>
      <w:r w:rsidR="00E83479">
        <w:rPr>
          <w:rFonts w:cs="David" w:hint="cs"/>
          <w:sz w:val="24"/>
          <w:szCs w:val="24"/>
          <w:rtl/>
        </w:rPr>
        <w:t xml:space="preserve">, ואף הנסיבות לא מעידות באופן </w:t>
      </w:r>
      <w:r w:rsidR="006B324C">
        <w:rPr>
          <w:rFonts w:cs="David" w:hint="cs"/>
          <w:sz w:val="24"/>
          <w:szCs w:val="24"/>
          <w:rtl/>
        </w:rPr>
        <w:t xml:space="preserve">מתבקש על אי יכולת לקיים את החוזה </w:t>
      </w:r>
      <w:r w:rsidR="006B324C">
        <w:rPr>
          <w:rFonts w:cs="David"/>
          <w:sz w:val="24"/>
          <w:szCs w:val="24"/>
          <w:rtl/>
        </w:rPr>
        <w:t>–</w:t>
      </w:r>
      <w:r w:rsidR="006B324C">
        <w:rPr>
          <w:rFonts w:cs="David" w:hint="cs"/>
          <w:sz w:val="24"/>
          <w:szCs w:val="24"/>
          <w:rtl/>
        </w:rPr>
        <w:t xml:space="preserve"> שינויים פוליטיים בישראל הם אינם מ</w:t>
      </w:r>
      <w:r w:rsidR="006235B7">
        <w:rPr>
          <w:rFonts w:cs="David" w:hint="cs"/>
          <w:sz w:val="24"/>
          <w:szCs w:val="24"/>
          <w:rtl/>
        </w:rPr>
        <w:t xml:space="preserve">אורע חריג. </w:t>
      </w:r>
      <w:r w:rsidR="004D48E6">
        <w:rPr>
          <w:rFonts w:cs="David" w:hint="cs"/>
          <w:sz w:val="24"/>
          <w:szCs w:val="24"/>
          <w:rtl/>
        </w:rPr>
        <w:t>בכל מקרה ה</w:t>
      </w:r>
      <w:r w:rsidR="00B97CC1">
        <w:rPr>
          <w:rFonts w:cs="David" w:hint="cs"/>
          <w:sz w:val="24"/>
          <w:szCs w:val="24"/>
          <w:rtl/>
        </w:rPr>
        <w:t>גישה הישראלית מאפשרת לנפגע לבחור</w:t>
      </w:r>
      <w:r w:rsidR="004D48E6">
        <w:rPr>
          <w:rFonts w:cs="David" w:hint="cs"/>
          <w:sz w:val="24"/>
          <w:szCs w:val="24"/>
          <w:rtl/>
        </w:rPr>
        <w:t xml:space="preserve"> כיצד להגיב, ו</w:t>
      </w:r>
      <w:r w:rsidR="006B324C">
        <w:rPr>
          <w:rFonts w:cs="David" w:hint="cs"/>
          <w:sz w:val="24"/>
          <w:szCs w:val="24"/>
          <w:rtl/>
        </w:rPr>
        <w:t xml:space="preserve">לכן </w:t>
      </w:r>
      <w:r w:rsidR="006B324C">
        <w:rPr>
          <w:rFonts w:cs="David" w:hint="cs"/>
          <w:sz w:val="24"/>
          <w:szCs w:val="24"/>
          <w:u w:val="single"/>
          <w:rtl/>
        </w:rPr>
        <w:t xml:space="preserve">רני </w:t>
      </w:r>
      <w:r w:rsidR="004C214A" w:rsidRPr="00EF2E5A">
        <w:rPr>
          <w:rFonts w:cs="David" w:hint="cs"/>
          <w:sz w:val="24"/>
          <w:szCs w:val="24"/>
          <w:u w:val="single"/>
          <w:rtl/>
        </w:rPr>
        <w:t>חב בנטל הקטנת הנזק רק מרגע קבלתו את ההפרה הצפויה וביטול החוזה</w:t>
      </w:r>
      <w:r w:rsidR="004C214A">
        <w:rPr>
          <w:rStyle w:val="a8"/>
          <w:rFonts w:cs="David"/>
          <w:sz w:val="24"/>
          <w:szCs w:val="24"/>
          <w:rtl/>
        </w:rPr>
        <w:footnoteReference w:id="13"/>
      </w:r>
      <w:r w:rsidR="00B97CC1">
        <w:rPr>
          <w:rFonts w:cs="David" w:hint="cs"/>
          <w:sz w:val="24"/>
          <w:szCs w:val="24"/>
          <w:rtl/>
        </w:rPr>
        <w:t xml:space="preserve">. </w:t>
      </w:r>
      <w:r w:rsidR="00E51613">
        <w:rPr>
          <w:rFonts w:cs="David" w:hint="cs"/>
          <w:sz w:val="24"/>
          <w:szCs w:val="24"/>
          <w:rtl/>
        </w:rPr>
        <w:t>עוד יטען רני</w:t>
      </w:r>
      <w:r w:rsidR="003B493F">
        <w:rPr>
          <w:rFonts w:cs="David" w:hint="cs"/>
          <w:sz w:val="24"/>
          <w:szCs w:val="24"/>
          <w:rtl/>
        </w:rPr>
        <w:t xml:space="preserve"> </w:t>
      </w:r>
      <w:r w:rsidR="00787D1E">
        <w:rPr>
          <w:rFonts w:cs="David" w:hint="cs"/>
          <w:sz w:val="24"/>
          <w:szCs w:val="24"/>
          <w:rtl/>
        </w:rPr>
        <w:t xml:space="preserve">שאין לו </w:t>
      </w:r>
      <w:bookmarkStart w:id="0" w:name="_GoBack"/>
      <w:bookmarkEnd w:id="0"/>
      <w:r w:rsidR="000C3B41">
        <w:rPr>
          <w:rFonts w:cs="David" w:hint="cs"/>
          <w:sz w:val="24"/>
          <w:szCs w:val="24"/>
          <w:rtl/>
        </w:rPr>
        <w:t>אשם</w:t>
      </w:r>
      <w:r w:rsidR="00A44E21">
        <w:rPr>
          <w:rFonts w:cs="David" w:hint="cs"/>
          <w:sz w:val="24"/>
          <w:szCs w:val="24"/>
          <w:rtl/>
        </w:rPr>
        <w:t xml:space="preserve"> תורם,</w:t>
      </w:r>
      <w:r w:rsidR="00E9656F">
        <w:rPr>
          <w:rFonts w:cs="David" w:hint="cs"/>
          <w:b/>
          <w:bCs/>
          <w:sz w:val="24"/>
          <w:szCs w:val="24"/>
          <w:rtl/>
        </w:rPr>
        <w:t xml:space="preserve"> </w:t>
      </w:r>
      <w:r w:rsidR="00E9656F" w:rsidRPr="00E9656F">
        <w:rPr>
          <w:rFonts w:cs="David" w:hint="cs"/>
          <w:sz w:val="24"/>
          <w:szCs w:val="24"/>
          <w:rtl/>
        </w:rPr>
        <w:t xml:space="preserve">שכן </w:t>
      </w:r>
      <w:r w:rsidR="000C3B41" w:rsidRPr="00E9656F">
        <w:rPr>
          <w:rFonts w:cs="David" w:hint="cs"/>
          <w:b/>
          <w:bCs/>
          <w:sz w:val="24"/>
          <w:szCs w:val="24"/>
          <w:rtl/>
        </w:rPr>
        <w:t>הוא</w:t>
      </w:r>
      <w:r w:rsidR="000C3B41">
        <w:rPr>
          <w:rFonts w:cs="David" w:hint="cs"/>
          <w:b/>
          <w:bCs/>
          <w:sz w:val="24"/>
          <w:szCs w:val="24"/>
          <w:rtl/>
        </w:rPr>
        <w:t xml:space="preserve"> </w:t>
      </w:r>
      <w:r w:rsidR="009B0846">
        <w:rPr>
          <w:rFonts w:cs="David" w:hint="cs"/>
          <w:b/>
          <w:bCs/>
          <w:sz w:val="24"/>
          <w:szCs w:val="24"/>
          <w:rtl/>
        </w:rPr>
        <w:t>פעל בתו"ל</w:t>
      </w:r>
      <w:r w:rsidR="003B493F" w:rsidRPr="00571E4E">
        <w:rPr>
          <w:rFonts w:cs="David" w:hint="cs"/>
          <w:b/>
          <w:bCs/>
          <w:sz w:val="24"/>
          <w:szCs w:val="24"/>
          <w:rtl/>
        </w:rPr>
        <w:t xml:space="preserve"> </w:t>
      </w:r>
      <w:r w:rsidR="00FA323A">
        <w:rPr>
          <w:rFonts w:cs="David" w:hint="cs"/>
          <w:b/>
          <w:bCs/>
          <w:sz w:val="24"/>
          <w:szCs w:val="24"/>
          <w:rtl/>
        </w:rPr>
        <w:t>ומתוך</w:t>
      </w:r>
      <w:r w:rsidR="006B324C" w:rsidRPr="00571E4E">
        <w:rPr>
          <w:rFonts w:cs="David" w:hint="cs"/>
          <w:b/>
          <w:bCs/>
          <w:sz w:val="24"/>
          <w:szCs w:val="24"/>
          <w:rtl/>
        </w:rPr>
        <w:t xml:space="preserve"> אמונה שהחוזה יתקיים</w:t>
      </w:r>
      <w:r w:rsidR="006B324C">
        <w:rPr>
          <w:rFonts w:cs="David" w:hint="cs"/>
          <w:sz w:val="24"/>
          <w:szCs w:val="24"/>
          <w:rtl/>
        </w:rPr>
        <w:t>. התנהלותו</w:t>
      </w:r>
      <w:r w:rsidR="00031027">
        <w:rPr>
          <w:rFonts w:cs="David" w:hint="cs"/>
          <w:sz w:val="24"/>
          <w:szCs w:val="24"/>
          <w:rtl/>
        </w:rPr>
        <w:t xml:space="preserve"> מעידה </w:t>
      </w:r>
      <w:r w:rsidR="003B493F">
        <w:rPr>
          <w:rFonts w:cs="David" w:hint="cs"/>
          <w:sz w:val="24"/>
          <w:szCs w:val="24"/>
          <w:rtl/>
        </w:rPr>
        <w:t>על רצונו לקיים את החוזה</w:t>
      </w:r>
      <w:r w:rsidR="00A44E21">
        <w:rPr>
          <w:rFonts w:cs="David" w:hint="cs"/>
          <w:sz w:val="24"/>
          <w:szCs w:val="24"/>
          <w:rtl/>
        </w:rPr>
        <w:t xml:space="preserve"> כפי שהוסכם, </w:t>
      </w:r>
      <w:r w:rsidR="00750D30">
        <w:rPr>
          <w:rFonts w:cs="David" w:hint="cs"/>
          <w:sz w:val="24"/>
          <w:szCs w:val="24"/>
          <w:rtl/>
        </w:rPr>
        <w:t>וליצור קו "שלא נראה כמותו"</w:t>
      </w:r>
      <w:r w:rsidR="00767FDF">
        <w:rPr>
          <w:rFonts w:cs="David" w:hint="cs"/>
          <w:sz w:val="24"/>
          <w:szCs w:val="24"/>
          <w:rtl/>
        </w:rPr>
        <w:t xml:space="preserve">, </w:t>
      </w:r>
      <w:r w:rsidR="0066049A">
        <w:rPr>
          <w:rFonts w:cs="David" w:hint="cs"/>
          <w:sz w:val="24"/>
          <w:szCs w:val="24"/>
          <w:rtl/>
        </w:rPr>
        <w:t>כש</w:t>
      </w:r>
      <w:r w:rsidR="00767FDF">
        <w:rPr>
          <w:rFonts w:cs="David" w:hint="cs"/>
          <w:sz w:val="24"/>
          <w:szCs w:val="24"/>
          <w:rtl/>
        </w:rPr>
        <w:t>הסכומים שהוצ</w:t>
      </w:r>
      <w:r w:rsidR="00FA323A">
        <w:rPr>
          <w:rFonts w:cs="David" w:hint="cs"/>
          <w:sz w:val="24"/>
          <w:szCs w:val="24"/>
          <w:rtl/>
        </w:rPr>
        <w:t>יא תואמים את צורכי</w:t>
      </w:r>
      <w:r w:rsidR="0066049A">
        <w:rPr>
          <w:rFonts w:cs="David" w:hint="cs"/>
          <w:sz w:val="24"/>
          <w:szCs w:val="24"/>
          <w:rtl/>
        </w:rPr>
        <w:t xml:space="preserve"> הפרוי</w:t>
      </w:r>
      <w:r w:rsidR="00767FDF">
        <w:rPr>
          <w:rFonts w:cs="David" w:hint="cs"/>
          <w:sz w:val="24"/>
          <w:szCs w:val="24"/>
          <w:rtl/>
        </w:rPr>
        <w:t>קט</w:t>
      </w:r>
      <w:r w:rsidR="009B0846">
        <w:rPr>
          <w:rFonts w:cs="David" w:hint="cs"/>
          <w:sz w:val="24"/>
          <w:szCs w:val="24"/>
          <w:rtl/>
        </w:rPr>
        <w:t xml:space="preserve">. </w:t>
      </w:r>
      <w:r w:rsidR="00B97CC1">
        <w:rPr>
          <w:rFonts w:cs="David" w:hint="cs"/>
          <w:sz w:val="24"/>
          <w:szCs w:val="24"/>
          <w:rtl/>
        </w:rPr>
        <w:t xml:space="preserve">אין זה הגיוני </w:t>
      </w:r>
      <w:r w:rsidR="004E2D7B">
        <w:rPr>
          <w:rFonts w:cs="David" w:hint="cs"/>
          <w:sz w:val="24"/>
          <w:szCs w:val="24"/>
          <w:rtl/>
        </w:rPr>
        <w:t xml:space="preserve">לחייב </w:t>
      </w:r>
      <w:r w:rsidR="00E9656F">
        <w:rPr>
          <w:rFonts w:cs="David" w:hint="cs"/>
          <w:sz w:val="24"/>
          <w:szCs w:val="24"/>
          <w:rtl/>
        </w:rPr>
        <w:t>את רני</w:t>
      </w:r>
      <w:r w:rsidR="003B493F">
        <w:rPr>
          <w:rFonts w:cs="David" w:hint="cs"/>
          <w:sz w:val="24"/>
          <w:szCs w:val="24"/>
          <w:rtl/>
        </w:rPr>
        <w:t xml:space="preserve"> להפר את החו</w:t>
      </w:r>
      <w:r w:rsidR="00BE280A">
        <w:rPr>
          <w:rFonts w:cs="David" w:hint="cs"/>
          <w:sz w:val="24"/>
          <w:szCs w:val="24"/>
          <w:rtl/>
        </w:rPr>
        <w:t>זה בעצמו על מנת להקטין את נזקי ההפרה</w:t>
      </w:r>
      <w:r w:rsidR="003B493F" w:rsidRPr="003B493F">
        <w:rPr>
          <w:rStyle w:val="a8"/>
          <w:rFonts w:cs="David"/>
          <w:sz w:val="24"/>
          <w:szCs w:val="24"/>
          <w:rtl/>
        </w:rPr>
        <w:footnoteReference w:id="14"/>
      </w:r>
      <w:r w:rsidR="003B493F" w:rsidRPr="003B493F">
        <w:rPr>
          <w:rFonts w:cs="David" w:hint="cs"/>
          <w:sz w:val="24"/>
          <w:szCs w:val="24"/>
          <w:rtl/>
        </w:rPr>
        <w:t>.</w:t>
      </w:r>
      <w:r w:rsidR="00250C79">
        <w:rPr>
          <w:rFonts w:cs="David" w:hint="cs"/>
          <w:sz w:val="24"/>
          <w:szCs w:val="24"/>
          <w:rtl/>
        </w:rPr>
        <w:t xml:space="preserve"> בנוסף, אם לאלכס היה ברור </w:t>
      </w:r>
      <w:r w:rsidR="00277648">
        <w:rPr>
          <w:rFonts w:cs="David" w:hint="cs"/>
          <w:sz w:val="24"/>
          <w:szCs w:val="24"/>
          <w:rtl/>
        </w:rPr>
        <w:t>כבר ב</w:t>
      </w:r>
      <w:r w:rsidR="00670B96">
        <w:rPr>
          <w:rFonts w:cs="David" w:hint="cs"/>
          <w:sz w:val="24"/>
          <w:szCs w:val="24"/>
          <w:rtl/>
        </w:rPr>
        <w:t>-</w:t>
      </w:r>
      <w:r w:rsidR="00277648">
        <w:rPr>
          <w:rFonts w:cs="David" w:hint="cs"/>
          <w:sz w:val="24"/>
          <w:szCs w:val="24"/>
          <w:rtl/>
        </w:rPr>
        <w:t xml:space="preserve">1.6 שהחוזה לא יתקיים, </w:t>
      </w:r>
      <w:r w:rsidR="00250C79" w:rsidRPr="006235B7">
        <w:rPr>
          <w:rFonts w:cs="David" w:hint="cs"/>
          <w:sz w:val="24"/>
          <w:szCs w:val="24"/>
          <w:u w:val="single"/>
          <w:rtl/>
        </w:rPr>
        <w:t>היה זה חוסר תו"ל מצדו לא להבהיר זאת לרני בצורה ברורה ולתת לו ל</w:t>
      </w:r>
      <w:r w:rsidR="000709AA" w:rsidRPr="006235B7">
        <w:rPr>
          <w:rFonts w:cs="David" w:hint="cs"/>
          <w:sz w:val="24"/>
          <w:szCs w:val="24"/>
          <w:u w:val="single"/>
          <w:rtl/>
        </w:rPr>
        <w:t xml:space="preserve">המשיך לעבוד על אף שידע </w:t>
      </w:r>
      <w:r w:rsidR="009B0846" w:rsidRPr="006235B7">
        <w:rPr>
          <w:rFonts w:cs="David" w:hint="cs"/>
          <w:sz w:val="24"/>
          <w:szCs w:val="24"/>
          <w:u w:val="single"/>
          <w:rtl/>
        </w:rPr>
        <w:t>שהדבר</w:t>
      </w:r>
      <w:r w:rsidR="000709AA" w:rsidRPr="006235B7">
        <w:rPr>
          <w:rFonts w:cs="David" w:hint="cs"/>
          <w:sz w:val="24"/>
          <w:szCs w:val="24"/>
          <w:u w:val="single"/>
          <w:rtl/>
        </w:rPr>
        <w:t xml:space="preserve"> לא</w:t>
      </w:r>
      <w:r w:rsidR="009B0846" w:rsidRPr="006235B7">
        <w:rPr>
          <w:rFonts w:cs="David" w:hint="cs"/>
          <w:sz w:val="24"/>
          <w:szCs w:val="24"/>
          <w:u w:val="single"/>
          <w:rtl/>
        </w:rPr>
        <w:t xml:space="preserve"> יניב פרי</w:t>
      </w:r>
      <w:r w:rsidR="009B0846">
        <w:rPr>
          <w:rFonts w:cs="David" w:hint="cs"/>
          <w:sz w:val="24"/>
          <w:szCs w:val="24"/>
          <w:rtl/>
        </w:rPr>
        <w:t>.</w:t>
      </w:r>
      <w:r w:rsidR="003B493F" w:rsidRPr="003B493F">
        <w:rPr>
          <w:rFonts w:cs="David" w:hint="cs"/>
          <w:sz w:val="24"/>
          <w:szCs w:val="24"/>
          <w:rtl/>
        </w:rPr>
        <w:t xml:space="preserve"> </w:t>
      </w:r>
      <w:r w:rsidR="00FD2AB3">
        <w:rPr>
          <w:rFonts w:cs="David" w:hint="cs"/>
          <w:b/>
          <w:bCs/>
          <w:sz w:val="24"/>
          <w:szCs w:val="24"/>
          <w:u w:val="single"/>
          <w:rtl/>
        </w:rPr>
        <w:t xml:space="preserve">לפי </w:t>
      </w:r>
      <w:r w:rsidR="0001652F" w:rsidRPr="00B0115E">
        <w:rPr>
          <w:rFonts w:cs="David" w:hint="cs"/>
          <w:b/>
          <w:bCs/>
          <w:sz w:val="24"/>
          <w:szCs w:val="24"/>
          <w:u w:val="single"/>
          <w:rtl/>
        </w:rPr>
        <w:t>סעיף 11</w:t>
      </w:r>
      <w:r w:rsidR="00B0115E" w:rsidRPr="00B0115E">
        <w:rPr>
          <w:rFonts w:cs="David" w:hint="cs"/>
          <w:sz w:val="24"/>
          <w:szCs w:val="24"/>
          <w:u w:val="single"/>
          <w:rtl/>
        </w:rPr>
        <w:t xml:space="preserve"> </w:t>
      </w:r>
      <w:r w:rsidR="00B0115E" w:rsidRPr="00B0115E">
        <w:rPr>
          <w:rFonts w:cs="David" w:hint="cs"/>
          <w:b/>
          <w:bCs/>
          <w:sz w:val="24"/>
          <w:szCs w:val="24"/>
          <w:u w:val="single"/>
          <w:rtl/>
        </w:rPr>
        <w:lastRenderedPageBreak/>
        <w:t>ב לחוק</w:t>
      </w:r>
      <w:r w:rsidR="00B0115E">
        <w:rPr>
          <w:rFonts w:cs="David" w:hint="cs"/>
          <w:b/>
          <w:bCs/>
          <w:sz w:val="24"/>
          <w:szCs w:val="24"/>
          <w:rtl/>
        </w:rPr>
        <w:t xml:space="preserve"> המאפשר פיצוי ללא הוכחת נזק</w:t>
      </w:r>
      <w:r w:rsidR="00B0115E">
        <w:rPr>
          <w:rFonts w:cs="David" w:hint="cs"/>
          <w:sz w:val="24"/>
          <w:szCs w:val="24"/>
          <w:rtl/>
        </w:rPr>
        <w:t xml:space="preserve"> </w:t>
      </w:r>
      <w:r w:rsidR="00FD2AB3">
        <w:rPr>
          <w:rFonts w:cs="David" w:hint="cs"/>
          <w:sz w:val="24"/>
          <w:szCs w:val="24"/>
          <w:rtl/>
        </w:rPr>
        <w:t xml:space="preserve"> יוכל רני לדרוש </w:t>
      </w:r>
      <w:r w:rsidR="00A1471D">
        <w:rPr>
          <w:rFonts w:cs="David" w:hint="cs"/>
          <w:sz w:val="24"/>
          <w:szCs w:val="24"/>
          <w:rtl/>
        </w:rPr>
        <w:t>ריבית על הסכום שייפסק לטובתו מרג</w:t>
      </w:r>
      <w:r w:rsidR="00D0139D">
        <w:rPr>
          <w:rFonts w:cs="David" w:hint="cs"/>
          <w:sz w:val="24"/>
          <w:szCs w:val="24"/>
          <w:rtl/>
        </w:rPr>
        <w:t>ע ה</w:t>
      </w:r>
      <w:r w:rsidR="00B42576">
        <w:rPr>
          <w:rFonts w:cs="David" w:hint="cs"/>
          <w:sz w:val="24"/>
          <w:szCs w:val="24"/>
          <w:rtl/>
        </w:rPr>
        <w:t xml:space="preserve">חיוב המוסכם </w:t>
      </w:r>
      <w:r w:rsidR="00D0139D">
        <w:rPr>
          <w:rFonts w:cs="David" w:hint="cs"/>
          <w:sz w:val="24"/>
          <w:szCs w:val="24"/>
          <w:rtl/>
        </w:rPr>
        <w:t>ועד למועד התשלום</w:t>
      </w:r>
      <w:r w:rsidR="00B42576">
        <w:rPr>
          <w:rFonts w:cs="David" w:hint="cs"/>
          <w:sz w:val="24"/>
          <w:szCs w:val="24"/>
          <w:rtl/>
        </w:rPr>
        <w:t xml:space="preserve"> בפועל</w:t>
      </w:r>
      <w:r w:rsidR="000D1EBC">
        <w:rPr>
          <w:rFonts w:cs="David" w:hint="cs"/>
          <w:sz w:val="24"/>
          <w:szCs w:val="24"/>
          <w:rtl/>
        </w:rPr>
        <w:t>.</w:t>
      </w:r>
      <w:r w:rsidR="00FD2AB3">
        <w:rPr>
          <w:rFonts w:cs="David" w:hint="cs"/>
          <w:sz w:val="24"/>
          <w:szCs w:val="24"/>
          <w:rtl/>
        </w:rPr>
        <w:t xml:space="preserve"> </w:t>
      </w:r>
      <w:r w:rsidR="003C4B56">
        <w:rPr>
          <w:rFonts w:cs="David" w:hint="cs"/>
          <w:sz w:val="24"/>
          <w:szCs w:val="24"/>
          <w:rtl/>
        </w:rPr>
        <w:t>זהו פיצוי על אובדן רווח, שנובע מעצם העובדה שלא יכול היה להשתמש בכסף למטרות אחרות.</w:t>
      </w:r>
      <w:r w:rsidR="006C0226" w:rsidRPr="006C0226">
        <w:rPr>
          <w:rFonts w:cs="David" w:hint="cs"/>
          <w:b/>
          <w:bCs/>
          <w:sz w:val="24"/>
          <w:szCs w:val="24"/>
          <w:rtl/>
        </w:rPr>
        <w:t xml:space="preserve"> </w:t>
      </w:r>
      <w:r w:rsidR="006C0226" w:rsidRPr="007F0152">
        <w:rPr>
          <w:rFonts w:cs="David" w:hint="cs"/>
          <w:b/>
          <w:bCs/>
          <w:sz w:val="24"/>
          <w:szCs w:val="24"/>
          <w:rtl/>
        </w:rPr>
        <w:t xml:space="preserve">לסיכום, על מנת למקסם את הפיצויים יוכל רני לצרף </w:t>
      </w:r>
      <w:r w:rsidR="006C0226" w:rsidRPr="00013C3D">
        <w:rPr>
          <w:rFonts w:cs="David" w:hint="cs"/>
          <w:b/>
          <w:bCs/>
          <w:sz w:val="24"/>
          <w:szCs w:val="24"/>
          <w:rtl/>
        </w:rPr>
        <w:t>תרופות</w:t>
      </w:r>
      <w:r w:rsidR="006C0226" w:rsidRPr="007F0152">
        <w:rPr>
          <w:rFonts w:cs="David" w:hint="cs"/>
          <w:b/>
          <w:bCs/>
          <w:sz w:val="24"/>
          <w:szCs w:val="24"/>
          <w:rtl/>
        </w:rPr>
        <w:t xml:space="preserve"> </w:t>
      </w:r>
      <w:r w:rsidR="006C0226" w:rsidRPr="007F0152">
        <w:rPr>
          <w:rFonts w:cs="David"/>
          <w:b/>
          <w:bCs/>
          <w:sz w:val="24"/>
          <w:szCs w:val="24"/>
          <w:rtl/>
        </w:rPr>
        <w:t>–</w:t>
      </w:r>
      <w:r w:rsidR="007F0152">
        <w:rPr>
          <w:rFonts w:cs="David" w:hint="cs"/>
          <w:b/>
          <w:bCs/>
          <w:sz w:val="24"/>
          <w:szCs w:val="24"/>
          <w:rtl/>
        </w:rPr>
        <w:t xml:space="preserve"> פיצויי הסתמכות על סמך ס'</w:t>
      </w:r>
      <w:r w:rsidR="006C0226" w:rsidRPr="007F0152">
        <w:rPr>
          <w:rFonts w:cs="David" w:hint="cs"/>
          <w:b/>
          <w:bCs/>
          <w:sz w:val="24"/>
          <w:szCs w:val="24"/>
          <w:rtl/>
        </w:rPr>
        <w:t xml:space="preserve"> 10, בנוסף לפיצויים על</w:t>
      </w:r>
      <w:r w:rsidR="007F0152">
        <w:rPr>
          <w:rFonts w:cs="David" w:hint="cs"/>
          <w:b/>
          <w:bCs/>
          <w:sz w:val="24"/>
          <w:szCs w:val="24"/>
          <w:rtl/>
        </w:rPr>
        <w:t xml:space="preserve"> סמך ס'</w:t>
      </w:r>
      <w:r w:rsidR="006C0226" w:rsidRPr="007F0152">
        <w:rPr>
          <w:rFonts w:cs="David" w:hint="cs"/>
          <w:b/>
          <w:bCs/>
          <w:sz w:val="24"/>
          <w:szCs w:val="24"/>
          <w:rtl/>
        </w:rPr>
        <w:t xml:space="preserve"> 13, ופסיקת ריבית על סמך </w:t>
      </w:r>
      <w:r w:rsidR="007F0152">
        <w:rPr>
          <w:rFonts w:cs="David" w:hint="cs"/>
          <w:b/>
          <w:bCs/>
          <w:sz w:val="24"/>
          <w:szCs w:val="24"/>
          <w:rtl/>
        </w:rPr>
        <w:t>ס'</w:t>
      </w:r>
      <w:r w:rsidR="006C0226" w:rsidRPr="007F0152">
        <w:rPr>
          <w:rFonts w:cs="David" w:hint="cs"/>
          <w:b/>
          <w:bCs/>
          <w:sz w:val="24"/>
          <w:szCs w:val="24"/>
          <w:rtl/>
        </w:rPr>
        <w:t xml:space="preserve"> 11 ב.</w:t>
      </w:r>
      <w:r w:rsidR="00E51613">
        <w:rPr>
          <w:rFonts w:cs="David" w:hint="cs"/>
          <w:b/>
          <w:bCs/>
          <w:sz w:val="24"/>
          <w:szCs w:val="24"/>
          <w:rtl/>
        </w:rPr>
        <w:t xml:space="preserve"> </w:t>
      </w:r>
      <w:r w:rsidR="006C0226" w:rsidRPr="005A71A7">
        <w:rPr>
          <w:rFonts w:cs="David" w:hint="cs"/>
          <w:b/>
          <w:bCs/>
          <w:sz w:val="24"/>
          <w:szCs w:val="24"/>
          <w:rtl/>
        </w:rPr>
        <w:t>בדגש על כך שאין כפל פיצוי וסתירה מהותית בין התרופות</w:t>
      </w:r>
      <w:r w:rsidR="006C0226">
        <w:rPr>
          <w:rFonts w:cs="David" w:hint="cs"/>
          <w:b/>
          <w:bCs/>
          <w:sz w:val="24"/>
          <w:szCs w:val="24"/>
          <w:rtl/>
        </w:rPr>
        <w:t>,</w:t>
      </w:r>
      <w:r w:rsidR="006C0226" w:rsidRPr="005A71A7">
        <w:rPr>
          <w:rFonts w:cs="David" w:hint="cs"/>
          <w:b/>
          <w:bCs/>
          <w:sz w:val="24"/>
          <w:szCs w:val="24"/>
          <w:rtl/>
        </w:rPr>
        <w:t xml:space="preserve"> כדי למנוע התעשרות שלא בצדק.</w:t>
      </w:r>
      <w:r w:rsidR="006C0226">
        <w:rPr>
          <w:rFonts w:cs="David" w:hint="cs"/>
          <w:b/>
          <w:bCs/>
          <w:sz w:val="24"/>
          <w:szCs w:val="24"/>
          <w:rtl/>
        </w:rPr>
        <w:t xml:space="preserve"> </w:t>
      </w:r>
      <w:r w:rsidR="009F751A" w:rsidRPr="00013C3D">
        <w:rPr>
          <w:rFonts w:cs="David" w:hint="cs"/>
          <w:b/>
          <w:bCs/>
          <w:sz w:val="28"/>
          <w:szCs w:val="28"/>
          <w:rtl/>
        </w:rPr>
        <w:t>2</w:t>
      </w:r>
      <w:r w:rsidR="00087A94" w:rsidRPr="00013C3D">
        <w:rPr>
          <w:rFonts w:cs="David" w:hint="cs"/>
          <w:b/>
          <w:bCs/>
          <w:sz w:val="28"/>
          <w:szCs w:val="28"/>
          <w:rtl/>
        </w:rPr>
        <w:t>.</w:t>
      </w:r>
      <w:r w:rsidR="00277648">
        <w:rPr>
          <w:rFonts w:cs="David" w:hint="cs"/>
          <w:sz w:val="24"/>
          <w:szCs w:val="24"/>
          <w:rtl/>
        </w:rPr>
        <w:t xml:space="preserve"> </w:t>
      </w:r>
      <w:r w:rsidR="00087A94" w:rsidRPr="009361F8">
        <w:rPr>
          <w:rFonts w:cs="David" w:hint="cs"/>
          <w:sz w:val="24"/>
          <w:szCs w:val="24"/>
          <w:u w:val="single"/>
          <w:rtl/>
        </w:rPr>
        <w:t>פיצויים</w:t>
      </w:r>
      <w:r w:rsidR="00087A94" w:rsidRPr="00DC2672">
        <w:rPr>
          <w:rFonts w:cs="David" w:hint="cs"/>
          <w:sz w:val="24"/>
          <w:szCs w:val="24"/>
          <w:u w:val="single"/>
          <w:rtl/>
        </w:rPr>
        <w:t xml:space="preserve"> מוסכמים</w:t>
      </w:r>
      <w:r w:rsidR="007F0152">
        <w:rPr>
          <w:rFonts w:cs="David" w:hint="cs"/>
          <w:sz w:val="24"/>
          <w:szCs w:val="24"/>
          <w:rtl/>
        </w:rPr>
        <w:t xml:space="preserve"> על סמך ס'</w:t>
      </w:r>
      <w:r w:rsidR="00087A94">
        <w:rPr>
          <w:rFonts w:cs="David" w:hint="cs"/>
          <w:sz w:val="24"/>
          <w:szCs w:val="24"/>
          <w:rtl/>
        </w:rPr>
        <w:t xml:space="preserve"> 15 לחוק אינם כפופ</w:t>
      </w:r>
      <w:r w:rsidR="008932B9">
        <w:rPr>
          <w:rFonts w:cs="David" w:hint="cs"/>
          <w:sz w:val="24"/>
          <w:szCs w:val="24"/>
          <w:rtl/>
        </w:rPr>
        <w:t>ים לנטל הוכחת הנזק ול</w:t>
      </w:r>
      <w:r w:rsidR="00087A94">
        <w:rPr>
          <w:rFonts w:cs="David" w:hint="cs"/>
          <w:sz w:val="24"/>
          <w:szCs w:val="24"/>
          <w:rtl/>
        </w:rPr>
        <w:t>נטל הקטנת הנזק</w:t>
      </w:r>
      <w:r w:rsidR="0055294B">
        <w:rPr>
          <w:rStyle w:val="a8"/>
          <w:rFonts w:cs="David"/>
          <w:sz w:val="24"/>
          <w:szCs w:val="24"/>
          <w:rtl/>
        </w:rPr>
        <w:footnoteReference w:id="15"/>
      </w:r>
      <w:r w:rsidR="003C3853">
        <w:rPr>
          <w:rFonts w:cs="David" w:hint="cs"/>
          <w:sz w:val="24"/>
          <w:szCs w:val="24"/>
          <w:rtl/>
        </w:rPr>
        <w:t xml:space="preserve">. </w:t>
      </w:r>
      <w:r w:rsidR="009405DB">
        <w:rPr>
          <w:rFonts w:cs="David" w:hint="cs"/>
          <w:sz w:val="24"/>
          <w:szCs w:val="24"/>
          <w:rtl/>
        </w:rPr>
        <w:t xml:space="preserve">תשובתי תשתנה </w:t>
      </w:r>
      <w:r w:rsidR="00674D7B">
        <w:rPr>
          <w:rFonts w:cs="David" w:hint="cs"/>
          <w:sz w:val="24"/>
          <w:szCs w:val="24"/>
          <w:rtl/>
        </w:rPr>
        <w:t xml:space="preserve">במידה וסוכם בחוזה על פיצויים מוסכמים </w:t>
      </w:r>
      <w:r w:rsidR="00674D7B">
        <w:rPr>
          <w:rFonts w:cs="David"/>
          <w:sz w:val="24"/>
          <w:szCs w:val="24"/>
          <w:rtl/>
        </w:rPr>
        <w:t>–</w:t>
      </w:r>
      <w:r w:rsidR="00674D7B">
        <w:rPr>
          <w:rFonts w:cs="David" w:hint="cs"/>
          <w:sz w:val="24"/>
          <w:szCs w:val="24"/>
          <w:rtl/>
        </w:rPr>
        <w:t xml:space="preserve"> </w:t>
      </w:r>
      <w:r w:rsidR="00674D7B" w:rsidRPr="00D14F53">
        <w:rPr>
          <w:rFonts w:cs="David" w:hint="cs"/>
          <w:sz w:val="24"/>
          <w:szCs w:val="24"/>
          <w:u w:val="single"/>
          <w:rtl/>
        </w:rPr>
        <w:t xml:space="preserve">אמליץ לרני לתבוע אותם </w:t>
      </w:r>
      <w:r w:rsidR="00423B4C" w:rsidRPr="00D14F53">
        <w:rPr>
          <w:rFonts w:cs="David" w:hint="cs"/>
          <w:sz w:val="24"/>
          <w:szCs w:val="24"/>
          <w:u w:val="single"/>
          <w:rtl/>
        </w:rPr>
        <w:t>על ראש</w:t>
      </w:r>
      <w:r w:rsidR="006F2A79" w:rsidRPr="00D14F53">
        <w:rPr>
          <w:rFonts w:cs="David" w:hint="cs"/>
          <w:sz w:val="24"/>
          <w:szCs w:val="24"/>
          <w:u w:val="single"/>
          <w:rtl/>
        </w:rPr>
        <w:t>י נזק שונים</w:t>
      </w:r>
      <w:r w:rsidR="00423B4C" w:rsidRPr="00D14F53">
        <w:rPr>
          <w:rFonts w:cs="David" w:hint="cs"/>
          <w:sz w:val="24"/>
          <w:szCs w:val="24"/>
          <w:u w:val="single"/>
          <w:rtl/>
        </w:rPr>
        <w:t xml:space="preserve">, </w:t>
      </w:r>
      <w:r w:rsidR="00EF13F8" w:rsidRPr="00D14F53">
        <w:rPr>
          <w:rFonts w:cs="David" w:hint="cs"/>
          <w:sz w:val="24"/>
          <w:szCs w:val="24"/>
          <w:u w:val="single"/>
          <w:rtl/>
        </w:rPr>
        <w:t>בנוסף לת</w:t>
      </w:r>
      <w:r w:rsidR="007F0152" w:rsidRPr="00D14F53">
        <w:rPr>
          <w:rFonts w:cs="David" w:hint="cs"/>
          <w:sz w:val="24"/>
          <w:szCs w:val="24"/>
          <w:u w:val="single"/>
          <w:rtl/>
        </w:rPr>
        <w:t>ביעת פיצויי ההסתמכות על סמך ס'</w:t>
      </w:r>
      <w:r w:rsidR="00D14F53">
        <w:rPr>
          <w:rFonts w:cs="David" w:hint="cs"/>
          <w:sz w:val="24"/>
          <w:szCs w:val="24"/>
          <w:u w:val="single"/>
          <w:rtl/>
        </w:rPr>
        <w:t xml:space="preserve"> </w:t>
      </w:r>
      <w:r w:rsidR="00EF13F8" w:rsidRPr="00D14F53">
        <w:rPr>
          <w:rFonts w:cs="David" w:hint="cs"/>
          <w:sz w:val="24"/>
          <w:szCs w:val="24"/>
          <w:u w:val="single"/>
          <w:rtl/>
        </w:rPr>
        <w:t>10</w:t>
      </w:r>
      <w:r w:rsidR="000D1EBC" w:rsidRPr="00D14F53">
        <w:rPr>
          <w:rFonts w:cs="David" w:hint="cs"/>
          <w:sz w:val="24"/>
          <w:szCs w:val="24"/>
          <w:u w:val="single"/>
          <w:rtl/>
        </w:rPr>
        <w:t>.</w:t>
      </w:r>
      <w:r w:rsidR="00670B96">
        <w:rPr>
          <w:rFonts w:cs="David" w:hint="cs"/>
          <w:sz w:val="24"/>
          <w:szCs w:val="24"/>
          <w:rtl/>
        </w:rPr>
        <w:t xml:space="preserve"> </w:t>
      </w:r>
      <w:r w:rsidR="000D1EBC">
        <w:rPr>
          <w:rFonts w:cs="David" w:hint="cs"/>
          <w:sz w:val="24"/>
          <w:szCs w:val="24"/>
          <w:rtl/>
        </w:rPr>
        <w:t>רני</w:t>
      </w:r>
      <w:r w:rsidR="00EF13F8">
        <w:rPr>
          <w:rFonts w:cs="David" w:hint="cs"/>
          <w:sz w:val="24"/>
          <w:szCs w:val="24"/>
          <w:rtl/>
        </w:rPr>
        <w:t xml:space="preserve"> יטען שפיצויי ההסתמכות יפצו על הנזק הממוני</w:t>
      </w:r>
      <w:r w:rsidR="00AB17A8">
        <w:rPr>
          <w:rFonts w:cs="David" w:hint="cs"/>
          <w:sz w:val="24"/>
          <w:szCs w:val="24"/>
          <w:rtl/>
        </w:rPr>
        <w:t xml:space="preserve"> הטהור</w:t>
      </w:r>
      <w:r w:rsidR="00EF13F8">
        <w:rPr>
          <w:rFonts w:cs="David" w:hint="cs"/>
          <w:sz w:val="24"/>
          <w:szCs w:val="24"/>
          <w:rtl/>
        </w:rPr>
        <w:t>, אולם הם אינם משפרים את תוצאותיהן של נזקי ההפר</w:t>
      </w:r>
      <w:r w:rsidR="00BB31D0">
        <w:rPr>
          <w:rFonts w:cs="David" w:hint="cs"/>
          <w:sz w:val="24"/>
          <w:szCs w:val="24"/>
          <w:rtl/>
        </w:rPr>
        <w:t>ה</w:t>
      </w:r>
      <w:r w:rsidR="009361F8">
        <w:rPr>
          <w:rFonts w:cs="David" w:hint="cs"/>
          <w:sz w:val="24"/>
          <w:szCs w:val="24"/>
          <w:rtl/>
        </w:rPr>
        <w:t xml:space="preserve"> (לרבות אובדן </w:t>
      </w:r>
      <w:r w:rsidR="00853AA2">
        <w:rPr>
          <w:rFonts w:cs="David" w:hint="cs"/>
          <w:sz w:val="24"/>
          <w:szCs w:val="24"/>
          <w:rtl/>
        </w:rPr>
        <w:t xml:space="preserve">הזדמנות חלופית, פגיעה במוניטין, </w:t>
      </w:r>
      <w:r w:rsidR="009361F8">
        <w:rPr>
          <w:rFonts w:cs="David" w:hint="cs"/>
          <w:sz w:val="24"/>
          <w:szCs w:val="24"/>
          <w:rtl/>
        </w:rPr>
        <w:t>הפסד הריבית על הכספים ועוד).</w:t>
      </w:r>
      <w:r w:rsidR="00AB17A8">
        <w:rPr>
          <w:rFonts w:cs="David" w:hint="cs"/>
          <w:sz w:val="24"/>
          <w:szCs w:val="24"/>
          <w:rtl/>
        </w:rPr>
        <w:t xml:space="preserve"> פרויקט בסדר גודל כזה אמור היה להוות "מקפצה" מקצועית עבור</w:t>
      </w:r>
      <w:r w:rsidR="00250C79">
        <w:rPr>
          <w:rFonts w:cs="David" w:hint="cs"/>
          <w:sz w:val="24"/>
          <w:szCs w:val="24"/>
          <w:rtl/>
        </w:rPr>
        <w:t xml:space="preserve">ו, אך הפרת החוזה על ידי אלכס </w:t>
      </w:r>
      <w:r w:rsidR="00AB17A8">
        <w:rPr>
          <w:rFonts w:cs="David" w:hint="cs"/>
          <w:sz w:val="24"/>
          <w:szCs w:val="24"/>
          <w:rtl/>
        </w:rPr>
        <w:t>גרמה לכל השקעתו לרדת לטמיון והד</w:t>
      </w:r>
      <w:r w:rsidR="00F44E7A">
        <w:rPr>
          <w:rFonts w:cs="David" w:hint="cs"/>
          <w:sz w:val="24"/>
          <w:szCs w:val="24"/>
          <w:rtl/>
        </w:rPr>
        <w:t xml:space="preserve">בר גרם לעוגמת נפש גדולה ולפגיעה מקצועית. </w:t>
      </w:r>
      <w:r w:rsidR="006E02E0">
        <w:rPr>
          <w:rFonts w:cs="David" w:hint="cs"/>
          <w:sz w:val="24"/>
          <w:szCs w:val="24"/>
          <w:rtl/>
        </w:rPr>
        <w:t>רני יתבע</w:t>
      </w:r>
      <w:r w:rsidR="00CB1B25">
        <w:rPr>
          <w:rFonts w:cs="David" w:hint="cs"/>
          <w:sz w:val="24"/>
          <w:szCs w:val="24"/>
          <w:rtl/>
        </w:rPr>
        <w:t xml:space="preserve"> את הפיצויים המוסכמים כפיצוי על </w:t>
      </w:r>
      <w:r w:rsidR="00CB1B25" w:rsidRPr="006F2A79">
        <w:rPr>
          <w:rFonts w:cs="David" w:hint="cs"/>
          <w:sz w:val="24"/>
          <w:szCs w:val="24"/>
          <w:u w:val="single"/>
          <w:rtl/>
        </w:rPr>
        <w:t>הנזק הלא ממוני</w:t>
      </w:r>
      <w:r w:rsidR="00CB1B25">
        <w:rPr>
          <w:rFonts w:cs="David" w:hint="cs"/>
          <w:sz w:val="24"/>
          <w:szCs w:val="24"/>
          <w:rtl/>
        </w:rPr>
        <w:t xml:space="preserve"> שספג</w:t>
      </w:r>
      <w:r w:rsidR="009361F8">
        <w:rPr>
          <w:rFonts w:cs="David" w:hint="cs"/>
          <w:sz w:val="24"/>
          <w:szCs w:val="24"/>
          <w:rtl/>
        </w:rPr>
        <w:t xml:space="preserve"> ועל </w:t>
      </w:r>
      <w:r w:rsidR="009361F8" w:rsidRPr="006F2A79">
        <w:rPr>
          <w:rFonts w:cs="David" w:hint="cs"/>
          <w:sz w:val="24"/>
          <w:szCs w:val="24"/>
          <w:u w:val="single"/>
          <w:rtl/>
        </w:rPr>
        <w:t>ראשי נזק נלווים</w:t>
      </w:r>
      <w:r w:rsidR="006D7DF6">
        <w:rPr>
          <w:rFonts w:cs="David" w:hint="cs"/>
          <w:sz w:val="24"/>
          <w:szCs w:val="24"/>
          <w:rtl/>
        </w:rPr>
        <w:t xml:space="preserve">. דווקא העובדה שמדובר בסכום </w:t>
      </w:r>
      <w:r w:rsidR="00250C79">
        <w:rPr>
          <w:rFonts w:cs="David" w:hint="cs"/>
          <w:sz w:val="24"/>
          <w:szCs w:val="24"/>
          <w:rtl/>
        </w:rPr>
        <w:t xml:space="preserve">שנמוך בהרבה מעלות הפרויקט </w:t>
      </w:r>
      <w:r w:rsidR="006D7DF6">
        <w:rPr>
          <w:rFonts w:cs="David" w:hint="cs"/>
          <w:sz w:val="24"/>
          <w:szCs w:val="24"/>
          <w:rtl/>
        </w:rPr>
        <w:t>מעידה ע</w:t>
      </w:r>
      <w:r w:rsidR="00250C79">
        <w:rPr>
          <w:rFonts w:cs="David" w:hint="cs"/>
          <w:sz w:val="24"/>
          <w:szCs w:val="24"/>
          <w:rtl/>
        </w:rPr>
        <w:t>ל כך שמטרת הצדדים הייתה</w:t>
      </w:r>
      <w:r w:rsidR="008E3AE7">
        <w:rPr>
          <w:rFonts w:cs="David" w:hint="cs"/>
          <w:sz w:val="24"/>
          <w:szCs w:val="24"/>
          <w:rtl/>
        </w:rPr>
        <w:t xml:space="preserve"> </w:t>
      </w:r>
      <w:r w:rsidR="008E3AE7" w:rsidRPr="00D14F53">
        <w:rPr>
          <w:rFonts w:cs="David" w:hint="cs"/>
          <w:sz w:val="24"/>
          <w:szCs w:val="24"/>
          <w:u w:val="single"/>
          <w:rtl/>
        </w:rPr>
        <w:t>להרתיע</w:t>
      </w:r>
      <w:r w:rsidR="00B857D2" w:rsidRPr="00D14F53">
        <w:rPr>
          <w:rFonts w:cs="David" w:hint="cs"/>
          <w:sz w:val="24"/>
          <w:szCs w:val="24"/>
          <w:u w:val="single"/>
          <w:rtl/>
        </w:rPr>
        <w:t>,</w:t>
      </w:r>
      <w:r w:rsidR="00250C79" w:rsidRPr="00D14F53">
        <w:rPr>
          <w:rFonts w:cs="David" w:hint="cs"/>
          <w:sz w:val="24"/>
          <w:szCs w:val="24"/>
          <w:u w:val="single"/>
          <w:rtl/>
        </w:rPr>
        <w:t xml:space="preserve"> </w:t>
      </w:r>
      <w:r w:rsidR="008E3AE7" w:rsidRPr="00D14F53">
        <w:rPr>
          <w:rFonts w:cs="David" w:hint="cs"/>
          <w:sz w:val="24"/>
          <w:szCs w:val="24"/>
          <w:u w:val="single"/>
          <w:rtl/>
        </w:rPr>
        <w:t>ו</w:t>
      </w:r>
      <w:r w:rsidR="00250C79" w:rsidRPr="00D14F53">
        <w:rPr>
          <w:rFonts w:cs="David" w:hint="cs"/>
          <w:sz w:val="24"/>
          <w:szCs w:val="24"/>
          <w:u w:val="single"/>
          <w:rtl/>
        </w:rPr>
        <w:t>לתת מענה לעצם ההפרה של חוזה בסדר גודל כזה.</w:t>
      </w:r>
      <w:r w:rsidR="00250C79">
        <w:rPr>
          <w:rFonts w:cs="David" w:hint="cs"/>
          <w:sz w:val="24"/>
          <w:szCs w:val="24"/>
          <w:rtl/>
        </w:rPr>
        <w:t xml:space="preserve"> לכן, </w:t>
      </w:r>
      <w:r w:rsidR="009361F8">
        <w:rPr>
          <w:rFonts w:cs="David" w:hint="cs"/>
          <w:sz w:val="24"/>
          <w:szCs w:val="24"/>
          <w:rtl/>
        </w:rPr>
        <w:t>סכום זה כמענה לנזק תוצאתי</w:t>
      </w:r>
      <w:r w:rsidR="00415936">
        <w:rPr>
          <w:rFonts w:cs="David" w:hint="cs"/>
          <w:sz w:val="24"/>
          <w:szCs w:val="24"/>
          <w:rtl/>
        </w:rPr>
        <w:t xml:space="preserve"> ולא ממוני</w:t>
      </w:r>
      <w:r w:rsidR="006D7DF6">
        <w:rPr>
          <w:rFonts w:cs="David" w:hint="cs"/>
          <w:sz w:val="24"/>
          <w:szCs w:val="24"/>
          <w:rtl/>
        </w:rPr>
        <w:t xml:space="preserve"> הוא </w:t>
      </w:r>
      <w:r w:rsidR="006D7DF6" w:rsidRPr="00D14F53">
        <w:rPr>
          <w:rFonts w:cs="David" w:hint="cs"/>
          <w:sz w:val="24"/>
          <w:szCs w:val="24"/>
          <w:rtl/>
        </w:rPr>
        <w:t>סביר</w:t>
      </w:r>
      <w:r w:rsidR="006F6ABB" w:rsidRPr="00D14F53">
        <w:rPr>
          <w:rFonts w:cs="David" w:hint="cs"/>
          <w:sz w:val="24"/>
          <w:szCs w:val="24"/>
          <w:rtl/>
        </w:rPr>
        <w:t>,</w:t>
      </w:r>
      <w:r w:rsidR="006D7DF6" w:rsidRPr="00D14F53">
        <w:rPr>
          <w:rFonts w:cs="David" w:hint="cs"/>
          <w:sz w:val="24"/>
          <w:szCs w:val="24"/>
          <w:rtl/>
        </w:rPr>
        <w:t xml:space="preserve"> ועונה על ציפיית הצדדים </w:t>
      </w:r>
      <w:r w:rsidR="006F6ABB" w:rsidRPr="00D14F53">
        <w:rPr>
          <w:rFonts w:cs="David" w:hint="cs"/>
          <w:sz w:val="24"/>
          <w:szCs w:val="24"/>
          <w:rtl/>
        </w:rPr>
        <w:t xml:space="preserve">כתוצאה מסתברת של ההפרה, שניתן היה לחזותה מראש </w:t>
      </w:r>
      <w:r w:rsidR="006D7DF6" w:rsidRPr="00D14F53">
        <w:rPr>
          <w:rFonts w:cs="David" w:hint="cs"/>
          <w:sz w:val="24"/>
          <w:szCs w:val="24"/>
          <w:rtl/>
        </w:rPr>
        <w:t>בעת כריתת החוזה</w:t>
      </w:r>
      <w:r w:rsidR="003E76C0" w:rsidRPr="00D14F53">
        <w:rPr>
          <w:rStyle w:val="a8"/>
          <w:rFonts w:cs="David"/>
          <w:sz w:val="24"/>
          <w:szCs w:val="24"/>
          <w:rtl/>
        </w:rPr>
        <w:footnoteReference w:id="16"/>
      </w:r>
      <w:r w:rsidR="00250C79" w:rsidRPr="00D14F53">
        <w:rPr>
          <w:rFonts w:cs="David" w:hint="cs"/>
          <w:sz w:val="24"/>
          <w:szCs w:val="24"/>
          <w:rtl/>
        </w:rPr>
        <w:t xml:space="preserve">. </w:t>
      </w:r>
      <w:r w:rsidR="00250C79">
        <w:rPr>
          <w:rFonts w:cs="David" w:hint="cs"/>
          <w:sz w:val="24"/>
          <w:szCs w:val="24"/>
          <w:rtl/>
        </w:rPr>
        <w:t>מאידך, יטען אלכס</w:t>
      </w:r>
      <w:r w:rsidR="00EE2271">
        <w:rPr>
          <w:rFonts w:cs="David" w:hint="cs"/>
          <w:sz w:val="24"/>
          <w:szCs w:val="24"/>
          <w:rtl/>
        </w:rPr>
        <w:t xml:space="preserve"> שהסכום </w:t>
      </w:r>
      <w:r w:rsidR="00D244EB">
        <w:rPr>
          <w:rFonts w:cs="David" w:hint="cs"/>
          <w:sz w:val="24"/>
          <w:szCs w:val="24"/>
          <w:rtl/>
        </w:rPr>
        <w:t xml:space="preserve">נקבע </w:t>
      </w:r>
      <w:r w:rsidR="00D244EB" w:rsidRPr="00415936">
        <w:rPr>
          <w:rFonts w:cs="David" w:hint="cs"/>
          <w:sz w:val="24"/>
          <w:szCs w:val="24"/>
          <w:u w:val="single"/>
          <w:rtl/>
        </w:rPr>
        <w:t>כרף עליון</w:t>
      </w:r>
      <w:r w:rsidR="00D244EB">
        <w:rPr>
          <w:rFonts w:cs="David" w:hint="cs"/>
          <w:sz w:val="24"/>
          <w:szCs w:val="24"/>
          <w:rtl/>
        </w:rPr>
        <w:t xml:space="preserve"> לפיצוי במקרה של הפרת החוזה, ומעיד דווקא על רמת הסיכון </w:t>
      </w:r>
      <w:r w:rsidR="006F2A79">
        <w:rPr>
          <w:rFonts w:cs="David" w:hint="cs"/>
          <w:sz w:val="24"/>
          <w:szCs w:val="24"/>
          <w:rtl/>
        </w:rPr>
        <w:t>הנמוכה שהסכימו הצדדים</w:t>
      </w:r>
      <w:r w:rsidR="00423B4C">
        <w:rPr>
          <w:rFonts w:cs="David" w:hint="cs"/>
          <w:sz w:val="24"/>
          <w:szCs w:val="24"/>
          <w:rtl/>
        </w:rPr>
        <w:t xml:space="preserve"> </w:t>
      </w:r>
      <w:r w:rsidR="006F2A79">
        <w:rPr>
          <w:rFonts w:cs="David" w:hint="cs"/>
          <w:sz w:val="24"/>
          <w:szCs w:val="24"/>
          <w:rtl/>
        </w:rPr>
        <w:t>ליטול על עצמם</w:t>
      </w:r>
      <w:r w:rsidR="006E02E0">
        <w:rPr>
          <w:rFonts w:cs="David" w:hint="cs"/>
          <w:sz w:val="24"/>
          <w:szCs w:val="24"/>
          <w:rtl/>
        </w:rPr>
        <w:t>.</w:t>
      </w:r>
      <w:r w:rsidR="00E51613">
        <w:rPr>
          <w:rFonts w:cs="David" w:hint="cs"/>
          <w:sz w:val="24"/>
          <w:szCs w:val="24"/>
          <w:rtl/>
        </w:rPr>
        <w:t xml:space="preserve"> הפיצוי המוסכם נועד לשפר את </w:t>
      </w:r>
      <w:r w:rsidR="00E51613" w:rsidRPr="004B63AE">
        <w:rPr>
          <w:rFonts w:cs="David" w:hint="cs"/>
          <w:b/>
          <w:bCs/>
          <w:sz w:val="24"/>
          <w:szCs w:val="24"/>
          <w:rtl/>
        </w:rPr>
        <w:t>כל</w:t>
      </w:r>
      <w:r w:rsidR="00E51613">
        <w:rPr>
          <w:rFonts w:cs="David" w:hint="cs"/>
          <w:sz w:val="24"/>
          <w:szCs w:val="24"/>
          <w:rtl/>
        </w:rPr>
        <w:t xml:space="preserve"> תוצאות ההפרה לרבות נזק נלווה</w:t>
      </w:r>
      <w:r w:rsidR="006E02E0">
        <w:rPr>
          <w:rFonts w:cs="David" w:hint="cs"/>
          <w:sz w:val="24"/>
          <w:szCs w:val="24"/>
          <w:rtl/>
        </w:rPr>
        <w:t xml:space="preserve"> </w:t>
      </w:r>
      <w:r w:rsidR="009B0846">
        <w:rPr>
          <w:rFonts w:cs="David" w:hint="cs"/>
          <w:sz w:val="24"/>
          <w:szCs w:val="24"/>
          <w:rtl/>
        </w:rPr>
        <w:t>ו</w:t>
      </w:r>
      <w:r w:rsidR="0062224D">
        <w:rPr>
          <w:rFonts w:cs="David" w:hint="cs"/>
          <w:sz w:val="24"/>
          <w:szCs w:val="24"/>
          <w:rtl/>
        </w:rPr>
        <w:t>יהיה זה כפל פיצ</w:t>
      </w:r>
      <w:r w:rsidR="00F44E7A">
        <w:rPr>
          <w:rFonts w:cs="David" w:hint="cs"/>
          <w:sz w:val="24"/>
          <w:szCs w:val="24"/>
          <w:rtl/>
        </w:rPr>
        <w:t>וי להעניק לו גם אותו</w:t>
      </w:r>
      <w:r w:rsidR="00415936">
        <w:rPr>
          <w:rFonts w:cs="David" w:hint="cs"/>
          <w:sz w:val="24"/>
          <w:szCs w:val="24"/>
          <w:rtl/>
        </w:rPr>
        <w:t xml:space="preserve"> וגם פיצויי הסתמכות</w:t>
      </w:r>
      <w:r w:rsidR="00250C79">
        <w:rPr>
          <w:rFonts w:cs="David" w:hint="cs"/>
          <w:sz w:val="24"/>
          <w:szCs w:val="24"/>
          <w:rtl/>
        </w:rPr>
        <w:t xml:space="preserve">. </w:t>
      </w:r>
      <w:r w:rsidR="00415936">
        <w:rPr>
          <w:rFonts w:cs="David" w:hint="cs"/>
          <w:sz w:val="24"/>
          <w:szCs w:val="24"/>
          <w:rtl/>
        </w:rPr>
        <w:t>בנוסף</w:t>
      </w:r>
      <w:r w:rsidR="00991F0E">
        <w:rPr>
          <w:rFonts w:cs="David" w:hint="cs"/>
          <w:sz w:val="24"/>
          <w:szCs w:val="24"/>
          <w:rtl/>
        </w:rPr>
        <w:t xml:space="preserve">, </w:t>
      </w:r>
      <w:r w:rsidR="00991F0E" w:rsidRPr="00415936">
        <w:rPr>
          <w:rFonts w:cs="David" w:hint="cs"/>
          <w:sz w:val="24"/>
          <w:szCs w:val="24"/>
          <w:rtl/>
        </w:rPr>
        <w:t>פיצוי על נזק לא ממוני</w:t>
      </w:r>
      <w:r w:rsidR="009361F8" w:rsidRPr="00415936">
        <w:rPr>
          <w:rFonts w:cs="David" w:hint="cs"/>
          <w:sz w:val="24"/>
          <w:szCs w:val="24"/>
          <w:rtl/>
        </w:rPr>
        <w:t xml:space="preserve"> </w:t>
      </w:r>
      <w:r w:rsidR="00C62199" w:rsidRPr="00415936">
        <w:rPr>
          <w:rFonts w:cs="David" w:hint="cs"/>
          <w:sz w:val="24"/>
          <w:szCs w:val="24"/>
          <w:rtl/>
        </w:rPr>
        <w:t xml:space="preserve">בסכום כה גדול הוא </w:t>
      </w:r>
      <w:r w:rsidR="00C62199" w:rsidRPr="00415936">
        <w:rPr>
          <w:rFonts w:cs="David" w:hint="cs"/>
          <w:sz w:val="24"/>
          <w:szCs w:val="24"/>
          <w:u w:val="single"/>
          <w:rtl/>
        </w:rPr>
        <w:t>לא</w:t>
      </w:r>
      <w:r w:rsidR="0062224D" w:rsidRPr="00415936">
        <w:rPr>
          <w:rFonts w:cs="David" w:hint="cs"/>
          <w:sz w:val="24"/>
          <w:szCs w:val="24"/>
          <w:u w:val="single"/>
          <w:rtl/>
        </w:rPr>
        <w:t xml:space="preserve"> סביר,</w:t>
      </w:r>
      <w:r w:rsidR="00415936">
        <w:rPr>
          <w:rFonts w:cs="David" w:hint="cs"/>
          <w:sz w:val="24"/>
          <w:szCs w:val="24"/>
          <w:rtl/>
        </w:rPr>
        <w:t xml:space="preserve"> בייחוד בחוזה עסקי, ואלכס לא</w:t>
      </w:r>
      <w:r w:rsidR="001C6097">
        <w:rPr>
          <w:rFonts w:cs="David" w:hint="cs"/>
          <w:sz w:val="24"/>
          <w:szCs w:val="24"/>
          <w:rtl/>
        </w:rPr>
        <w:t xml:space="preserve"> יכול היה </w:t>
      </w:r>
      <w:proofErr w:type="spellStart"/>
      <w:r w:rsidR="001C6097">
        <w:rPr>
          <w:rFonts w:cs="David" w:hint="cs"/>
          <w:sz w:val="24"/>
          <w:szCs w:val="24"/>
          <w:rtl/>
        </w:rPr>
        <w:t>לצפותו</w:t>
      </w:r>
      <w:proofErr w:type="spellEnd"/>
      <w:r w:rsidR="0062224D">
        <w:rPr>
          <w:rFonts w:cs="David" w:hint="cs"/>
          <w:sz w:val="24"/>
          <w:szCs w:val="24"/>
          <w:rtl/>
        </w:rPr>
        <w:t xml:space="preserve"> כתוצאה </w:t>
      </w:r>
      <w:r w:rsidR="00690A09" w:rsidRPr="00CB222A">
        <w:rPr>
          <w:rFonts w:cs="David" w:hint="cs"/>
          <w:sz w:val="24"/>
          <w:szCs w:val="24"/>
          <w:rtl/>
        </w:rPr>
        <w:t>מסתברת</w:t>
      </w:r>
      <w:r w:rsidR="00F50FB5">
        <w:rPr>
          <w:rFonts w:cs="David" w:hint="cs"/>
          <w:sz w:val="24"/>
          <w:szCs w:val="24"/>
          <w:rtl/>
        </w:rPr>
        <w:t xml:space="preserve"> של ההפרה</w:t>
      </w:r>
      <w:r w:rsidR="00670B96">
        <w:rPr>
          <w:rFonts w:cs="David" w:hint="cs"/>
          <w:sz w:val="24"/>
          <w:szCs w:val="24"/>
          <w:rtl/>
        </w:rPr>
        <w:t xml:space="preserve"> כשנכרת החוזה</w:t>
      </w:r>
      <w:r w:rsidR="00415936">
        <w:rPr>
          <w:rFonts w:cs="David" w:hint="cs"/>
          <w:sz w:val="24"/>
          <w:szCs w:val="24"/>
          <w:rtl/>
        </w:rPr>
        <w:t xml:space="preserve"> </w:t>
      </w:r>
      <w:r w:rsidR="009A00B9">
        <w:rPr>
          <w:rFonts w:cs="David" w:hint="cs"/>
          <w:sz w:val="24"/>
          <w:szCs w:val="24"/>
          <w:rtl/>
        </w:rPr>
        <w:t>ולכן יבקש מביהמ"ש להפחית סכום זה</w:t>
      </w:r>
      <w:r w:rsidR="00273346">
        <w:rPr>
          <w:rFonts w:cs="David" w:hint="cs"/>
          <w:sz w:val="24"/>
          <w:szCs w:val="24"/>
          <w:rtl/>
        </w:rPr>
        <w:t>.</w:t>
      </w:r>
      <w:r w:rsidR="00E96368">
        <w:rPr>
          <w:rFonts w:cs="David" w:hint="cs"/>
          <w:sz w:val="24"/>
          <w:szCs w:val="24"/>
          <w:rtl/>
        </w:rPr>
        <w:t xml:space="preserve"> </w:t>
      </w:r>
      <w:r w:rsidR="00E96368" w:rsidRPr="00BD0950">
        <w:rPr>
          <w:rFonts w:cs="David" w:hint="cs"/>
          <w:b/>
          <w:bCs/>
          <w:sz w:val="28"/>
          <w:szCs w:val="28"/>
          <w:rtl/>
        </w:rPr>
        <w:t>3</w:t>
      </w:r>
      <w:r w:rsidR="00E96368" w:rsidRPr="00BD0950">
        <w:rPr>
          <w:rFonts w:cs="David" w:hint="cs"/>
          <w:b/>
          <w:bCs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E96368">
        <w:rPr>
          <w:rFonts w:cs="David" w:hint="cs"/>
          <w:sz w:val="24"/>
          <w:szCs w:val="24"/>
          <w:rtl/>
        </w:rPr>
        <w:t xml:space="preserve">במידה והחלטתו של אלכס נבעה עקב התמשכות המבצע </w:t>
      </w:r>
      <w:r w:rsidR="00745501">
        <w:rPr>
          <w:rFonts w:cs="David" w:hint="cs"/>
          <w:sz w:val="24"/>
          <w:szCs w:val="24"/>
          <w:rtl/>
        </w:rPr>
        <w:t>הוא יטען</w:t>
      </w:r>
      <w:r w:rsidR="00B4083C">
        <w:rPr>
          <w:rFonts w:cs="David" w:hint="cs"/>
          <w:sz w:val="24"/>
          <w:szCs w:val="24"/>
          <w:rtl/>
        </w:rPr>
        <w:t xml:space="preserve"> שמתקיימים המבחנים המצטברים</w:t>
      </w:r>
      <w:r w:rsidR="00745501">
        <w:rPr>
          <w:rFonts w:cs="David" w:hint="cs"/>
          <w:sz w:val="24"/>
          <w:szCs w:val="24"/>
          <w:rtl/>
        </w:rPr>
        <w:t xml:space="preserve"> להגנת הסיכול</w:t>
      </w:r>
      <w:r w:rsidR="00837207">
        <w:rPr>
          <w:rFonts w:cs="David" w:hint="cs"/>
          <w:sz w:val="24"/>
          <w:szCs w:val="24"/>
          <w:rtl/>
        </w:rPr>
        <w:t xml:space="preserve"> (ס' 18 לחוק)</w:t>
      </w:r>
      <w:r w:rsidR="003C3853">
        <w:rPr>
          <w:rFonts w:cs="David" w:hint="cs"/>
          <w:sz w:val="24"/>
          <w:szCs w:val="24"/>
          <w:rtl/>
        </w:rPr>
        <w:t xml:space="preserve">: </w:t>
      </w:r>
      <w:r w:rsidR="00B4083C">
        <w:rPr>
          <w:rFonts w:cs="David" w:hint="cs"/>
          <w:sz w:val="24"/>
          <w:szCs w:val="24"/>
          <w:rtl/>
        </w:rPr>
        <w:t>הוא לא ידע ולא היה עליו לדעת שתפרוץ מלחמה</w:t>
      </w:r>
      <w:r w:rsidR="006D1EFF">
        <w:rPr>
          <w:rFonts w:cs="David" w:hint="cs"/>
          <w:sz w:val="24"/>
          <w:szCs w:val="24"/>
          <w:rtl/>
        </w:rPr>
        <w:t xml:space="preserve"> </w:t>
      </w:r>
      <w:r w:rsidR="00B857D2">
        <w:rPr>
          <w:rFonts w:cs="David" w:hint="cs"/>
          <w:sz w:val="24"/>
          <w:szCs w:val="24"/>
          <w:rtl/>
        </w:rPr>
        <w:t>(בייחוד</w:t>
      </w:r>
      <w:r w:rsidR="00842123">
        <w:rPr>
          <w:rFonts w:cs="David" w:hint="cs"/>
          <w:sz w:val="24"/>
          <w:szCs w:val="24"/>
          <w:rtl/>
        </w:rPr>
        <w:t xml:space="preserve"> </w:t>
      </w:r>
      <w:r w:rsidR="000E449E">
        <w:rPr>
          <w:rFonts w:cs="David" w:hint="cs"/>
          <w:sz w:val="24"/>
          <w:szCs w:val="24"/>
          <w:rtl/>
        </w:rPr>
        <w:t>בתור אזרח אנגליה שחי בחו"ל</w:t>
      </w:r>
      <w:r w:rsidR="00B857D2">
        <w:rPr>
          <w:rFonts w:cs="David" w:hint="cs"/>
          <w:sz w:val="24"/>
          <w:szCs w:val="24"/>
          <w:rtl/>
        </w:rPr>
        <w:t>)</w:t>
      </w:r>
      <w:r w:rsidR="00B4083C">
        <w:rPr>
          <w:rFonts w:cs="David" w:hint="cs"/>
          <w:sz w:val="24"/>
          <w:szCs w:val="24"/>
          <w:rtl/>
        </w:rPr>
        <w:t>, אין לו יכולת השפעה על ה</w:t>
      </w:r>
      <w:r w:rsidR="00745501">
        <w:rPr>
          <w:rFonts w:cs="David" w:hint="cs"/>
          <w:sz w:val="24"/>
          <w:szCs w:val="24"/>
          <w:rtl/>
        </w:rPr>
        <w:t>נסיבות, והמשך המבצע</w:t>
      </w:r>
      <w:r w:rsidR="00B4083C">
        <w:rPr>
          <w:rFonts w:cs="David" w:hint="cs"/>
          <w:sz w:val="24"/>
          <w:szCs w:val="24"/>
          <w:rtl/>
        </w:rPr>
        <w:t xml:space="preserve"> מסכל את קיום החוזה. אמנם מלחמה באר</w:t>
      </w:r>
      <w:r w:rsidR="00FC4B38">
        <w:rPr>
          <w:rFonts w:cs="David" w:hint="cs"/>
          <w:sz w:val="24"/>
          <w:szCs w:val="24"/>
          <w:rtl/>
        </w:rPr>
        <w:t xml:space="preserve">ץ היא בגדר אירוע </w:t>
      </w:r>
      <w:r w:rsidR="00B4083C">
        <w:rPr>
          <w:rFonts w:cs="David" w:hint="cs"/>
          <w:sz w:val="24"/>
          <w:szCs w:val="24"/>
          <w:rtl/>
        </w:rPr>
        <w:t>צפו</w:t>
      </w:r>
      <w:r w:rsidR="00193C7E">
        <w:rPr>
          <w:rFonts w:cs="David" w:hint="cs"/>
          <w:sz w:val="24"/>
          <w:szCs w:val="24"/>
          <w:rtl/>
        </w:rPr>
        <w:t>י</w:t>
      </w:r>
      <w:r w:rsidR="00B4083C">
        <w:rPr>
          <w:rStyle w:val="a8"/>
          <w:rFonts w:cs="David"/>
          <w:sz w:val="24"/>
          <w:szCs w:val="24"/>
          <w:rtl/>
        </w:rPr>
        <w:footnoteReference w:id="17"/>
      </w:r>
      <w:r w:rsidR="00B4083C">
        <w:rPr>
          <w:rFonts w:cs="David" w:hint="cs"/>
          <w:sz w:val="24"/>
          <w:szCs w:val="24"/>
          <w:rtl/>
        </w:rPr>
        <w:t xml:space="preserve">, אולם לא ניתן היה לצפות את </w:t>
      </w:r>
      <w:r w:rsidR="00FC4B38">
        <w:rPr>
          <w:rFonts w:cs="David"/>
          <w:sz w:val="24"/>
          <w:szCs w:val="24"/>
          <w:rtl/>
        </w:rPr>
        <w:t>ההשלכות המעשיות של ה</w:t>
      </w:r>
      <w:r w:rsidR="00FC4B38">
        <w:rPr>
          <w:rFonts w:cs="David" w:hint="cs"/>
          <w:sz w:val="24"/>
          <w:szCs w:val="24"/>
          <w:rtl/>
        </w:rPr>
        <w:t>מבצע על</w:t>
      </w:r>
      <w:r w:rsidR="00B4083C" w:rsidRPr="00B4083C">
        <w:rPr>
          <w:rFonts w:cs="David"/>
          <w:sz w:val="24"/>
          <w:szCs w:val="24"/>
          <w:rtl/>
        </w:rPr>
        <w:t xml:space="preserve"> מהות היחסים החוזיים</w:t>
      </w:r>
      <w:r w:rsidR="00B4083C">
        <w:rPr>
          <w:rStyle w:val="a8"/>
          <w:rFonts w:cs="David"/>
          <w:sz w:val="24"/>
          <w:szCs w:val="24"/>
          <w:rtl/>
        </w:rPr>
        <w:footnoteReference w:id="18"/>
      </w:r>
      <w:r w:rsidR="00193C7E">
        <w:rPr>
          <w:rFonts w:cs="David" w:hint="cs"/>
          <w:sz w:val="24"/>
          <w:szCs w:val="24"/>
          <w:rtl/>
        </w:rPr>
        <w:t xml:space="preserve">. </w:t>
      </w:r>
      <w:r w:rsidR="00B4083C">
        <w:rPr>
          <w:rFonts w:cs="David" w:hint="cs"/>
          <w:sz w:val="24"/>
          <w:szCs w:val="24"/>
          <w:rtl/>
        </w:rPr>
        <w:t>מטרת החוזה הייתה להרשים</w:t>
      </w:r>
      <w:r w:rsidR="00FC4B38">
        <w:rPr>
          <w:rFonts w:cs="David" w:hint="cs"/>
          <w:sz w:val="24"/>
          <w:szCs w:val="24"/>
          <w:rtl/>
        </w:rPr>
        <w:t xml:space="preserve"> את מבקרי האופנה בעולם, ופתיחת החנויות בזמן מורכב זה </w:t>
      </w:r>
      <w:r w:rsidR="003C3853">
        <w:rPr>
          <w:rFonts w:cs="David" w:hint="cs"/>
          <w:sz w:val="24"/>
          <w:szCs w:val="24"/>
          <w:rtl/>
        </w:rPr>
        <w:t>לא תענה על</w:t>
      </w:r>
      <w:r w:rsidR="00B72CDF">
        <w:rPr>
          <w:rFonts w:cs="David" w:hint="cs"/>
          <w:sz w:val="24"/>
          <w:szCs w:val="24"/>
          <w:rtl/>
        </w:rPr>
        <w:t xml:space="preserve"> המטרה</w:t>
      </w:r>
      <w:r w:rsidR="00FC4B38">
        <w:rPr>
          <w:rFonts w:cs="David" w:hint="cs"/>
          <w:sz w:val="24"/>
          <w:szCs w:val="24"/>
          <w:rtl/>
        </w:rPr>
        <w:t xml:space="preserve"> ואף מסכנת את דעת הקהל העול</w:t>
      </w:r>
      <w:r w:rsidR="00416BAB">
        <w:rPr>
          <w:rFonts w:cs="David" w:hint="cs"/>
          <w:sz w:val="24"/>
          <w:szCs w:val="24"/>
          <w:rtl/>
        </w:rPr>
        <w:t>מית על אלכס</w:t>
      </w:r>
      <w:r w:rsidR="00C6136E">
        <w:rPr>
          <w:rFonts w:cs="David" w:hint="cs"/>
          <w:sz w:val="24"/>
          <w:szCs w:val="24"/>
          <w:rtl/>
        </w:rPr>
        <w:t>,</w:t>
      </w:r>
      <w:r w:rsidR="00416BAB">
        <w:rPr>
          <w:rFonts w:cs="David" w:hint="cs"/>
          <w:sz w:val="24"/>
          <w:szCs w:val="24"/>
          <w:rtl/>
        </w:rPr>
        <w:t xml:space="preserve"> ועלולה לפגוע ברווחים בעסקיו בעולם.</w:t>
      </w:r>
      <w:r w:rsidR="002F12BD">
        <w:rPr>
          <w:rFonts w:cs="David" w:hint="cs"/>
          <w:sz w:val="24"/>
          <w:szCs w:val="24"/>
          <w:rtl/>
        </w:rPr>
        <w:t xml:space="preserve"> </w:t>
      </w:r>
      <w:r w:rsidR="00FC4B38">
        <w:rPr>
          <w:rFonts w:cs="David" w:hint="cs"/>
          <w:sz w:val="24"/>
          <w:szCs w:val="24"/>
          <w:rtl/>
        </w:rPr>
        <w:t xml:space="preserve">עוד יטען שעמידה דווקנית של רני על זכותו החוזית על אף שהנסיבות השתנו בצורה </w:t>
      </w:r>
      <w:r w:rsidR="00DE37A0">
        <w:rPr>
          <w:rFonts w:cs="David" w:hint="cs"/>
          <w:sz w:val="24"/>
          <w:szCs w:val="24"/>
          <w:rtl/>
        </w:rPr>
        <w:t>מהותית היא חסרת</w:t>
      </w:r>
      <w:r w:rsidR="00FC4B38">
        <w:rPr>
          <w:rFonts w:cs="David" w:hint="cs"/>
          <w:sz w:val="24"/>
          <w:szCs w:val="24"/>
          <w:rtl/>
        </w:rPr>
        <w:t xml:space="preserve"> תו"ל מצדו.</w:t>
      </w:r>
      <w:r w:rsidR="00155091">
        <w:rPr>
          <w:rStyle w:val="a8"/>
          <w:rFonts w:cs="David"/>
          <w:sz w:val="24"/>
          <w:szCs w:val="24"/>
          <w:rtl/>
        </w:rPr>
        <w:footnoteReference w:id="19"/>
      </w:r>
      <w:r w:rsidR="000D1EBC">
        <w:rPr>
          <w:rFonts w:cs="David" w:hint="cs"/>
          <w:sz w:val="24"/>
          <w:szCs w:val="24"/>
          <w:rtl/>
        </w:rPr>
        <w:t xml:space="preserve"> </w:t>
      </w:r>
      <w:r w:rsidR="00DE37A0" w:rsidRPr="00DE37A0">
        <w:rPr>
          <w:rFonts w:cs="David" w:hint="cs"/>
          <w:sz w:val="24"/>
          <w:szCs w:val="24"/>
          <w:rtl/>
        </w:rPr>
        <w:t xml:space="preserve">ע"פ </w:t>
      </w:r>
      <w:r w:rsidR="005265AF">
        <w:rPr>
          <w:rFonts w:cs="David" w:hint="cs"/>
          <w:sz w:val="24"/>
          <w:szCs w:val="24"/>
          <w:rtl/>
        </w:rPr>
        <w:t xml:space="preserve">גבריאלה </w:t>
      </w:r>
      <w:r w:rsidR="00DE37A0" w:rsidRPr="00DE37A0">
        <w:rPr>
          <w:rFonts w:cs="David" w:hint="cs"/>
          <w:sz w:val="24"/>
          <w:szCs w:val="24"/>
          <w:rtl/>
        </w:rPr>
        <w:t>שלו דין הסיכול מקבל העדפה על דין ההפרה הצפויה</w:t>
      </w:r>
      <w:r w:rsidR="00DE37A0" w:rsidRPr="00DE37A0">
        <w:rPr>
          <w:rFonts w:cs="David"/>
          <w:sz w:val="24"/>
          <w:szCs w:val="24"/>
          <w:vertAlign w:val="superscript"/>
          <w:rtl/>
        </w:rPr>
        <w:footnoteReference w:id="20"/>
      </w:r>
      <w:r w:rsidR="00DE37A0" w:rsidRPr="00DE37A0">
        <w:rPr>
          <w:rFonts w:cs="David" w:hint="cs"/>
          <w:sz w:val="24"/>
          <w:szCs w:val="24"/>
          <w:rtl/>
        </w:rPr>
        <w:t xml:space="preserve">. </w:t>
      </w:r>
      <w:r w:rsidR="000D1EBC">
        <w:rPr>
          <w:rFonts w:cs="David" w:hint="cs"/>
          <w:sz w:val="24"/>
          <w:szCs w:val="24"/>
          <w:rtl/>
        </w:rPr>
        <w:t>במידה וטענתו</w:t>
      </w:r>
      <w:r w:rsidR="003C3853">
        <w:rPr>
          <w:rFonts w:cs="David" w:hint="cs"/>
          <w:sz w:val="24"/>
          <w:szCs w:val="24"/>
          <w:rtl/>
        </w:rPr>
        <w:t xml:space="preserve"> תתקבל יהיה </w:t>
      </w:r>
      <w:r w:rsidR="00DE37A0">
        <w:rPr>
          <w:rFonts w:cs="David" w:hint="cs"/>
          <w:sz w:val="24"/>
          <w:szCs w:val="24"/>
          <w:rtl/>
        </w:rPr>
        <w:t xml:space="preserve">אלכס </w:t>
      </w:r>
      <w:r w:rsidR="00B72CDF">
        <w:rPr>
          <w:rFonts w:cs="David" w:hint="cs"/>
          <w:sz w:val="24"/>
          <w:szCs w:val="24"/>
          <w:rtl/>
        </w:rPr>
        <w:t>מוגן</w:t>
      </w:r>
      <w:r w:rsidR="003C3853">
        <w:rPr>
          <w:rFonts w:cs="David" w:hint="cs"/>
          <w:sz w:val="24"/>
          <w:szCs w:val="24"/>
          <w:rtl/>
        </w:rPr>
        <w:t xml:space="preserve"> מ</w:t>
      </w:r>
      <w:r w:rsidR="000D1EBC">
        <w:rPr>
          <w:rFonts w:cs="David" w:hint="cs"/>
          <w:sz w:val="24"/>
          <w:szCs w:val="24"/>
          <w:rtl/>
        </w:rPr>
        <w:t xml:space="preserve">תביעת </w:t>
      </w:r>
      <w:r w:rsidR="003C3853">
        <w:rPr>
          <w:rFonts w:cs="David" w:hint="cs"/>
          <w:sz w:val="24"/>
          <w:szCs w:val="24"/>
          <w:rtl/>
        </w:rPr>
        <w:t>אכיפה או פיצויים, וביהמ"ש יחליט על שיפוי הוצאותי</w:t>
      </w:r>
      <w:r w:rsidR="000129D1">
        <w:rPr>
          <w:rFonts w:cs="David" w:hint="cs"/>
          <w:sz w:val="24"/>
          <w:szCs w:val="24"/>
          <w:rtl/>
        </w:rPr>
        <w:t xml:space="preserve">ו של רני בהתאם לשיקול דעתו. </w:t>
      </w:r>
      <w:r w:rsidR="009C186E">
        <w:rPr>
          <w:rFonts w:cs="David" w:hint="cs"/>
          <w:sz w:val="24"/>
          <w:szCs w:val="24"/>
          <w:rtl/>
        </w:rPr>
        <w:t>רני יטען מנגד ש</w:t>
      </w:r>
      <w:r w:rsidR="00B857D2">
        <w:rPr>
          <w:rFonts w:cs="David" w:hint="cs"/>
          <w:sz w:val="24"/>
          <w:szCs w:val="24"/>
          <w:rtl/>
        </w:rPr>
        <w:t>א</w:t>
      </w:r>
      <w:r w:rsidR="00B72CDF">
        <w:rPr>
          <w:rFonts w:cs="David" w:hint="cs"/>
          <w:sz w:val="24"/>
          <w:szCs w:val="24"/>
          <w:rtl/>
        </w:rPr>
        <w:t xml:space="preserve">לכס </w:t>
      </w:r>
      <w:r w:rsidR="009C186E">
        <w:rPr>
          <w:rFonts w:cs="David" w:hint="cs"/>
          <w:sz w:val="24"/>
          <w:szCs w:val="24"/>
          <w:rtl/>
        </w:rPr>
        <w:t xml:space="preserve">בחר להשקיע בארץ תוך שהוא יודע שהמצב הביטחוני </w:t>
      </w:r>
      <w:r w:rsidR="00B72CDF">
        <w:rPr>
          <w:rFonts w:cs="David" w:hint="cs"/>
          <w:sz w:val="24"/>
          <w:szCs w:val="24"/>
          <w:rtl/>
        </w:rPr>
        <w:t xml:space="preserve">לא יציב, ולכן </w:t>
      </w:r>
      <w:r w:rsidR="00B72CDF" w:rsidRPr="005265AF">
        <w:rPr>
          <w:rFonts w:cs="David" w:hint="cs"/>
          <w:sz w:val="24"/>
          <w:szCs w:val="24"/>
          <w:u w:val="single"/>
          <w:rtl/>
        </w:rPr>
        <w:t>הוא נושא הסיכון העדיף</w:t>
      </w:r>
      <w:r w:rsidR="009C186E" w:rsidRPr="005265AF">
        <w:rPr>
          <w:rStyle w:val="a8"/>
          <w:rFonts w:cs="David"/>
          <w:sz w:val="24"/>
          <w:szCs w:val="24"/>
          <w:u w:val="single"/>
          <w:rtl/>
        </w:rPr>
        <w:footnoteReference w:id="21"/>
      </w:r>
      <w:r w:rsidR="00B72CDF">
        <w:rPr>
          <w:rFonts w:cs="David" w:hint="cs"/>
          <w:sz w:val="24"/>
          <w:szCs w:val="24"/>
          <w:rtl/>
        </w:rPr>
        <w:t>.</w:t>
      </w:r>
      <w:r w:rsidR="009C186E">
        <w:rPr>
          <w:rFonts w:cs="David" w:hint="cs"/>
          <w:sz w:val="24"/>
          <w:szCs w:val="24"/>
          <w:rtl/>
        </w:rPr>
        <w:t xml:space="preserve"> זאת ועוד, </w:t>
      </w:r>
      <w:r w:rsidR="00193C7E">
        <w:rPr>
          <w:rFonts w:cs="David" w:hint="cs"/>
          <w:sz w:val="24"/>
          <w:szCs w:val="24"/>
          <w:rtl/>
        </w:rPr>
        <w:t xml:space="preserve">הנסיבות לא השתנו מהותית שכן החנויות בארץ פנו לקהל </w:t>
      </w:r>
      <w:r w:rsidR="000D1EBC">
        <w:rPr>
          <w:rFonts w:cs="David" w:hint="cs"/>
          <w:sz w:val="24"/>
          <w:szCs w:val="24"/>
          <w:rtl/>
        </w:rPr>
        <w:t>ה</w:t>
      </w:r>
      <w:r w:rsidR="00193C7E">
        <w:rPr>
          <w:rFonts w:cs="David" w:hint="cs"/>
          <w:sz w:val="24"/>
          <w:szCs w:val="24"/>
          <w:rtl/>
        </w:rPr>
        <w:t>ישראלי, ועצם קיום המבצע לא משנה דבר לגביו. המלצת</w:t>
      </w:r>
      <w:r w:rsidR="003C3853">
        <w:rPr>
          <w:rFonts w:cs="David" w:hint="cs"/>
          <w:sz w:val="24"/>
          <w:szCs w:val="24"/>
          <w:rtl/>
        </w:rPr>
        <w:t>י</w:t>
      </w:r>
      <w:r w:rsidR="006673E3">
        <w:rPr>
          <w:rFonts w:cs="David" w:hint="cs"/>
          <w:sz w:val="24"/>
          <w:szCs w:val="24"/>
          <w:rtl/>
        </w:rPr>
        <w:t xml:space="preserve"> </w:t>
      </w:r>
      <w:r w:rsidR="003C3853">
        <w:rPr>
          <w:rFonts w:cs="David" w:hint="cs"/>
          <w:sz w:val="24"/>
          <w:szCs w:val="24"/>
          <w:rtl/>
        </w:rPr>
        <w:t>לרני לא תשתנ</w:t>
      </w:r>
      <w:r w:rsidR="000B501D">
        <w:rPr>
          <w:rFonts w:cs="David" w:hint="cs"/>
          <w:sz w:val="24"/>
          <w:szCs w:val="24"/>
          <w:rtl/>
        </w:rPr>
        <w:t xml:space="preserve">ה במקרה </w:t>
      </w:r>
      <w:r w:rsidR="00C02679">
        <w:rPr>
          <w:rFonts w:cs="David" w:hint="cs"/>
          <w:sz w:val="24"/>
          <w:szCs w:val="24"/>
          <w:rtl/>
        </w:rPr>
        <w:t xml:space="preserve">זה. </w:t>
      </w:r>
      <w:r w:rsidR="000B501D">
        <w:rPr>
          <w:rFonts w:cs="David" w:hint="cs"/>
          <w:sz w:val="24"/>
          <w:szCs w:val="24"/>
          <w:rtl/>
        </w:rPr>
        <w:t xml:space="preserve">סביר שטענת </w:t>
      </w:r>
      <w:r w:rsidR="004B1EC3">
        <w:rPr>
          <w:rFonts w:cs="David" w:hint="cs"/>
          <w:sz w:val="24"/>
          <w:szCs w:val="24"/>
          <w:rtl/>
        </w:rPr>
        <w:t>הסיכול לא תתקבל, ואף אם כן</w:t>
      </w:r>
      <w:r w:rsidR="000B501D">
        <w:rPr>
          <w:rFonts w:cs="David" w:hint="cs"/>
          <w:sz w:val="24"/>
          <w:szCs w:val="24"/>
          <w:rtl/>
        </w:rPr>
        <w:t xml:space="preserve"> </w:t>
      </w:r>
      <w:r w:rsidR="006673E3">
        <w:rPr>
          <w:rFonts w:cs="David" w:hint="cs"/>
          <w:sz w:val="24"/>
          <w:szCs w:val="24"/>
          <w:rtl/>
        </w:rPr>
        <w:t xml:space="preserve">יינתן </w:t>
      </w:r>
      <w:r w:rsidR="000B501D">
        <w:rPr>
          <w:rFonts w:cs="David" w:hint="cs"/>
          <w:sz w:val="24"/>
          <w:szCs w:val="24"/>
          <w:rtl/>
        </w:rPr>
        <w:t>שיקול דעת לביהמ"ש להעניק לו שיפוי על הוצאותיו</w:t>
      </w:r>
      <w:r w:rsidR="004B1EC3">
        <w:rPr>
          <w:rFonts w:cs="David" w:hint="cs"/>
          <w:sz w:val="24"/>
          <w:szCs w:val="24"/>
          <w:rtl/>
        </w:rPr>
        <w:t xml:space="preserve"> והתח</w:t>
      </w:r>
      <w:r w:rsidR="006D1EFF">
        <w:rPr>
          <w:rFonts w:cs="David" w:hint="cs"/>
          <w:sz w:val="24"/>
          <w:szCs w:val="24"/>
          <w:rtl/>
        </w:rPr>
        <w:t>י</w:t>
      </w:r>
      <w:r w:rsidR="004B1EC3">
        <w:rPr>
          <w:rFonts w:cs="David" w:hint="cs"/>
          <w:sz w:val="24"/>
          <w:szCs w:val="24"/>
          <w:rtl/>
        </w:rPr>
        <w:t>יבו</w:t>
      </w:r>
      <w:r w:rsidR="006D1EFF">
        <w:rPr>
          <w:rFonts w:cs="David" w:hint="cs"/>
          <w:sz w:val="24"/>
          <w:szCs w:val="24"/>
          <w:rtl/>
        </w:rPr>
        <w:t>יו</w:t>
      </w:r>
      <w:r w:rsidR="004B1EC3">
        <w:rPr>
          <w:rFonts w:cs="David" w:hint="cs"/>
          <w:sz w:val="24"/>
          <w:szCs w:val="24"/>
          <w:rtl/>
        </w:rPr>
        <w:t>ת</w:t>
      </w:r>
      <w:r w:rsidR="005265AF">
        <w:rPr>
          <w:rFonts w:cs="David" w:hint="cs"/>
          <w:sz w:val="24"/>
          <w:szCs w:val="24"/>
          <w:rtl/>
        </w:rPr>
        <w:t>י</w:t>
      </w:r>
      <w:r w:rsidR="004B1EC3">
        <w:rPr>
          <w:rFonts w:cs="David" w:hint="cs"/>
          <w:sz w:val="24"/>
          <w:szCs w:val="24"/>
          <w:rtl/>
        </w:rPr>
        <w:t>ו הסבירות</w:t>
      </w:r>
      <w:r w:rsidR="005A4D2A">
        <w:rPr>
          <w:rFonts w:cs="David" w:hint="cs"/>
          <w:sz w:val="24"/>
          <w:szCs w:val="24"/>
          <w:rtl/>
        </w:rPr>
        <w:t xml:space="preserve"> (כולן או חלקן)</w:t>
      </w:r>
      <w:r w:rsidR="004B1EC3">
        <w:rPr>
          <w:rFonts w:cs="David" w:hint="cs"/>
          <w:sz w:val="24"/>
          <w:szCs w:val="24"/>
          <w:rtl/>
        </w:rPr>
        <w:t>, כולל שכר ראוי</w:t>
      </w:r>
      <w:r w:rsidR="006673E3">
        <w:rPr>
          <w:rFonts w:cs="David" w:hint="cs"/>
          <w:b/>
          <w:bCs/>
          <w:sz w:val="24"/>
          <w:szCs w:val="24"/>
          <w:rtl/>
        </w:rPr>
        <w:t>.</w:t>
      </w:r>
    </w:p>
    <w:sectPr w:rsidR="00273346" w:rsidRPr="005A71A7" w:rsidSect="00E306B0">
      <w:pgSz w:w="11906" w:h="16838"/>
      <w:pgMar w:top="1389" w:right="1389" w:bottom="1389" w:left="138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F4" w:rsidRDefault="007F5BF4" w:rsidP="003425DE">
      <w:pPr>
        <w:spacing w:after="0" w:line="240" w:lineRule="auto"/>
      </w:pPr>
      <w:r>
        <w:separator/>
      </w:r>
    </w:p>
  </w:endnote>
  <w:endnote w:type="continuationSeparator" w:id="0">
    <w:p w:rsidR="007F5BF4" w:rsidRDefault="007F5BF4" w:rsidP="0034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F4" w:rsidRDefault="007F5BF4" w:rsidP="003425DE">
      <w:pPr>
        <w:spacing w:after="0" w:line="240" w:lineRule="auto"/>
      </w:pPr>
      <w:r>
        <w:separator/>
      </w:r>
    </w:p>
  </w:footnote>
  <w:footnote w:type="continuationSeparator" w:id="0">
    <w:p w:rsidR="007F5BF4" w:rsidRDefault="007F5BF4" w:rsidP="003425DE">
      <w:pPr>
        <w:spacing w:after="0" w:line="240" w:lineRule="auto"/>
      </w:pPr>
      <w:r>
        <w:continuationSeparator/>
      </w:r>
    </w:p>
  </w:footnote>
  <w:footnote w:id="1">
    <w:p w:rsidR="009B7BF2" w:rsidRPr="001D027D" w:rsidRDefault="009B7BF2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D428D0" w:rsidRPr="001D027D">
        <w:rPr>
          <w:rFonts w:cs="David" w:hint="cs"/>
          <w:rtl/>
        </w:rPr>
        <w:t xml:space="preserve">חוק החוזים(תרופות בשל הפרת חוזה) תשל"א </w:t>
      </w:r>
      <w:r w:rsidR="00D428D0" w:rsidRPr="001D027D">
        <w:rPr>
          <w:rFonts w:cs="David"/>
          <w:rtl/>
        </w:rPr>
        <w:t>–</w:t>
      </w:r>
      <w:r w:rsidR="00D428D0" w:rsidRPr="001D027D">
        <w:rPr>
          <w:rFonts w:cs="David" w:hint="cs"/>
          <w:rtl/>
        </w:rPr>
        <w:t xml:space="preserve"> 1971, סעיף 17.</w:t>
      </w:r>
      <w:r w:rsidR="00766C2E" w:rsidRPr="001D027D">
        <w:rPr>
          <w:rFonts w:cs="David" w:hint="cs"/>
          <w:rtl/>
        </w:rPr>
        <w:t xml:space="preserve"> (להלן "החוק")</w:t>
      </w:r>
    </w:p>
  </w:footnote>
  <w:footnote w:id="2">
    <w:p w:rsidR="009B7BF2" w:rsidRPr="001D027D" w:rsidRDefault="009B7BF2" w:rsidP="004D6713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4D6713" w:rsidRPr="001D027D">
        <w:rPr>
          <w:rFonts w:cs="David" w:hint="cs"/>
          <w:rtl/>
        </w:rPr>
        <w:t>ג</w:t>
      </w:r>
      <w:r w:rsidR="004D6713" w:rsidRPr="001D027D">
        <w:rPr>
          <w:rFonts w:cs="David"/>
          <w:rtl/>
        </w:rPr>
        <w:t xml:space="preserve">' </w:t>
      </w:r>
      <w:r w:rsidR="004D6713" w:rsidRPr="001D027D">
        <w:rPr>
          <w:rFonts w:cs="David" w:hint="cs"/>
          <w:rtl/>
        </w:rPr>
        <w:t>שלו</w:t>
      </w:r>
      <w:r w:rsidR="004D6713" w:rsidRPr="001D027D">
        <w:rPr>
          <w:rFonts w:cs="David"/>
          <w:rtl/>
        </w:rPr>
        <w:t xml:space="preserve"> </w:t>
      </w:r>
      <w:r w:rsidR="004D6713" w:rsidRPr="001D027D">
        <w:rPr>
          <w:rFonts w:cs="David" w:hint="cs"/>
          <w:rtl/>
        </w:rPr>
        <w:t>וי</w:t>
      </w:r>
      <w:r w:rsidR="004D6713" w:rsidRPr="001D027D">
        <w:rPr>
          <w:rFonts w:cs="David"/>
          <w:rtl/>
        </w:rPr>
        <w:t xml:space="preserve">' </w:t>
      </w:r>
      <w:proofErr w:type="spellStart"/>
      <w:r w:rsidR="004D6713" w:rsidRPr="001D027D">
        <w:rPr>
          <w:rFonts w:cs="David" w:hint="cs"/>
          <w:rtl/>
        </w:rPr>
        <w:t>אדר</w:t>
      </w:r>
      <w:r w:rsidR="004D6713" w:rsidRPr="001D027D">
        <w:rPr>
          <w:rFonts w:cs="David"/>
          <w:rtl/>
        </w:rPr>
        <w:t>,</w:t>
      </w:r>
      <w:r w:rsidR="004D6713" w:rsidRPr="001D027D">
        <w:rPr>
          <w:rFonts w:cs="David" w:hint="cs"/>
          <w:b/>
          <w:bCs/>
          <w:rtl/>
        </w:rPr>
        <w:t>דיני</w:t>
      </w:r>
      <w:proofErr w:type="spellEnd"/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חוזים</w:t>
      </w:r>
      <w:r w:rsidR="004D6713" w:rsidRPr="001D027D">
        <w:rPr>
          <w:rFonts w:cs="David"/>
          <w:b/>
          <w:bCs/>
          <w:rtl/>
        </w:rPr>
        <w:t>-</w:t>
      </w:r>
      <w:r w:rsidR="004D6713" w:rsidRPr="001D027D">
        <w:rPr>
          <w:rFonts w:cs="David" w:hint="cs"/>
          <w:b/>
          <w:bCs/>
          <w:rtl/>
        </w:rPr>
        <w:t>התרופות</w:t>
      </w:r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לקראת</w:t>
      </w:r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הקודיפיקציה</w:t>
      </w:r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של</w:t>
      </w:r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המשפט</w:t>
      </w:r>
      <w:r w:rsidR="004D6713" w:rsidRPr="001D027D">
        <w:rPr>
          <w:rFonts w:cs="David"/>
          <w:b/>
          <w:bCs/>
          <w:rtl/>
        </w:rPr>
        <w:t xml:space="preserve"> </w:t>
      </w:r>
      <w:r w:rsidR="004D6713" w:rsidRPr="001D027D">
        <w:rPr>
          <w:rFonts w:cs="David" w:hint="cs"/>
          <w:b/>
          <w:bCs/>
          <w:rtl/>
        </w:rPr>
        <w:t>האזרחי</w:t>
      </w:r>
      <w:r w:rsidR="004D6713" w:rsidRPr="001D027D">
        <w:rPr>
          <w:rFonts w:cs="David"/>
          <w:rtl/>
        </w:rPr>
        <w:t>(</w:t>
      </w:r>
      <w:r w:rsidR="004D6713" w:rsidRPr="001D027D">
        <w:rPr>
          <w:rFonts w:cs="David" w:hint="cs"/>
          <w:rtl/>
        </w:rPr>
        <w:t>תשס</w:t>
      </w:r>
      <w:r w:rsidR="004D6713" w:rsidRPr="001D027D">
        <w:rPr>
          <w:rFonts w:cs="David"/>
          <w:rtl/>
        </w:rPr>
        <w:t>"</w:t>
      </w:r>
      <w:r w:rsidR="004D6713" w:rsidRPr="001D027D">
        <w:rPr>
          <w:rFonts w:cs="David" w:hint="cs"/>
          <w:rtl/>
        </w:rPr>
        <w:t>ט</w:t>
      </w:r>
      <w:r w:rsidR="004D6713" w:rsidRPr="001D027D">
        <w:rPr>
          <w:rFonts w:cs="David"/>
          <w:rtl/>
        </w:rPr>
        <w:t>),</w:t>
      </w:r>
      <w:r w:rsidR="004D6713" w:rsidRPr="001D027D">
        <w:rPr>
          <w:rFonts w:cs="David" w:hint="cs"/>
          <w:rtl/>
        </w:rPr>
        <w:t xml:space="preserve"> בעמ' 135. (</w:t>
      </w:r>
      <w:proofErr w:type="spellStart"/>
      <w:r w:rsidR="004D6713" w:rsidRPr="001D027D">
        <w:rPr>
          <w:rFonts w:cs="David" w:hint="cs"/>
          <w:rtl/>
        </w:rPr>
        <w:t>להלן:"שלו</w:t>
      </w:r>
      <w:proofErr w:type="spellEnd"/>
      <w:r w:rsidR="004D6713" w:rsidRPr="001D027D">
        <w:rPr>
          <w:rFonts w:cs="David" w:hint="cs"/>
          <w:rtl/>
        </w:rPr>
        <w:t>").</w:t>
      </w:r>
    </w:p>
  </w:footnote>
  <w:footnote w:id="3">
    <w:p w:rsidR="009B7BF2" w:rsidRPr="001D027D" w:rsidRDefault="009B7BF2">
      <w:pPr>
        <w:pStyle w:val="a6"/>
        <w:rPr>
          <w:rFonts w:cs="David"/>
          <w:rtl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4D6713" w:rsidRPr="001D027D">
        <w:rPr>
          <w:rFonts w:cs="David" w:hint="cs"/>
          <w:rtl/>
        </w:rPr>
        <w:t xml:space="preserve">שלו, </w:t>
      </w:r>
      <w:r w:rsidR="00BE280A" w:rsidRPr="001D027D">
        <w:rPr>
          <w:rFonts w:cs="David" w:hint="cs"/>
          <w:rtl/>
        </w:rPr>
        <w:t xml:space="preserve">להלן </w:t>
      </w:r>
      <w:proofErr w:type="spellStart"/>
      <w:r w:rsidR="004D6713" w:rsidRPr="001D027D">
        <w:rPr>
          <w:rFonts w:cs="David" w:hint="cs"/>
          <w:rtl/>
        </w:rPr>
        <w:t>ה"ש</w:t>
      </w:r>
      <w:proofErr w:type="spellEnd"/>
      <w:r w:rsidR="004D6713" w:rsidRPr="001D027D">
        <w:rPr>
          <w:rFonts w:cs="David" w:hint="cs"/>
          <w:rtl/>
        </w:rPr>
        <w:t xml:space="preserve"> 2, בעמ' 131.</w:t>
      </w:r>
    </w:p>
  </w:footnote>
  <w:footnote w:id="4">
    <w:p w:rsidR="009B7BF2" w:rsidRPr="001D027D" w:rsidRDefault="009B7BF2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766C2E" w:rsidRPr="001D027D">
        <w:rPr>
          <w:rFonts w:cs="David" w:hint="cs"/>
          <w:rtl/>
        </w:rPr>
        <w:t xml:space="preserve">ע"א 3380/97 </w:t>
      </w:r>
      <w:r w:rsidR="00766C2E" w:rsidRPr="001D027D">
        <w:rPr>
          <w:rFonts w:cs="David" w:hint="cs"/>
          <w:b/>
          <w:bCs/>
          <w:rtl/>
        </w:rPr>
        <w:t xml:space="preserve">בנק איגוד לישראל נ' </w:t>
      </w:r>
      <w:proofErr w:type="spellStart"/>
      <w:r w:rsidR="00766C2E" w:rsidRPr="001D027D">
        <w:rPr>
          <w:rFonts w:cs="David" w:hint="cs"/>
          <w:b/>
          <w:bCs/>
          <w:rtl/>
        </w:rPr>
        <w:t>סוראסקי</w:t>
      </w:r>
      <w:proofErr w:type="spellEnd"/>
      <w:r w:rsidR="00766C2E" w:rsidRPr="001D027D">
        <w:rPr>
          <w:rFonts w:cs="David" w:hint="cs"/>
          <w:rtl/>
        </w:rPr>
        <w:t xml:space="preserve">, פ"ד </w:t>
      </w:r>
      <w:proofErr w:type="spellStart"/>
      <w:r w:rsidR="00766C2E" w:rsidRPr="001D027D">
        <w:rPr>
          <w:rFonts w:cs="David" w:hint="cs"/>
          <w:rtl/>
        </w:rPr>
        <w:t>מב</w:t>
      </w:r>
      <w:proofErr w:type="spellEnd"/>
      <w:r w:rsidR="00766C2E" w:rsidRPr="001D027D">
        <w:rPr>
          <w:rFonts w:cs="David" w:hint="cs"/>
          <w:rtl/>
        </w:rPr>
        <w:t xml:space="preserve">(4) 811, </w:t>
      </w:r>
      <w:r w:rsidR="00EF450E" w:rsidRPr="001D027D">
        <w:rPr>
          <w:rFonts w:cs="David" w:hint="cs"/>
          <w:rtl/>
        </w:rPr>
        <w:t>828-829 (1989).</w:t>
      </w:r>
      <w:r w:rsidR="0005183A" w:rsidRPr="001D027D">
        <w:rPr>
          <w:rFonts w:cs="David" w:hint="cs"/>
          <w:rtl/>
        </w:rPr>
        <w:t xml:space="preserve"> (להלן: "בנק איגוד")</w:t>
      </w:r>
    </w:p>
  </w:footnote>
  <w:footnote w:id="5">
    <w:p w:rsidR="00D775B5" w:rsidRPr="001D027D" w:rsidRDefault="00D775B5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1D027D" w:rsidRPr="001D027D">
        <w:rPr>
          <w:rFonts w:cs="David" w:hint="cs"/>
          <w:rtl/>
        </w:rPr>
        <w:t>חוק</w:t>
      </w:r>
      <w:r w:rsidR="001D027D" w:rsidRPr="001D027D">
        <w:rPr>
          <w:rFonts w:cs="David"/>
          <w:rtl/>
        </w:rPr>
        <w:t xml:space="preserve"> </w:t>
      </w:r>
      <w:r w:rsidR="001D027D" w:rsidRPr="001D027D">
        <w:rPr>
          <w:rFonts w:cs="David" w:hint="cs"/>
          <w:rtl/>
        </w:rPr>
        <w:t>החוזים</w:t>
      </w:r>
      <w:r w:rsidR="001D027D" w:rsidRPr="001D027D">
        <w:rPr>
          <w:rFonts w:cs="David"/>
          <w:rtl/>
        </w:rPr>
        <w:t>(</w:t>
      </w:r>
      <w:r w:rsidR="001D027D" w:rsidRPr="001D027D">
        <w:rPr>
          <w:rFonts w:cs="David" w:hint="cs"/>
          <w:rtl/>
        </w:rPr>
        <w:t>חלק</w:t>
      </w:r>
      <w:r w:rsidR="001D027D" w:rsidRPr="001D027D">
        <w:rPr>
          <w:rFonts w:cs="David"/>
          <w:rtl/>
        </w:rPr>
        <w:t xml:space="preserve"> </w:t>
      </w:r>
      <w:r w:rsidR="001D027D" w:rsidRPr="001D027D">
        <w:rPr>
          <w:rFonts w:cs="David" w:hint="cs"/>
          <w:rtl/>
        </w:rPr>
        <w:t>כללי</w:t>
      </w:r>
      <w:r w:rsidR="001D027D" w:rsidRPr="001D027D">
        <w:rPr>
          <w:rFonts w:cs="David"/>
          <w:rtl/>
        </w:rPr>
        <w:t>)</w:t>
      </w:r>
      <w:r w:rsidR="001D027D" w:rsidRPr="001D027D">
        <w:rPr>
          <w:rFonts w:cs="David" w:hint="cs"/>
          <w:rtl/>
        </w:rPr>
        <w:t>תשל</w:t>
      </w:r>
      <w:r w:rsidR="001D027D" w:rsidRPr="001D027D">
        <w:rPr>
          <w:rFonts w:cs="David"/>
          <w:rtl/>
        </w:rPr>
        <w:t>"</w:t>
      </w:r>
      <w:r w:rsidR="001D027D" w:rsidRPr="001D027D">
        <w:rPr>
          <w:rFonts w:cs="David" w:hint="cs"/>
          <w:rtl/>
        </w:rPr>
        <w:t>ג</w:t>
      </w:r>
      <w:r w:rsidR="001D027D" w:rsidRPr="001D027D">
        <w:rPr>
          <w:rFonts w:cs="David"/>
          <w:rtl/>
        </w:rPr>
        <w:t>-1973,</w:t>
      </w:r>
      <w:r w:rsidR="001D027D" w:rsidRPr="001D027D">
        <w:rPr>
          <w:rFonts w:cs="David" w:hint="cs"/>
          <w:rtl/>
        </w:rPr>
        <w:t>סעיף</w:t>
      </w:r>
      <w:r w:rsidR="001D027D" w:rsidRPr="001D027D">
        <w:rPr>
          <w:rFonts w:cs="David"/>
          <w:rtl/>
        </w:rPr>
        <w:t xml:space="preserve"> 39.</w:t>
      </w:r>
    </w:p>
  </w:footnote>
  <w:footnote w:id="6">
    <w:p w:rsidR="009B7BF2" w:rsidRPr="001D027D" w:rsidRDefault="009B7BF2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766C2E" w:rsidRPr="001D027D">
        <w:rPr>
          <w:rFonts w:cs="David" w:hint="cs"/>
          <w:rtl/>
        </w:rPr>
        <w:t>סעיף 10 לחוק.</w:t>
      </w:r>
    </w:p>
  </w:footnote>
  <w:footnote w:id="7">
    <w:p w:rsidR="009B7BF2" w:rsidRPr="001D027D" w:rsidRDefault="009B7BF2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304413" w:rsidRPr="001D027D">
        <w:rPr>
          <w:rFonts w:cs="David" w:hint="cs"/>
          <w:rtl/>
        </w:rPr>
        <w:t>ע"א 355/80,</w:t>
      </w:r>
      <w:r w:rsidR="00304413" w:rsidRPr="001D027D">
        <w:rPr>
          <w:rFonts w:cs="David" w:hint="cs"/>
          <w:b/>
          <w:bCs/>
          <w:rtl/>
        </w:rPr>
        <w:t xml:space="preserve"> </w:t>
      </w:r>
      <w:proofErr w:type="spellStart"/>
      <w:r w:rsidR="00304413" w:rsidRPr="001D027D">
        <w:rPr>
          <w:rFonts w:cs="David" w:hint="cs"/>
          <w:b/>
          <w:bCs/>
          <w:rtl/>
        </w:rPr>
        <w:t>אניסימוב</w:t>
      </w:r>
      <w:proofErr w:type="spellEnd"/>
      <w:r w:rsidR="00304413" w:rsidRPr="001D027D">
        <w:rPr>
          <w:rFonts w:cs="David" w:hint="cs"/>
          <w:b/>
          <w:bCs/>
          <w:rtl/>
        </w:rPr>
        <w:t xml:space="preserve"> נ' מלון טירת בת שבע</w:t>
      </w:r>
      <w:r w:rsidR="00304413" w:rsidRPr="001D027D">
        <w:rPr>
          <w:rFonts w:cs="David" w:hint="cs"/>
          <w:rtl/>
        </w:rPr>
        <w:t>, פ"ד לה(2), 800, 807 (1981).</w:t>
      </w:r>
    </w:p>
  </w:footnote>
  <w:footnote w:id="8">
    <w:p w:rsidR="009B7BF2" w:rsidRPr="001D1FCB" w:rsidRDefault="009B7BF2">
      <w:pPr>
        <w:pStyle w:val="a6"/>
        <w:rPr>
          <w:rFonts w:cs="David"/>
        </w:rPr>
      </w:pPr>
      <w:r w:rsidRPr="001D027D">
        <w:rPr>
          <w:rStyle w:val="a8"/>
          <w:rFonts w:cs="David"/>
        </w:rPr>
        <w:footnoteRef/>
      </w:r>
      <w:r w:rsidRPr="001D027D">
        <w:rPr>
          <w:rFonts w:cs="David"/>
          <w:rtl/>
        </w:rPr>
        <w:t xml:space="preserve"> </w:t>
      </w:r>
      <w:r w:rsidR="001D1FCB" w:rsidRPr="001D027D">
        <w:rPr>
          <w:rFonts w:cs="David" w:hint="cs"/>
          <w:rtl/>
        </w:rPr>
        <w:t xml:space="preserve">ע"א 3666/90, </w:t>
      </w:r>
      <w:r w:rsidR="001D1FCB" w:rsidRPr="001D027D">
        <w:rPr>
          <w:rFonts w:cs="David" w:hint="cs"/>
          <w:b/>
          <w:bCs/>
          <w:rtl/>
        </w:rPr>
        <w:t>מלון צוקים בע"מ נ' עיריית נתניה,</w:t>
      </w:r>
      <w:r w:rsidR="00474042" w:rsidRPr="001D027D">
        <w:rPr>
          <w:rFonts w:cs="David" w:hint="cs"/>
          <w:rtl/>
        </w:rPr>
        <w:t xml:space="preserve"> </w:t>
      </w:r>
      <w:proofErr w:type="spellStart"/>
      <w:r w:rsidR="001D1FCB" w:rsidRPr="001D027D">
        <w:rPr>
          <w:rFonts w:cs="David" w:hint="cs"/>
          <w:rtl/>
        </w:rPr>
        <w:t>פ"מ</w:t>
      </w:r>
      <w:proofErr w:type="spellEnd"/>
      <w:r w:rsidR="001D1FCB" w:rsidRPr="001D027D">
        <w:rPr>
          <w:rFonts w:cs="David" w:hint="cs"/>
          <w:rtl/>
        </w:rPr>
        <w:t xml:space="preserve"> מו(4) 45, 56(1992)</w:t>
      </w:r>
      <w:r w:rsidR="009D3DB8" w:rsidRPr="001D027D">
        <w:rPr>
          <w:rFonts w:cs="David" w:hint="cs"/>
          <w:rtl/>
        </w:rPr>
        <w:t>.</w:t>
      </w:r>
    </w:p>
  </w:footnote>
  <w:footnote w:id="9">
    <w:p w:rsidR="00DA3D43" w:rsidRPr="009D0312" w:rsidRDefault="00DA3D43">
      <w:pPr>
        <w:pStyle w:val="a6"/>
        <w:rPr>
          <w:rFonts w:cs="David"/>
        </w:rPr>
      </w:pPr>
      <w:r w:rsidRPr="009D0312">
        <w:rPr>
          <w:rStyle w:val="a8"/>
          <w:rFonts w:cs="David"/>
        </w:rPr>
        <w:footnoteRef/>
      </w:r>
      <w:r w:rsidRPr="009D0312">
        <w:rPr>
          <w:rFonts w:cs="David"/>
          <w:rtl/>
        </w:rPr>
        <w:t xml:space="preserve"> </w:t>
      </w:r>
      <w:r w:rsidR="000751D2">
        <w:rPr>
          <w:rFonts w:cs="David" w:hint="cs"/>
          <w:rtl/>
        </w:rPr>
        <w:t xml:space="preserve">שם, </w:t>
      </w:r>
      <w:r w:rsidR="009D0312" w:rsidRPr="009D0312">
        <w:rPr>
          <w:rFonts w:cs="David" w:hint="cs"/>
          <w:rtl/>
        </w:rPr>
        <w:t>בעמ' 48.</w:t>
      </w:r>
    </w:p>
  </w:footnote>
  <w:footnote w:id="10">
    <w:p w:rsidR="009B7BF2" w:rsidRPr="0002701F" w:rsidRDefault="009B7BF2" w:rsidP="00554A0F">
      <w:pPr>
        <w:pStyle w:val="a6"/>
        <w:rPr>
          <w:rFonts w:cs="David"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משה</w:t>
      </w:r>
      <w:r w:rsidR="00554A0F" w:rsidRPr="00554A0F">
        <w:rPr>
          <w:rFonts w:cs="David"/>
          <w:rtl/>
        </w:rPr>
        <w:t xml:space="preserve"> </w:t>
      </w:r>
      <w:proofErr w:type="spellStart"/>
      <w:r w:rsidR="00554A0F" w:rsidRPr="00554A0F">
        <w:rPr>
          <w:rFonts w:cs="David" w:hint="cs"/>
          <w:rtl/>
        </w:rPr>
        <w:t>גלברד</w:t>
      </w:r>
      <w:proofErr w:type="spellEnd"/>
      <w:r w:rsidR="00554A0F" w:rsidRPr="00554A0F">
        <w:rPr>
          <w:rFonts w:cs="David"/>
          <w:rtl/>
        </w:rPr>
        <w:t xml:space="preserve"> "</w:t>
      </w:r>
      <w:r w:rsidR="00554A0F" w:rsidRPr="00554A0F">
        <w:rPr>
          <w:rFonts w:cs="David" w:hint="cs"/>
          <w:rtl/>
        </w:rPr>
        <w:t>הפרה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צפויה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של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חיוב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בהצעת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הקודקס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האזרחי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החדש</w:t>
      </w:r>
      <w:r w:rsidR="00554A0F" w:rsidRPr="00554A0F">
        <w:rPr>
          <w:rFonts w:cs="David"/>
          <w:rtl/>
        </w:rPr>
        <w:t xml:space="preserve">" </w:t>
      </w:r>
      <w:r w:rsidR="00554A0F" w:rsidRPr="00554A0F">
        <w:rPr>
          <w:rFonts w:cs="David" w:hint="cs"/>
          <w:b/>
          <w:bCs/>
          <w:rtl/>
        </w:rPr>
        <w:t>מאזני</w:t>
      </w:r>
      <w:r w:rsidR="00554A0F" w:rsidRPr="00554A0F">
        <w:rPr>
          <w:rFonts w:cs="David"/>
          <w:b/>
          <w:bCs/>
          <w:rtl/>
        </w:rPr>
        <w:t xml:space="preserve"> </w:t>
      </w:r>
      <w:r w:rsidR="00554A0F" w:rsidRPr="00554A0F">
        <w:rPr>
          <w:rFonts w:cs="David" w:hint="cs"/>
          <w:b/>
          <w:bCs/>
          <w:rtl/>
        </w:rPr>
        <w:t>משפט</w:t>
      </w:r>
      <w:r w:rsidR="00554A0F" w:rsidRPr="00554A0F">
        <w:rPr>
          <w:rFonts w:cs="David"/>
          <w:rtl/>
        </w:rPr>
        <w:t xml:space="preserve"> </w:t>
      </w:r>
      <w:r w:rsidR="00554A0F" w:rsidRPr="00554A0F">
        <w:rPr>
          <w:rFonts w:cs="David" w:hint="cs"/>
          <w:rtl/>
        </w:rPr>
        <w:t>ה</w:t>
      </w:r>
      <w:r w:rsidR="00554A0F" w:rsidRPr="00554A0F">
        <w:rPr>
          <w:rFonts w:cs="David"/>
          <w:rtl/>
        </w:rPr>
        <w:t>(</w:t>
      </w:r>
      <w:r w:rsidR="00554A0F" w:rsidRPr="00554A0F">
        <w:rPr>
          <w:rFonts w:cs="David" w:hint="cs"/>
          <w:rtl/>
        </w:rPr>
        <w:t>תשס</w:t>
      </w:r>
      <w:r w:rsidR="00554A0F" w:rsidRPr="00554A0F">
        <w:rPr>
          <w:rFonts w:cs="David"/>
          <w:rtl/>
        </w:rPr>
        <w:t>"</w:t>
      </w:r>
      <w:r w:rsidR="00554A0F" w:rsidRPr="00554A0F">
        <w:rPr>
          <w:rFonts w:cs="David" w:hint="cs"/>
          <w:rtl/>
        </w:rPr>
        <w:t>ו</w:t>
      </w:r>
      <w:r w:rsidR="00554A0F" w:rsidRPr="00554A0F">
        <w:rPr>
          <w:rFonts w:cs="David"/>
          <w:rtl/>
        </w:rPr>
        <w:t>)229,</w:t>
      </w:r>
      <w:r w:rsidR="00554A0F" w:rsidRPr="00554A0F">
        <w:rPr>
          <w:rFonts w:cs="David" w:hint="cs"/>
          <w:rtl/>
        </w:rPr>
        <w:t>ע</w:t>
      </w:r>
      <w:r w:rsidR="00554A0F">
        <w:rPr>
          <w:rFonts w:cs="David" w:hint="cs"/>
          <w:rtl/>
        </w:rPr>
        <w:t>מ'</w:t>
      </w:r>
      <w:r w:rsidR="00554A0F" w:rsidRPr="00554A0F">
        <w:rPr>
          <w:rFonts w:cs="David"/>
          <w:rtl/>
        </w:rPr>
        <w:t xml:space="preserve"> </w:t>
      </w:r>
      <w:r w:rsidR="00554A0F">
        <w:rPr>
          <w:rFonts w:cs="David" w:hint="cs"/>
          <w:rtl/>
        </w:rPr>
        <w:t>238-239</w:t>
      </w:r>
      <w:r w:rsidR="00554A0F" w:rsidRPr="00554A0F">
        <w:rPr>
          <w:rFonts w:cs="David"/>
          <w:rtl/>
        </w:rPr>
        <w:t>.</w:t>
      </w:r>
    </w:p>
  </w:footnote>
  <w:footnote w:id="11">
    <w:p w:rsidR="009B7BF2" w:rsidRPr="0002701F" w:rsidRDefault="009B7BF2" w:rsidP="00730D29">
      <w:pPr>
        <w:pStyle w:val="a6"/>
        <w:rPr>
          <w:rFonts w:cs="David"/>
          <w:rtl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="00BE280A">
        <w:rPr>
          <w:rFonts w:cs="David" w:hint="cs"/>
          <w:rtl/>
        </w:rPr>
        <w:t xml:space="preserve">שלו, להלן </w:t>
      </w:r>
      <w:proofErr w:type="spellStart"/>
      <w:r w:rsidR="00BE280A">
        <w:rPr>
          <w:rFonts w:cs="David" w:hint="cs"/>
          <w:rtl/>
        </w:rPr>
        <w:t>ה"ש</w:t>
      </w:r>
      <w:proofErr w:type="spellEnd"/>
      <w:r w:rsidR="00BE280A">
        <w:rPr>
          <w:rFonts w:cs="David" w:hint="cs"/>
          <w:rtl/>
        </w:rPr>
        <w:t xml:space="preserve"> 2, בעמ' 157-160.</w:t>
      </w:r>
    </w:p>
  </w:footnote>
  <w:footnote w:id="12">
    <w:p w:rsidR="009B7BF2" w:rsidRPr="004617E3" w:rsidRDefault="009B7BF2">
      <w:pPr>
        <w:pStyle w:val="a6"/>
        <w:rPr>
          <w:rFonts w:cs="David"/>
          <w:rtl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="004617E3">
        <w:rPr>
          <w:rFonts w:cs="David" w:hint="cs"/>
          <w:rtl/>
        </w:rPr>
        <w:t xml:space="preserve">ע"א 3912/90, </w:t>
      </w:r>
      <w:proofErr w:type="spellStart"/>
      <w:r w:rsidR="004617E3">
        <w:rPr>
          <w:rFonts w:cs="David"/>
          <w:b/>
          <w:bCs/>
        </w:rPr>
        <w:t>eximin</w:t>
      </w:r>
      <w:proofErr w:type="spellEnd"/>
      <w:r w:rsidR="004617E3">
        <w:rPr>
          <w:rFonts w:cs="David" w:hint="cs"/>
          <w:b/>
          <w:bCs/>
          <w:rtl/>
        </w:rPr>
        <w:t xml:space="preserve"> נ' טקסטיל, </w:t>
      </w:r>
      <w:r w:rsidR="004617E3">
        <w:rPr>
          <w:rFonts w:cs="David" w:hint="cs"/>
          <w:rtl/>
        </w:rPr>
        <w:t xml:space="preserve"> פ"ד </w:t>
      </w:r>
      <w:proofErr w:type="spellStart"/>
      <w:r w:rsidR="004617E3">
        <w:rPr>
          <w:rFonts w:cs="David" w:hint="cs"/>
          <w:rtl/>
        </w:rPr>
        <w:t>מז</w:t>
      </w:r>
      <w:proofErr w:type="spellEnd"/>
      <w:r w:rsidR="004617E3">
        <w:rPr>
          <w:rFonts w:cs="David" w:hint="cs"/>
          <w:rtl/>
        </w:rPr>
        <w:t>(4) 64, 82 (1993).</w:t>
      </w:r>
    </w:p>
  </w:footnote>
  <w:footnote w:id="13">
    <w:p w:rsidR="009B7BF2" w:rsidRPr="00273346" w:rsidRDefault="009B7BF2">
      <w:pPr>
        <w:pStyle w:val="a6"/>
        <w:rPr>
          <w:rFonts w:cs="David"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Pr="0002701F">
        <w:rPr>
          <w:rFonts w:cs="David" w:hint="cs"/>
          <w:rtl/>
        </w:rPr>
        <w:t>בנק איגוד</w:t>
      </w:r>
      <w:r w:rsidR="0005183A">
        <w:rPr>
          <w:rFonts w:cs="David" w:hint="cs"/>
          <w:rtl/>
        </w:rPr>
        <w:t xml:space="preserve">, להלן </w:t>
      </w:r>
      <w:proofErr w:type="spellStart"/>
      <w:r w:rsidR="0005183A">
        <w:rPr>
          <w:rFonts w:cs="David" w:hint="cs"/>
          <w:rtl/>
        </w:rPr>
        <w:t>ה"ש</w:t>
      </w:r>
      <w:proofErr w:type="spellEnd"/>
      <w:r w:rsidR="0005183A">
        <w:rPr>
          <w:rFonts w:cs="David" w:hint="cs"/>
          <w:rtl/>
        </w:rPr>
        <w:t xml:space="preserve"> 5, בעמ' </w:t>
      </w:r>
      <w:r w:rsidR="006207B2">
        <w:rPr>
          <w:rFonts w:cs="David" w:hint="cs"/>
          <w:rtl/>
        </w:rPr>
        <w:t>830.</w:t>
      </w:r>
    </w:p>
  </w:footnote>
  <w:footnote w:id="14">
    <w:p w:rsidR="009B7BF2" w:rsidRPr="0002701F" w:rsidRDefault="009B7BF2" w:rsidP="003B493F">
      <w:pPr>
        <w:pStyle w:val="a6"/>
        <w:rPr>
          <w:rFonts w:cs="David"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Pr="0002701F">
        <w:rPr>
          <w:rFonts w:cs="David" w:hint="cs"/>
          <w:rtl/>
        </w:rPr>
        <w:t xml:space="preserve">שלו </w:t>
      </w:r>
      <w:r w:rsidR="00E10AF2">
        <w:rPr>
          <w:rFonts w:cs="David" w:hint="cs"/>
          <w:rtl/>
        </w:rPr>
        <w:t xml:space="preserve">, להלן </w:t>
      </w:r>
      <w:proofErr w:type="spellStart"/>
      <w:r w:rsidR="00E10AF2">
        <w:rPr>
          <w:rFonts w:cs="David" w:hint="cs"/>
          <w:rtl/>
        </w:rPr>
        <w:t>ה"ש</w:t>
      </w:r>
      <w:proofErr w:type="spellEnd"/>
      <w:r w:rsidR="00E10AF2">
        <w:rPr>
          <w:rFonts w:cs="David" w:hint="cs"/>
          <w:rtl/>
        </w:rPr>
        <w:t xml:space="preserve"> 2 בעמ' 364.</w:t>
      </w:r>
    </w:p>
  </w:footnote>
  <w:footnote w:id="15">
    <w:p w:rsidR="009B7BF2" w:rsidRPr="0002701F" w:rsidRDefault="009B7BF2" w:rsidP="00066727">
      <w:pPr>
        <w:pStyle w:val="a6"/>
        <w:rPr>
          <w:rFonts w:cs="David"/>
        </w:rPr>
      </w:pPr>
      <w:r w:rsidRPr="0002701F">
        <w:rPr>
          <w:rStyle w:val="a8"/>
          <w:rFonts w:cs="David"/>
        </w:rPr>
        <w:footnoteRef/>
      </w:r>
      <w:r w:rsidRPr="0002701F">
        <w:rPr>
          <w:rFonts w:cs="David"/>
          <w:rtl/>
        </w:rPr>
        <w:t xml:space="preserve"> </w:t>
      </w:r>
      <w:r w:rsidR="00066727" w:rsidRPr="00066727">
        <w:rPr>
          <w:rFonts w:cs="David" w:hint="cs"/>
          <w:rtl/>
        </w:rPr>
        <w:t xml:space="preserve">ע"א 4162/02 </w:t>
      </w:r>
      <w:proofErr w:type="spellStart"/>
      <w:r w:rsidR="00066727" w:rsidRPr="00066727">
        <w:rPr>
          <w:rFonts w:cs="David" w:hint="cs"/>
          <w:b/>
          <w:bCs/>
          <w:rtl/>
        </w:rPr>
        <w:t>רנדור</w:t>
      </w:r>
      <w:proofErr w:type="spellEnd"/>
      <w:r w:rsidR="00066727" w:rsidRPr="00066727">
        <w:rPr>
          <w:rFonts w:cs="David" w:hint="cs"/>
          <w:b/>
          <w:bCs/>
          <w:rtl/>
        </w:rPr>
        <w:t xml:space="preserve"> בע"מ נ' דרור מהנדסים (1990)</w:t>
      </w:r>
      <w:r w:rsidR="005267E7">
        <w:rPr>
          <w:rFonts w:cs="David" w:hint="cs"/>
          <w:b/>
          <w:bCs/>
          <w:rtl/>
        </w:rPr>
        <w:t xml:space="preserve"> </w:t>
      </w:r>
      <w:r w:rsidR="00066727" w:rsidRPr="00066727">
        <w:rPr>
          <w:rFonts w:cs="David" w:hint="cs"/>
          <w:b/>
          <w:bCs/>
          <w:rtl/>
        </w:rPr>
        <w:t>בע"מ</w:t>
      </w:r>
      <w:r w:rsidR="00066727">
        <w:rPr>
          <w:rFonts w:cs="David" w:hint="cs"/>
          <w:rtl/>
        </w:rPr>
        <w:t xml:space="preserve"> ,פ"ד נח(4),193, 202 (2004).</w:t>
      </w:r>
    </w:p>
  </w:footnote>
  <w:footnote w:id="16">
    <w:p w:rsidR="00527A48" w:rsidRPr="00BB31D0" w:rsidRDefault="009B7BF2" w:rsidP="00527A48">
      <w:pPr>
        <w:pStyle w:val="a6"/>
        <w:rPr>
          <w:rFonts w:cs="David"/>
        </w:rPr>
      </w:pPr>
      <w:r w:rsidRPr="00BB31D0">
        <w:rPr>
          <w:rStyle w:val="a8"/>
          <w:rFonts w:cs="David"/>
        </w:rPr>
        <w:footnoteRef/>
      </w:r>
      <w:r w:rsidRPr="00BB31D0">
        <w:rPr>
          <w:rFonts w:cs="David"/>
          <w:rtl/>
        </w:rPr>
        <w:t xml:space="preserve"> </w:t>
      </w:r>
      <w:r w:rsidR="00527A48" w:rsidRPr="00BB31D0">
        <w:rPr>
          <w:rFonts w:cs="David" w:hint="cs"/>
          <w:rtl/>
        </w:rPr>
        <w:t xml:space="preserve">ע"א 18/89 </w:t>
      </w:r>
      <w:r w:rsidR="00527A48" w:rsidRPr="00BB31D0">
        <w:rPr>
          <w:rFonts w:cs="David" w:hint="cs"/>
          <w:b/>
          <w:bCs/>
          <w:rtl/>
        </w:rPr>
        <w:t>חשל נ' פרידמן</w:t>
      </w:r>
      <w:r w:rsidR="00527A48" w:rsidRPr="00BB31D0">
        <w:rPr>
          <w:rFonts w:cs="David" w:hint="cs"/>
          <w:rtl/>
        </w:rPr>
        <w:t>, פ"ד מו (5), 257, 264 (1992).</w:t>
      </w:r>
    </w:p>
  </w:footnote>
  <w:footnote w:id="17">
    <w:p w:rsidR="00B4083C" w:rsidRPr="000A22E7" w:rsidRDefault="00B4083C">
      <w:pPr>
        <w:pStyle w:val="a6"/>
        <w:rPr>
          <w:rFonts w:cs="David"/>
          <w:rtl/>
        </w:rPr>
      </w:pPr>
      <w:r w:rsidRPr="000A22E7">
        <w:rPr>
          <w:rStyle w:val="a8"/>
          <w:rFonts w:cs="David"/>
        </w:rPr>
        <w:footnoteRef/>
      </w:r>
      <w:r w:rsidRPr="000A22E7">
        <w:rPr>
          <w:rFonts w:cs="David"/>
          <w:rtl/>
        </w:rPr>
        <w:t xml:space="preserve"> </w:t>
      </w:r>
      <w:r w:rsidR="002C565A" w:rsidRPr="000A22E7">
        <w:rPr>
          <w:rFonts w:cs="David" w:hint="cs"/>
          <w:rtl/>
        </w:rPr>
        <w:t xml:space="preserve">ע"א 715/78 </w:t>
      </w:r>
      <w:r w:rsidR="002C565A" w:rsidRPr="000A22E7">
        <w:rPr>
          <w:rFonts w:cs="David" w:hint="cs"/>
          <w:b/>
          <w:bCs/>
          <w:rtl/>
        </w:rPr>
        <w:t>כץ נ' ניצחוני</w:t>
      </w:r>
      <w:r w:rsidR="002C565A" w:rsidRPr="000A22E7">
        <w:rPr>
          <w:rFonts w:cs="David" w:hint="cs"/>
          <w:rtl/>
        </w:rPr>
        <w:t>, פ"ד לג(3) 639, 643 (1979).</w:t>
      </w:r>
    </w:p>
  </w:footnote>
  <w:footnote w:id="18">
    <w:p w:rsidR="00B4083C" w:rsidRPr="000A22E7" w:rsidRDefault="00B4083C">
      <w:pPr>
        <w:pStyle w:val="a6"/>
        <w:rPr>
          <w:rFonts w:cs="David"/>
          <w:rtl/>
        </w:rPr>
      </w:pPr>
      <w:r w:rsidRPr="000A22E7">
        <w:rPr>
          <w:rStyle w:val="a8"/>
          <w:rFonts w:cs="David"/>
        </w:rPr>
        <w:footnoteRef/>
      </w:r>
      <w:r w:rsidRPr="000A22E7">
        <w:rPr>
          <w:rFonts w:cs="David"/>
          <w:rtl/>
        </w:rPr>
        <w:t xml:space="preserve"> </w:t>
      </w:r>
      <w:r w:rsidR="002C565A" w:rsidRPr="000A22E7">
        <w:rPr>
          <w:rFonts w:cs="David" w:hint="cs"/>
          <w:rtl/>
        </w:rPr>
        <w:t xml:space="preserve">ע"א 6328/97 </w:t>
      </w:r>
      <w:r w:rsidR="002C565A" w:rsidRPr="000A22E7">
        <w:rPr>
          <w:rFonts w:cs="David" w:hint="cs"/>
          <w:b/>
          <w:bCs/>
          <w:rtl/>
        </w:rPr>
        <w:t>רגב נ' משרד הביטחון</w:t>
      </w:r>
      <w:r w:rsidR="002C565A" w:rsidRPr="000A22E7">
        <w:rPr>
          <w:rFonts w:cs="David" w:hint="cs"/>
          <w:rtl/>
        </w:rPr>
        <w:t>, פ"ד נד(5) 506, 517-518 (2000).</w:t>
      </w:r>
    </w:p>
  </w:footnote>
  <w:footnote w:id="19">
    <w:p w:rsidR="00155091" w:rsidRPr="000A22E7" w:rsidRDefault="00155091" w:rsidP="00A90E9B">
      <w:pPr>
        <w:pStyle w:val="a6"/>
        <w:rPr>
          <w:rFonts w:cs="David"/>
          <w:rtl/>
        </w:rPr>
      </w:pPr>
      <w:r w:rsidRPr="000A22E7">
        <w:rPr>
          <w:rStyle w:val="a8"/>
          <w:rFonts w:cs="David"/>
        </w:rPr>
        <w:footnoteRef/>
      </w:r>
      <w:r w:rsidRPr="000A22E7">
        <w:rPr>
          <w:rFonts w:cs="David"/>
          <w:rtl/>
        </w:rPr>
        <w:t xml:space="preserve"> </w:t>
      </w:r>
      <w:r w:rsidR="00107299" w:rsidRPr="000A22E7">
        <w:rPr>
          <w:rFonts w:cs="David"/>
          <w:rtl/>
        </w:rPr>
        <w:t>.</w:t>
      </w:r>
      <w:r w:rsidR="00107299" w:rsidRPr="000A22E7">
        <w:rPr>
          <w:rFonts w:cs="David" w:hint="cs"/>
          <w:rtl/>
        </w:rPr>
        <w:t>ת</w:t>
      </w:r>
      <w:r w:rsidR="00107299" w:rsidRPr="000A22E7">
        <w:rPr>
          <w:rFonts w:cs="David"/>
          <w:rtl/>
        </w:rPr>
        <w:t>"</w:t>
      </w:r>
      <w:r w:rsidR="00107299" w:rsidRPr="000A22E7">
        <w:rPr>
          <w:rFonts w:cs="David" w:hint="cs"/>
          <w:rtl/>
        </w:rPr>
        <w:t>א</w:t>
      </w:r>
      <w:r w:rsidR="00107299" w:rsidRPr="000A22E7">
        <w:rPr>
          <w:rFonts w:cs="David"/>
          <w:rtl/>
        </w:rPr>
        <w:t xml:space="preserve"> (</w:t>
      </w:r>
      <w:r w:rsidR="00107299" w:rsidRPr="000A22E7">
        <w:rPr>
          <w:rFonts w:cs="David" w:hint="cs"/>
          <w:rtl/>
        </w:rPr>
        <w:t>י</w:t>
      </w:r>
      <w:r w:rsidR="00107299" w:rsidRPr="000A22E7">
        <w:rPr>
          <w:rFonts w:cs="David"/>
          <w:rtl/>
        </w:rPr>
        <w:t>-</w:t>
      </w:r>
      <w:r w:rsidR="00107299" w:rsidRPr="000A22E7">
        <w:rPr>
          <w:rFonts w:cs="David" w:hint="cs"/>
          <w:rtl/>
        </w:rPr>
        <w:t>ם</w:t>
      </w:r>
      <w:r w:rsidR="00107299" w:rsidRPr="000A22E7">
        <w:rPr>
          <w:rFonts w:cs="David"/>
          <w:rtl/>
        </w:rPr>
        <w:t>)3531/01,</w:t>
      </w:r>
      <w:r w:rsidR="00107299" w:rsidRPr="000A22E7">
        <w:rPr>
          <w:rFonts w:cs="David" w:hint="cs"/>
          <w:b/>
          <w:bCs/>
          <w:rtl/>
        </w:rPr>
        <w:t>בן</w:t>
      </w:r>
      <w:r w:rsidR="00107299" w:rsidRPr="000A22E7">
        <w:rPr>
          <w:rFonts w:cs="David"/>
          <w:b/>
          <w:bCs/>
          <w:rtl/>
        </w:rPr>
        <w:t xml:space="preserve"> </w:t>
      </w:r>
      <w:r w:rsidR="00107299" w:rsidRPr="000A22E7">
        <w:rPr>
          <w:rFonts w:cs="David" w:hint="cs"/>
          <w:b/>
          <w:bCs/>
          <w:rtl/>
        </w:rPr>
        <w:t>אבו</w:t>
      </w:r>
      <w:r w:rsidR="00107299" w:rsidRPr="000A22E7">
        <w:rPr>
          <w:rFonts w:cs="David"/>
          <w:b/>
          <w:bCs/>
          <w:rtl/>
        </w:rPr>
        <w:t xml:space="preserve"> </w:t>
      </w:r>
      <w:r w:rsidR="00107299" w:rsidRPr="000A22E7">
        <w:rPr>
          <w:rFonts w:cs="David" w:hint="cs"/>
          <w:b/>
          <w:bCs/>
          <w:rtl/>
        </w:rPr>
        <w:t>נ</w:t>
      </w:r>
      <w:r w:rsidR="00107299" w:rsidRPr="000A22E7">
        <w:rPr>
          <w:rFonts w:cs="David"/>
          <w:b/>
          <w:bCs/>
          <w:rtl/>
        </w:rPr>
        <w:t xml:space="preserve">' </w:t>
      </w:r>
      <w:r w:rsidR="00107299" w:rsidRPr="000A22E7">
        <w:rPr>
          <w:rFonts w:cs="David" w:hint="cs"/>
          <w:b/>
          <w:bCs/>
          <w:rtl/>
        </w:rPr>
        <w:t>מדינת</w:t>
      </w:r>
      <w:r w:rsidR="00107299" w:rsidRPr="000A22E7">
        <w:rPr>
          <w:rFonts w:cs="David"/>
          <w:b/>
          <w:bCs/>
          <w:rtl/>
        </w:rPr>
        <w:t xml:space="preserve"> </w:t>
      </w:r>
      <w:r w:rsidR="00107299" w:rsidRPr="000A22E7">
        <w:rPr>
          <w:rFonts w:cs="David" w:hint="cs"/>
          <w:b/>
          <w:bCs/>
          <w:rtl/>
        </w:rPr>
        <w:t>ישראל</w:t>
      </w:r>
      <w:r w:rsidR="00107299" w:rsidRPr="000A22E7">
        <w:rPr>
          <w:rFonts w:cs="David"/>
          <w:b/>
          <w:bCs/>
          <w:rtl/>
        </w:rPr>
        <w:t>,</w:t>
      </w:r>
      <w:r w:rsidR="00107299" w:rsidRPr="000A22E7">
        <w:rPr>
          <w:rFonts w:cs="David" w:hint="cs"/>
          <w:rtl/>
        </w:rPr>
        <w:t xml:space="preserve"> תק</w:t>
      </w:r>
      <w:r w:rsidR="00107299" w:rsidRPr="000A22E7">
        <w:rPr>
          <w:rFonts w:cs="David"/>
          <w:rtl/>
        </w:rPr>
        <w:t>-</w:t>
      </w:r>
      <w:r w:rsidR="00107299" w:rsidRPr="000A22E7">
        <w:rPr>
          <w:rFonts w:cs="David" w:hint="cs"/>
          <w:rtl/>
        </w:rPr>
        <w:t>מח</w:t>
      </w:r>
      <w:r w:rsidR="00107299" w:rsidRPr="000A22E7">
        <w:rPr>
          <w:rFonts w:cs="David"/>
          <w:rtl/>
        </w:rPr>
        <w:t xml:space="preserve"> 20053 (2)2002,</w:t>
      </w:r>
      <w:r w:rsidR="00107299" w:rsidRPr="000A22E7">
        <w:rPr>
          <w:rFonts w:cs="David" w:hint="cs"/>
          <w:rtl/>
        </w:rPr>
        <w:t>פסקות</w:t>
      </w:r>
      <w:r w:rsidR="00107299" w:rsidRPr="000A22E7">
        <w:rPr>
          <w:rFonts w:cs="David"/>
          <w:rtl/>
        </w:rPr>
        <w:t xml:space="preserve"> 15-16 </w:t>
      </w:r>
      <w:r w:rsidR="00107299" w:rsidRPr="000A22E7">
        <w:rPr>
          <w:rFonts w:cs="David" w:hint="cs"/>
          <w:rtl/>
        </w:rPr>
        <w:t>לדברי</w:t>
      </w:r>
      <w:r w:rsidR="00107299" w:rsidRPr="000A22E7">
        <w:rPr>
          <w:rFonts w:cs="David"/>
          <w:rtl/>
        </w:rPr>
        <w:t xml:space="preserve"> </w:t>
      </w:r>
      <w:r w:rsidR="00107299" w:rsidRPr="000A22E7">
        <w:rPr>
          <w:rFonts w:cs="David" w:hint="cs"/>
          <w:rtl/>
        </w:rPr>
        <w:t>השופט צבן.</w:t>
      </w:r>
    </w:p>
  </w:footnote>
  <w:footnote w:id="20">
    <w:p w:rsidR="00DE37A0" w:rsidRPr="000A22E7" w:rsidRDefault="00DE37A0" w:rsidP="00DE37A0">
      <w:pPr>
        <w:pStyle w:val="a6"/>
        <w:rPr>
          <w:rFonts w:cs="David"/>
        </w:rPr>
      </w:pPr>
      <w:r w:rsidRPr="000A22E7">
        <w:rPr>
          <w:rStyle w:val="a8"/>
          <w:rFonts w:cs="David"/>
        </w:rPr>
        <w:footnoteRef/>
      </w:r>
      <w:r w:rsidRPr="000A22E7">
        <w:rPr>
          <w:rFonts w:cs="David"/>
          <w:rtl/>
        </w:rPr>
        <w:t xml:space="preserve"> </w:t>
      </w:r>
      <w:r w:rsidRPr="000A22E7">
        <w:rPr>
          <w:rFonts w:cs="David" w:hint="cs"/>
          <w:rtl/>
        </w:rPr>
        <w:t>שלו</w:t>
      </w:r>
      <w:r w:rsidR="00A90E9B" w:rsidRPr="000A22E7">
        <w:rPr>
          <w:rFonts w:cs="David" w:hint="cs"/>
          <w:rtl/>
        </w:rPr>
        <w:t xml:space="preserve">, להלן </w:t>
      </w:r>
      <w:proofErr w:type="spellStart"/>
      <w:r w:rsidR="00A90E9B" w:rsidRPr="000A22E7">
        <w:rPr>
          <w:rFonts w:cs="David" w:hint="cs"/>
          <w:rtl/>
        </w:rPr>
        <w:t>ה"ש</w:t>
      </w:r>
      <w:proofErr w:type="spellEnd"/>
      <w:r w:rsidR="00A90E9B" w:rsidRPr="000A22E7">
        <w:rPr>
          <w:rFonts w:cs="David" w:hint="cs"/>
          <w:rtl/>
        </w:rPr>
        <w:t xml:space="preserve"> 2,</w:t>
      </w:r>
      <w:r w:rsidRPr="000A22E7">
        <w:rPr>
          <w:rFonts w:cs="David" w:hint="cs"/>
          <w:rtl/>
        </w:rPr>
        <w:t xml:space="preserve"> בעמ' 139</w:t>
      </w:r>
      <w:r w:rsidR="00A90E9B" w:rsidRPr="000A22E7">
        <w:rPr>
          <w:rFonts w:cs="David" w:hint="cs"/>
          <w:rtl/>
        </w:rPr>
        <w:t>.</w:t>
      </w:r>
    </w:p>
  </w:footnote>
  <w:footnote w:id="21">
    <w:p w:rsidR="009C186E" w:rsidRPr="000A22E7" w:rsidRDefault="009C186E">
      <w:pPr>
        <w:pStyle w:val="a6"/>
        <w:rPr>
          <w:rFonts w:cs="David"/>
          <w:rtl/>
        </w:rPr>
      </w:pPr>
      <w:r w:rsidRPr="000A22E7">
        <w:rPr>
          <w:rStyle w:val="a8"/>
          <w:rFonts w:cs="David"/>
        </w:rPr>
        <w:footnoteRef/>
      </w:r>
      <w:r w:rsidRPr="000A22E7">
        <w:rPr>
          <w:rFonts w:cs="David"/>
          <w:rtl/>
        </w:rPr>
        <w:t xml:space="preserve"> </w:t>
      </w:r>
      <w:r w:rsidR="000A22E7" w:rsidRPr="000A22E7">
        <w:rPr>
          <w:rFonts w:cs="David" w:hint="cs"/>
          <w:rtl/>
        </w:rPr>
        <w:t xml:space="preserve">דניאל פרידמן ונילי כהן, </w:t>
      </w:r>
      <w:r w:rsidR="000A22E7" w:rsidRPr="000A22E7">
        <w:rPr>
          <w:rFonts w:cs="David" w:hint="cs"/>
          <w:b/>
          <w:bCs/>
          <w:rtl/>
        </w:rPr>
        <w:t>חוזים</w:t>
      </w:r>
      <w:r w:rsidR="000A22E7" w:rsidRPr="000A22E7">
        <w:rPr>
          <w:rFonts w:cs="David" w:hint="cs"/>
          <w:rtl/>
        </w:rPr>
        <w:t>, (כרך ג') 445, (2003).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6"/>
    <w:rsid w:val="00010944"/>
    <w:rsid w:val="000129D1"/>
    <w:rsid w:val="00013C3D"/>
    <w:rsid w:val="0001652F"/>
    <w:rsid w:val="00023031"/>
    <w:rsid w:val="0002701F"/>
    <w:rsid w:val="00031027"/>
    <w:rsid w:val="00034C30"/>
    <w:rsid w:val="0005183A"/>
    <w:rsid w:val="000567E5"/>
    <w:rsid w:val="00066727"/>
    <w:rsid w:val="000709AA"/>
    <w:rsid w:val="000751D2"/>
    <w:rsid w:val="000763AA"/>
    <w:rsid w:val="00081B52"/>
    <w:rsid w:val="000877DF"/>
    <w:rsid w:val="00087A94"/>
    <w:rsid w:val="000A22E7"/>
    <w:rsid w:val="000B27E5"/>
    <w:rsid w:val="000B501D"/>
    <w:rsid w:val="000C0D70"/>
    <w:rsid w:val="000C3B41"/>
    <w:rsid w:val="000C5496"/>
    <w:rsid w:val="000D1EBC"/>
    <w:rsid w:val="000E173D"/>
    <w:rsid w:val="000E449E"/>
    <w:rsid w:val="000F0C86"/>
    <w:rsid w:val="000F16F8"/>
    <w:rsid w:val="0010341E"/>
    <w:rsid w:val="00106E4E"/>
    <w:rsid w:val="00107299"/>
    <w:rsid w:val="00111C1B"/>
    <w:rsid w:val="0012151C"/>
    <w:rsid w:val="001223A5"/>
    <w:rsid w:val="001244C4"/>
    <w:rsid w:val="0014478D"/>
    <w:rsid w:val="00155091"/>
    <w:rsid w:val="00181474"/>
    <w:rsid w:val="00193C7E"/>
    <w:rsid w:val="00195DB6"/>
    <w:rsid w:val="001A08E3"/>
    <w:rsid w:val="001C1D88"/>
    <w:rsid w:val="001C6097"/>
    <w:rsid w:val="001D027D"/>
    <w:rsid w:val="001D1FCB"/>
    <w:rsid w:val="001E3009"/>
    <w:rsid w:val="001F2212"/>
    <w:rsid w:val="001F27E8"/>
    <w:rsid w:val="002058B0"/>
    <w:rsid w:val="00206AE7"/>
    <w:rsid w:val="0024679A"/>
    <w:rsid w:val="0024783C"/>
    <w:rsid w:val="00250C79"/>
    <w:rsid w:val="00254363"/>
    <w:rsid w:val="00254AA3"/>
    <w:rsid w:val="002645A6"/>
    <w:rsid w:val="00273346"/>
    <w:rsid w:val="00277648"/>
    <w:rsid w:val="00282F4E"/>
    <w:rsid w:val="0029078A"/>
    <w:rsid w:val="002948C6"/>
    <w:rsid w:val="002C565A"/>
    <w:rsid w:val="002F12BD"/>
    <w:rsid w:val="00304413"/>
    <w:rsid w:val="00305B14"/>
    <w:rsid w:val="00306FEF"/>
    <w:rsid w:val="003246AB"/>
    <w:rsid w:val="00335FC4"/>
    <w:rsid w:val="00337048"/>
    <w:rsid w:val="003423F4"/>
    <w:rsid w:val="003425DE"/>
    <w:rsid w:val="00343278"/>
    <w:rsid w:val="00360BA1"/>
    <w:rsid w:val="00392AEB"/>
    <w:rsid w:val="003965CB"/>
    <w:rsid w:val="003B493F"/>
    <w:rsid w:val="003C2254"/>
    <w:rsid w:val="003C3853"/>
    <w:rsid w:val="003C4B56"/>
    <w:rsid w:val="003D1F21"/>
    <w:rsid w:val="003E76C0"/>
    <w:rsid w:val="003F1FAC"/>
    <w:rsid w:val="003F76E1"/>
    <w:rsid w:val="00402D6D"/>
    <w:rsid w:val="004056AD"/>
    <w:rsid w:val="00412E81"/>
    <w:rsid w:val="00415936"/>
    <w:rsid w:val="00416BAB"/>
    <w:rsid w:val="004239DE"/>
    <w:rsid w:val="00423B4C"/>
    <w:rsid w:val="00445D10"/>
    <w:rsid w:val="004617E3"/>
    <w:rsid w:val="00474042"/>
    <w:rsid w:val="00483694"/>
    <w:rsid w:val="00490426"/>
    <w:rsid w:val="00490A15"/>
    <w:rsid w:val="004A6D4E"/>
    <w:rsid w:val="004B1EC3"/>
    <w:rsid w:val="004B63AE"/>
    <w:rsid w:val="004C214A"/>
    <w:rsid w:val="004C2D9B"/>
    <w:rsid w:val="004D3B6B"/>
    <w:rsid w:val="004D4040"/>
    <w:rsid w:val="004D48E6"/>
    <w:rsid w:val="004D6713"/>
    <w:rsid w:val="004D6775"/>
    <w:rsid w:val="004E2D7B"/>
    <w:rsid w:val="004E7A32"/>
    <w:rsid w:val="00511459"/>
    <w:rsid w:val="005265AF"/>
    <w:rsid w:val="005267E7"/>
    <w:rsid w:val="00527A48"/>
    <w:rsid w:val="00531129"/>
    <w:rsid w:val="00542A9D"/>
    <w:rsid w:val="00547C01"/>
    <w:rsid w:val="0055294B"/>
    <w:rsid w:val="00554A0F"/>
    <w:rsid w:val="00566497"/>
    <w:rsid w:val="00571E4E"/>
    <w:rsid w:val="005831BE"/>
    <w:rsid w:val="00585852"/>
    <w:rsid w:val="00597135"/>
    <w:rsid w:val="005A1F32"/>
    <w:rsid w:val="005A4D2A"/>
    <w:rsid w:val="005A71A7"/>
    <w:rsid w:val="005B4034"/>
    <w:rsid w:val="005D5F42"/>
    <w:rsid w:val="005E290A"/>
    <w:rsid w:val="005F74C9"/>
    <w:rsid w:val="006207B2"/>
    <w:rsid w:val="0062224D"/>
    <w:rsid w:val="00622DFD"/>
    <w:rsid w:val="006235B7"/>
    <w:rsid w:val="00640F2A"/>
    <w:rsid w:val="00641489"/>
    <w:rsid w:val="00652F93"/>
    <w:rsid w:val="0066049A"/>
    <w:rsid w:val="006673E3"/>
    <w:rsid w:val="0067052C"/>
    <w:rsid w:val="00670B96"/>
    <w:rsid w:val="00674004"/>
    <w:rsid w:val="00674D7B"/>
    <w:rsid w:val="00677256"/>
    <w:rsid w:val="00690A09"/>
    <w:rsid w:val="00691177"/>
    <w:rsid w:val="00696ED2"/>
    <w:rsid w:val="006A13B3"/>
    <w:rsid w:val="006A7195"/>
    <w:rsid w:val="006B324C"/>
    <w:rsid w:val="006C0226"/>
    <w:rsid w:val="006C6117"/>
    <w:rsid w:val="006D1EFF"/>
    <w:rsid w:val="006D7DF6"/>
    <w:rsid w:val="006E02E0"/>
    <w:rsid w:val="006F2A79"/>
    <w:rsid w:val="006F3199"/>
    <w:rsid w:val="006F6ABB"/>
    <w:rsid w:val="00710C98"/>
    <w:rsid w:val="00712F77"/>
    <w:rsid w:val="0071441D"/>
    <w:rsid w:val="00724CF4"/>
    <w:rsid w:val="00730D29"/>
    <w:rsid w:val="0073308C"/>
    <w:rsid w:val="00745501"/>
    <w:rsid w:val="00750D30"/>
    <w:rsid w:val="007541C8"/>
    <w:rsid w:val="00760552"/>
    <w:rsid w:val="00766C2E"/>
    <w:rsid w:val="00767FDF"/>
    <w:rsid w:val="00787D1E"/>
    <w:rsid w:val="007A0538"/>
    <w:rsid w:val="007B265F"/>
    <w:rsid w:val="007B3B30"/>
    <w:rsid w:val="007C754A"/>
    <w:rsid w:val="007D354E"/>
    <w:rsid w:val="007D55A5"/>
    <w:rsid w:val="007F0152"/>
    <w:rsid w:val="007F5B7C"/>
    <w:rsid w:val="007F5BF4"/>
    <w:rsid w:val="00810997"/>
    <w:rsid w:val="00814058"/>
    <w:rsid w:val="008261AE"/>
    <w:rsid w:val="00837207"/>
    <w:rsid w:val="00842123"/>
    <w:rsid w:val="0084369C"/>
    <w:rsid w:val="0084512E"/>
    <w:rsid w:val="008459E0"/>
    <w:rsid w:val="008500B1"/>
    <w:rsid w:val="00853AA2"/>
    <w:rsid w:val="00872B8C"/>
    <w:rsid w:val="00873505"/>
    <w:rsid w:val="00886A0B"/>
    <w:rsid w:val="00887687"/>
    <w:rsid w:val="00892DA8"/>
    <w:rsid w:val="008932B9"/>
    <w:rsid w:val="008B7385"/>
    <w:rsid w:val="008B7BC7"/>
    <w:rsid w:val="008C6C4B"/>
    <w:rsid w:val="008C79F3"/>
    <w:rsid w:val="008D1633"/>
    <w:rsid w:val="008D316C"/>
    <w:rsid w:val="008D75C7"/>
    <w:rsid w:val="008E3AE7"/>
    <w:rsid w:val="008E4352"/>
    <w:rsid w:val="008F2CF3"/>
    <w:rsid w:val="009143D4"/>
    <w:rsid w:val="00917C0F"/>
    <w:rsid w:val="00920428"/>
    <w:rsid w:val="00924A21"/>
    <w:rsid w:val="009262F6"/>
    <w:rsid w:val="009361F8"/>
    <w:rsid w:val="009405DB"/>
    <w:rsid w:val="00951454"/>
    <w:rsid w:val="00955F39"/>
    <w:rsid w:val="0097261F"/>
    <w:rsid w:val="00977175"/>
    <w:rsid w:val="00991F0E"/>
    <w:rsid w:val="009A00B9"/>
    <w:rsid w:val="009A0D1C"/>
    <w:rsid w:val="009A5196"/>
    <w:rsid w:val="009A7141"/>
    <w:rsid w:val="009B04CB"/>
    <w:rsid w:val="009B0846"/>
    <w:rsid w:val="009B7BF2"/>
    <w:rsid w:val="009C186E"/>
    <w:rsid w:val="009C2A4D"/>
    <w:rsid w:val="009C76CA"/>
    <w:rsid w:val="009D0312"/>
    <w:rsid w:val="009D3DB8"/>
    <w:rsid w:val="009D56E3"/>
    <w:rsid w:val="009D731C"/>
    <w:rsid w:val="009E2D10"/>
    <w:rsid w:val="009F2CA9"/>
    <w:rsid w:val="009F5C2A"/>
    <w:rsid w:val="009F751A"/>
    <w:rsid w:val="00A06627"/>
    <w:rsid w:val="00A1471D"/>
    <w:rsid w:val="00A315EE"/>
    <w:rsid w:val="00A37B0F"/>
    <w:rsid w:val="00A44E21"/>
    <w:rsid w:val="00A52AE1"/>
    <w:rsid w:val="00A5411B"/>
    <w:rsid w:val="00A66A52"/>
    <w:rsid w:val="00A714AC"/>
    <w:rsid w:val="00A90E9B"/>
    <w:rsid w:val="00AA0364"/>
    <w:rsid w:val="00AB17A8"/>
    <w:rsid w:val="00AB7E40"/>
    <w:rsid w:val="00AC1A48"/>
    <w:rsid w:val="00AC6D3A"/>
    <w:rsid w:val="00AD1734"/>
    <w:rsid w:val="00AD1D4C"/>
    <w:rsid w:val="00AD4C3C"/>
    <w:rsid w:val="00AE5F3B"/>
    <w:rsid w:val="00AF4074"/>
    <w:rsid w:val="00AF702D"/>
    <w:rsid w:val="00B004EC"/>
    <w:rsid w:val="00B0115E"/>
    <w:rsid w:val="00B03647"/>
    <w:rsid w:val="00B16F36"/>
    <w:rsid w:val="00B36785"/>
    <w:rsid w:val="00B36946"/>
    <w:rsid w:val="00B4083C"/>
    <w:rsid w:val="00B42576"/>
    <w:rsid w:val="00B60969"/>
    <w:rsid w:val="00B7183A"/>
    <w:rsid w:val="00B72CDF"/>
    <w:rsid w:val="00B822B0"/>
    <w:rsid w:val="00B857D2"/>
    <w:rsid w:val="00B97CC1"/>
    <w:rsid w:val="00BB31D0"/>
    <w:rsid w:val="00BD0950"/>
    <w:rsid w:val="00BE280A"/>
    <w:rsid w:val="00BE37B0"/>
    <w:rsid w:val="00BE5470"/>
    <w:rsid w:val="00C009EA"/>
    <w:rsid w:val="00C00F29"/>
    <w:rsid w:val="00C02679"/>
    <w:rsid w:val="00C04C4C"/>
    <w:rsid w:val="00C079B4"/>
    <w:rsid w:val="00C11520"/>
    <w:rsid w:val="00C1316B"/>
    <w:rsid w:val="00C24236"/>
    <w:rsid w:val="00C24726"/>
    <w:rsid w:val="00C263E9"/>
    <w:rsid w:val="00C33C19"/>
    <w:rsid w:val="00C3795F"/>
    <w:rsid w:val="00C51C24"/>
    <w:rsid w:val="00C6136E"/>
    <w:rsid w:val="00C62199"/>
    <w:rsid w:val="00C923BD"/>
    <w:rsid w:val="00CB095A"/>
    <w:rsid w:val="00CB1B25"/>
    <w:rsid w:val="00CB222A"/>
    <w:rsid w:val="00CB50FB"/>
    <w:rsid w:val="00CC6F14"/>
    <w:rsid w:val="00CC7D16"/>
    <w:rsid w:val="00D0139D"/>
    <w:rsid w:val="00D14F53"/>
    <w:rsid w:val="00D15EE0"/>
    <w:rsid w:val="00D244EB"/>
    <w:rsid w:val="00D41B0B"/>
    <w:rsid w:val="00D428D0"/>
    <w:rsid w:val="00D43283"/>
    <w:rsid w:val="00D546CD"/>
    <w:rsid w:val="00D54898"/>
    <w:rsid w:val="00D60CCF"/>
    <w:rsid w:val="00D775B5"/>
    <w:rsid w:val="00D80369"/>
    <w:rsid w:val="00DA3D43"/>
    <w:rsid w:val="00DA5985"/>
    <w:rsid w:val="00DB5970"/>
    <w:rsid w:val="00DB737A"/>
    <w:rsid w:val="00DC2672"/>
    <w:rsid w:val="00DC3572"/>
    <w:rsid w:val="00DC66AC"/>
    <w:rsid w:val="00DD310B"/>
    <w:rsid w:val="00DE37A0"/>
    <w:rsid w:val="00DE5D16"/>
    <w:rsid w:val="00E028C7"/>
    <w:rsid w:val="00E0451C"/>
    <w:rsid w:val="00E10AF2"/>
    <w:rsid w:val="00E306B0"/>
    <w:rsid w:val="00E40178"/>
    <w:rsid w:val="00E51613"/>
    <w:rsid w:val="00E62C58"/>
    <w:rsid w:val="00E71B7E"/>
    <w:rsid w:val="00E7490D"/>
    <w:rsid w:val="00E74F73"/>
    <w:rsid w:val="00E83479"/>
    <w:rsid w:val="00E96368"/>
    <w:rsid w:val="00E9656F"/>
    <w:rsid w:val="00EA033E"/>
    <w:rsid w:val="00EB0C1E"/>
    <w:rsid w:val="00EE2271"/>
    <w:rsid w:val="00EF13F8"/>
    <w:rsid w:val="00EF2E5A"/>
    <w:rsid w:val="00EF3D4A"/>
    <w:rsid w:val="00EF450E"/>
    <w:rsid w:val="00F13891"/>
    <w:rsid w:val="00F15EFD"/>
    <w:rsid w:val="00F17A08"/>
    <w:rsid w:val="00F2028A"/>
    <w:rsid w:val="00F22E09"/>
    <w:rsid w:val="00F30968"/>
    <w:rsid w:val="00F33468"/>
    <w:rsid w:val="00F44E7A"/>
    <w:rsid w:val="00F50FB5"/>
    <w:rsid w:val="00F54282"/>
    <w:rsid w:val="00F57023"/>
    <w:rsid w:val="00F82435"/>
    <w:rsid w:val="00FA323A"/>
    <w:rsid w:val="00FA590A"/>
    <w:rsid w:val="00FB2546"/>
    <w:rsid w:val="00FB48D0"/>
    <w:rsid w:val="00FB53E6"/>
    <w:rsid w:val="00FB7DB5"/>
    <w:rsid w:val="00FC36E3"/>
    <w:rsid w:val="00FC4B38"/>
    <w:rsid w:val="00FC4CC3"/>
    <w:rsid w:val="00FC4F7D"/>
    <w:rsid w:val="00FD2AB3"/>
    <w:rsid w:val="00FD5AE8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5C5E3-F737-4411-BB0D-99CC212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0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425D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סיום תו"/>
    <w:basedOn w:val="a0"/>
    <w:link w:val="a3"/>
    <w:uiPriority w:val="99"/>
    <w:semiHidden/>
    <w:rsid w:val="003425D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425D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87687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88768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7687"/>
    <w:rPr>
      <w:vertAlign w:val="superscript"/>
    </w:rPr>
  </w:style>
  <w:style w:type="paragraph" w:styleId="a9">
    <w:name w:val="List Paragraph"/>
    <w:basedOn w:val="a"/>
    <w:uiPriority w:val="34"/>
    <w:qFormat/>
    <w:rsid w:val="00A5411B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20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95C0-7750-451F-ACCC-DFA0C36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1494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</cp:lastModifiedBy>
  <cp:revision>27</cp:revision>
  <dcterms:created xsi:type="dcterms:W3CDTF">2014-12-31T16:51:00Z</dcterms:created>
  <dcterms:modified xsi:type="dcterms:W3CDTF">2015-01-06T08:53:00Z</dcterms:modified>
</cp:coreProperties>
</file>