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9F4" w:rsidRPr="003E37A9" w:rsidRDefault="00451372" w:rsidP="001C72A1">
      <w:pPr>
        <w:spacing w:after="0" w:line="360" w:lineRule="auto"/>
        <w:jc w:val="both"/>
        <w:rPr>
          <w:rFonts w:ascii="David" w:hAnsi="David" w:cs="David"/>
          <w:sz w:val="24"/>
          <w:szCs w:val="24"/>
        </w:rPr>
      </w:pPr>
      <w:r w:rsidRPr="003E37A9">
        <w:rPr>
          <w:rFonts w:ascii="David" w:hAnsi="David" w:cs="David"/>
          <w:b/>
          <w:bCs/>
          <w:sz w:val="24"/>
          <w:szCs w:val="24"/>
          <w:rtl/>
        </w:rPr>
        <w:t xml:space="preserve">1. </w:t>
      </w:r>
      <w:r w:rsidRPr="003E37A9">
        <w:rPr>
          <w:rFonts w:ascii="David" w:hAnsi="David" w:cs="David"/>
          <w:sz w:val="24"/>
          <w:szCs w:val="24"/>
          <w:rtl/>
        </w:rPr>
        <w:t xml:space="preserve">ראשית, נכרת </w:t>
      </w:r>
      <w:r w:rsidRPr="003E37A9">
        <w:rPr>
          <w:rFonts w:ascii="David" w:hAnsi="David" w:cs="David"/>
          <w:sz w:val="24"/>
          <w:szCs w:val="24"/>
          <w:u w:val="single"/>
          <w:rtl/>
        </w:rPr>
        <w:t>חוזה תקף</w:t>
      </w:r>
      <w:r w:rsidRPr="003E37A9">
        <w:rPr>
          <w:rFonts w:ascii="David" w:hAnsi="David" w:cs="David"/>
          <w:sz w:val="24"/>
          <w:szCs w:val="24"/>
          <w:rtl/>
        </w:rPr>
        <w:t xml:space="preserve">. </w:t>
      </w:r>
      <w:r w:rsidRPr="003E37A9">
        <w:rPr>
          <w:rFonts w:ascii="David" w:hAnsi="David" w:cs="David"/>
          <w:b/>
          <w:bCs/>
          <w:sz w:val="24"/>
          <w:szCs w:val="24"/>
          <w:rtl/>
        </w:rPr>
        <w:t>הפרה צפויה</w:t>
      </w:r>
      <w:r w:rsidRPr="003E37A9">
        <w:rPr>
          <w:rFonts w:ascii="David" w:hAnsi="David" w:cs="David"/>
          <w:sz w:val="24"/>
          <w:szCs w:val="24"/>
          <w:rtl/>
        </w:rPr>
        <w:t xml:space="preserve"> מתרחשת כשצד לחוזה גילה שלא יקיים את החוזה או שהנסיבות הצביעו על כך</w:t>
      </w:r>
      <w:r w:rsidRPr="003E37A9">
        <w:rPr>
          <w:rStyle w:val="a6"/>
          <w:rFonts w:ascii="David" w:hAnsi="David" w:cs="David"/>
          <w:sz w:val="24"/>
          <w:szCs w:val="24"/>
          <w:rtl/>
        </w:rPr>
        <w:footnoteReference w:id="1"/>
      </w:r>
      <w:r w:rsidRPr="003E37A9">
        <w:rPr>
          <w:rFonts w:ascii="David" w:hAnsi="David" w:cs="David"/>
          <w:sz w:val="24"/>
          <w:szCs w:val="24"/>
          <w:rtl/>
        </w:rPr>
        <w:t>. בהפרה כזו יכול הצד הנפגע לתבוע סעדים לפני מועד ההפרה החוזי</w:t>
      </w:r>
      <w:r w:rsidRPr="003E37A9">
        <w:rPr>
          <w:rStyle w:val="a6"/>
          <w:rFonts w:ascii="David" w:hAnsi="David" w:cs="David"/>
          <w:sz w:val="24"/>
          <w:szCs w:val="24"/>
          <w:rtl/>
        </w:rPr>
        <w:footnoteReference w:id="2"/>
      </w:r>
      <w:r w:rsidRPr="003E37A9">
        <w:rPr>
          <w:rFonts w:ascii="David" w:hAnsi="David" w:cs="David"/>
          <w:sz w:val="24"/>
          <w:szCs w:val="24"/>
          <w:rtl/>
        </w:rPr>
        <w:t>. הפרה צפויה יכולה להיות סובייקטיבית (גילוי דעת) או אובייקטיבית (נסיבות)</w:t>
      </w:r>
      <w:r w:rsidRPr="003E37A9">
        <w:rPr>
          <w:rStyle w:val="a6"/>
          <w:rFonts w:ascii="David" w:hAnsi="David" w:cs="David"/>
          <w:sz w:val="24"/>
          <w:szCs w:val="24"/>
          <w:rtl/>
        </w:rPr>
        <w:footnoteReference w:id="3"/>
      </w:r>
      <w:r w:rsidRPr="003E37A9">
        <w:rPr>
          <w:rFonts w:ascii="David" w:hAnsi="David" w:cs="David"/>
          <w:sz w:val="24"/>
          <w:szCs w:val="24"/>
          <w:rtl/>
        </w:rPr>
        <w:t>. ניתן לבסס הפרה צפויה ר</w:t>
      </w:r>
      <w:r w:rsidR="001C72A1" w:rsidRPr="003E37A9">
        <w:rPr>
          <w:rFonts w:ascii="David" w:hAnsi="David" w:cs="David"/>
          <w:sz w:val="24"/>
          <w:szCs w:val="24"/>
          <w:rtl/>
        </w:rPr>
        <w:t>ק כשמדובר בהסתברות גבוהה להפרה-</w:t>
      </w:r>
      <w:r w:rsidRPr="003E37A9">
        <w:rPr>
          <w:rFonts w:ascii="David" w:hAnsi="David" w:cs="David"/>
          <w:sz w:val="24"/>
          <w:szCs w:val="24"/>
          <w:rtl/>
        </w:rPr>
        <w:t>חשש אינו מספיק. בנוסף, על ההפרה להיות יסודית</w:t>
      </w:r>
      <w:r w:rsidRPr="003E37A9">
        <w:rPr>
          <w:rStyle w:val="a6"/>
          <w:rFonts w:ascii="David" w:hAnsi="David" w:cs="David"/>
          <w:sz w:val="24"/>
          <w:szCs w:val="24"/>
          <w:rtl/>
        </w:rPr>
        <w:footnoteReference w:id="4"/>
      </w:r>
      <w:r w:rsidRPr="003E37A9">
        <w:rPr>
          <w:rFonts w:ascii="David" w:hAnsi="David" w:cs="David"/>
          <w:sz w:val="24"/>
          <w:szCs w:val="24"/>
          <w:rtl/>
        </w:rPr>
        <w:t xml:space="preserve">. מחד, רני יטען שההפרה הצפויה סובייקטיבית שכן אלכס הודיע במפורש שאין בכוונתו לקיים את החוזה. כך, </w:t>
      </w:r>
      <w:r w:rsidRPr="003E37A9">
        <w:rPr>
          <w:rFonts w:ascii="David" w:hAnsi="David" w:cs="David"/>
          <w:sz w:val="24"/>
          <w:szCs w:val="24"/>
          <w:u w:val="single"/>
          <w:rtl/>
        </w:rPr>
        <w:t>ההפרה התקיימה כשהודיע מפורשות.</w:t>
      </w:r>
      <w:r w:rsidRPr="003E37A9">
        <w:rPr>
          <w:rFonts w:ascii="David" w:hAnsi="David" w:cs="David"/>
          <w:sz w:val="24"/>
          <w:szCs w:val="24"/>
          <w:rtl/>
        </w:rPr>
        <w:t xml:space="preserve"> לאור ההודעה, ודאות ההפרה גבוהה. כמו כן, ההפרה יסודית-רני לא היה מתקשר בחוזה לו צפה את ההפרה ותוצאותיה. מאידך, אלכס יטען שניתן היה לצפות שתתרחש הפרה מהתנהגותו כשהודיע שמתלבט (סובייקטיבית), ואף ניתן היה להבין זאת מהמצב הפוליטי בישראל (אובייקטיבית).</w:t>
      </w:r>
      <w:r w:rsidR="008908D0" w:rsidRPr="003E37A9">
        <w:rPr>
          <w:rFonts w:ascii="David" w:hAnsi="David" w:cs="David"/>
          <w:sz w:val="24"/>
          <w:szCs w:val="24"/>
          <w:rtl/>
        </w:rPr>
        <w:t xml:space="preserve"> עוד יטען שקיים מבחן המשלב בין חומרת ההפרה לדרגת הסתברותה: בהפרה קלה נדרשת ודאות גבוהה בעוד בהפרה חמורה נסתפק ברמה נמוכה</w:t>
      </w:r>
      <w:r w:rsidR="008908D0" w:rsidRPr="003E37A9">
        <w:rPr>
          <w:rStyle w:val="a6"/>
          <w:rFonts w:ascii="David" w:hAnsi="David" w:cs="David"/>
          <w:sz w:val="24"/>
          <w:szCs w:val="24"/>
          <w:rtl/>
        </w:rPr>
        <w:footnoteReference w:id="5"/>
      </w:r>
      <w:r w:rsidR="008908D0" w:rsidRPr="003E37A9">
        <w:rPr>
          <w:rFonts w:ascii="David" w:hAnsi="David" w:cs="David"/>
          <w:sz w:val="24"/>
          <w:szCs w:val="24"/>
          <w:rtl/>
        </w:rPr>
        <w:t xml:space="preserve">. במקרה זה ההפרה חמורה הרי אלכס לא מתכוון לקיים את החוזה. לכן, רמת הוודאות הנדרשת נמוכה. כך, </w:t>
      </w:r>
      <w:r w:rsidR="008908D0" w:rsidRPr="003E37A9">
        <w:rPr>
          <w:rFonts w:ascii="David" w:hAnsi="David" w:cs="David"/>
          <w:sz w:val="24"/>
          <w:szCs w:val="24"/>
          <w:u w:val="single"/>
          <w:rtl/>
        </w:rPr>
        <w:t>מועד ההפרה הוא מועד הודעת ההתלבטות</w:t>
      </w:r>
      <w:r w:rsidR="008908D0" w:rsidRPr="003E37A9">
        <w:rPr>
          <w:rFonts w:ascii="David" w:hAnsi="David" w:cs="David"/>
          <w:sz w:val="24"/>
          <w:szCs w:val="24"/>
          <w:rtl/>
        </w:rPr>
        <w:t xml:space="preserve">. </w:t>
      </w:r>
      <w:r w:rsidR="008908D0" w:rsidRPr="003E37A9">
        <w:rPr>
          <w:rFonts w:ascii="David" w:hAnsi="David" w:cs="David"/>
          <w:sz w:val="24"/>
          <w:szCs w:val="24"/>
          <w:u w:val="single"/>
          <w:rtl/>
        </w:rPr>
        <w:t>תוצאות ההפרה הצפויה:</w:t>
      </w:r>
      <w:r w:rsidR="008908D0" w:rsidRPr="003E37A9">
        <w:rPr>
          <w:rFonts w:ascii="David" w:hAnsi="David" w:cs="David"/>
          <w:sz w:val="24"/>
          <w:szCs w:val="24"/>
          <w:rtl/>
        </w:rPr>
        <w:t xml:space="preserve"> הנפגע יכול להתעלם או להסתמך על ההפרה הצפויה. ניתן לנסות לשכנע את אלכס לחזור בו מהחלטתו</w:t>
      </w:r>
      <w:r w:rsidR="008908D0" w:rsidRPr="003E37A9">
        <w:rPr>
          <w:rStyle w:val="a6"/>
          <w:rFonts w:ascii="David" w:hAnsi="David" w:cs="David"/>
          <w:sz w:val="24"/>
          <w:szCs w:val="24"/>
          <w:rtl/>
        </w:rPr>
        <w:footnoteReference w:id="6"/>
      </w:r>
      <w:r w:rsidR="008908D0" w:rsidRPr="003E37A9">
        <w:rPr>
          <w:rFonts w:ascii="David" w:hAnsi="David" w:cs="David"/>
          <w:sz w:val="24"/>
          <w:szCs w:val="24"/>
          <w:rtl/>
        </w:rPr>
        <w:t>. במקרה זה, האפשרות המומלצת ביותר עבור רני היא להסתמך על ההפרה הצפויה, כך שעליו להקטין את הנזק וביכולתו לבחור סעדים: אכיפה, פיצויים או ביטול והשבה</w:t>
      </w:r>
      <w:r w:rsidR="008908D0" w:rsidRPr="003E37A9">
        <w:rPr>
          <w:rStyle w:val="a6"/>
          <w:rFonts w:ascii="David" w:hAnsi="David" w:cs="David"/>
          <w:sz w:val="24"/>
          <w:szCs w:val="24"/>
          <w:rtl/>
        </w:rPr>
        <w:footnoteReference w:id="7"/>
      </w:r>
      <w:r w:rsidR="008908D0" w:rsidRPr="003E37A9">
        <w:rPr>
          <w:rFonts w:ascii="David" w:hAnsi="David" w:cs="David"/>
          <w:sz w:val="24"/>
          <w:szCs w:val="24"/>
          <w:rtl/>
        </w:rPr>
        <w:t xml:space="preserve">. </w:t>
      </w:r>
      <w:r w:rsidR="008908D0" w:rsidRPr="003E37A9">
        <w:rPr>
          <w:rFonts w:ascii="David" w:hAnsi="David" w:cs="David"/>
          <w:b/>
          <w:bCs/>
          <w:sz w:val="24"/>
          <w:szCs w:val="24"/>
          <w:rtl/>
        </w:rPr>
        <w:t>פיצויים:</w:t>
      </w:r>
      <w:r w:rsidR="008908D0" w:rsidRPr="003E37A9">
        <w:rPr>
          <w:rFonts w:ascii="David" w:hAnsi="David" w:cs="David"/>
          <w:sz w:val="24"/>
          <w:szCs w:val="24"/>
          <w:rtl/>
        </w:rPr>
        <w:t xml:space="preserve"> כדי שנפגע יקבל פיצויים ע"פ ס'10 לחוק, עליו להוכיח את הדרישות המצטברות: 1)קיום נזק 2)סיבתיות 3)צפיות 4)הוכחת שיעור הנזק</w:t>
      </w:r>
      <w:r w:rsidR="008908D0" w:rsidRPr="003E37A9">
        <w:rPr>
          <w:rStyle w:val="a6"/>
          <w:rFonts w:ascii="David" w:hAnsi="David" w:cs="David"/>
          <w:sz w:val="24"/>
          <w:szCs w:val="24"/>
          <w:rtl/>
        </w:rPr>
        <w:footnoteReference w:id="8"/>
      </w:r>
      <w:r w:rsidR="008908D0" w:rsidRPr="003E37A9">
        <w:rPr>
          <w:rFonts w:ascii="David" w:hAnsi="David" w:cs="David"/>
          <w:sz w:val="24"/>
          <w:szCs w:val="24"/>
          <w:rtl/>
        </w:rPr>
        <w:t xml:space="preserve">. במקרה דנן, לרני נגרם </w:t>
      </w:r>
      <w:r w:rsidR="008908D0" w:rsidRPr="003E37A9">
        <w:rPr>
          <w:rFonts w:ascii="David" w:hAnsi="David" w:cs="David"/>
          <w:sz w:val="24"/>
          <w:szCs w:val="24"/>
          <w:u w:val="single"/>
          <w:rtl/>
        </w:rPr>
        <w:t>נזק ממוני</w:t>
      </w:r>
      <w:r w:rsidR="008908D0" w:rsidRPr="003E37A9">
        <w:rPr>
          <w:rFonts w:ascii="David" w:hAnsi="David" w:cs="David"/>
          <w:sz w:val="24"/>
          <w:szCs w:val="24"/>
          <w:rtl/>
        </w:rPr>
        <w:t xml:space="preserve"> המתבטא בתמורה החוזית שסוכמה ע"ס 9,000,000₪. בפועל, מדובר בסכום גבוה יותר שכן רני הוציא 9,500,000₪. </w:t>
      </w:r>
      <w:r w:rsidR="008908D0" w:rsidRPr="003E37A9">
        <w:rPr>
          <w:rFonts w:ascii="David" w:hAnsi="David" w:cs="David"/>
          <w:sz w:val="24"/>
          <w:szCs w:val="24"/>
          <w:u w:val="single"/>
          <w:rtl/>
        </w:rPr>
        <w:t>סיבתיות:</w:t>
      </w:r>
      <w:r w:rsidR="008908D0" w:rsidRPr="003E37A9">
        <w:rPr>
          <w:rFonts w:ascii="David" w:hAnsi="David" w:cs="David"/>
          <w:sz w:val="24"/>
          <w:szCs w:val="24"/>
          <w:rtl/>
        </w:rPr>
        <w:t xml:space="preserve"> לולא ההפרה, רני היה מקבל את התמורה החוזית. כך היה מקבל החזר עבור הוצאותיו ואת השכר המגיע לו. לכן, הנזקים נגרמו עקב ההפרה. </w:t>
      </w:r>
      <w:r w:rsidR="008908D0" w:rsidRPr="003E37A9">
        <w:rPr>
          <w:rFonts w:ascii="David" w:hAnsi="David" w:cs="David"/>
          <w:sz w:val="24"/>
          <w:szCs w:val="24"/>
          <w:u w:val="single"/>
          <w:rtl/>
        </w:rPr>
        <w:t>צפיות:</w:t>
      </w:r>
      <w:r w:rsidR="008908D0" w:rsidRPr="003E37A9">
        <w:rPr>
          <w:rFonts w:ascii="David" w:hAnsi="David" w:cs="David"/>
          <w:sz w:val="24"/>
          <w:szCs w:val="24"/>
          <w:rtl/>
        </w:rPr>
        <w:t xml:space="preserve"> הפיצויים ניתנים עבור נזקים </w:t>
      </w:r>
      <w:r w:rsidR="008908D0" w:rsidRPr="003E37A9">
        <w:rPr>
          <w:rFonts w:ascii="David" w:hAnsi="David" w:cs="David"/>
          <w:sz w:val="24"/>
          <w:szCs w:val="24"/>
          <w:u w:val="single"/>
          <w:rtl/>
        </w:rPr>
        <w:t>שהמפר</w:t>
      </w:r>
      <w:r w:rsidR="008908D0" w:rsidRPr="003E37A9">
        <w:rPr>
          <w:rFonts w:ascii="David" w:hAnsi="David" w:cs="David"/>
          <w:sz w:val="24"/>
          <w:szCs w:val="24"/>
          <w:rtl/>
        </w:rPr>
        <w:t xml:space="preserve"> צפה (סובייקטיבי) או שהיה עליו לצפות (אובייקטיבי) שיגרמו עקב ההפרה בזמן הכריתה</w:t>
      </w:r>
      <w:r w:rsidR="008908D0" w:rsidRPr="003E37A9">
        <w:rPr>
          <w:rStyle w:val="a6"/>
          <w:rFonts w:ascii="David" w:hAnsi="David" w:cs="David"/>
          <w:sz w:val="24"/>
          <w:szCs w:val="24"/>
          <w:rtl/>
        </w:rPr>
        <w:footnoteReference w:id="9"/>
      </w:r>
      <w:r w:rsidR="008908D0" w:rsidRPr="003E37A9">
        <w:rPr>
          <w:rFonts w:ascii="David" w:hAnsi="David" w:cs="David"/>
          <w:sz w:val="24"/>
          <w:szCs w:val="24"/>
          <w:rtl/>
        </w:rPr>
        <w:t xml:space="preserve">. כשנכרת החוזה, אלכס וכל אדם סביר </w:t>
      </w:r>
      <w:r w:rsidR="008908D0" w:rsidRPr="003E37A9">
        <w:rPr>
          <w:rFonts w:ascii="David" w:hAnsi="David" w:cs="David"/>
          <w:sz w:val="24"/>
          <w:szCs w:val="24"/>
          <w:u w:val="single"/>
          <w:rtl/>
        </w:rPr>
        <w:t>יכל והיה עליו לצפות</w:t>
      </w:r>
      <w:r w:rsidR="008908D0" w:rsidRPr="003E37A9">
        <w:rPr>
          <w:rFonts w:ascii="David" w:hAnsi="David" w:cs="David"/>
          <w:sz w:val="24"/>
          <w:szCs w:val="24"/>
          <w:rtl/>
        </w:rPr>
        <w:t xml:space="preserve"> שבמידה ולא ישלם עבור שירות, יגרם נזק לצד השני. </w:t>
      </w:r>
      <w:r w:rsidR="008908D0" w:rsidRPr="003E37A9">
        <w:rPr>
          <w:rFonts w:ascii="David" w:hAnsi="David" w:cs="David"/>
          <w:sz w:val="24"/>
          <w:szCs w:val="24"/>
          <w:u w:val="single"/>
          <w:rtl/>
        </w:rPr>
        <w:t>הוכחת שיעור הנזק:</w:t>
      </w:r>
      <w:r w:rsidR="008908D0" w:rsidRPr="003E37A9">
        <w:rPr>
          <w:rFonts w:ascii="David" w:hAnsi="David" w:cs="David"/>
          <w:sz w:val="24"/>
          <w:szCs w:val="24"/>
          <w:rtl/>
        </w:rPr>
        <w:t xml:space="preserve"> על הנפגע להוכיח במידת ודאות סבירה את </w:t>
      </w:r>
      <w:r w:rsidR="008908D0" w:rsidRPr="003E37A9">
        <w:rPr>
          <w:rFonts w:ascii="David" w:hAnsi="David" w:cs="David"/>
          <w:sz w:val="24"/>
          <w:szCs w:val="24"/>
          <w:u w:val="single"/>
          <w:rtl/>
        </w:rPr>
        <w:t>היקף הנזק</w:t>
      </w:r>
      <w:r w:rsidR="008908D0" w:rsidRPr="003E37A9">
        <w:rPr>
          <w:rFonts w:ascii="David" w:hAnsi="David" w:cs="David"/>
          <w:sz w:val="24"/>
          <w:szCs w:val="24"/>
          <w:rtl/>
        </w:rPr>
        <w:t xml:space="preserve"> ואת </w:t>
      </w:r>
      <w:r w:rsidR="008908D0" w:rsidRPr="003E37A9">
        <w:rPr>
          <w:rFonts w:ascii="David" w:hAnsi="David" w:cs="David"/>
          <w:sz w:val="24"/>
          <w:szCs w:val="24"/>
          <w:u w:val="single"/>
          <w:rtl/>
        </w:rPr>
        <w:t>שיעור הפיצויים</w:t>
      </w:r>
      <w:r w:rsidR="008908D0" w:rsidRPr="003E37A9">
        <w:rPr>
          <w:rStyle w:val="a6"/>
          <w:rFonts w:ascii="David" w:hAnsi="David" w:cs="David"/>
          <w:sz w:val="24"/>
          <w:szCs w:val="24"/>
          <w:u w:val="single"/>
          <w:rtl/>
        </w:rPr>
        <w:footnoteReference w:id="10"/>
      </w:r>
      <w:r w:rsidR="008908D0" w:rsidRPr="003E37A9">
        <w:rPr>
          <w:rFonts w:ascii="David" w:hAnsi="David" w:cs="David"/>
          <w:sz w:val="24"/>
          <w:szCs w:val="24"/>
          <w:u w:val="single"/>
          <w:rtl/>
        </w:rPr>
        <w:t>.</w:t>
      </w:r>
      <w:r w:rsidR="008908D0" w:rsidRPr="003E37A9">
        <w:rPr>
          <w:rFonts w:ascii="David" w:hAnsi="David" w:cs="David"/>
          <w:sz w:val="24"/>
          <w:szCs w:val="24"/>
          <w:rtl/>
        </w:rPr>
        <w:t xml:space="preserve"> היקף הנזק הוכח לעיל. </w:t>
      </w:r>
      <w:r w:rsidR="008908D0" w:rsidRPr="003E37A9">
        <w:rPr>
          <w:rFonts w:ascii="David" w:hAnsi="David" w:cs="David"/>
          <w:sz w:val="24"/>
          <w:szCs w:val="24"/>
          <w:u w:val="single"/>
          <w:rtl/>
        </w:rPr>
        <w:t>שיעור הפיצויים:</w:t>
      </w:r>
      <w:r w:rsidR="008908D0" w:rsidRPr="003E37A9">
        <w:rPr>
          <w:rFonts w:ascii="David" w:hAnsi="David" w:cs="David"/>
          <w:sz w:val="24"/>
          <w:szCs w:val="24"/>
          <w:rtl/>
        </w:rPr>
        <w:t xml:space="preserve"> רני יתבע 9,500,000₪ שהם פיצויי הסתמכות, המעמידים אותו במצב בו היה לולא התקשר בחוזה</w:t>
      </w:r>
      <w:r w:rsidR="008908D0" w:rsidRPr="003E37A9">
        <w:rPr>
          <w:rStyle w:val="a6"/>
          <w:rFonts w:ascii="David" w:hAnsi="David" w:cs="David"/>
          <w:sz w:val="24"/>
          <w:szCs w:val="24"/>
          <w:rtl/>
        </w:rPr>
        <w:footnoteReference w:id="11"/>
      </w:r>
      <w:r w:rsidR="008908D0" w:rsidRPr="003E37A9">
        <w:rPr>
          <w:rFonts w:ascii="David" w:hAnsi="David" w:cs="David"/>
          <w:sz w:val="24"/>
          <w:szCs w:val="24"/>
          <w:rtl/>
        </w:rPr>
        <w:t>. מחד, רני יטען שפיצויי ההסתמכות עומדים בזכות עצמם. כמו כן, אין מניעה שפיצ</w:t>
      </w:r>
      <w:r w:rsidR="00394DFD" w:rsidRPr="003E37A9">
        <w:rPr>
          <w:rFonts w:ascii="David" w:hAnsi="David" w:cs="David"/>
          <w:sz w:val="24"/>
          <w:szCs w:val="24"/>
          <w:rtl/>
        </w:rPr>
        <w:t>ו</w:t>
      </w:r>
      <w:r w:rsidR="008908D0" w:rsidRPr="003E37A9">
        <w:rPr>
          <w:rFonts w:ascii="David" w:hAnsi="David" w:cs="David"/>
          <w:sz w:val="24"/>
          <w:szCs w:val="24"/>
          <w:rtl/>
        </w:rPr>
        <w:t>יי ההסתמכות יהיו גבוהים מפיצויי הקיום</w:t>
      </w:r>
      <w:r w:rsidR="008908D0" w:rsidRPr="003E37A9">
        <w:rPr>
          <w:rStyle w:val="a6"/>
          <w:rFonts w:ascii="David" w:hAnsi="David" w:cs="David"/>
          <w:sz w:val="24"/>
          <w:szCs w:val="24"/>
          <w:rtl/>
        </w:rPr>
        <w:footnoteReference w:id="12"/>
      </w:r>
      <w:r w:rsidR="00394DFD" w:rsidRPr="003E37A9">
        <w:rPr>
          <w:rFonts w:ascii="David" w:hAnsi="David" w:cs="David"/>
          <w:sz w:val="24"/>
          <w:szCs w:val="24"/>
          <w:rtl/>
        </w:rPr>
        <w:t>. עוד יטען שנזקי ההסתמכות כוללים אובדן רווחים הנובעים מהחמצת חוזים אחרים</w:t>
      </w:r>
      <w:r w:rsidR="00394DFD" w:rsidRPr="003E37A9">
        <w:rPr>
          <w:rStyle w:val="a6"/>
          <w:rFonts w:ascii="David" w:hAnsi="David" w:cs="David"/>
          <w:sz w:val="24"/>
          <w:szCs w:val="24"/>
          <w:rtl/>
        </w:rPr>
        <w:footnoteReference w:id="13"/>
      </w:r>
      <w:r w:rsidR="00394DFD" w:rsidRPr="003E37A9">
        <w:rPr>
          <w:rFonts w:ascii="David" w:hAnsi="David" w:cs="David"/>
          <w:sz w:val="24"/>
          <w:szCs w:val="24"/>
          <w:rtl/>
        </w:rPr>
        <w:t>. במקרה דנן, אלמלא עבד על ההרחבה, יכל להתקשר בחוזים שיניבו לו רווחים. מאידך, אלכס יטען שניתן לבקש פיצויי הסתמכות רק במקרים חריגים כשקיים קושי ממשי להוכיח את שיעור פיצויי הקיום. לא ייתכן שפיצויי ההסתמכות יעלו על פיצויי הקיום, ובחוזה הפסד לא ניתן לפסוק פיצויי הסתמכות</w:t>
      </w:r>
      <w:r w:rsidR="00394DFD" w:rsidRPr="003E37A9">
        <w:rPr>
          <w:rStyle w:val="a6"/>
          <w:rFonts w:ascii="David" w:hAnsi="David" w:cs="David"/>
          <w:sz w:val="24"/>
          <w:szCs w:val="24"/>
          <w:rtl/>
        </w:rPr>
        <w:footnoteReference w:id="14"/>
      </w:r>
      <w:r w:rsidR="00394DFD" w:rsidRPr="003E37A9">
        <w:rPr>
          <w:rFonts w:ascii="David" w:hAnsi="David" w:cs="David"/>
          <w:sz w:val="24"/>
          <w:szCs w:val="24"/>
          <w:rtl/>
        </w:rPr>
        <w:t xml:space="preserve">. במקרה זה, מדובר בחוזה הפסד, לכן ניתן לפסוק </w:t>
      </w:r>
      <w:r w:rsidR="00394DFD" w:rsidRPr="003E37A9">
        <w:rPr>
          <w:rFonts w:ascii="David" w:hAnsi="David" w:cs="David"/>
          <w:sz w:val="24"/>
          <w:szCs w:val="24"/>
          <w:u w:val="single"/>
          <w:rtl/>
        </w:rPr>
        <w:t>רק</w:t>
      </w:r>
      <w:r w:rsidR="00394DFD" w:rsidRPr="003E37A9">
        <w:rPr>
          <w:rFonts w:ascii="David" w:hAnsi="David" w:cs="David"/>
          <w:sz w:val="24"/>
          <w:szCs w:val="24"/>
          <w:rtl/>
        </w:rPr>
        <w:t xml:space="preserve"> פיצויי קיום. עוד יטען שבחוזה הפסד הנזק נגרם כתוצאה מחוזה ההפסד </w:t>
      </w:r>
      <w:r w:rsidR="00394DFD" w:rsidRPr="003E37A9">
        <w:rPr>
          <w:rFonts w:ascii="David" w:hAnsi="David" w:cs="David"/>
          <w:sz w:val="24"/>
          <w:szCs w:val="24"/>
          <w:u w:val="single"/>
          <w:rtl/>
        </w:rPr>
        <w:t>ולא עקב ההפרה</w:t>
      </w:r>
      <w:r w:rsidR="00394DFD" w:rsidRPr="003E37A9">
        <w:rPr>
          <w:rStyle w:val="a6"/>
          <w:rFonts w:ascii="David" w:hAnsi="David" w:cs="David"/>
          <w:sz w:val="24"/>
          <w:szCs w:val="24"/>
          <w:rtl/>
        </w:rPr>
        <w:footnoteReference w:id="15"/>
      </w:r>
      <w:r w:rsidR="00394DFD" w:rsidRPr="003E37A9">
        <w:rPr>
          <w:rFonts w:ascii="David" w:hAnsi="David" w:cs="David"/>
          <w:sz w:val="24"/>
          <w:szCs w:val="24"/>
          <w:rtl/>
        </w:rPr>
        <w:t xml:space="preserve">. וכן יטען שרני יכל להתקשר בחוזים אחרים במקביל לעבודתו על ההרחבה. במידה ולא תתקבל בקשתו של רני לפיצויי </w:t>
      </w:r>
      <w:r w:rsidR="00394DFD" w:rsidRPr="003E37A9">
        <w:rPr>
          <w:rFonts w:ascii="David" w:hAnsi="David" w:cs="David"/>
          <w:sz w:val="24"/>
          <w:szCs w:val="24"/>
          <w:rtl/>
        </w:rPr>
        <w:lastRenderedPageBreak/>
        <w:t>הסתמכות, יבקש פיצויי קיום המעמידים אותו במצב בו היה לו קיום החוזה</w:t>
      </w:r>
      <w:r w:rsidR="00394DFD" w:rsidRPr="003E37A9">
        <w:rPr>
          <w:rStyle w:val="a6"/>
          <w:rFonts w:ascii="David" w:hAnsi="David" w:cs="David"/>
          <w:sz w:val="24"/>
          <w:szCs w:val="24"/>
          <w:rtl/>
        </w:rPr>
        <w:footnoteReference w:id="16"/>
      </w:r>
      <w:r w:rsidR="00394DFD" w:rsidRPr="003E37A9">
        <w:rPr>
          <w:rFonts w:ascii="David" w:hAnsi="David" w:cs="David"/>
          <w:sz w:val="24"/>
          <w:szCs w:val="24"/>
          <w:rtl/>
        </w:rPr>
        <w:t xml:space="preserve">, שיעמדו ע"ס 9,000,000₪. </w:t>
      </w:r>
      <w:r w:rsidR="00394DFD" w:rsidRPr="003E37A9">
        <w:rPr>
          <w:rFonts w:ascii="David" w:hAnsi="David" w:cs="David"/>
          <w:sz w:val="24"/>
          <w:szCs w:val="24"/>
          <w:u w:val="single"/>
          <w:rtl/>
        </w:rPr>
        <w:t>ס'11:</w:t>
      </w:r>
      <w:r w:rsidR="00394DFD" w:rsidRPr="003E37A9">
        <w:rPr>
          <w:rFonts w:ascii="David" w:hAnsi="David" w:cs="David"/>
          <w:sz w:val="24"/>
          <w:szCs w:val="24"/>
          <w:rtl/>
        </w:rPr>
        <w:t xml:space="preserve"> מאפשר קבלת פיצויים </w:t>
      </w:r>
      <w:r w:rsidR="00394DFD" w:rsidRPr="003E37A9">
        <w:rPr>
          <w:rFonts w:ascii="David" w:hAnsi="David" w:cs="David"/>
          <w:sz w:val="24"/>
          <w:szCs w:val="24"/>
          <w:u w:val="single"/>
          <w:rtl/>
        </w:rPr>
        <w:t>ללא הוכחות נזק או הקטנתו</w:t>
      </w:r>
      <w:r w:rsidR="00394DFD" w:rsidRPr="003E37A9">
        <w:rPr>
          <w:rFonts w:ascii="David" w:hAnsi="David" w:cs="David"/>
          <w:sz w:val="24"/>
          <w:szCs w:val="24"/>
          <w:rtl/>
        </w:rPr>
        <w:t>. לפי ס'11(ב) לחוק ניתן לקבל פיצוי בגובה הריבית שנצברה מיום ההפרה עד ליום התשלום בהנחת פיגור בתשלום. אם קיים איחור בתשלום, רני יוכל לתבוע פיצוי לפי סעיף זה כשהפיצוי</w:t>
      </w:r>
      <w:r w:rsidR="0037701F">
        <w:rPr>
          <w:rFonts w:ascii="David" w:hAnsi="David" w:cs="David"/>
          <w:sz w:val="24"/>
          <w:szCs w:val="24"/>
          <w:rtl/>
        </w:rPr>
        <w:t>ים שיפסקו לו יכל</w:t>
      </w:r>
      <w:bookmarkStart w:id="0" w:name="_GoBack"/>
      <w:bookmarkEnd w:id="0"/>
      <w:r w:rsidR="00394DFD" w:rsidRPr="003E37A9">
        <w:rPr>
          <w:rFonts w:ascii="David" w:hAnsi="David" w:cs="David"/>
          <w:sz w:val="24"/>
          <w:szCs w:val="24"/>
          <w:rtl/>
        </w:rPr>
        <w:t xml:space="preserve">לו ריבית מיום ההפרה עד ליום התשלום. </w:t>
      </w:r>
      <w:r w:rsidR="00394DFD" w:rsidRPr="003E37A9">
        <w:rPr>
          <w:rFonts w:ascii="David" w:hAnsi="David" w:cs="David"/>
          <w:sz w:val="24"/>
          <w:szCs w:val="24"/>
          <w:u w:val="single"/>
          <w:rtl/>
        </w:rPr>
        <w:t xml:space="preserve">ס'13: </w:t>
      </w:r>
      <w:r w:rsidR="00394DFD" w:rsidRPr="003E37A9">
        <w:rPr>
          <w:rFonts w:ascii="David" w:hAnsi="David" w:cs="David"/>
          <w:sz w:val="24"/>
          <w:szCs w:val="24"/>
          <w:rtl/>
        </w:rPr>
        <w:t xml:space="preserve">מתייחס לנזק </w:t>
      </w:r>
      <w:r w:rsidR="00394DFD" w:rsidRPr="003E37A9">
        <w:rPr>
          <w:rFonts w:ascii="David" w:hAnsi="David" w:cs="David"/>
          <w:sz w:val="24"/>
          <w:szCs w:val="24"/>
          <w:u w:val="single"/>
          <w:rtl/>
        </w:rPr>
        <w:t>לא ממוני</w:t>
      </w:r>
      <w:r w:rsidR="00394DFD" w:rsidRPr="003E37A9">
        <w:rPr>
          <w:rFonts w:ascii="David" w:hAnsi="David" w:cs="David"/>
          <w:sz w:val="24"/>
          <w:szCs w:val="24"/>
          <w:rtl/>
        </w:rPr>
        <w:t xml:space="preserve">. לרני נגרם מפח נפש שכן החל בתכנון הרחבת קו האופנה, השקיע זמן ומשאבים, ולבסוף ההרחבה לא יצאה לפועל. נזק זה נגרם </w:t>
      </w:r>
      <w:r w:rsidR="00394DFD" w:rsidRPr="003E37A9">
        <w:rPr>
          <w:rFonts w:ascii="David" w:hAnsi="David" w:cs="David"/>
          <w:sz w:val="24"/>
          <w:szCs w:val="24"/>
          <w:u w:val="single"/>
          <w:rtl/>
        </w:rPr>
        <w:t>עקב ההפרה</w:t>
      </w:r>
      <w:r w:rsidR="00394DFD" w:rsidRPr="003E37A9">
        <w:rPr>
          <w:rFonts w:ascii="David" w:hAnsi="David" w:cs="David"/>
          <w:sz w:val="24"/>
          <w:szCs w:val="24"/>
          <w:rtl/>
        </w:rPr>
        <w:t xml:space="preserve"> ואלכס </w:t>
      </w:r>
      <w:r w:rsidR="00394DFD" w:rsidRPr="003E37A9">
        <w:rPr>
          <w:rFonts w:ascii="David" w:hAnsi="David" w:cs="David"/>
          <w:sz w:val="24"/>
          <w:szCs w:val="24"/>
          <w:u w:val="single"/>
          <w:rtl/>
        </w:rPr>
        <w:t>יכל והיה עליו לצפות אותו</w:t>
      </w:r>
      <w:r w:rsidR="00394DFD" w:rsidRPr="003E37A9">
        <w:rPr>
          <w:rFonts w:ascii="David" w:hAnsi="David" w:cs="David"/>
          <w:sz w:val="24"/>
          <w:szCs w:val="24"/>
          <w:rtl/>
        </w:rPr>
        <w:t xml:space="preserve"> בעת הכריתה. אלכס יטען שביהמ"ש ממעיט בפסיקת פיצויים אלו, אלא במקרים מיוחדים</w:t>
      </w:r>
      <w:r w:rsidR="00394DFD" w:rsidRPr="003E37A9">
        <w:rPr>
          <w:rStyle w:val="a6"/>
          <w:rFonts w:ascii="David" w:hAnsi="David" w:cs="David"/>
          <w:sz w:val="24"/>
          <w:szCs w:val="24"/>
          <w:rtl/>
        </w:rPr>
        <w:footnoteReference w:id="17"/>
      </w:r>
      <w:r w:rsidR="00394DFD" w:rsidRPr="003E37A9">
        <w:rPr>
          <w:rFonts w:ascii="David" w:hAnsi="David" w:cs="David"/>
          <w:sz w:val="24"/>
          <w:szCs w:val="24"/>
          <w:rtl/>
        </w:rPr>
        <w:t xml:space="preserve">, ומקרה זה אינו חלק ממקרים אלו שכן מפח נפש נגרם בכל הפרת חוזה. </w:t>
      </w:r>
      <w:r w:rsidR="001C72A1" w:rsidRPr="003E37A9">
        <w:rPr>
          <w:rFonts w:ascii="David" w:hAnsi="David" w:cs="David"/>
          <w:sz w:val="24"/>
          <w:szCs w:val="24"/>
          <w:u w:val="single"/>
          <w:rtl/>
        </w:rPr>
        <w:t>טענות ההגנה בפיצויים-</w:t>
      </w:r>
      <w:r w:rsidR="001C72A1" w:rsidRPr="003E37A9">
        <w:rPr>
          <w:rFonts w:ascii="David" w:hAnsi="David" w:cs="David"/>
          <w:sz w:val="24"/>
          <w:szCs w:val="24"/>
          <w:rtl/>
        </w:rPr>
        <w:t xml:space="preserve"> </w:t>
      </w:r>
      <w:r w:rsidR="001C72A1" w:rsidRPr="003E37A9">
        <w:rPr>
          <w:rFonts w:ascii="David" w:hAnsi="David" w:cs="David"/>
          <w:sz w:val="24"/>
          <w:szCs w:val="24"/>
          <w:u w:val="single"/>
          <w:rtl/>
        </w:rPr>
        <w:t>הקטנת נזק:</w:t>
      </w:r>
      <w:r w:rsidR="001C72A1" w:rsidRPr="003E37A9">
        <w:rPr>
          <w:rFonts w:ascii="David" w:hAnsi="David" w:cs="David"/>
          <w:sz w:val="24"/>
          <w:szCs w:val="24"/>
          <w:rtl/>
        </w:rPr>
        <w:t xml:space="preserve"> ע"פ ס'14(א) לחוק, נפגע לא יקבל פיצוי במידה ויכל למנוע או להקטין את הנזק. ההצדקה לכך מוסרית וכלכלית. אלכס יטען שרני יכל להקטין את הנזק לו ביקש הוראת פעולה לאחר הודעת ההתלבטות. כמו כן, לא רק שלא פעל להקטנת הנזק, הגדילו. רני כמעט הכפיל את הוצאותיו בחודש אחד כשהוציא 4,500,000₪ ביולי. הקטנת הנזק נגזרת מעקרון תם הלב (להלן: תו"ל) לפי ס'39 לחוק החוזים</w:t>
      </w:r>
      <w:r w:rsidR="001C72A1" w:rsidRPr="003E37A9">
        <w:rPr>
          <w:rStyle w:val="a6"/>
          <w:rFonts w:ascii="David" w:hAnsi="David" w:cs="David"/>
          <w:sz w:val="24"/>
          <w:szCs w:val="24"/>
          <w:rtl/>
        </w:rPr>
        <w:footnoteReference w:id="18"/>
      </w:r>
      <w:r w:rsidR="001C72A1" w:rsidRPr="003E37A9">
        <w:rPr>
          <w:rFonts w:ascii="David" w:hAnsi="David" w:cs="David"/>
          <w:sz w:val="24"/>
          <w:szCs w:val="24"/>
          <w:rtl/>
        </w:rPr>
        <w:t>, כך שהוצאותיו של רני נעשו בחוסר תו"ל- חלק ניכר מהתמורה החוזית הוצאה תוך חודש כשרני היה מודע לגובה התקציב. אמנם רני יכול לטען שבחר להתעלם מההפרה הצפויה, ובכך לא מחויב להקטנת הנזק, אך כפוף לעקרון תו"ל</w:t>
      </w:r>
      <w:r w:rsidR="001C72A1" w:rsidRPr="003E37A9">
        <w:rPr>
          <w:rStyle w:val="a6"/>
          <w:rFonts w:ascii="David" w:hAnsi="David" w:cs="David"/>
          <w:sz w:val="24"/>
          <w:szCs w:val="24"/>
          <w:rtl/>
        </w:rPr>
        <w:footnoteReference w:id="19"/>
      </w:r>
      <w:r w:rsidR="001C72A1" w:rsidRPr="003E37A9">
        <w:rPr>
          <w:rFonts w:ascii="David" w:hAnsi="David" w:cs="David"/>
          <w:sz w:val="24"/>
          <w:szCs w:val="24"/>
          <w:rtl/>
        </w:rPr>
        <w:t xml:space="preserve">- גם במצב כזה פעל בחוסר תו"ל כשהוציא סכום עתק בחודש. </w:t>
      </w:r>
      <w:r w:rsidR="001C72A1" w:rsidRPr="003E37A9">
        <w:rPr>
          <w:rFonts w:ascii="David" w:hAnsi="David" w:cs="David"/>
          <w:sz w:val="24"/>
          <w:szCs w:val="24"/>
          <w:u w:val="single"/>
          <w:rtl/>
        </w:rPr>
        <w:t>אשם תורם:</w:t>
      </w:r>
      <w:r w:rsidR="001C72A1" w:rsidRPr="003E37A9">
        <w:rPr>
          <w:rFonts w:ascii="David" w:hAnsi="David" w:cs="David"/>
          <w:sz w:val="24"/>
          <w:szCs w:val="24"/>
          <w:rtl/>
        </w:rPr>
        <w:t xml:space="preserve"> מתקיים לפני ההפרה. אלכס יטען שרני אחראי להחמרת נזקי ההפרה</w:t>
      </w:r>
      <w:r w:rsidR="001C72A1" w:rsidRPr="003E37A9">
        <w:rPr>
          <w:rStyle w:val="a6"/>
          <w:rFonts w:ascii="David" w:hAnsi="David" w:cs="David"/>
          <w:sz w:val="24"/>
          <w:szCs w:val="24"/>
          <w:rtl/>
        </w:rPr>
        <w:footnoteReference w:id="20"/>
      </w:r>
      <w:r w:rsidR="001C72A1" w:rsidRPr="003E37A9">
        <w:rPr>
          <w:rFonts w:ascii="David" w:hAnsi="David" w:cs="David"/>
          <w:sz w:val="24"/>
          <w:szCs w:val="24"/>
          <w:rtl/>
        </w:rPr>
        <w:t>. רני המשיך בפרויקט, הוציא עוד כסף, וחרג מהתמורה החוזית (הוציא 9,500,000₪). בנוסף, תכנן בצורה לקויה את התקציב ע"י מיקום החנויות באזורים היקרים בישראל ושכירת מעצב פנים מוביל. רני יכל למקם את החנויות באזור זול יותר ולשכור מעצב אחר כדי למנוע חריגה תקציבית. לפי דוקטרינה זו, ניתן לחלק את האחריות בנזקים ע"י המבחנים: השוואת מידת חוסר תו"ל, תרומה סיבתית של הצדדים וחלוקה המשלבת ביניהם</w:t>
      </w:r>
      <w:r w:rsidR="001C72A1" w:rsidRPr="003E37A9">
        <w:rPr>
          <w:rStyle w:val="a6"/>
          <w:rFonts w:ascii="David" w:hAnsi="David" w:cs="David"/>
          <w:sz w:val="24"/>
          <w:szCs w:val="24"/>
          <w:rtl/>
        </w:rPr>
        <w:footnoteReference w:id="21"/>
      </w:r>
      <w:r w:rsidR="001C72A1" w:rsidRPr="003E37A9">
        <w:rPr>
          <w:rFonts w:ascii="David" w:hAnsi="David" w:cs="David"/>
          <w:sz w:val="24"/>
          <w:szCs w:val="24"/>
          <w:rtl/>
        </w:rPr>
        <w:t>. אלכס יטען שרני תרם לנזק ופעל בחוסר תו"ל במידה גבוהה ממנו. אשם תורם והקטנת נזק נבחנים בקנה מידה אובייקטיבי</w:t>
      </w:r>
      <w:r w:rsidR="001C72A1" w:rsidRPr="003E37A9">
        <w:rPr>
          <w:rStyle w:val="a6"/>
          <w:rFonts w:ascii="David" w:hAnsi="David" w:cs="David"/>
          <w:sz w:val="24"/>
          <w:szCs w:val="24"/>
          <w:rtl/>
        </w:rPr>
        <w:footnoteReference w:id="22"/>
      </w:r>
      <w:r w:rsidR="001C72A1" w:rsidRPr="003E37A9">
        <w:rPr>
          <w:rFonts w:ascii="David" w:hAnsi="David" w:cs="David"/>
          <w:sz w:val="24"/>
          <w:szCs w:val="24"/>
          <w:rtl/>
        </w:rPr>
        <w:t>. אדם סביר היה מבין שאלכס לא שלם עם ההרחבה, והיה מבקש הנחיה. וכן, אדם סביר היה מתכנן את צעדיו כדי להתאים את עבודתו לתקציב. עד הודעת ההתלבטות, רני הוציא 5,000,000₪, זהו הסכום המרבי שרני יפוצה. מנגד, רני יטען שפעל בתו"ל שכן עבד במרץ כדי למלא את חיוביו, דבר שהתבטא בסכום שהוציא. עוד יטען שבחר את מיקום החנויות ואת מעצב הפנים כדי לעמוד בדרישותיו של אלכס. כך, לא תרם להחמרת הנזק. עוד יטען שאלכס פעל בחוסר תו"ל כשלא נתן הנחית פעולה, וכל אדם היה ממשיך בביצוע. אף זו, יטען שהקטנת הנזק נכנסת לתוקף לאחר שהנפגע מודע להפרה</w:t>
      </w:r>
      <w:r w:rsidR="001C72A1" w:rsidRPr="003E37A9">
        <w:rPr>
          <w:rStyle w:val="a6"/>
          <w:rFonts w:ascii="David" w:hAnsi="David" w:cs="David"/>
          <w:sz w:val="24"/>
          <w:szCs w:val="24"/>
          <w:rtl/>
        </w:rPr>
        <w:footnoteReference w:id="23"/>
      </w:r>
      <w:r w:rsidR="001C72A1" w:rsidRPr="003E37A9">
        <w:rPr>
          <w:rFonts w:ascii="David" w:hAnsi="David" w:cs="David"/>
          <w:sz w:val="24"/>
          <w:szCs w:val="24"/>
          <w:rtl/>
        </w:rPr>
        <w:t>. במקרה דנן, כשאלכס הודיע שמתלבט, לא היה מודע להפרה שכן חשב שמדובר במצב</w:t>
      </w:r>
      <w:r w:rsidR="008E0D05" w:rsidRPr="003E37A9">
        <w:rPr>
          <w:rFonts w:ascii="David" w:hAnsi="David" w:cs="David"/>
          <w:sz w:val="24"/>
          <w:szCs w:val="24"/>
          <w:rtl/>
        </w:rPr>
        <w:t xml:space="preserve"> חולף.</w:t>
      </w:r>
      <w:r w:rsidR="001C72A1" w:rsidRPr="003E37A9">
        <w:rPr>
          <w:rFonts w:ascii="David" w:hAnsi="David" w:cs="David"/>
          <w:sz w:val="24"/>
          <w:szCs w:val="24"/>
        </w:rPr>
        <w:t xml:space="preserve"> </w:t>
      </w:r>
      <w:r w:rsidR="001C72A1" w:rsidRPr="003E37A9">
        <w:rPr>
          <w:rFonts w:ascii="David" w:hAnsi="David" w:cs="David"/>
          <w:sz w:val="24"/>
          <w:szCs w:val="24"/>
          <w:rtl/>
        </w:rPr>
        <w:t>לכן, בשלב זה לא הייתה מוטלת עליו חובת הקטנת הנזק. אף זו, יכל להצטייר כמפר לו היה מפסיק את עבודתו עם הודעת ההתלבטות</w:t>
      </w:r>
      <w:r w:rsidR="001C72A1" w:rsidRPr="003E37A9">
        <w:rPr>
          <w:rStyle w:val="a6"/>
          <w:rFonts w:ascii="David" w:hAnsi="David" w:cs="David"/>
          <w:sz w:val="24"/>
          <w:szCs w:val="24"/>
          <w:rtl/>
        </w:rPr>
        <w:footnoteReference w:id="24"/>
      </w:r>
      <w:r w:rsidR="001C72A1" w:rsidRPr="003E37A9">
        <w:rPr>
          <w:rFonts w:ascii="David" w:hAnsi="David" w:cs="David"/>
          <w:sz w:val="24"/>
          <w:szCs w:val="24"/>
          <w:rtl/>
        </w:rPr>
        <w:t xml:space="preserve">. בהנחה שביהמ"ש יקבע שרני תרם להחמרת הנזק, יטען שאלכס תרם לנזק ופעל בחוסר תו"ל במידה גבוהה יותר. לדידי רני יוכל לתבוע פיצויי הסתמכות בצירוף פיצויים ע"פ ס'13, ובמידה שקיים פיגור בתשלום, הפיצוי יכלול ריבית-זה הסכום המרבי שרני יוכל לתבוע. </w:t>
      </w:r>
      <w:r w:rsidR="001C72A1" w:rsidRPr="003E37A9">
        <w:rPr>
          <w:rFonts w:ascii="David" w:hAnsi="David" w:cs="David"/>
          <w:b/>
          <w:bCs/>
          <w:sz w:val="24"/>
          <w:szCs w:val="24"/>
          <w:rtl/>
        </w:rPr>
        <w:t xml:space="preserve">2. </w:t>
      </w:r>
      <w:r w:rsidR="001C72A1" w:rsidRPr="003E37A9">
        <w:rPr>
          <w:rFonts w:ascii="David" w:hAnsi="David" w:cs="David"/>
          <w:sz w:val="24"/>
          <w:szCs w:val="24"/>
          <w:rtl/>
        </w:rPr>
        <w:t xml:space="preserve">תשובתי לשאלה 1 </w:t>
      </w:r>
      <w:r w:rsidR="001C72A1" w:rsidRPr="003E37A9">
        <w:rPr>
          <w:rFonts w:ascii="David" w:hAnsi="David" w:cs="David"/>
          <w:sz w:val="24"/>
          <w:szCs w:val="24"/>
          <w:u w:val="single"/>
          <w:rtl/>
        </w:rPr>
        <w:t>תשתנה.</w:t>
      </w:r>
      <w:r w:rsidR="001C72A1" w:rsidRPr="003E37A9">
        <w:rPr>
          <w:rFonts w:ascii="David" w:hAnsi="David" w:cs="David"/>
          <w:sz w:val="24"/>
          <w:szCs w:val="24"/>
          <w:rtl/>
        </w:rPr>
        <w:t xml:space="preserve"> רני יתבע פיצויים ע"פ ס'10 וס'15 בצירוף ריבית במידה וקיים איחור בתשלום במקום ע"פ ס'10 וס'13. </w:t>
      </w:r>
      <w:r w:rsidR="001C72A1" w:rsidRPr="003E37A9">
        <w:rPr>
          <w:rFonts w:ascii="David" w:hAnsi="David" w:cs="David"/>
          <w:sz w:val="24"/>
          <w:szCs w:val="24"/>
          <w:u w:val="single"/>
          <w:rtl/>
        </w:rPr>
        <w:t>ס'15:</w:t>
      </w:r>
      <w:r w:rsidR="001C72A1" w:rsidRPr="003E37A9">
        <w:rPr>
          <w:rFonts w:ascii="David" w:hAnsi="David" w:cs="David"/>
          <w:sz w:val="24"/>
          <w:szCs w:val="24"/>
          <w:rtl/>
        </w:rPr>
        <w:t xml:space="preserve"> צדדים לחוזה יכולים לקבוע שצד שיפר את החוזה ישלם לצד השני סכום כסף </w:t>
      </w:r>
      <w:r w:rsidR="001C72A1" w:rsidRPr="003E37A9">
        <w:rPr>
          <w:rFonts w:ascii="David" w:hAnsi="David" w:cs="David"/>
          <w:sz w:val="24"/>
          <w:szCs w:val="24"/>
          <w:u w:val="single"/>
          <w:rtl/>
        </w:rPr>
        <w:t>מבלי להוכיח נזק.</w:t>
      </w:r>
      <w:r w:rsidR="001C72A1" w:rsidRPr="003E37A9">
        <w:rPr>
          <w:rFonts w:ascii="David" w:hAnsi="David" w:cs="David"/>
          <w:sz w:val="24"/>
          <w:szCs w:val="24"/>
          <w:rtl/>
        </w:rPr>
        <w:t xml:space="preserve"> פיצוי מוסכם לא </w:t>
      </w:r>
      <w:r w:rsidR="001C72A1" w:rsidRPr="003E37A9">
        <w:rPr>
          <w:rFonts w:ascii="David" w:hAnsi="David" w:cs="David"/>
          <w:sz w:val="24"/>
          <w:szCs w:val="24"/>
          <w:rtl/>
        </w:rPr>
        <w:lastRenderedPageBreak/>
        <w:t>שולל מהנפגע זכויות לתרופות אחרות</w:t>
      </w:r>
      <w:r w:rsidR="001C72A1" w:rsidRPr="003E37A9">
        <w:rPr>
          <w:rStyle w:val="a6"/>
          <w:rFonts w:ascii="David" w:hAnsi="David" w:cs="David"/>
          <w:sz w:val="24"/>
          <w:szCs w:val="24"/>
          <w:rtl/>
        </w:rPr>
        <w:footnoteReference w:id="25"/>
      </w:r>
      <w:r w:rsidR="001C72A1" w:rsidRPr="003E37A9">
        <w:rPr>
          <w:rFonts w:ascii="David" w:hAnsi="David" w:cs="David"/>
          <w:sz w:val="24"/>
          <w:szCs w:val="24"/>
          <w:rtl/>
        </w:rPr>
        <w:t>, אך שולל מתן פיצויי בגין אותו ראש נזק</w:t>
      </w:r>
      <w:r w:rsidR="001C72A1" w:rsidRPr="003E37A9">
        <w:rPr>
          <w:rStyle w:val="a6"/>
          <w:rFonts w:ascii="David" w:hAnsi="David" w:cs="David"/>
          <w:sz w:val="24"/>
          <w:szCs w:val="24"/>
          <w:rtl/>
        </w:rPr>
        <w:footnoteReference w:id="26"/>
      </w:r>
      <w:r w:rsidR="001C72A1" w:rsidRPr="003E37A9">
        <w:rPr>
          <w:rFonts w:ascii="David" w:hAnsi="David" w:cs="David"/>
          <w:sz w:val="24"/>
          <w:szCs w:val="24"/>
          <w:rtl/>
        </w:rPr>
        <w:t>. רני יטען להצדקת 1,500,000₪ ראשי נזק שונים: מפח נפש, פגיעה במוניטין וכיו"ב. רני יתבע לפיצויים אלו בצירוף פיצויי הסתמכות. אלכס יטען שמצב זה יוצר כפל פיצויים שכן הוסכם ביניהם שפיצויים בגין הפרה יעמדו על 1,500,000₪, ואין זה ראוי שרני יקבל פיצויים גבוהים משהוסכם. במידה וטענתו של רני תתקבל, יטען אלכס שאין יחס סביר בין הפיצוי לנזק, ועל ביהמ"ש להפחיתו</w:t>
      </w:r>
      <w:r w:rsidR="001C72A1" w:rsidRPr="003E37A9">
        <w:rPr>
          <w:rStyle w:val="a6"/>
          <w:rFonts w:ascii="David" w:hAnsi="David" w:cs="David"/>
          <w:sz w:val="24"/>
          <w:szCs w:val="24"/>
          <w:rtl/>
        </w:rPr>
        <w:footnoteReference w:id="27"/>
      </w:r>
      <w:r w:rsidR="001C72A1" w:rsidRPr="003E37A9">
        <w:rPr>
          <w:rFonts w:ascii="David" w:hAnsi="David" w:cs="David"/>
          <w:sz w:val="24"/>
          <w:szCs w:val="24"/>
          <w:rtl/>
        </w:rPr>
        <w:t xml:space="preserve">. לביהמ"ש מבחן דו שלבי: </w:t>
      </w:r>
      <w:r w:rsidR="001C72A1" w:rsidRPr="003E37A9">
        <w:rPr>
          <w:rFonts w:ascii="David" w:hAnsi="David" w:cs="David"/>
          <w:sz w:val="24"/>
          <w:szCs w:val="24"/>
          <w:u w:val="single"/>
          <w:rtl/>
        </w:rPr>
        <w:t>קביעת יחס סביר</w:t>
      </w:r>
      <w:r w:rsidR="001C72A1" w:rsidRPr="003E37A9">
        <w:rPr>
          <w:rFonts w:ascii="David" w:hAnsi="David" w:cs="David"/>
          <w:sz w:val="24"/>
          <w:szCs w:val="24"/>
          <w:rtl/>
        </w:rPr>
        <w:t xml:space="preserve"> בין הפיצוי שהוסכם לנזק שהיה צפוי ואז </w:t>
      </w:r>
      <w:r w:rsidR="001C72A1" w:rsidRPr="003E37A9">
        <w:rPr>
          <w:rFonts w:ascii="David" w:hAnsi="David" w:cs="David"/>
          <w:sz w:val="24"/>
          <w:szCs w:val="24"/>
          <w:u w:val="single"/>
          <w:rtl/>
        </w:rPr>
        <w:t>קביעת שיעור ההפחתה</w:t>
      </w:r>
      <w:r w:rsidR="001C72A1" w:rsidRPr="003E37A9">
        <w:rPr>
          <w:rFonts w:ascii="David" w:hAnsi="David" w:cs="David"/>
          <w:i/>
          <w:iCs/>
          <w:sz w:val="24"/>
          <w:szCs w:val="24"/>
          <w:rtl/>
        </w:rPr>
        <w:t xml:space="preserve">. </w:t>
      </w:r>
      <w:r w:rsidR="001C72A1" w:rsidRPr="003E37A9">
        <w:rPr>
          <w:rFonts w:ascii="David" w:hAnsi="David" w:cs="David"/>
          <w:sz w:val="24"/>
          <w:szCs w:val="24"/>
          <w:rtl/>
        </w:rPr>
        <w:t>סבירות הפיצוי תיקבע באופן אובייקטיבי</w:t>
      </w:r>
      <w:r w:rsidR="001C72A1" w:rsidRPr="003E37A9">
        <w:rPr>
          <w:rStyle w:val="a6"/>
          <w:rFonts w:ascii="David" w:hAnsi="David" w:cs="David"/>
          <w:sz w:val="24"/>
          <w:szCs w:val="24"/>
          <w:rtl/>
        </w:rPr>
        <w:footnoteReference w:id="28"/>
      </w:r>
      <w:r w:rsidR="001C72A1" w:rsidRPr="003E37A9">
        <w:rPr>
          <w:rFonts w:ascii="David" w:hAnsi="David" w:cs="David"/>
          <w:sz w:val="24"/>
          <w:szCs w:val="24"/>
          <w:rtl/>
        </w:rPr>
        <w:t>. אלכס יטען שלעיתים עסקאות נכשלות, והיה ניתן לצפות זאת בעת הכריתה. כך אין זה סביר שרני יקבל פיצוי כה גדול על מפח נפש שיכל לצפות שיתרחש. לכן, ראוי שביהמ"ש יפחית את שיעור הפיצוי. מנגד, יטען רני שהפחתת פיצוי נעשית במקרים חריגים</w:t>
      </w:r>
      <w:r w:rsidR="001C72A1" w:rsidRPr="003E37A9">
        <w:rPr>
          <w:rStyle w:val="a6"/>
          <w:rFonts w:ascii="David" w:hAnsi="David" w:cs="David"/>
          <w:sz w:val="24"/>
          <w:szCs w:val="24"/>
          <w:rtl/>
        </w:rPr>
        <w:footnoteReference w:id="29"/>
      </w:r>
      <w:r w:rsidR="001C72A1" w:rsidRPr="003E37A9">
        <w:rPr>
          <w:rFonts w:ascii="David" w:hAnsi="David" w:cs="David"/>
          <w:sz w:val="24"/>
          <w:szCs w:val="24"/>
          <w:rtl/>
        </w:rPr>
        <w:t xml:space="preserve">, ומקרה זה אינו חריג שכן הפיצוי סביר לאחר שהשקיע בהרחבה זמן ומשאבים, ופירות ההשקעה לא הבשילו. </w:t>
      </w:r>
      <w:r w:rsidR="001C72A1" w:rsidRPr="003E37A9">
        <w:rPr>
          <w:rFonts w:ascii="David" w:hAnsi="David" w:cs="David"/>
          <w:b/>
          <w:bCs/>
          <w:sz w:val="24"/>
          <w:szCs w:val="24"/>
          <w:rtl/>
        </w:rPr>
        <w:t>3. סיכול:</w:t>
      </w:r>
      <w:r w:rsidR="001C72A1" w:rsidRPr="003E37A9">
        <w:rPr>
          <w:rFonts w:ascii="David" w:hAnsi="David" w:cs="David"/>
          <w:sz w:val="24"/>
          <w:szCs w:val="24"/>
          <w:rtl/>
        </w:rPr>
        <w:t xml:space="preserve"> תנאים מצטברים לקיומו של סיכול: 1)היעדר ידיעה או צפייה של הנסיבות המסכלות 2)אי יכולת למנוע את הנסיבות המסכלות 3)קיום נסיבות המסכלות את החוזה</w:t>
      </w:r>
      <w:r w:rsidR="001C72A1" w:rsidRPr="003E37A9">
        <w:rPr>
          <w:rStyle w:val="a6"/>
          <w:rFonts w:ascii="David" w:hAnsi="David" w:cs="David"/>
          <w:sz w:val="24"/>
          <w:szCs w:val="24"/>
          <w:rtl/>
        </w:rPr>
        <w:footnoteReference w:id="30"/>
      </w:r>
      <w:r w:rsidR="001C72A1" w:rsidRPr="003E37A9">
        <w:rPr>
          <w:rFonts w:ascii="David" w:hAnsi="David" w:cs="David"/>
          <w:sz w:val="24"/>
          <w:szCs w:val="24"/>
          <w:rtl/>
        </w:rPr>
        <w:t xml:space="preserve">. במקרה דנן, אלכס יטען שבכריתה </w:t>
      </w:r>
      <w:r w:rsidR="001C72A1" w:rsidRPr="003E37A9">
        <w:rPr>
          <w:rFonts w:ascii="David" w:hAnsi="David" w:cs="David"/>
          <w:sz w:val="24"/>
          <w:szCs w:val="24"/>
          <w:u w:val="single"/>
          <w:rtl/>
        </w:rPr>
        <w:t>לא ידע, צפה ולא היה עליו לצפות ולדעת</w:t>
      </w:r>
      <w:r w:rsidR="001C72A1" w:rsidRPr="003E37A9">
        <w:rPr>
          <w:rFonts w:ascii="David" w:hAnsi="David" w:cs="David"/>
          <w:sz w:val="24"/>
          <w:szCs w:val="24"/>
          <w:rtl/>
        </w:rPr>
        <w:t xml:space="preserve"> שהמצב הביטחוני יתדרדר ומבצע צבאי יפתח. כמו כן, </w:t>
      </w:r>
      <w:r w:rsidR="001C72A1" w:rsidRPr="003E37A9">
        <w:rPr>
          <w:rFonts w:ascii="David" w:hAnsi="David" w:cs="David"/>
          <w:sz w:val="24"/>
          <w:szCs w:val="24"/>
          <w:u w:val="single"/>
          <w:rtl/>
        </w:rPr>
        <w:t>לא יכל למנוע</w:t>
      </w:r>
      <w:r w:rsidR="001C72A1" w:rsidRPr="003E37A9">
        <w:rPr>
          <w:rFonts w:ascii="David" w:hAnsi="David" w:cs="David"/>
          <w:sz w:val="24"/>
          <w:szCs w:val="24"/>
          <w:rtl/>
        </w:rPr>
        <w:t xml:space="preserve"> את המבצע. עוד יטען שהמבצע </w:t>
      </w:r>
      <w:r w:rsidR="001C72A1" w:rsidRPr="003E37A9">
        <w:rPr>
          <w:rFonts w:ascii="David" w:hAnsi="David" w:cs="David"/>
          <w:sz w:val="24"/>
          <w:szCs w:val="24"/>
          <w:u w:val="single"/>
          <w:rtl/>
        </w:rPr>
        <w:t>מסכל את מטרת החוזה</w:t>
      </w:r>
      <w:r w:rsidR="001C72A1" w:rsidRPr="003E37A9">
        <w:rPr>
          <w:rFonts w:ascii="David" w:hAnsi="David" w:cs="David"/>
          <w:sz w:val="24"/>
          <w:szCs w:val="24"/>
          <w:rtl/>
        </w:rPr>
        <w:t xml:space="preserve"> שכן יחס העולם כלפי ישראל יכול להשתנות עקב המבצע ואלכס עלול להיחשף לביקורת על ההרחבה. כתוצאה מכך, מכירותיו של אלכס עלולות לרדת בשל החרמת מוצריו</w:t>
      </w:r>
      <w:r w:rsidR="001C72A1" w:rsidRPr="003E37A9">
        <w:rPr>
          <w:rFonts w:ascii="David" w:hAnsi="David" w:cs="David"/>
          <w:sz w:val="24"/>
          <w:szCs w:val="24"/>
        </w:rPr>
        <w:t xml:space="preserve"> </w:t>
      </w:r>
      <w:r w:rsidR="001C72A1" w:rsidRPr="003E37A9">
        <w:rPr>
          <w:rFonts w:ascii="David" w:hAnsi="David" w:cs="David"/>
          <w:sz w:val="24"/>
          <w:szCs w:val="24"/>
          <w:rtl/>
        </w:rPr>
        <w:t xml:space="preserve">כך, לא ישיג את התוצאה הרצויה. וכן, מלחמה לא חלק </w:t>
      </w:r>
      <w:r w:rsidR="001C72A1" w:rsidRPr="003E37A9">
        <w:rPr>
          <w:rFonts w:ascii="David" w:hAnsi="David" w:cs="David"/>
          <w:sz w:val="24"/>
          <w:szCs w:val="24"/>
          <w:u w:val="single"/>
          <w:rtl/>
        </w:rPr>
        <w:t>מהסיכון המוטל עליו</w:t>
      </w:r>
      <w:r w:rsidR="001C72A1" w:rsidRPr="003E37A9">
        <w:rPr>
          <w:rFonts w:ascii="David" w:hAnsi="David" w:cs="David"/>
          <w:sz w:val="24"/>
          <w:szCs w:val="24"/>
          <w:rtl/>
        </w:rPr>
        <w:t xml:space="preserve"> שכן גר בחו"ל, לא צפה ולא היה עליו לצפות שיחל מבצע צבאי. רני יטען שמלחמה בישראל נחשבת לצפויה</w:t>
      </w:r>
      <w:r w:rsidR="001C72A1" w:rsidRPr="003E37A9">
        <w:rPr>
          <w:rStyle w:val="a6"/>
          <w:rFonts w:ascii="David" w:hAnsi="David" w:cs="David"/>
          <w:sz w:val="24"/>
          <w:szCs w:val="24"/>
          <w:rtl/>
        </w:rPr>
        <w:footnoteReference w:id="31"/>
      </w:r>
      <w:r w:rsidR="001C72A1" w:rsidRPr="003E37A9">
        <w:rPr>
          <w:rFonts w:ascii="David" w:hAnsi="David" w:cs="David"/>
          <w:sz w:val="24"/>
          <w:szCs w:val="24"/>
          <w:rtl/>
        </w:rPr>
        <w:t xml:space="preserve">, כך שאלכס וכל אדם סביר </w:t>
      </w:r>
      <w:r w:rsidR="001C72A1" w:rsidRPr="003E37A9">
        <w:rPr>
          <w:rFonts w:ascii="David" w:hAnsi="David" w:cs="David"/>
          <w:sz w:val="24"/>
          <w:szCs w:val="24"/>
          <w:u w:val="single"/>
          <w:rtl/>
        </w:rPr>
        <w:t>יכל והיה עליו לצפות</w:t>
      </w:r>
      <w:r w:rsidR="001C72A1" w:rsidRPr="003E37A9">
        <w:rPr>
          <w:rFonts w:ascii="David" w:hAnsi="David" w:cs="David"/>
          <w:sz w:val="24"/>
          <w:szCs w:val="24"/>
          <w:rtl/>
        </w:rPr>
        <w:t xml:space="preserve"> אפשרות זו, ולכן אלכס </w:t>
      </w:r>
      <w:r w:rsidR="001C72A1" w:rsidRPr="003E37A9">
        <w:rPr>
          <w:rFonts w:ascii="David" w:hAnsi="David" w:cs="David"/>
          <w:sz w:val="24"/>
          <w:szCs w:val="24"/>
          <w:u w:val="single"/>
          <w:rtl/>
        </w:rPr>
        <w:t>נושא הסיכון העדיף</w:t>
      </w:r>
      <w:r w:rsidR="001C72A1" w:rsidRPr="003E37A9">
        <w:rPr>
          <w:rStyle w:val="a6"/>
          <w:rFonts w:ascii="David" w:hAnsi="David" w:cs="David"/>
          <w:sz w:val="24"/>
          <w:szCs w:val="24"/>
          <w:u w:val="single"/>
          <w:rtl/>
        </w:rPr>
        <w:footnoteReference w:id="32"/>
      </w:r>
      <w:r w:rsidR="001C72A1" w:rsidRPr="003E37A9">
        <w:rPr>
          <w:rFonts w:ascii="David" w:hAnsi="David" w:cs="David"/>
          <w:sz w:val="24"/>
          <w:szCs w:val="24"/>
          <w:u w:val="single"/>
          <w:rtl/>
        </w:rPr>
        <w:t>.</w:t>
      </w:r>
      <w:r w:rsidR="001C72A1" w:rsidRPr="003E37A9">
        <w:rPr>
          <w:rFonts w:ascii="David" w:hAnsi="David" w:cs="David"/>
          <w:sz w:val="24"/>
          <w:szCs w:val="24"/>
          <w:rtl/>
        </w:rPr>
        <w:t xml:space="preserve"> אלכס יטען שיש לבחון את השפעת המבצע על היחסים החוזיים</w:t>
      </w:r>
      <w:r w:rsidR="001C72A1" w:rsidRPr="003E37A9">
        <w:rPr>
          <w:rStyle w:val="a6"/>
          <w:rFonts w:ascii="David" w:hAnsi="David" w:cs="David"/>
          <w:sz w:val="24"/>
          <w:szCs w:val="24"/>
          <w:rtl/>
        </w:rPr>
        <w:footnoteReference w:id="33"/>
      </w:r>
      <w:r w:rsidR="001C72A1" w:rsidRPr="003E37A9">
        <w:rPr>
          <w:rFonts w:ascii="David" w:hAnsi="David" w:cs="David"/>
          <w:sz w:val="24"/>
          <w:szCs w:val="24"/>
          <w:rtl/>
        </w:rPr>
        <w:t>. יתכן שמלחמה צפויה, אך קיימות לה השלכות: ביקורת על ההרחבה, עליית מחירים בישראל שתגרום לעליית מחיר ההרחבה ולקניות פחותות של אזרחי ישראל. עוד יטען שרני נוהג בחוסר תו"ל כשמתעקש להמשיך בקיום החוזה למרות המצב בישראל</w:t>
      </w:r>
      <w:r w:rsidR="001C72A1" w:rsidRPr="003E37A9">
        <w:rPr>
          <w:rStyle w:val="a6"/>
          <w:rFonts w:ascii="David" w:hAnsi="David" w:cs="David"/>
          <w:sz w:val="24"/>
          <w:szCs w:val="24"/>
          <w:rtl/>
        </w:rPr>
        <w:footnoteReference w:id="34"/>
      </w:r>
      <w:r w:rsidR="001C72A1" w:rsidRPr="003E37A9">
        <w:rPr>
          <w:rFonts w:ascii="David" w:hAnsi="David" w:cs="David"/>
          <w:sz w:val="24"/>
          <w:szCs w:val="24"/>
          <w:rtl/>
        </w:rPr>
        <w:t xml:space="preserve">. </w:t>
      </w:r>
      <w:r w:rsidR="008E0D05" w:rsidRPr="003E37A9">
        <w:rPr>
          <w:rFonts w:ascii="David" w:hAnsi="David" w:cs="David"/>
          <w:sz w:val="24"/>
          <w:szCs w:val="24"/>
          <w:rtl/>
        </w:rPr>
        <w:t xml:space="preserve">מנגד, רני יטען שאלכס נוהג בחוסר תו"ל כשמנסה להתחמק מהחוזה. </w:t>
      </w:r>
      <w:r w:rsidR="001C72A1" w:rsidRPr="003E37A9">
        <w:rPr>
          <w:rFonts w:ascii="David" w:hAnsi="David" w:cs="David"/>
          <w:sz w:val="24"/>
          <w:szCs w:val="24"/>
          <w:rtl/>
        </w:rPr>
        <w:t>אף זו, רני יטען שסיכול קיים כששני צדדים רוצים את קיום החוזה, אך זה נבצר מהם</w:t>
      </w:r>
      <w:r w:rsidR="001C72A1" w:rsidRPr="003E37A9">
        <w:rPr>
          <w:rStyle w:val="a6"/>
          <w:rFonts w:ascii="David" w:hAnsi="David" w:cs="David"/>
          <w:sz w:val="24"/>
          <w:szCs w:val="24"/>
          <w:rtl/>
        </w:rPr>
        <w:footnoteReference w:id="35"/>
      </w:r>
      <w:r w:rsidR="001C72A1" w:rsidRPr="003E37A9">
        <w:rPr>
          <w:rFonts w:ascii="David" w:hAnsi="David" w:cs="David"/>
          <w:sz w:val="24"/>
          <w:szCs w:val="24"/>
          <w:rtl/>
        </w:rPr>
        <w:t>-מצב זה אינו כזה. אלכס יטען שאם מתקיימים תנאי הפרה צפויה וסיכול בו זמנית, יחול דין הסיכול</w:t>
      </w:r>
      <w:r w:rsidR="001C72A1" w:rsidRPr="003E37A9">
        <w:rPr>
          <w:rStyle w:val="a6"/>
          <w:rFonts w:ascii="David" w:hAnsi="David" w:cs="David"/>
          <w:sz w:val="24"/>
          <w:szCs w:val="24"/>
          <w:rtl/>
        </w:rPr>
        <w:footnoteReference w:id="36"/>
      </w:r>
      <w:r w:rsidR="001C72A1" w:rsidRPr="003E37A9">
        <w:rPr>
          <w:rFonts w:ascii="David" w:hAnsi="David" w:cs="David"/>
          <w:sz w:val="24"/>
          <w:szCs w:val="24"/>
          <w:rtl/>
        </w:rPr>
        <w:t>. אם טענת הסיכול תתקבל, לא יוכל רני לבקש את אכיפת החוזה או פיצויים, אך יבקש השבה לפיה יקבל שיפוי מלא או חלקי על הוצאות והתחייבויות סבירות שהוציא לקיום החוזה לפי שיקול ביהמ"ש</w:t>
      </w:r>
      <w:r w:rsidR="001C72A1" w:rsidRPr="003E37A9">
        <w:rPr>
          <w:rStyle w:val="a6"/>
          <w:rFonts w:ascii="David" w:hAnsi="David" w:cs="David"/>
          <w:sz w:val="24"/>
          <w:szCs w:val="24"/>
          <w:rtl/>
        </w:rPr>
        <w:footnoteReference w:id="37"/>
      </w:r>
      <w:r w:rsidR="001C72A1" w:rsidRPr="003E37A9">
        <w:rPr>
          <w:rFonts w:ascii="David" w:hAnsi="David" w:cs="David"/>
          <w:sz w:val="24"/>
          <w:szCs w:val="24"/>
          <w:rtl/>
        </w:rPr>
        <w:t>, כולל שכר ראוי על העבודה שביצע</w:t>
      </w:r>
      <w:r w:rsidR="001C72A1" w:rsidRPr="003E37A9">
        <w:rPr>
          <w:rStyle w:val="a6"/>
          <w:rFonts w:ascii="David" w:hAnsi="David" w:cs="David"/>
          <w:sz w:val="24"/>
          <w:szCs w:val="24"/>
          <w:rtl/>
        </w:rPr>
        <w:footnoteReference w:id="38"/>
      </w:r>
      <w:r w:rsidR="001C72A1" w:rsidRPr="003E37A9">
        <w:rPr>
          <w:rFonts w:ascii="David" w:hAnsi="David" w:cs="David"/>
          <w:sz w:val="24"/>
          <w:szCs w:val="24"/>
          <w:rtl/>
        </w:rPr>
        <w:t xml:space="preserve">. תשובתי לשאלה 1 </w:t>
      </w:r>
      <w:r w:rsidR="001C72A1" w:rsidRPr="003E37A9">
        <w:rPr>
          <w:rFonts w:ascii="David" w:hAnsi="David" w:cs="David"/>
          <w:sz w:val="24"/>
          <w:szCs w:val="24"/>
          <w:u w:val="single"/>
          <w:rtl/>
        </w:rPr>
        <w:t>לא תשתנה</w:t>
      </w:r>
      <w:r w:rsidR="001C72A1" w:rsidRPr="003E37A9">
        <w:rPr>
          <w:rFonts w:ascii="David" w:hAnsi="David" w:cs="David"/>
          <w:sz w:val="24"/>
          <w:szCs w:val="24"/>
          <w:rtl/>
        </w:rPr>
        <w:t xml:space="preserve"> שכן מלחמה לא מסכלת חוזה.</w:t>
      </w:r>
    </w:p>
    <w:sectPr w:rsidR="00A279F4" w:rsidRPr="003E37A9" w:rsidSect="003E37A9">
      <w:pgSz w:w="11906" w:h="16838" w:code="9"/>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590" w:rsidRDefault="00DC1590" w:rsidP="00451372">
      <w:pPr>
        <w:spacing w:after="0" w:line="240" w:lineRule="auto"/>
      </w:pPr>
      <w:r>
        <w:separator/>
      </w:r>
    </w:p>
  </w:endnote>
  <w:endnote w:type="continuationSeparator" w:id="0">
    <w:p w:rsidR="00DC1590" w:rsidRDefault="00DC1590" w:rsidP="0045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590" w:rsidRDefault="00DC1590" w:rsidP="00451372">
      <w:pPr>
        <w:spacing w:after="0" w:line="240" w:lineRule="auto"/>
      </w:pPr>
      <w:r>
        <w:separator/>
      </w:r>
    </w:p>
  </w:footnote>
  <w:footnote w:type="continuationSeparator" w:id="0">
    <w:p w:rsidR="00DC1590" w:rsidRDefault="00DC1590" w:rsidP="00451372">
      <w:pPr>
        <w:spacing w:after="0" w:line="240" w:lineRule="auto"/>
      </w:pPr>
      <w:r>
        <w:continuationSeparator/>
      </w:r>
    </w:p>
  </w:footnote>
  <w:footnote w:id="1">
    <w:p w:rsidR="00451372" w:rsidRPr="001C72A1" w:rsidRDefault="00451372" w:rsidP="00451372">
      <w:pPr>
        <w:pStyle w:val="a4"/>
        <w:jc w:val="both"/>
        <w:rPr>
          <w:rFonts w:ascii="David" w:hAnsi="David" w:cs="David"/>
        </w:rPr>
      </w:pPr>
      <w:r w:rsidRPr="001C72A1">
        <w:rPr>
          <w:rStyle w:val="a6"/>
          <w:rFonts w:ascii="David" w:hAnsi="David" w:cs="David"/>
        </w:rPr>
        <w:footnoteRef/>
      </w:r>
      <w:r w:rsidRPr="001C72A1">
        <w:rPr>
          <w:rFonts w:ascii="David" w:hAnsi="David" w:cs="David"/>
          <w:rtl/>
        </w:rPr>
        <w:t xml:space="preserve"> סעיף 17 לחוק החוזים (תרופות בשל הפרת חוזה), התשל"א-1970 [להלן: חוק התרופות או החוק]</w:t>
      </w:r>
    </w:p>
  </w:footnote>
  <w:footnote w:id="2">
    <w:p w:rsidR="00451372" w:rsidRPr="001C72A1" w:rsidRDefault="00451372">
      <w:pPr>
        <w:pStyle w:val="a4"/>
        <w:rPr>
          <w:rFonts w:ascii="David" w:hAnsi="David" w:cs="David"/>
        </w:rPr>
      </w:pPr>
      <w:r w:rsidRPr="001C72A1">
        <w:rPr>
          <w:rStyle w:val="a6"/>
          <w:rFonts w:ascii="David" w:hAnsi="David" w:cs="David"/>
        </w:rPr>
        <w:footnoteRef/>
      </w:r>
      <w:r w:rsidRPr="001C72A1">
        <w:rPr>
          <w:rFonts w:ascii="David" w:hAnsi="David" w:cs="David"/>
          <w:rtl/>
        </w:rPr>
        <w:t xml:space="preserve"> גבריאלה שלו ויהודה אדר </w:t>
      </w:r>
      <w:r w:rsidRPr="001C72A1">
        <w:rPr>
          <w:rFonts w:ascii="David" w:hAnsi="David" w:cs="David"/>
          <w:b/>
          <w:bCs/>
          <w:rtl/>
        </w:rPr>
        <w:t xml:space="preserve">דיני חוזים- התרופות: לקראת קודיפיקציה של המשפט האזרחי </w:t>
      </w:r>
      <w:r w:rsidRPr="001C72A1">
        <w:rPr>
          <w:rFonts w:ascii="David" w:hAnsi="David" w:cs="David"/>
          <w:rtl/>
        </w:rPr>
        <w:t>131 (2009) (להלן: שלו ואדר)</w:t>
      </w:r>
    </w:p>
  </w:footnote>
  <w:footnote w:id="3">
    <w:p w:rsidR="00451372" w:rsidRPr="001C72A1" w:rsidRDefault="00451372">
      <w:pPr>
        <w:pStyle w:val="a4"/>
        <w:rPr>
          <w:rFonts w:ascii="David" w:hAnsi="David" w:cs="David"/>
        </w:rPr>
      </w:pPr>
      <w:r w:rsidRPr="001C72A1">
        <w:rPr>
          <w:rStyle w:val="a6"/>
          <w:rFonts w:ascii="David" w:hAnsi="David" w:cs="David"/>
        </w:rPr>
        <w:footnoteRef/>
      </w:r>
      <w:r w:rsidRPr="001C72A1">
        <w:rPr>
          <w:rFonts w:ascii="David" w:hAnsi="David" w:cs="David"/>
          <w:rtl/>
        </w:rPr>
        <w:t xml:space="preserve"> שם, בעמ' 135</w:t>
      </w:r>
    </w:p>
  </w:footnote>
  <w:footnote w:id="4">
    <w:p w:rsidR="00451372" w:rsidRPr="001C72A1" w:rsidRDefault="00451372">
      <w:pPr>
        <w:pStyle w:val="a4"/>
        <w:rPr>
          <w:rFonts w:ascii="David" w:hAnsi="David" w:cs="David"/>
        </w:rPr>
      </w:pPr>
      <w:r w:rsidRPr="001C72A1">
        <w:rPr>
          <w:rStyle w:val="a6"/>
          <w:rFonts w:ascii="David" w:hAnsi="David" w:cs="David"/>
        </w:rPr>
        <w:footnoteRef/>
      </w:r>
      <w:r w:rsidRPr="001C72A1">
        <w:rPr>
          <w:rFonts w:ascii="David" w:hAnsi="David" w:cs="David"/>
          <w:rtl/>
        </w:rPr>
        <w:t xml:space="preserve"> שם, בעמ' 141 ו-144</w:t>
      </w:r>
    </w:p>
  </w:footnote>
  <w:footnote w:id="5">
    <w:p w:rsidR="008908D0" w:rsidRPr="001C72A1" w:rsidRDefault="008908D0">
      <w:pPr>
        <w:pStyle w:val="a4"/>
        <w:rPr>
          <w:rFonts w:ascii="David" w:hAnsi="David" w:cs="David"/>
        </w:rPr>
      </w:pPr>
      <w:r w:rsidRPr="001C72A1">
        <w:rPr>
          <w:rStyle w:val="a6"/>
          <w:rFonts w:ascii="David" w:hAnsi="David" w:cs="David"/>
        </w:rPr>
        <w:footnoteRef/>
      </w:r>
      <w:r w:rsidRPr="001C72A1">
        <w:rPr>
          <w:rFonts w:ascii="David" w:hAnsi="David" w:cs="David"/>
          <w:rtl/>
        </w:rPr>
        <w:t xml:space="preserve"> משה גלברד "הפרה צפויה של חיוב בהצעת הקודקס האזרחי החדש" </w:t>
      </w:r>
      <w:r w:rsidRPr="001C72A1">
        <w:rPr>
          <w:rFonts w:ascii="David" w:hAnsi="David" w:cs="David"/>
          <w:b/>
          <w:bCs/>
          <w:rtl/>
        </w:rPr>
        <w:t xml:space="preserve">מאזני משפט </w:t>
      </w:r>
      <w:r w:rsidRPr="001C72A1">
        <w:rPr>
          <w:rFonts w:ascii="David" w:hAnsi="David" w:cs="David"/>
          <w:rtl/>
        </w:rPr>
        <w:t>ה 229, 239 (תשס"ו)</w:t>
      </w:r>
    </w:p>
  </w:footnote>
  <w:footnote w:id="6">
    <w:p w:rsidR="008908D0" w:rsidRPr="001C72A1" w:rsidRDefault="008908D0">
      <w:pPr>
        <w:pStyle w:val="a4"/>
        <w:rPr>
          <w:rFonts w:ascii="David" w:hAnsi="David" w:cs="David"/>
        </w:rPr>
      </w:pPr>
      <w:r w:rsidRPr="001C72A1">
        <w:rPr>
          <w:rStyle w:val="a6"/>
          <w:rFonts w:ascii="David" w:hAnsi="David" w:cs="David"/>
        </w:rPr>
        <w:footnoteRef/>
      </w:r>
      <w:r w:rsidRPr="001C72A1">
        <w:rPr>
          <w:rFonts w:ascii="David" w:hAnsi="David" w:cs="David"/>
          <w:rtl/>
        </w:rPr>
        <w:t xml:space="preserve"> שלו ואדר, לעיל ה"ש 2, 150-151</w:t>
      </w:r>
    </w:p>
  </w:footnote>
  <w:footnote w:id="7">
    <w:p w:rsidR="008908D0" w:rsidRPr="001C72A1" w:rsidRDefault="008908D0">
      <w:pPr>
        <w:pStyle w:val="a4"/>
        <w:rPr>
          <w:rFonts w:ascii="David" w:hAnsi="David" w:cs="David"/>
        </w:rPr>
      </w:pPr>
      <w:r w:rsidRPr="001C72A1">
        <w:rPr>
          <w:rStyle w:val="a6"/>
          <w:rFonts w:ascii="David" w:hAnsi="David" w:cs="David"/>
        </w:rPr>
        <w:footnoteRef/>
      </w:r>
      <w:r w:rsidRPr="001C72A1">
        <w:rPr>
          <w:rFonts w:ascii="David" w:hAnsi="David" w:cs="David"/>
          <w:rtl/>
        </w:rPr>
        <w:t xml:space="preserve"> שם, 152</w:t>
      </w:r>
    </w:p>
  </w:footnote>
  <w:footnote w:id="8">
    <w:p w:rsidR="008908D0" w:rsidRPr="001C72A1" w:rsidRDefault="008908D0">
      <w:pPr>
        <w:pStyle w:val="a4"/>
        <w:rPr>
          <w:rFonts w:ascii="David" w:hAnsi="David" w:cs="David"/>
        </w:rPr>
      </w:pPr>
      <w:r w:rsidRPr="001C72A1">
        <w:rPr>
          <w:rStyle w:val="a6"/>
          <w:rFonts w:ascii="David" w:hAnsi="David" w:cs="David"/>
        </w:rPr>
        <w:footnoteRef/>
      </w:r>
      <w:r w:rsidRPr="001C72A1">
        <w:rPr>
          <w:rFonts w:ascii="David" w:hAnsi="David" w:cs="David"/>
          <w:rtl/>
        </w:rPr>
        <w:t xml:space="preserve"> שם, בעמ' 295</w:t>
      </w:r>
    </w:p>
  </w:footnote>
  <w:footnote w:id="9">
    <w:p w:rsidR="008908D0" w:rsidRPr="001C72A1" w:rsidRDefault="008908D0">
      <w:pPr>
        <w:pStyle w:val="a4"/>
        <w:rPr>
          <w:rFonts w:ascii="David" w:hAnsi="David" w:cs="David"/>
        </w:rPr>
      </w:pPr>
      <w:r w:rsidRPr="001C72A1">
        <w:rPr>
          <w:rStyle w:val="a6"/>
          <w:rFonts w:ascii="David" w:hAnsi="David" w:cs="David"/>
        </w:rPr>
        <w:footnoteRef/>
      </w:r>
      <w:r w:rsidRPr="001C72A1">
        <w:rPr>
          <w:rFonts w:ascii="David" w:hAnsi="David" w:cs="David"/>
          <w:rtl/>
        </w:rPr>
        <w:t xml:space="preserve"> שם, 336-337</w:t>
      </w:r>
    </w:p>
  </w:footnote>
  <w:footnote w:id="10">
    <w:p w:rsidR="008908D0" w:rsidRPr="001C72A1" w:rsidRDefault="008908D0">
      <w:pPr>
        <w:pStyle w:val="a4"/>
        <w:rPr>
          <w:rFonts w:ascii="David" w:hAnsi="David" w:cs="David"/>
        </w:rPr>
      </w:pPr>
      <w:r w:rsidRPr="001C72A1">
        <w:rPr>
          <w:rStyle w:val="a6"/>
          <w:rFonts w:ascii="David" w:hAnsi="David" w:cs="David"/>
        </w:rPr>
        <w:footnoteRef/>
      </w:r>
      <w:r w:rsidRPr="001C72A1">
        <w:rPr>
          <w:rFonts w:ascii="David" w:hAnsi="David" w:cs="David"/>
          <w:rtl/>
        </w:rPr>
        <w:t xml:space="preserve"> ע"א 355/80 </w:t>
      </w:r>
      <w:proofErr w:type="spellStart"/>
      <w:r w:rsidRPr="001C72A1">
        <w:rPr>
          <w:rFonts w:ascii="David" w:hAnsi="David" w:cs="David"/>
          <w:b/>
          <w:bCs/>
          <w:rtl/>
        </w:rPr>
        <w:t>אנסימוב</w:t>
      </w:r>
      <w:proofErr w:type="spellEnd"/>
      <w:r w:rsidRPr="001C72A1">
        <w:rPr>
          <w:rFonts w:ascii="David" w:hAnsi="David" w:cs="David"/>
          <w:b/>
          <w:bCs/>
          <w:rtl/>
        </w:rPr>
        <w:t xml:space="preserve"> נ' מלון בת שבע</w:t>
      </w:r>
      <w:r w:rsidRPr="001C72A1">
        <w:rPr>
          <w:rFonts w:ascii="David" w:hAnsi="David" w:cs="David"/>
          <w:rtl/>
        </w:rPr>
        <w:t>, פ"ד לה(2) 800, 806-607 (1981).</w:t>
      </w:r>
    </w:p>
  </w:footnote>
  <w:footnote w:id="11">
    <w:p w:rsidR="008908D0" w:rsidRPr="001C72A1" w:rsidRDefault="008908D0">
      <w:pPr>
        <w:pStyle w:val="a4"/>
        <w:rPr>
          <w:rFonts w:ascii="David" w:hAnsi="David" w:cs="David"/>
        </w:rPr>
      </w:pPr>
      <w:r w:rsidRPr="001C72A1">
        <w:rPr>
          <w:rStyle w:val="a6"/>
          <w:rFonts w:ascii="David" w:hAnsi="David" w:cs="David"/>
        </w:rPr>
        <w:footnoteRef/>
      </w:r>
      <w:r w:rsidRPr="001C72A1">
        <w:rPr>
          <w:rFonts w:ascii="David" w:hAnsi="David" w:cs="David"/>
          <w:rtl/>
        </w:rPr>
        <w:t xml:space="preserve"> ע"א 3666/90 </w:t>
      </w:r>
      <w:r w:rsidRPr="001C72A1">
        <w:rPr>
          <w:rFonts w:ascii="David" w:hAnsi="David" w:cs="David"/>
          <w:b/>
          <w:bCs/>
          <w:rtl/>
        </w:rPr>
        <w:t xml:space="preserve">עיריית נתניה נ' מלון צוקים בע"מ, </w:t>
      </w:r>
      <w:r w:rsidRPr="001C72A1">
        <w:rPr>
          <w:rFonts w:ascii="David" w:hAnsi="David" w:cs="David"/>
          <w:rtl/>
        </w:rPr>
        <w:t>פ"ד מ(4) 45, 56 (1992)</w:t>
      </w:r>
    </w:p>
  </w:footnote>
  <w:footnote w:id="12">
    <w:p w:rsidR="008908D0" w:rsidRPr="001C72A1" w:rsidRDefault="008908D0">
      <w:pPr>
        <w:pStyle w:val="a4"/>
        <w:rPr>
          <w:rFonts w:ascii="David" w:hAnsi="David" w:cs="David"/>
        </w:rPr>
      </w:pPr>
      <w:r w:rsidRPr="001C72A1">
        <w:rPr>
          <w:rStyle w:val="a6"/>
          <w:rFonts w:ascii="David" w:hAnsi="David" w:cs="David"/>
        </w:rPr>
        <w:footnoteRef/>
      </w:r>
      <w:r w:rsidRPr="001C72A1">
        <w:rPr>
          <w:rFonts w:ascii="David" w:hAnsi="David" w:cs="David"/>
          <w:rtl/>
        </w:rPr>
        <w:t xml:space="preserve"> שם, בעמ' 75-76</w:t>
      </w:r>
    </w:p>
  </w:footnote>
  <w:footnote w:id="13">
    <w:p w:rsidR="00394DFD" w:rsidRPr="001C72A1" w:rsidRDefault="00394DFD">
      <w:pPr>
        <w:pStyle w:val="a4"/>
        <w:rPr>
          <w:rFonts w:ascii="David" w:hAnsi="David" w:cs="David"/>
        </w:rPr>
      </w:pPr>
      <w:r w:rsidRPr="001C72A1">
        <w:rPr>
          <w:rStyle w:val="a6"/>
          <w:rFonts w:ascii="David" w:hAnsi="David" w:cs="David"/>
        </w:rPr>
        <w:footnoteRef/>
      </w:r>
      <w:r w:rsidRPr="001C72A1">
        <w:rPr>
          <w:rFonts w:ascii="David" w:hAnsi="David" w:cs="David"/>
          <w:rtl/>
        </w:rPr>
        <w:t xml:space="preserve"> שם, בעמ' 80</w:t>
      </w:r>
    </w:p>
  </w:footnote>
  <w:footnote w:id="14">
    <w:p w:rsidR="00394DFD" w:rsidRPr="001C72A1" w:rsidRDefault="00394DFD">
      <w:pPr>
        <w:pStyle w:val="a4"/>
        <w:rPr>
          <w:rFonts w:ascii="David" w:hAnsi="David" w:cs="David"/>
        </w:rPr>
      </w:pPr>
      <w:r w:rsidRPr="001C72A1">
        <w:rPr>
          <w:rStyle w:val="a6"/>
          <w:rFonts w:ascii="David" w:hAnsi="David" w:cs="David"/>
        </w:rPr>
        <w:footnoteRef/>
      </w:r>
      <w:r w:rsidRPr="001C72A1">
        <w:rPr>
          <w:rFonts w:ascii="David" w:hAnsi="David" w:cs="David"/>
          <w:rtl/>
        </w:rPr>
        <w:t xml:space="preserve"> שם, בעמ' 56-57</w:t>
      </w:r>
    </w:p>
  </w:footnote>
  <w:footnote w:id="15">
    <w:p w:rsidR="00394DFD" w:rsidRPr="001C72A1" w:rsidRDefault="00394DFD">
      <w:pPr>
        <w:pStyle w:val="a4"/>
        <w:rPr>
          <w:rFonts w:ascii="David" w:hAnsi="David" w:cs="David"/>
        </w:rPr>
      </w:pPr>
      <w:r w:rsidRPr="001C72A1">
        <w:rPr>
          <w:rStyle w:val="a6"/>
          <w:rFonts w:ascii="David" w:hAnsi="David" w:cs="David"/>
        </w:rPr>
        <w:footnoteRef/>
      </w:r>
      <w:r w:rsidRPr="001C72A1">
        <w:rPr>
          <w:rFonts w:ascii="David" w:hAnsi="David" w:cs="David"/>
          <w:rtl/>
        </w:rPr>
        <w:t xml:space="preserve"> שם, עמ' 58</w:t>
      </w:r>
    </w:p>
  </w:footnote>
  <w:footnote w:id="16">
    <w:p w:rsidR="00394DFD" w:rsidRPr="001C72A1" w:rsidRDefault="00394DFD">
      <w:pPr>
        <w:pStyle w:val="a4"/>
        <w:rPr>
          <w:rFonts w:ascii="David" w:hAnsi="David" w:cs="David"/>
        </w:rPr>
      </w:pPr>
      <w:r w:rsidRPr="001C72A1">
        <w:rPr>
          <w:rStyle w:val="a6"/>
          <w:rFonts w:ascii="David" w:hAnsi="David" w:cs="David"/>
        </w:rPr>
        <w:footnoteRef/>
      </w:r>
      <w:r w:rsidRPr="001C72A1">
        <w:rPr>
          <w:rFonts w:ascii="David" w:hAnsi="David" w:cs="David"/>
          <w:rtl/>
        </w:rPr>
        <w:t xml:space="preserve"> שם, בעמ' 56</w:t>
      </w:r>
    </w:p>
  </w:footnote>
  <w:footnote w:id="17">
    <w:p w:rsidR="00394DFD" w:rsidRPr="001C72A1" w:rsidRDefault="00394DFD">
      <w:pPr>
        <w:pStyle w:val="a4"/>
        <w:rPr>
          <w:rFonts w:ascii="David" w:hAnsi="David" w:cs="David"/>
        </w:rPr>
      </w:pPr>
      <w:r w:rsidRPr="001C72A1">
        <w:rPr>
          <w:rStyle w:val="a6"/>
          <w:rFonts w:ascii="David" w:hAnsi="David" w:cs="David"/>
        </w:rPr>
        <w:footnoteRef/>
      </w:r>
      <w:r w:rsidRPr="001C72A1">
        <w:rPr>
          <w:rFonts w:ascii="David" w:hAnsi="David" w:cs="David"/>
          <w:rtl/>
        </w:rPr>
        <w:t xml:space="preserve"> שלו ואדר, לעיל ה"ש 2, 303-304</w:t>
      </w:r>
    </w:p>
  </w:footnote>
  <w:footnote w:id="18">
    <w:p w:rsidR="001C72A1" w:rsidRPr="001C72A1" w:rsidRDefault="001C72A1">
      <w:pPr>
        <w:pStyle w:val="a4"/>
        <w:rPr>
          <w:rFonts w:ascii="David" w:hAnsi="David" w:cs="David"/>
        </w:rPr>
      </w:pPr>
      <w:r w:rsidRPr="001C72A1">
        <w:rPr>
          <w:rStyle w:val="a6"/>
          <w:rFonts w:ascii="David" w:hAnsi="David" w:cs="David"/>
        </w:rPr>
        <w:footnoteRef/>
      </w:r>
      <w:r w:rsidRPr="001C72A1">
        <w:rPr>
          <w:rFonts w:ascii="David" w:hAnsi="David" w:cs="David"/>
          <w:rtl/>
        </w:rPr>
        <w:t xml:space="preserve"> שם, בעמ' 358</w:t>
      </w:r>
    </w:p>
  </w:footnote>
  <w:footnote w:id="19">
    <w:p w:rsidR="001C72A1" w:rsidRPr="001C72A1" w:rsidRDefault="001C72A1">
      <w:pPr>
        <w:pStyle w:val="a4"/>
        <w:rPr>
          <w:rFonts w:ascii="David" w:hAnsi="David" w:cs="David"/>
        </w:rPr>
      </w:pPr>
      <w:r w:rsidRPr="001C72A1">
        <w:rPr>
          <w:rStyle w:val="a6"/>
          <w:rFonts w:ascii="David" w:hAnsi="David" w:cs="David"/>
        </w:rPr>
        <w:footnoteRef/>
      </w:r>
      <w:r w:rsidRPr="001C72A1">
        <w:rPr>
          <w:rFonts w:ascii="David" w:hAnsi="David" w:cs="David"/>
          <w:rtl/>
        </w:rPr>
        <w:t xml:space="preserve"> שם, בעמ' 161</w:t>
      </w:r>
    </w:p>
  </w:footnote>
  <w:footnote w:id="20">
    <w:p w:rsidR="001C72A1" w:rsidRPr="001C72A1" w:rsidRDefault="001C72A1" w:rsidP="001C72A1">
      <w:pPr>
        <w:pStyle w:val="a4"/>
        <w:rPr>
          <w:rFonts w:ascii="David" w:hAnsi="David" w:cs="David"/>
        </w:rPr>
      </w:pPr>
      <w:r w:rsidRPr="001C72A1">
        <w:rPr>
          <w:rStyle w:val="a6"/>
          <w:rFonts w:ascii="David" w:hAnsi="David" w:cs="David"/>
        </w:rPr>
        <w:footnoteRef/>
      </w:r>
      <w:r w:rsidRPr="001C72A1">
        <w:rPr>
          <w:rFonts w:ascii="David" w:hAnsi="David" w:cs="David"/>
          <w:rtl/>
        </w:rPr>
        <w:t xml:space="preserve"> שם, בעמ' 375</w:t>
      </w:r>
    </w:p>
  </w:footnote>
  <w:footnote w:id="21">
    <w:p w:rsidR="001C72A1" w:rsidRPr="001C72A1" w:rsidRDefault="001C72A1">
      <w:pPr>
        <w:pStyle w:val="a4"/>
        <w:rPr>
          <w:rFonts w:ascii="David" w:hAnsi="David" w:cs="David"/>
        </w:rPr>
      </w:pPr>
      <w:r w:rsidRPr="001C72A1">
        <w:rPr>
          <w:rStyle w:val="a6"/>
          <w:rFonts w:ascii="David" w:hAnsi="David" w:cs="David"/>
        </w:rPr>
        <w:footnoteRef/>
      </w:r>
      <w:r w:rsidRPr="001C72A1">
        <w:rPr>
          <w:rFonts w:ascii="David" w:hAnsi="David" w:cs="David"/>
          <w:rtl/>
        </w:rPr>
        <w:t xml:space="preserve"> ע"א 3912/90 </w:t>
      </w:r>
      <w:r w:rsidRPr="001C72A1">
        <w:rPr>
          <w:rFonts w:ascii="David" w:hAnsi="David" w:cs="David"/>
          <w:b/>
          <w:bCs/>
        </w:rPr>
        <w:t>EXIMIN</w:t>
      </w:r>
      <w:r w:rsidRPr="001C72A1">
        <w:rPr>
          <w:rFonts w:ascii="David" w:hAnsi="David" w:cs="David"/>
          <w:b/>
          <w:bCs/>
          <w:rtl/>
        </w:rPr>
        <w:t xml:space="preserve"> נ' טקסטיל, </w:t>
      </w:r>
      <w:r w:rsidRPr="001C72A1">
        <w:rPr>
          <w:rFonts w:ascii="David" w:hAnsi="David" w:cs="David"/>
          <w:rtl/>
        </w:rPr>
        <w:t xml:space="preserve">פ"ד </w:t>
      </w:r>
      <w:proofErr w:type="spellStart"/>
      <w:r w:rsidRPr="001C72A1">
        <w:rPr>
          <w:rFonts w:ascii="David" w:hAnsi="David" w:cs="David"/>
          <w:rtl/>
        </w:rPr>
        <w:t>מז</w:t>
      </w:r>
      <w:proofErr w:type="spellEnd"/>
      <w:r w:rsidRPr="001C72A1">
        <w:rPr>
          <w:rFonts w:ascii="David" w:hAnsi="David" w:cs="David"/>
          <w:rtl/>
        </w:rPr>
        <w:t>(4) 64, 88 (1993)</w:t>
      </w:r>
    </w:p>
  </w:footnote>
  <w:footnote w:id="22">
    <w:p w:rsidR="001C72A1" w:rsidRPr="001C72A1" w:rsidRDefault="001C72A1">
      <w:pPr>
        <w:pStyle w:val="a4"/>
        <w:rPr>
          <w:rFonts w:ascii="David" w:hAnsi="David" w:cs="David"/>
        </w:rPr>
      </w:pPr>
      <w:r w:rsidRPr="001C72A1">
        <w:rPr>
          <w:rStyle w:val="a6"/>
          <w:rFonts w:ascii="David" w:hAnsi="David" w:cs="David"/>
        </w:rPr>
        <w:footnoteRef/>
      </w:r>
      <w:r w:rsidRPr="001C72A1">
        <w:rPr>
          <w:rFonts w:ascii="David" w:hAnsi="David" w:cs="David"/>
          <w:rtl/>
        </w:rPr>
        <w:t xml:space="preserve"> שלו ואדר, לעיל ה"ש 2, 356</w:t>
      </w:r>
    </w:p>
  </w:footnote>
  <w:footnote w:id="23">
    <w:p w:rsidR="001C72A1" w:rsidRPr="001C72A1" w:rsidRDefault="001C72A1">
      <w:pPr>
        <w:pStyle w:val="a4"/>
        <w:rPr>
          <w:rFonts w:ascii="David" w:hAnsi="David" w:cs="David"/>
        </w:rPr>
      </w:pPr>
      <w:r w:rsidRPr="001C72A1">
        <w:rPr>
          <w:rStyle w:val="a6"/>
          <w:rFonts w:ascii="David" w:hAnsi="David" w:cs="David"/>
        </w:rPr>
        <w:footnoteRef/>
      </w:r>
      <w:r w:rsidRPr="001C72A1">
        <w:rPr>
          <w:rFonts w:ascii="David" w:hAnsi="David" w:cs="David"/>
          <w:rtl/>
        </w:rPr>
        <w:t xml:space="preserve"> ע"א 195/85 </w:t>
      </w:r>
      <w:r w:rsidRPr="001C72A1">
        <w:rPr>
          <w:rFonts w:ascii="David" w:hAnsi="David" w:cs="David"/>
          <w:b/>
          <w:bCs/>
          <w:rtl/>
        </w:rPr>
        <w:t xml:space="preserve">בנק איגוד נ' </w:t>
      </w:r>
      <w:proofErr w:type="spellStart"/>
      <w:r w:rsidRPr="001C72A1">
        <w:rPr>
          <w:rFonts w:ascii="David" w:hAnsi="David" w:cs="David"/>
          <w:b/>
          <w:bCs/>
          <w:rtl/>
        </w:rPr>
        <w:t>סוראקי</w:t>
      </w:r>
      <w:proofErr w:type="spellEnd"/>
      <w:r w:rsidRPr="001C72A1">
        <w:rPr>
          <w:rFonts w:ascii="David" w:hAnsi="David" w:cs="David"/>
          <w:b/>
          <w:bCs/>
          <w:rtl/>
        </w:rPr>
        <w:t xml:space="preserve">, </w:t>
      </w:r>
      <w:r w:rsidRPr="001C72A1">
        <w:rPr>
          <w:rFonts w:ascii="David" w:hAnsi="David" w:cs="David"/>
          <w:rtl/>
        </w:rPr>
        <w:t xml:space="preserve">פ"ד </w:t>
      </w:r>
      <w:proofErr w:type="spellStart"/>
      <w:r w:rsidRPr="001C72A1">
        <w:rPr>
          <w:rFonts w:ascii="David" w:hAnsi="David" w:cs="David"/>
          <w:rtl/>
        </w:rPr>
        <w:t>מב</w:t>
      </w:r>
      <w:proofErr w:type="spellEnd"/>
      <w:r w:rsidRPr="001C72A1">
        <w:rPr>
          <w:rFonts w:ascii="David" w:hAnsi="David" w:cs="David"/>
          <w:rtl/>
        </w:rPr>
        <w:t>(4) 811, 830 (1989)</w:t>
      </w:r>
    </w:p>
  </w:footnote>
  <w:footnote w:id="24">
    <w:p w:rsidR="001C72A1" w:rsidRDefault="001C72A1">
      <w:pPr>
        <w:pStyle w:val="a4"/>
      </w:pPr>
      <w:r w:rsidRPr="001C72A1">
        <w:rPr>
          <w:rStyle w:val="a6"/>
          <w:rFonts w:ascii="David" w:hAnsi="David" w:cs="David"/>
        </w:rPr>
        <w:footnoteRef/>
      </w:r>
      <w:r w:rsidRPr="001C72A1">
        <w:rPr>
          <w:rFonts w:ascii="David" w:hAnsi="David" w:cs="David"/>
          <w:rtl/>
        </w:rPr>
        <w:t xml:space="preserve"> שלו ואדר, לעיל ה"ש 2, 150-151</w:t>
      </w:r>
    </w:p>
  </w:footnote>
  <w:footnote w:id="25">
    <w:p w:rsidR="001C72A1" w:rsidRPr="001C72A1" w:rsidRDefault="001C72A1">
      <w:pPr>
        <w:pStyle w:val="a4"/>
        <w:rPr>
          <w:rFonts w:ascii="David" w:hAnsi="David" w:cs="David"/>
        </w:rPr>
      </w:pPr>
      <w:r w:rsidRPr="001C72A1">
        <w:rPr>
          <w:rStyle w:val="a6"/>
          <w:rFonts w:ascii="David" w:hAnsi="David" w:cs="David"/>
        </w:rPr>
        <w:footnoteRef/>
      </w:r>
      <w:r w:rsidRPr="001C72A1">
        <w:rPr>
          <w:rFonts w:ascii="David" w:hAnsi="David" w:cs="David"/>
          <w:rtl/>
        </w:rPr>
        <w:t xml:space="preserve"> סעיף 15(</w:t>
      </w:r>
      <w:proofErr w:type="spellStart"/>
      <w:r w:rsidRPr="001C72A1">
        <w:rPr>
          <w:rFonts w:ascii="David" w:hAnsi="David" w:cs="David"/>
          <w:rtl/>
        </w:rPr>
        <w:t>א+ב</w:t>
      </w:r>
      <w:proofErr w:type="spellEnd"/>
      <w:r w:rsidRPr="001C72A1">
        <w:rPr>
          <w:rFonts w:ascii="David" w:hAnsi="David" w:cs="David"/>
          <w:rtl/>
        </w:rPr>
        <w:t>) לחוק התרופות</w:t>
      </w:r>
    </w:p>
  </w:footnote>
  <w:footnote w:id="26">
    <w:p w:rsidR="001C72A1" w:rsidRPr="001C72A1" w:rsidRDefault="001C72A1">
      <w:pPr>
        <w:pStyle w:val="a4"/>
        <w:rPr>
          <w:rFonts w:ascii="David" w:hAnsi="David" w:cs="David"/>
        </w:rPr>
      </w:pPr>
      <w:r w:rsidRPr="001C72A1">
        <w:rPr>
          <w:rStyle w:val="a6"/>
          <w:rFonts w:ascii="David" w:hAnsi="David" w:cs="David"/>
        </w:rPr>
        <w:footnoteRef/>
      </w:r>
      <w:r w:rsidRPr="001C72A1">
        <w:rPr>
          <w:rFonts w:ascii="David" w:hAnsi="David" w:cs="David"/>
          <w:rtl/>
        </w:rPr>
        <w:t xml:space="preserve"> שלו ואדר, לעיל ה"ש 2, 522</w:t>
      </w:r>
    </w:p>
  </w:footnote>
  <w:footnote w:id="27">
    <w:p w:rsidR="001C72A1" w:rsidRPr="001C72A1" w:rsidRDefault="001C72A1">
      <w:pPr>
        <w:pStyle w:val="a4"/>
        <w:rPr>
          <w:rFonts w:ascii="David" w:hAnsi="David" w:cs="David"/>
        </w:rPr>
      </w:pPr>
      <w:r w:rsidRPr="001C72A1">
        <w:rPr>
          <w:rStyle w:val="a6"/>
          <w:rFonts w:ascii="David" w:hAnsi="David" w:cs="David"/>
        </w:rPr>
        <w:footnoteRef/>
      </w:r>
      <w:r w:rsidRPr="001C72A1">
        <w:rPr>
          <w:rFonts w:ascii="David" w:hAnsi="David" w:cs="David"/>
          <w:rtl/>
        </w:rPr>
        <w:t xml:space="preserve"> סעיף 15(א) לחוק התרופות</w:t>
      </w:r>
    </w:p>
  </w:footnote>
  <w:footnote w:id="28">
    <w:p w:rsidR="001C72A1" w:rsidRPr="001C72A1" w:rsidRDefault="001C72A1">
      <w:pPr>
        <w:pStyle w:val="a4"/>
        <w:rPr>
          <w:rFonts w:ascii="David" w:hAnsi="David" w:cs="David"/>
        </w:rPr>
      </w:pPr>
      <w:r w:rsidRPr="001C72A1">
        <w:rPr>
          <w:rStyle w:val="a6"/>
          <w:rFonts w:ascii="David" w:hAnsi="David" w:cs="David"/>
        </w:rPr>
        <w:footnoteRef/>
      </w:r>
      <w:r w:rsidRPr="001C72A1">
        <w:rPr>
          <w:rFonts w:ascii="David" w:hAnsi="David" w:cs="David"/>
          <w:rtl/>
        </w:rPr>
        <w:t xml:space="preserve"> ע"א 18/89 </w:t>
      </w:r>
      <w:r w:rsidRPr="001C72A1">
        <w:rPr>
          <w:rFonts w:ascii="David" w:hAnsi="David" w:cs="David"/>
          <w:b/>
          <w:bCs/>
          <w:rtl/>
        </w:rPr>
        <w:t xml:space="preserve">חשל נ' </w:t>
      </w:r>
      <w:proofErr w:type="spellStart"/>
      <w:r w:rsidRPr="001C72A1">
        <w:rPr>
          <w:rFonts w:ascii="David" w:hAnsi="David" w:cs="David"/>
          <w:b/>
          <w:bCs/>
          <w:rtl/>
        </w:rPr>
        <w:t>פרדימן</w:t>
      </w:r>
      <w:proofErr w:type="spellEnd"/>
      <w:r w:rsidRPr="001C72A1">
        <w:rPr>
          <w:rFonts w:ascii="David" w:hAnsi="David" w:cs="David"/>
          <w:b/>
          <w:bCs/>
          <w:rtl/>
        </w:rPr>
        <w:t xml:space="preserve">, </w:t>
      </w:r>
      <w:r w:rsidRPr="001C72A1">
        <w:rPr>
          <w:rFonts w:ascii="David" w:hAnsi="David" w:cs="David"/>
          <w:rtl/>
        </w:rPr>
        <w:t>פ"ד מו(5) 257, 264-265 (1992)</w:t>
      </w:r>
    </w:p>
  </w:footnote>
  <w:footnote w:id="29">
    <w:p w:rsidR="001C72A1" w:rsidRPr="001C72A1" w:rsidRDefault="001C72A1">
      <w:pPr>
        <w:pStyle w:val="a4"/>
        <w:rPr>
          <w:rFonts w:ascii="David" w:hAnsi="David" w:cs="David"/>
        </w:rPr>
      </w:pPr>
      <w:r w:rsidRPr="001C72A1">
        <w:rPr>
          <w:rStyle w:val="a6"/>
          <w:rFonts w:ascii="David" w:hAnsi="David" w:cs="David"/>
        </w:rPr>
        <w:footnoteRef/>
      </w:r>
      <w:r w:rsidRPr="001C72A1">
        <w:rPr>
          <w:rFonts w:ascii="David" w:hAnsi="David" w:cs="David"/>
          <w:rtl/>
        </w:rPr>
        <w:t xml:space="preserve"> שם, בעמ' 264</w:t>
      </w:r>
    </w:p>
  </w:footnote>
  <w:footnote w:id="30">
    <w:p w:rsidR="001C72A1" w:rsidRPr="001C72A1" w:rsidRDefault="001C72A1">
      <w:pPr>
        <w:pStyle w:val="a4"/>
        <w:rPr>
          <w:rFonts w:ascii="David" w:hAnsi="David" w:cs="David"/>
        </w:rPr>
      </w:pPr>
      <w:r w:rsidRPr="001C72A1">
        <w:rPr>
          <w:rStyle w:val="a6"/>
          <w:rFonts w:ascii="David" w:hAnsi="David" w:cs="David"/>
        </w:rPr>
        <w:footnoteRef/>
      </w:r>
      <w:r w:rsidRPr="001C72A1">
        <w:rPr>
          <w:rFonts w:ascii="David" w:hAnsi="David" w:cs="David"/>
          <w:rtl/>
        </w:rPr>
        <w:t xml:space="preserve"> ת"א (י-ם) 3531/01 </w:t>
      </w:r>
      <w:r w:rsidRPr="001C72A1">
        <w:rPr>
          <w:rFonts w:ascii="David" w:hAnsi="David" w:cs="David"/>
          <w:b/>
          <w:bCs/>
          <w:rtl/>
        </w:rPr>
        <w:t>בן אבו נ' מדינת ישראל,</w:t>
      </w:r>
      <w:r w:rsidRPr="001C72A1">
        <w:rPr>
          <w:rFonts w:ascii="David" w:hAnsi="David" w:cs="David"/>
          <w:rtl/>
        </w:rPr>
        <w:t xml:space="preserve"> תק-מח 2002(2) 20053, פסקה 19 לפסיקת השופט צבן (להלן: פרשת בן אבו)</w:t>
      </w:r>
    </w:p>
  </w:footnote>
  <w:footnote w:id="31">
    <w:p w:rsidR="001C72A1" w:rsidRPr="001C72A1" w:rsidRDefault="001C72A1">
      <w:pPr>
        <w:pStyle w:val="a4"/>
        <w:rPr>
          <w:rFonts w:ascii="David" w:hAnsi="David" w:cs="David"/>
        </w:rPr>
      </w:pPr>
      <w:r w:rsidRPr="001C72A1">
        <w:rPr>
          <w:rStyle w:val="a6"/>
          <w:rFonts w:ascii="David" w:hAnsi="David" w:cs="David"/>
        </w:rPr>
        <w:footnoteRef/>
      </w:r>
      <w:r w:rsidRPr="001C72A1">
        <w:rPr>
          <w:rFonts w:ascii="David" w:hAnsi="David" w:cs="David"/>
          <w:rtl/>
        </w:rPr>
        <w:t xml:space="preserve"> ע"א 715/78 </w:t>
      </w:r>
      <w:r w:rsidRPr="001C72A1">
        <w:rPr>
          <w:rFonts w:ascii="David" w:hAnsi="David" w:cs="David"/>
          <w:b/>
          <w:bCs/>
          <w:rtl/>
        </w:rPr>
        <w:t xml:space="preserve">כץ נ' ניצחוני מזרחי, </w:t>
      </w:r>
      <w:r w:rsidRPr="001C72A1">
        <w:rPr>
          <w:rFonts w:ascii="David" w:hAnsi="David" w:cs="David"/>
          <w:rtl/>
        </w:rPr>
        <w:t>פ"ד לג(3) 639, 643 (1979)</w:t>
      </w:r>
    </w:p>
  </w:footnote>
  <w:footnote w:id="32">
    <w:p w:rsidR="001C72A1" w:rsidRPr="001C72A1" w:rsidRDefault="001C72A1" w:rsidP="001C72A1">
      <w:pPr>
        <w:pStyle w:val="a4"/>
        <w:jc w:val="both"/>
        <w:rPr>
          <w:rFonts w:ascii="David" w:hAnsi="David" w:cs="David"/>
        </w:rPr>
      </w:pPr>
      <w:r w:rsidRPr="001C72A1">
        <w:rPr>
          <w:rStyle w:val="a6"/>
          <w:rFonts w:ascii="David" w:hAnsi="David" w:cs="David"/>
        </w:rPr>
        <w:footnoteRef/>
      </w:r>
      <w:r w:rsidRPr="001C72A1">
        <w:rPr>
          <w:rFonts w:ascii="David" w:hAnsi="David" w:cs="David"/>
          <w:rtl/>
        </w:rPr>
        <w:t xml:space="preserve"> דניאל פרידמן ונילי כהן </w:t>
      </w:r>
      <w:r w:rsidRPr="001C72A1">
        <w:rPr>
          <w:rFonts w:ascii="David" w:hAnsi="David" w:cs="David"/>
          <w:b/>
          <w:bCs/>
          <w:rtl/>
        </w:rPr>
        <w:t>חוזים</w:t>
      </w:r>
      <w:r w:rsidRPr="001C72A1">
        <w:rPr>
          <w:rFonts w:ascii="David" w:hAnsi="David" w:cs="David"/>
          <w:rtl/>
        </w:rPr>
        <w:t xml:space="preserve"> כרך ג 445-446 (2003) (להלן: פרידמן וכהן)</w:t>
      </w:r>
    </w:p>
  </w:footnote>
  <w:footnote w:id="33">
    <w:p w:rsidR="001C72A1" w:rsidRPr="001C72A1" w:rsidRDefault="001C72A1">
      <w:pPr>
        <w:pStyle w:val="a4"/>
        <w:rPr>
          <w:rFonts w:ascii="David" w:hAnsi="David" w:cs="David"/>
        </w:rPr>
      </w:pPr>
      <w:r w:rsidRPr="001C72A1">
        <w:rPr>
          <w:rStyle w:val="a6"/>
          <w:rFonts w:ascii="David" w:hAnsi="David" w:cs="David"/>
        </w:rPr>
        <w:footnoteRef/>
      </w:r>
      <w:r w:rsidRPr="001C72A1">
        <w:rPr>
          <w:rFonts w:ascii="David" w:hAnsi="David" w:cs="David"/>
          <w:rtl/>
        </w:rPr>
        <w:t xml:space="preserve"> ע"א 6328/97 </w:t>
      </w:r>
      <w:r w:rsidRPr="001C72A1">
        <w:rPr>
          <w:rFonts w:ascii="David" w:hAnsi="David" w:cs="David"/>
          <w:b/>
          <w:bCs/>
          <w:rtl/>
        </w:rPr>
        <w:t>רגב נ' משרד הביטחון</w:t>
      </w:r>
      <w:r w:rsidRPr="001C72A1">
        <w:rPr>
          <w:rFonts w:ascii="David" w:hAnsi="David" w:cs="David"/>
          <w:rtl/>
        </w:rPr>
        <w:t>, פ"ד נד(5) 506, 517 (2000)</w:t>
      </w:r>
    </w:p>
  </w:footnote>
  <w:footnote w:id="34">
    <w:p w:rsidR="001C72A1" w:rsidRPr="001C72A1" w:rsidRDefault="001C72A1">
      <w:pPr>
        <w:pStyle w:val="a4"/>
        <w:rPr>
          <w:rFonts w:ascii="David" w:hAnsi="David" w:cs="David"/>
        </w:rPr>
      </w:pPr>
      <w:r w:rsidRPr="001C72A1">
        <w:rPr>
          <w:rStyle w:val="a6"/>
          <w:rFonts w:ascii="David" w:hAnsi="David" w:cs="David"/>
        </w:rPr>
        <w:footnoteRef/>
      </w:r>
      <w:r w:rsidRPr="001C72A1">
        <w:rPr>
          <w:rFonts w:ascii="David" w:hAnsi="David" w:cs="David"/>
          <w:rtl/>
        </w:rPr>
        <w:t xml:space="preserve"> שם, בע"מ 517-518</w:t>
      </w:r>
    </w:p>
  </w:footnote>
  <w:footnote w:id="35">
    <w:p w:rsidR="001C72A1" w:rsidRPr="001C72A1" w:rsidRDefault="001C72A1">
      <w:pPr>
        <w:pStyle w:val="a4"/>
        <w:rPr>
          <w:rFonts w:ascii="David" w:hAnsi="David" w:cs="David"/>
        </w:rPr>
      </w:pPr>
      <w:r w:rsidRPr="001C72A1">
        <w:rPr>
          <w:rStyle w:val="a6"/>
          <w:rFonts w:ascii="David" w:hAnsi="David" w:cs="David"/>
        </w:rPr>
        <w:footnoteRef/>
      </w:r>
      <w:r w:rsidRPr="001C72A1">
        <w:rPr>
          <w:rFonts w:ascii="David" w:hAnsi="David" w:cs="David"/>
          <w:rtl/>
        </w:rPr>
        <w:t xml:space="preserve"> פרשת בן אבו, לעיל ה"ש 30, פסקה 20 לפסיקת השופט צבן</w:t>
      </w:r>
    </w:p>
  </w:footnote>
  <w:footnote w:id="36">
    <w:p w:rsidR="001C72A1" w:rsidRPr="001C72A1" w:rsidRDefault="001C72A1">
      <w:pPr>
        <w:pStyle w:val="a4"/>
        <w:rPr>
          <w:rFonts w:ascii="David" w:hAnsi="David" w:cs="David"/>
        </w:rPr>
      </w:pPr>
      <w:r w:rsidRPr="001C72A1">
        <w:rPr>
          <w:rStyle w:val="a6"/>
          <w:rFonts w:ascii="David" w:hAnsi="David" w:cs="David"/>
        </w:rPr>
        <w:footnoteRef/>
      </w:r>
      <w:r w:rsidRPr="001C72A1">
        <w:rPr>
          <w:rFonts w:ascii="David" w:hAnsi="David" w:cs="David"/>
          <w:rtl/>
        </w:rPr>
        <w:t xml:space="preserve"> שלו ואדר, לעיל ה"ש 2, 139</w:t>
      </w:r>
    </w:p>
  </w:footnote>
  <w:footnote w:id="37">
    <w:p w:rsidR="001C72A1" w:rsidRPr="001C72A1" w:rsidRDefault="001C72A1">
      <w:pPr>
        <w:pStyle w:val="a4"/>
        <w:rPr>
          <w:rFonts w:ascii="David" w:hAnsi="David" w:cs="David"/>
        </w:rPr>
      </w:pPr>
      <w:r w:rsidRPr="001C72A1">
        <w:rPr>
          <w:rStyle w:val="a6"/>
          <w:rFonts w:ascii="David" w:hAnsi="David" w:cs="David"/>
        </w:rPr>
        <w:footnoteRef/>
      </w:r>
      <w:r w:rsidRPr="001C72A1">
        <w:rPr>
          <w:rFonts w:ascii="David" w:hAnsi="David" w:cs="David"/>
          <w:rtl/>
        </w:rPr>
        <w:t xml:space="preserve"> סעיף 18(ב) לחוק התרופות</w:t>
      </w:r>
    </w:p>
  </w:footnote>
  <w:footnote w:id="38">
    <w:p w:rsidR="001C72A1" w:rsidRDefault="001C72A1">
      <w:pPr>
        <w:pStyle w:val="a4"/>
      </w:pPr>
      <w:r w:rsidRPr="001C72A1">
        <w:rPr>
          <w:rStyle w:val="a6"/>
          <w:rFonts w:ascii="David" w:hAnsi="David" w:cs="David"/>
        </w:rPr>
        <w:footnoteRef/>
      </w:r>
      <w:r w:rsidRPr="001C72A1">
        <w:rPr>
          <w:rFonts w:ascii="David" w:hAnsi="David" w:cs="David"/>
          <w:rtl/>
        </w:rPr>
        <w:t xml:space="preserve"> פרידמן וכהן, לעיל ה"ש 30, 469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2420E"/>
    <w:multiLevelType w:val="hybridMultilevel"/>
    <w:tmpl w:val="A586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31029"/>
    <w:multiLevelType w:val="hybridMultilevel"/>
    <w:tmpl w:val="56543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97582"/>
    <w:multiLevelType w:val="hybridMultilevel"/>
    <w:tmpl w:val="00B8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31B27"/>
    <w:multiLevelType w:val="hybridMultilevel"/>
    <w:tmpl w:val="7BC4959E"/>
    <w:lvl w:ilvl="0" w:tplc="38CEA6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72"/>
    <w:rsid w:val="001C72A1"/>
    <w:rsid w:val="0037701F"/>
    <w:rsid w:val="00394DFD"/>
    <w:rsid w:val="003E37A9"/>
    <w:rsid w:val="00451372"/>
    <w:rsid w:val="00815778"/>
    <w:rsid w:val="008908D0"/>
    <w:rsid w:val="008E0D05"/>
    <w:rsid w:val="00A279F4"/>
    <w:rsid w:val="00CE1570"/>
    <w:rsid w:val="00DC15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EC350-46CF-437E-AC1C-15E7177B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372"/>
    <w:pPr>
      <w:ind w:left="720"/>
      <w:contextualSpacing/>
    </w:pPr>
  </w:style>
  <w:style w:type="paragraph" w:styleId="a4">
    <w:name w:val="footnote text"/>
    <w:basedOn w:val="a"/>
    <w:link w:val="a5"/>
    <w:uiPriority w:val="99"/>
    <w:semiHidden/>
    <w:unhideWhenUsed/>
    <w:rsid w:val="00451372"/>
    <w:pPr>
      <w:spacing w:after="0" w:line="240" w:lineRule="auto"/>
    </w:pPr>
    <w:rPr>
      <w:sz w:val="20"/>
      <w:szCs w:val="20"/>
    </w:rPr>
  </w:style>
  <w:style w:type="character" w:customStyle="1" w:styleId="a5">
    <w:name w:val="טקסט הערת שוליים תו"/>
    <w:basedOn w:val="a0"/>
    <w:link w:val="a4"/>
    <w:uiPriority w:val="99"/>
    <w:semiHidden/>
    <w:rsid w:val="00451372"/>
    <w:rPr>
      <w:sz w:val="20"/>
      <w:szCs w:val="20"/>
    </w:rPr>
  </w:style>
  <w:style w:type="character" w:styleId="a6">
    <w:name w:val="footnote reference"/>
    <w:basedOn w:val="a0"/>
    <w:uiPriority w:val="99"/>
    <w:semiHidden/>
    <w:unhideWhenUsed/>
    <w:rsid w:val="004513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F35DE-31C5-4776-86D1-A8C36B2B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6863</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 aviv</dc:creator>
  <cp:keywords/>
  <dc:description/>
  <cp:lastModifiedBy>sapir globman</cp:lastModifiedBy>
  <cp:revision>2</cp:revision>
  <dcterms:created xsi:type="dcterms:W3CDTF">2015-03-08T08:14:00Z</dcterms:created>
  <dcterms:modified xsi:type="dcterms:W3CDTF">2015-03-08T08:14:00Z</dcterms:modified>
</cp:coreProperties>
</file>