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A0" w:rsidRDefault="001B0C6F" w:rsidP="000D76A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B0C6F">
        <w:rPr>
          <w:rFonts w:ascii="David" w:hAnsi="David" w:cs="David"/>
          <w:sz w:val="24"/>
          <w:szCs w:val="24"/>
          <w:rtl/>
        </w:rPr>
        <w:t>המאמר "ההליך הוא הביוש: השיימינג של הפרוצדורה הפלילית"</w:t>
      </w:r>
      <w:r w:rsidR="00BD5F76">
        <w:rPr>
          <w:rStyle w:val="af0"/>
          <w:rFonts w:ascii="David" w:hAnsi="David" w:cs="David"/>
          <w:sz w:val="24"/>
          <w:szCs w:val="24"/>
          <w:rtl/>
        </w:rPr>
        <w:footnoteReference w:id="1"/>
      </w:r>
      <w:r w:rsidRPr="001B0C6F">
        <w:rPr>
          <w:rFonts w:ascii="David" w:hAnsi="David" w:cs="David"/>
          <w:sz w:val="24"/>
          <w:szCs w:val="24"/>
          <w:rtl/>
        </w:rPr>
        <w:t xml:space="preserve"> דן בשאלה האם הליך הביוש שקיים במשפט הפלילי</w:t>
      </w:r>
      <w:r w:rsidR="000D76A4">
        <w:rPr>
          <w:rFonts w:ascii="David" w:hAnsi="David" w:cs="David" w:hint="cs"/>
          <w:sz w:val="24"/>
          <w:szCs w:val="24"/>
          <w:rtl/>
        </w:rPr>
        <w:t xml:space="preserve"> מוצדק</w:t>
      </w:r>
      <w:r>
        <w:rPr>
          <w:rFonts w:ascii="David" w:hAnsi="David" w:cs="David" w:hint="cs"/>
          <w:sz w:val="24"/>
          <w:szCs w:val="24"/>
          <w:rtl/>
        </w:rPr>
        <w:t xml:space="preserve"> והאם ניתן לנהוג אחרת. במאמרו </w:t>
      </w:r>
      <w:r w:rsidR="00BD5F76">
        <w:rPr>
          <w:rFonts w:ascii="David" w:hAnsi="David" w:cs="David" w:hint="cs"/>
          <w:sz w:val="24"/>
          <w:szCs w:val="24"/>
          <w:rtl/>
        </w:rPr>
        <w:t>דן</w:t>
      </w:r>
      <w:r>
        <w:rPr>
          <w:rFonts w:ascii="David" w:hAnsi="David" w:cs="David" w:hint="cs"/>
          <w:sz w:val="24"/>
          <w:szCs w:val="24"/>
          <w:rtl/>
        </w:rPr>
        <w:t xml:space="preserve"> הרדוף בשלוש סוגיות עיקריות: ביוש כאחת ממטרות דיני העונשין, ביוש כתוצר לוואי של חקירה ואכיפה וביוש בשל פומביות הדיון. </w:t>
      </w:r>
      <w:r w:rsidR="00CF15A0">
        <w:rPr>
          <w:rFonts w:ascii="David" w:hAnsi="David" w:cs="David" w:hint="cs"/>
          <w:sz w:val="24"/>
          <w:szCs w:val="24"/>
          <w:rtl/>
        </w:rPr>
        <w:t>בסיום המאמר מצי</w:t>
      </w:r>
      <w:r w:rsidR="000D76A4">
        <w:rPr>
          <w:rFonts w:ascii="David" w:hAnsi="David" w:cs="David" w:hint="cs"/>
          <w:sz w:val="24"/>
          <w:szCs w:val="24"/>
          <w:rtl/>
        </w:rPr>
        <w:t>ע</w:t>
      </w:r>
      <w:r w:rsidR="00CF15A0">
        <w:rPr>
          <w:rFonts w:ascii="David" w:hAnsi="David" w:cs="David" w:hint="cs"/>
          <w:sz w:val="24"/>
          <w:szCs w:val="24"/>
          <w:rtl/>
        </w:rPr>
        <w:t xml:space="preserve"> הרדוף </w:t>
      </w:r>
      <w:r w:rsidR="000D76A4">
        <w:rPr>
          <w:rFonts w:ascii="David" w:hAnsi="David" w:cs="David" w:hint="cs"/>
          <w:sz w:val="24"/>
          <w:szCs w:val="24"/>
          <w:rtl/>
        </w:rPr>
        <w:t>הסדר</w:t>
      </w:r>
      <w:r w:rsidR="00CF15A0">
        <w:rPr>
          <w:rFonts w:ascii="David" w:hAnsi="David" w:cs="David" w:hint="cs"/>
          <w:sz w:val="24"/>
          <w:szCs w:val="24"/>
          <w:rtl/>
        </w:rPr>
        <w:t xml:space="preserve"> שיגרום לצמצום "הביוש הפלילי" </w:t>
      </w:r>
      <w:r w:rsidR="000D76A4">
        <w:rPr>
          <w:rFonts w:ascii="David" w:hAnsi="David" w:cs="David" w:hint="cs"/>
          <w:sz w:val="24"/>
          <w:szCs w:val="24"/>
          <w:rtl/>
        </w:rPr>
        <w:t>בהליך המשפט.</w:t>
      </w:r>
    </w:p>
    <w:p w:rsidR="004766D9" w:rsidRPr="001447C2" w:rsidRDefault="007C676B" w:rsidP="00DB3C4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בנייר עמדה זה אעסוק בסוגיה </w:t>
      </w:r>
      <w:r w:rsidR="00F5377F">
        <w:rPr>
          <w:rFonts w:ascii="David" w:hAnsi="David" w:cs="David" w:hint="cs"/>
          <w:b/>
          <w:bCs/>
          <w:sz w:val="24"/>
          <w:szCs w:val="24"/>
          <w:rtl/>
        </w:rPr>
        <w:t>האם ניתן לבצע הליכים פליליים</w:t>
      </w:r>
      <w:r w:rsidR="00CF15A0" w:rsidRPr="00470A8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5377F">
        <w:rPr>
          <w:rFonts w:ascii="David" w:hAnsi="David" w:cs="David" w:hint="cs"/>
          <w:b/>
          <w:bCs/>
          <w:sz w:val="24"/>
          <w:szCs w:val="24"/>
          <w:rtl/>
        </w:rPr>
        <w:t xml:space="preserve">לא פומביים. </w:t>
      </w:r>
      <w:r w:rsidR="00F5377F" w:rsidRPr="00F5377F">
        <w:rPr>
          <w:rFonts w:ascii="David" w:hAnsi="David" w:cs="David" w:hint="cs"/>
          <w:sz w:val="24"/>
          <w:szCs w:val="24"/>
          <w:rtl/>
        </w:rPr>
        <w:t>בפרק ג' למאמר</w:t>
      </w:r>
      <w:r w:rsidR="000D76A4">
        <w:rPr>
          <w:rStyle w:val="af0"/>
          <w:rFonts w:ascii="David" w:hAnsi="David" w:cs="David"/>
          <w:sz w:val="24"/>
          <w:szCs w:val="24"/>
          <w:rtl/>
        </w:rPr>
        <w:footnoteReference w:id="2"/>
      </w:r>
      <w:r w:rsidR="00F5377F" w:rsidRPr="00F5377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מוצג</w:t>
      </w:r>
      <w:r w:rsidR="00F5377F">
        <w:rPr>
          <w:rFonts w:ascii="David" w:hAnsi="David" w:cs="David" w:hint="cs"/>
          <w:sz w:val="24"/>
          <w:szCs w:val="24"/>
          <w:rtl/>
        </w:rPr>
        <w:t xml:space="preserve"> עקרון פומביות הדיון</w:t>
      </w:r>
      <w:r w:rsidR="00BD5F76">
        <w:rPr>
          <w:rStyle w:val="af0"/>
          <w:rFonts w:ascii="David" w:hAnsi="David" w:cs="David"/>
          <w:sz w:val="24"/>
          <w:szCs w:val="24"/>
          <w:rtl/>
        </w:rPr>
        <w:footnoteReference w:id="3"/>
      </w:r>
      <w:r w:rsidR="000D76A4">
        <w:rPr>
          <w:rFonts w:ascii="David" w:hAnsi="David" w:cs="David" w:hint="cs"/>
          <w:sz w:val="24"/>
          <w:szCs w:val="24"/>
          <w:rtl/>
        </w:rPr>
        <w:t>,</w:t>
      </w:r>
      <w:r w:rsidR="00F5377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האומר שברירת המחדל הינה ש</w:t>
      </w:r>
      <w:r w:rsidR="001C7672">
        <w:rPr>
          <w:rFonts w:ascii="David" w:hAnsi="David" w:cs="David" w:hint="cs"/>
          <w:sz w:val="24"/>
          <w:szCs w:val="24"/>
          <w:rtl/>
        </w:rPr>
        <w:t xml:space="preserve">בית המשפט ידון בדלתיים פתוחות למעט במקרים ספציפיים. </w:t>
      </w:r>
      <w:r w:rsidRPr="000D76A4">
        <w:rPr>
          <w:rFonts w:ascii="David" w:hAnsi="David" w:cs="David" w:hint="cs"/>
          <w:sz w:val="24"/>
          <w:szCs w:val="24"/>
          <w:rtl/>
        </w:rPr>
        <w:t>לטעמי</w:t>
      </w:r>
      <w:r w:rsidR="00280955" w:rsidRPr="000D76A4">
        <w:rPr>
          <w:rFonts w:ascii="David" w:hAnsi="David" w:cs="David"/>
          <w:sz w:val="24"/>
          <w:szCs w:val="24"/>
          <w:rtl/>
        </w:rPr>
        <w:t xml:space="preserve"> הצעתו</w:t>
      </w:r>
      <w:r w:rsidR="00280955" w:rsidRPr="00280955">
        <w:rPr>
          <w:rFonts w:ascii="David" w:hAnsi="David" w:cs="David"/>
          <w:sz w:val="24"/>
          <w:szCs w:val="24"/>
          <w:rtl/>
        </w:rPr>
        <w:t xml:space="preserve"> של הרדוף בדבר שינוי ברירת המחדל של מערכת המשפט </w:t>
      </w:r>
      <w:r w:rsidR="000D76A4">
        <w:rPr>
          <w:rFonts w:ascii="David" w:hAnsi="David" w:cs="David" w:hint="cs"/>
          <w:sz w:val="24"/>
          <w:szCs w:val="24"/>
          <w:rtl/>
        </w:rPr>
        <w:t>בעייתית ו</w:t>
      </w:r>
      <w:r w:rsidR="000D76A4">
        <w:rPr>
          <w:rFonts w:ascii="David" w:hAnsi="David" w:cs="David"/>
          <w:sz w:val="24"/>
          <w:szCs w:val="24"/>
          <w:rtl/>
        </w:rPr>
        <w:t>איננה ברורה</w:t>
      </w:r>
      <w:r w:rsidR="00280955" w:rsidRPr="00280955">
        <w:rPr>
          <w:rFonts w:ascii="David" w:hAnsi="David" w:cs="David"/>
          <w:sz w:val="24"/>
          <w:szCs w:val="24"/>
          <w:rtl/>
        </w:rPr>
        <w:t xml:space="preserve">. מהצעה זו לא ניתן להבין פרטים מהותיים אשר נדרשים בכדי ליישמה. </w:t>
      </w:r>
      <w:r w:rsidR="00280955">
        <w:rPr>
          <w:rFonts w:ascii="David" w:hAnsi="David" w:cs="David" w:hint="cs"/>
          <w:sz w:val="24"/>
          <w:szCs w:val="24"/>
          <w:rtl/>
        </w:rPr>
        <w:t>דוגמא בולטת</w:t>
      </w:r>
      <w:r w:rsidR="00280955" w:rsidRPr="00280955">
        <w:rPr>
          <w:rFonts w:ascii="David" w:hAnsi="David" w:cs="David"/>
          <w:sz w:val="24"/>
          <w:szCs w:val="24"/>
          <w:rtl/>
        </w:rPr>
        <w:t xml:space="preserve"> לכך היא כי הרדוף אינו מביא בהצעתו </w:t>
      </w:r>
      <w:r w:rsidR="00633761">
        <w:rPr>
          <w:rFonts w:ascii="David" w:hAnsi="David" w:cs="David" w:hint="cs"/>
          <w:sz w:val="24"/>
          <w:szCs w:val="24"/>
          <w:rtl/>
        </w:rPr>
        <w:t>מבחן חד משמעי וברור</w:t>
      </w:r>
      <w:r w:rsidR="00280955" w:rsidRPr="00280955">
        <w:rPr>
          <w:rFonts w:ascii="David" w:hAnsi="David" w:cs="David"/>
          <w:sz w:val="24"/>
          <w:szCs w:val="24"/>
          <w:rtl/>
        </w:rPr>
        <w:t xml:space="preserve"> </w:t>
      </w:r>
      <w:r w:rsidR="001447C2">
        <w:rPr>
          <w:rFonts w:ascii="David" w:hAnsi="David" w:cs="David" w:hint="cs"/>
          <w:sz w:val="24"/>
          <w:szCs w:val="24"/>
          <w:rtl/>
        </w:rPr>
        <w:t xml:space="preserve">או קריטריונים ברורים </w:t>
      </w:r>
      <w:r w:rsidR="00280955" w:rsidRPr="00280955">
        <w:rPr>
          <w:rFonts w:ascii="David" w:hAnsi="David" w:cs="David"/>
          <w:sz w:val="24"/>
          <w:szCs w:val="24"/>
          <w:rtl/>
        </w:rPr>
        <w:t xml:space="preserve">לקביעה באיזה תיקים </w:t>
      </w:r>
      <w:r w:rsidR="00280955" w:rsidRPr="001447C2">
        <w:rPr>
          <w:rFonts w:ascii="David" w:hAnsi="David" w:cs="David"/>
          <w:sz w:val="24"/>
          <w:szCs w:val="24"/>
          <w:rtl/>
        </w:rPr>
        <w:t>יתקיים המשפט בדלתיים פתוחות</w:t>
      </w:r>
      <w:r w:rsidR="00DB3C49">
        <w:rPr>
          <w:rFonts w:ascii="David" w:hAnsi="David" w:cs="David" w:hint="cs"/>
          <w:sz w:val="24"/>
          <w:szCs w:val="24"/>
          <w:rtl/>
        </w:rPr>
        <w:t>.</w:t>
      </w:r>
    </w:p>
    <w:p w:rsidR="004766D9" w:rsidRPr="00091693" w:rsidRDefault="00091693" w:rsidP="00DB3C4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447C2">
        <w:rPr>
          <w:rFonts w:ascii="David" w:hAnsi="David" w:cs="David" w:hint="cs"/>
          <w:sz w:val="24"/>
          <w:szCs w:val="24"/>
          <w:rtl/>
        </w:rPr>
        <w:t xml:space="preserve">אני סבורה כי במקרים רבים תפגע הצעתו של הרדוף בעקרונות חשובים במשפט הפלילי כגון </w:t>
      </w:r>
      <w:r w:rsidR="001447C2">
        <w:rPr>
          <w:rFonts w:ascii="David" w:hAnsi="David" w:cs="David" w:hint="cs"/>
          <w:sz w:val="24"/>
          <w:szCs w:val="24"/>
          <w:rtl/>
        </w:rPr>
        <w:t xml:space="preserve">עקרון </w:t>
      </w:r>
      <w:r w:rsidRPr="001447C2">
        <w:rPr>
          <w:rFonts w:ascii="David" w:hAnsi="David" w:cs="David" w:hint="cs"/>
          <w:sz w:val="24"/>
          <w:szCs w:val="24"/>
          <w:rtl/>
        </w:rPr>
        <w:t>ההרתעה.</w:t>
      </w:r>
      <w:r w:rsidR="006F365D" w:rsidRPr="001447C2">
        <w:rPr>
          <w:rFonts w:ascii="David" w:hAnsi="David" w:cs="David" w:hint="cs"/>
          <w:sz w:val="24"/>
          <w:szCs w:val="24"/>
          <w:rtl/>
        </w:rPr>
        <w:t xml:space="preserve"> </w:t>
      </w:r>
      <w:r w:rsidR="00974BE3" w:rsidRPr="001447C2">
        <w:rPr>
          <w:rFonts w:ascii="David" w:hAnsi="David" w:cs="David" w:hint="cs"/>
          <w:sz w:val="24"/>
          <w:szCs w:val="24"/>
          <w:rtl/>
        </w:rPr>
        <w:t>במאמרה</w:t>
      </w:r>
      <w:r w:rsidR="00974BE3">
        <w:rPr>
          <w:rFonts w:ascii="David" w:hAnsi="David" w:cs="David" w:hint="cs"/>
          <w:sz w:val="24"/>
          <w:szCs w:val="24"/>
          <w:rtl/>
        </w:rPr>
        <w:t xml:space="preserve"> "</w:t>
      </w:r>
      <w:r w:rsidR="00974BE3" w:rsidRPr="00974BE3">
        <w:rPr>
          <w:rFonts w:ascii="David" w:hAnsi="David" w:cs="David"/>
          <w:sz w:val="24"/>
          <w:szCs w:val="24"/>
          <w:rtl/>
        </w:rPr>
        <w:t>היבטים כלכליים וכמותיים למדיניות</w:t>
      </w:r>
      <w:r w:rsidR="00974BE3">
        <w:rPr>
          <w:rFonts w:ascii="David" w:hAnsi="David" w:cs="David" w:hint="cs"/>
          <w:sz w:val="24"/>
          <w:szCs w:val="24"/>
          <w:rtl/>
        </w:rPr>
        <w:t xml:space="preserve"> </w:t>
      </w:r>
      <w:r w:rsidR="00974BE3" w:rsidRPr="00974BE3">
        <w:rPr>
          <w:rFonts w:ascii="David" w:hAnsi="David" w:cs="David"/>
          <w:sz w:val="24"/>
          <w:szCs w:val="24"/>
          <w:rtl/>
        </w:rPr>
        <w:t>אכיפת חוק של עבירות צווארון לבן</w:t>
      </w:r>
      <w:r w:rsidR="00974BE3">
        <w:rPr>
          <w:rFonts w:ascii="David" w:hAnsi="David" w:cs="David" w:hint="cs"/>
          <w:sz w:val="24"/>
          <w:szCs w:val="24"/>
          <w:rtl/>
        </w:rPr>
        <w:t xml:space="preserve"> </w:t>
      </w:r>
      <w:r w:rsidR="00974BE3" w:rsidRPr="00974BE3">
        <w:rPr>
          <w:rFonts w:ascii="David" w:hAnsi="David" w:cs="David"/>
          <w:sz w:val="24"/>
          <w:szCs w:val="24"/>
          <w:rtl/>
        </w:rPr>
        <w:t>בישראל</w:t>
      </w:r>
      <w:r w:rsidR="00974BE3">
        <w:rPr>
          <w:rFonts w:ascii="David" w:hAnsi="David" w:cs="David" w:hint="cs"/>
          <w:sz w:val="24"/>
          <w:szCs w:val="24"/>
          <w:rtl/>
        </w:rPr>
        <w:t>"</w:t>
      </w:r>
      <w:r w:rsidR="001447C2">
        <w:rPr>
          <w:rStyle w:val="af0"/>
          <w:rFonts w:ascii="David" w:hAnsi="David" w:cs="David"/>
          <w:sz w:val="24"/>
          <w:szCs w:val="24"/>
          <w:rtl/>
        </w:rPr>
        <w:footnoteReference w:id="4"/>
      </w:r>
      <w:r w:rsidR="00DB3C49">
        <w:rPr>
          <w:rFonts w:ascii="David" w:hAnsi="David" w:cs="David" w:hint="cs"/>
          <w:sz w:val="24"/>
          <w:szCs w:val="24"/>
          <w:rtl/>
        </w:rPr>
        <w:t xml:space="preserve">, </w:t>
      </w:r>
      <w:r w:rsidR="00974BE3">
        <w:rPr>
          <w:rFonts w:ascii="David" w:hAnsi="David" w:cs="David" w:hint="cs"/>
          <w:sz w:val="24"/>
          <w:szCs w:val="24"/>
          <w:rtl/>
        </w:rPr>
        <w:t>מציינת רגב,</w:t>
      </w:r>
      <w:r>
        <w:rPr>
          <w:rFonts w:ascii="David" w:hAnsi="David" w:cs="David" w:hint="cs"/>
          <w:sz w:val="24"/>
          <w:szCs w:val="24"/>
          <w:rtl/>
        </w:rPr>
        <w:t xml:space="preserve"> ש</w:t>
      </w:r>
      <w:r w:rsidR="00974BE3">
        <w:rPr>
          <w:rFonts w:ascii="David" w:hAnsi="David" w:cs="David" w:hint="cs"/>
          <w:sz w:val="24"/>
          <w:szCs w:val="24"/>
          <w:rtl/>
        </w:rPr>
        <w:t xml:space="preserve">בעבירות צווארון לבן תפיסת העבריין והבאתו לחקירה תוך כדי פרסום המקרה </w:t>
      </w:r>
      <w:r w:rsidR="005F398F">
        <w:rPr>
          <w:rFonts w:ascii="David" w:hAnsi="David" w:cs="David" w:hint="cs"/>
          <w:sz w:val="24"/>
          <w:szCs w:val="24"/>
          <w:rtl/>
        </w:rPr>
        <w:t>היא ש</w:t>
      </w:r>
      <w:r w:rsidR="00974BE3">
        <w:rPr>
          <w:rFonts w:ascii="David" w:hAnsi="David" w:cs="David" w:hint="cs"/>
          <w:sz w:val="24"/>
          <w:szCs w:val="24"/>
          <w:rtl/>
        </w:rPr>
        <w:t>מביאה להרתעה. ניתן לראות כי בעבירות</w:t>
      </w:r>
      <w:r>
        <w:rPr>
          <w:rFonts w:ascii="David" w:hAnsi="David" w:cs="David" w:hint="cs"/>
          <w:sz w:val="24"/>
          <w:szCs w:val="24"/>
          <w:rtl/>
        </w:rPr>
        <w:t xml:space="preserve"> צווארון לבן חלק גדול מ</w:t>
      </w:r>
      <w:r w:rsidR="00974BE3">
        <w:rPr>
          <w:rFonts w:ascii="David" w:hAnsi="David" w:cs="David" w:hint="cs"/>
          <w:sz w:val="24"/>
          <w:szCs w:val="24"/>
          <w:rtl/>
        </w:rPr>
        <w:t>ההרתעה נובע</w:t>
      </w:r>
      <w:r>
        <w:rPr>
          <w:rFonts w:ascii="David" w:hAnsi="David" w:cs="David" w:hint="cs"/>
          <w:sz w:val="24"/>
          <w:szCs w:val="24"/>
          <w:rtl/>
        </w:rPr>
        <w:t>ת</w:t>
      </w:r>
      <w:r w:rsidR="00974BE3">
        <w:rPr>
          <w:rFonts w:ascii="David" w:hAnsi="David" w:cs="David" w:hint="cs"/>
          <w:sz w:val="24"/>
          <w:szCs w:val="24"/>
          <w:rtl/>
        </w:rPr>
        <w:t xml:space="preserve"> מה</w:t>
      </w:r>
      <w:r w:rsidR="001447C2">
        <w:rPr>
          <w:rFonts w:ascii="David" w:hAnsi="David" w:cs="David" w:hint="cs"/>
          <w:sz w:val="24"/>
          <w:szCs w:val="24"/>
          <w:rtl/>
        </w:rPr>
        <w:t>פרסום</w:t>
      </w:r>
      <w:r>
        <w:rPr>
          <w:rFonts w:ascii="David" w:hAnsi="David" w:cs="David" w:hint="cs"/>
          <w:sz w:val="24"/>
          <w:szCs w:val="24"/>
          <w:rtl/>
        </w:rPr>
        <w:t xml:space="preserve"> שסובב את הפרשה</w:t>
      </w:r>
      <w:r w:rsidR="00974BE3">
        <w:rPr>
          <w:rFonts w:ascii="David" w:hAnsi="David" w:cs="David" w:hint="cs"/>
          <w:sz w:val="24"/>
          <w:szCs w:val="24"/>
          <w:rtl/>
        </w:rPr>
        <w:t xml:space="preserve">. במקרים כאלה אי החשיפה </w:t>
      </w:r>
      <w:r w:rsidR="005E5C93">
        <w:rPr>
          <w:rFonts w:ascii="David" w:hAnsi="David" w:cs="David" w:hint="cs"/>
          <w:sz w:val="24"/>
          <w:szCs w:val="24"/>
          <w:rtl/>
        </w:rPr>
        <w:t xml:space="preserve">שקיים במשפטים המתקיימים בדלתיים סגורות, </w:t>
      </w:r>
      <w:r w:rsidR="006F365D">
        <w:rPr>
          <w:rFonts w:ascii="David" w:hAnsi="David" w:cs="David" w:hint="cs"/>
          <w:sz w:val="24"/>
          <w:szCs w:val="24"/>
          <w:rtl/>
        </w:rPr>
        <w:t xml:space="preserve">תביא לפספוס מטרה עיקרית בדיני העונשין, מטרת ההרתעה. </w:t>
      </w:r>
      <w:r w:rsidR="00DD1100">
        <w:rPr>
          <w:rFonts w:ascii="David" w:hAnsi="David" w:cs="David" w:hint="cs"/>
          <w:sz w:val="24"/>
          <w:szCs w:val="24"/>
          <w:rtl/>
        </w:rPr>
        <w:t xml:space="preserve">ניתן לראות </w:t>
      </w:r>
      <w:r>
        <w:rPr>
          <w:rFonts w:ascii="David" w:hAnsi="David" w:cs="David" w:hint="cs"/>
          <w:sz w:val="24"/>
          <w:szCs w:val="24"/>
          <w:rtl/>
        </w:rPr>
        <w:t>כי בעבירות רבות</w:t>
      </w:r>
      <w:r w:rsidR="00DD1100">
        <w:rPr>
          <w:rFonts w:ascii="David" w:hAnsi="David" w:cs="David" w:hint="cs"/>
          <w:sz w:val="24"/>
          <w:szCs w:val="24"/>
          <w:rtl/>
        </w:rPr>
        <w:t xml:space="preserve"> ישנה חשיבות לדלתיים הפתוחות</w:t>
      </w:r>
      <w:r w:rsidR="001447C2">
        <w:rPr>
          <w:rFonts w:ascii="David" w:hAnsi="David" w:cs="David" w:hint="cs"/>
          <w:sz w:val="24"/>
          <w:szCs w:val="24"/>
          <w:rtl/>
        </w:rPr>
        <w:t>.</w:t>
      </w:r>
      <w:r w:rsidR="00DD110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בעבירות רבות מסוקר ההליך</w:t>
      </w:r>
      <w:r w:rsidR="00DD1100">
        <w:rPr>
          <w:rFonts w:ascii="David" w:hAnsi="David" w:cs="David" w:hint="cs"/>
          <w:sz w:val="24"/>
          <w:szCs w:val="24"/>
          <w:rtl/>
        </w:rPr>
        <w:t xml:space="preserve"> המשפטי </w:t>
      </w:r>
      <w:r>
        <w:rPr>
          <w:rFonts w:ascii="David" w:hAnsi="David" w:cs="David" w:hint="cs"/>
          <w:sz w:val="24"/>
          <w:szCs w:val="24"/>
          <w:rtl/>
        </w:rPr>
        <w:t>וההכרעה בו</w:t>
      </w:r>
      <w:r w:rsidR="001447C2">
        <w:rPr>
          <w:rFonts w:ascii="David" w:hAnsi="David" w:cs="David" w:hint="cs"/>
          <w:sz w:val="24"/>
          <w:szCs w:val="24"/>
          <w:rtl/>
        </w:rPr>
        <w:t xml:space="preserve"> מפורסמת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D1100">
        <w:rPr>
          <w:rFonts w:ascii="David" w:hAnsi="David" w:cs="David" w:hint="cs"/>
          <w:sz w:val="24"/>
          <w:szCs w:val="24"/>
          <w:rtl/>
        </w:rPr>
        <w:t>"למען יראו ויראו"</w:t>
      </w:r>
      <w:r>
        <w:rPr>
          <w:rFonts w:ascii="David" w:hAnsi="David" w:cs="David" w:hint="cs"/>
          <w:sz w:val="24"/>
          <w:szCs w:val="24"/>
          <w:rtl/>
        </w:rPr>
        <w:t>. הליכים אלה משמשים</w:t>
      </w:r>
      <w:r w:rsidR="004F7B3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בין היתר, </w:t>
      </w:r>
      <w:r w:rsidR="00DD1100">
        <w:rPr>
          <w:rFonts w:ascii="David" w:hAnsi="David" w:cs="David" w:hint="cs"/>
          <w:sz w:val="24"/>
          <w:szCs w:val="24"/>
          <w:rtl/>
        </w:rPr>
        <w:t>בכדי להרתיע את הציבור מלבצע עבירות</w:t>
      </w:r>
      <w:r>
        <w:rPr>
          <w:rFonts w:ascii="David" w:hAnsi="David" w:cs="David" w:hint="cs"/>
          <w:sz w:val="24"/>
          <w:szCs w:val="24"/>
          <w:rtl/>
        </w:rPr>
        <w:t xml:space="preserve"> דומות</w:t>
      </w:r>
      <w:r w:rsidR="00DD1100">
        <w:rPr>
          <w:rFonts w:ascii="David" w:hAnsi="David" w:cs="David" w:hint="cs"/>
          <w:sz w:val="24"/>
          <w:szCs w:val="24"/>
          <w:rtl/>
        </w:rPr>
        <w:t xml:space="preserve"> בעתיד</w:t>
      </w:r>
      <w:r>
        <w:rPr>
          <w:rFonts w:ascii="David" w:hAnsi="David" w:cs="David" w:hint="cs"/>
          <w:sz w:val="24"/>
          <w:szCs w:val="24"/>
          <w:rtl/>
        </w:rPr>
        <w:t>, מה שלא יתאפשר במידה ויתנהלו בדלתיים סגורות</w:t>
      </w:r>
      <w:r w:rsidR="00BD5F76">
        <w:rPr>
          <w:rStyle w:val="af0"/>
          <w:rFonts w:ascii="David" w:hAnsi="David" w:cs="David"/>
          <w:sz w:val="24"/>
          <w:szCs w:val="24"/>
          <w:rtl/>
        </w:rPr>
        <w:footnoteReference w:id="5"/>
      </w:r>
      <w:r w:rsidR="001447C2">
        <w:rPr>
          <w:rFonts w:ascii="David" w:hAnsi="David" w:cs="David" w:hint="cs"/>
          <w:sz w:val="24"/>
          <w:szCs w:val="24"/>
          <w:rtl/>
        </w:rPr>
        <w:t>.</w:t>
      </w:r>
      <w:r w:rsidR="00DD1100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8C6D6A" w:rsidRPr="008C6D6A" w:rsidRDefault="000D76A4" w:rsidP="005E5C9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לטעמי</w:t>
      </w:r>
      <w:r w:rsidR="00DC2D6B">
        <w:rPr>
          <w:rFonts w:ascii="David" w:hAnsi="David" w:cs="David" w:hint="cs"/>
          <w:sz w:val="24"/>
          <w:szCs w:val="24"/>
          <w:rtl/>
        </w:rPr>
        <w:t xml:space="preserve"> </w:t>
      </w:r>
      <w:r w:rsidR="00AF4DF0">
        <w:rPr>
          <w:rFonts w:ascii="David" w:hAnsi="David" w:cs="David" w:hint="cs"/>
          <w:sz w:val="24"/>
          <w:szCs w:val="24"/>
          <w:rtl/>
        </w:rPr>
        <w:t>קיום משפט בדלתיים סגורות יפגע בזכות הציבור לדעת</w:t>
      </w:r>
      <w:r w:rsidR="00BD5F76">
        <w:rPr>
          <w:rStyle w:val="af0"/>
          <w:rFonts w:ascii="David" w:hAnsi="David" w:cs="David"/>
          <w:sz w:val="24"/>
          <w:szCs w:val="24"/>
          <w:rtl/>
        </w:rPr>
        <w:footnoteReference w:id="6"/>
      </w:r>
      <w:r w:rsidR="00AF4DF0">
        <w:rPr>
          <w:rFonts w:ascii="David" w:hAnsi="David" w:cs="David" w:hint="cs"/>
          <w:sz w:val="24"/>
          <w:szCs w:val="24"/>
          <w:rtl/>
        </w:rPr>
        <w:t>, זכות זו</w:t>
      </w:r>
      <w:r w:rsidR="00DC2D6B">
        <w:rPr>
          <w:rFonts w:ascii="David" w:hAnsi="David" w:cs="David" w:hint="cs"/>
          <w:sz w:val="24"/>
          <w:szCs w:val="24"/>
          <w:rtl/>
        </w:rPr>
        <w:t xml:space="preserve"> נועד</w:t>
      </w:r>
      <w:r w:rsidR="00BD5F76">
        <w:rPr>
          <w:rFonts w:ascii="David" w:hAnsi="David" w:cs="David" w:hint="cs"/>
          <w:sz w:val="24"/>
          <w:szCs w:val="24"/>
          <w:rtl/>
        </w:rPr>
        <w:t>ה</w:t>
      </w:r>
      <w:r w:rsidR="00DC2D6B">
        <w:rPr>
          <w:rFonts w:ascii="David" w:hAnsi="David" w:cs="David" w:hint="cs"/>
          <w:sz w:val="24"/>
          <w:szCs w:val="24"/>
          <w:rtl/>
        </w:rPr>
        <w:t xml:space="preserve"> להגן על הציבור</w:t>
      </w:r>
      <w:r w:rsidR="00F91BC0">
        <w:rPr>
          <w:rFonts w:ascii="David" w:hAnsi="David" w:cs="David" w:hint="cs"/>
          <w:sz w:val="24"/>
          <w:szCs w:val="24"/>
          <w:rtl/>
        </w:rPr>
        <w:t xml:space="preserve"> ולאפשר לו לבקר את מוסדות השלטון</w:t>
      </w:r>
      <w:r w:rsidR="00DC2D6B">
        <w:rPr>
          <w:rFonts w:ascii="David" w:hAnsi="David" w:cs="David" w:hint="cs"/>
          <w:sz w:val="24"/>
          <w:szCs w:val="24"/>
          <w:rtl/>
        </w:rPr>
        <w:t xml:space="preserve"> וסטייה ממנו צריכה להיעשות רק במקרים חריגם בהם </w:t>
      </w:r>
      <w:r w:rsidR="00AF4DF0">
        <w:rPr>
          <w:rFonts w:ascii="David" w:hAnsi="David" w:cs="David" w:hint="cs"/>
          <w:sz w:val="24"/>
          <w:szCs w:val="24"/>
          <w:rtl/>
        </w:rPr>
        <w:t xml:space="preserve">ישנו אינטרס נוסף </w:t>
      </w:r>
      <w:r w:rsidR="005E5C93">
        <w:rPr>
          <w:rFonts w:ascii="David" w:hAnsi="David" w:cs="David" w:hint="cs"/>
          <w:sz w:val="24"/>
          <w:szCs w:val="24"/>
          <w:rtl/>
        </w:rPr>
        <w:t>שגובר</w:t>
      </w:r>
      <w:r w:rsidR="00BD5F76">
        <w:rPr>
          <w:rStyle w:val="af0"/>
          <w:rFonts w:ascii="David" w:hAnsi="David" w:cs="David"/>
          <w:sz w:val="24"/>
          <w:szCs w:val="24"/>
          <w:rtl/>
        </w:rPr>
        <w:footnoteReference w:id="7"/>
      </w:r>
      <w:r w:rsidR="00DC2D6B">
        <w:rPr>
          <w:rFonts w:ascii="David" w:hAnsi="David" w:cs="David" w:hint="cs"/>
          <w:sz w:val="24"/>
          <w:szCs w:val="24"/>
          <w:rtl/>
        </w:rPr>
        <w:t>.</w:t>
      </w:r>
      <w:r w:rsidR="008C6D6A">
        <w:rPr>
          <w:rFonts w:ascii="David" w:hAnsi="David" w:cs="David" w:hint="cs"/>
          <w:sz w:val="24"/>
          <w:szCs w:val="24"/>
          <w:rtl/>
        </w:rPr>
        <w:t xml:space="preserve"> </w:t>
      </w:r>
      <w:r w:rsidR="005E5C93">
        <w:rPr>
          <w:rFonts w:ascii="David" w:hAnsi="David" w:cs="David" w:hint="cs"/>
          <w:sz w:val="24"/>
          <w:szCs w:val="24"/>
          <w:rtl/>
        </w:rPr>
        <w:t>לדעתי</w:t>
      </w:r>
      <w:r w:rsidR="008C6D6A">
        <w:rPr>
          <w:rFonts w:ascii="David" w:hAnsi="David" w:cs="David" w:hint="cs"/>
          <w:sz w:val="24"/>
          <w:szCs w:val="24"/>
          <w:rtl/>
        </w:rPr>
        <w:t xml:space="preserve"> </w:t>
      </w:r>
      <w:r w:rsidR="00F91BC0">
        <w:rPr>
          <w:rFonts w:ascii="David" w:hAnsi="David" w:cs="David" w:hint="cs"/>
          <w:sz w:val="24"/>
          <w:szCs w:val="24"/>
          <w:rtl/>
        </w:rPr>
        <w:t>הפיכת הליך המשפט להליך שרובו נעשה בדלתיים סגורות יפגע בזכותו של הציבור לבקר את הרשויות הציבוריות במדינה ו</w:t>
      </w:r>
      <w:r w:rsidR="00BD5F76">
        <w:rPr>
          <w:rFonts w:ascii="David" w:hAnsi="David" w:cs="David" w:hint="cs"/>
          <w:sz w:val="24"/>
          <w:szCs w:val="24"/>
          <w:rtl/>
        </w:rPr>
        <w:t>אף יפגע ברשויות אשר ביקורות הציבור מאפשרות לה</w:t>
      </w:r>
      <w:r w:rsidR="005E5C93">
        <w:rPr>
          <w:rFonts w:ascii="David" w:hAnsi="David" w:cs="David" w:hint="cs"/>
          <w:sz w:val="24"/>
          <w:szCs w:val="24"/>
          <w:rtl/>
        </w:rPr>
        <w:t>ן להביא לשיפור פעולתן</w:t>
      </w:r>
      <w:r w:rsidR="00BD5F76">
        <w:rPr>
          <w:rStyle w:val="af0"/>
          <w:rFonts w:ascii="David" w:hAnsi="David" w:cs="David"/>
          <w:sz w:val="24"/>
          <w:szCs w:val="24"/>
          <w:rtl/>
        </w:rPr>
        <w:footnoteReference w:id="8"/>
      </w:r>
      <w:r w:rsidR="00BD5F76">
        <w:rPr>
          <w:rFonts w:ascii="David" w:hAnsi="David" w:cs="David" w:hint="cs"/>
          <w:sz w:val="24"/>
          <w:szCs w:val="24"/>
          <w:rtl/>
        </w:rPr>
        <w:t>. אני סבורה כי מעבר לקיום משפט בדלתיים סגורות</w:t>
      </w:r>
      <w:r w:rsidR="00F91BC0">
        <w:rPr>
          <w:rFonts w:ascii="David" w:hAnsi="David" w:cs="David" w:hint="cs"/>
          <w:sz w:val="24"/>
          <w:szCs w:val="24"/>
          <w:rtl/>
        </w:rPr>
        <w:t xml:space="preserve"> </w:t>
      </w:r>
      <w:r w:rsidR="005E5C93">
        <w:rPr>
          <w:rFonts w:ascii="David" w:hAnsi="David" w:cs="David" w:hint="cs"/>
          <w:sz w:val="24"/>
          <w:szCs w:val="24"/>
          <w:rtl/>
        </w:rPr>
        <w:t xml:space="preserve">כברירת מחדל עשוי </w:t>
      </w:r>
      <w:r w:rsidR="00F91BC0">
        <w:rPr>
          <w:rFonts w:ascii="David" w:hAnsi="David" w:cs="David" w:hint="cs"/>
          <w:sz w:val="24"/>
          <w:szCs w:val="24"/>
          <w:rtl/>
        </w:rPr>
        <w:t xml:space="preserve">להביא לאי אמון הציבור במערכת המשפט </w:t>
      </w:r>
      <w:r w:rsidR="005E5C93">
        <w:rPr>
          <w:rFonts w:ascii="David" w:hAnsi="David" w:cs="David" w:hint="cs"/>
          <w:sz w:val="24"/>
          <w:szCs w:val="24"/>
          <w:rtl/>
        </w:rPr>
        <w:t>ולכן לא כדאי לנקוט בשינוי זה</w:t>
      </w:r>
      <w:r w:rsidR="00BD5F76">
        <w:rPr>
          <w:rFonts w:ascii="David" w:hAnsi="David" w:cs="David" w:hint="cs"/>
          <w:sz w:val="24"/>
          <w:szCs w:val="24"/>
          <w:rtl/>
        </w:rPr>
        <w:t>.</w:t>
      </w:r>
    </w:p>
    <w:p w:rsidR="001447C2" w:rsidRPr="001B0C6F" w:rsidRDefault="00DC2D6B" w:rsidP="005E5C93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C6D6A">
        <w:rPr>
          <w:rFonts w:ascii="David" w:hAnsi="David" w:cs="David" w:hint="cs"/>
          <w:sz w:val="24"/>
          <w:szCs w:val="24"/>
          <w:rtl/>
        </w:rPr>
        <w:t xml:space="preserve"> </w:t>
      </w:r>
      <w:r w:rsidR="00DB3C49">
        <w:rPr>
          <w:rFonts w:ascii="David" w:hAnsi="David" w:cs="David" w:hint="cs"/>
          <w:sz w:val="24"/>
          <w:szCs w:val="24"/>
          <w:rtl/>
        </w:rPr>
        <w:t>לסיכום, בנייר עמדה זה דנתי בסוגיה שעולה מעצם קיומו של עקרון פומביות הדיון</w:t>
      </w:r>
      <w:r w:rsidR="00DB3C49">
        <w:rPr>
          <w:rStyle w:val="af0"/>
          <w:rFonts w:ascii="David" w:hAnsi="David" w:cs="David"/>
          <w:sz w:val="24"/>
          <w:szCs w:val="24"/>
          <w:rtl/>
        </w:rPr>
        <w:footnoteReference w:id="9"/>
      </w:r>
      <w:r w:rsidR="00DB3C49">
        <w:rPr>
          <w:rFonts w:ascii="David" w:hAnsi="David" w:cs="David" w:hint="cs"/>
          <w:sz w:val="24"/>
          <w:szCs w:val="24"/>
          <w:rtl/>
        </w:rPr>
        <w:t xml:space="preserve">. אני סבורה כי בנוגע לסוגיית קיום הליכים לא פומביים, ישנם חסרונות רבים העולים על היתרונות. </w:t>
      </w:r>
      <w:r w:rsidR="00F9330B">
        <w:rPr>
          <w:rFonts w:ascii="David" w:hAnsi="David" w:cs="David" w:hint="cs"/>
          <w:sz w:val="24"/>
          <w:szCs w:val="24"/>
          <w:rtl/>
        </w:rPr>
        <w:t>עקרון פומביות הדיון הינו עיקרון בעל חשיבות רבה בעייני ופגיעה בו תהווה פגיעה באינטרס הציבור ואף יכול לגרום לפגיעה במטרות המשפט הפלילי.</w:t>
      </w:r>
      <w:bookmarkStart w:id="0" w:name="_GoBack"/>
      <w:bookmarkEnd w:id="0"/>
    </w:p>
    <w:sectPr w:rsidR="001447C2" w:rsidRPr="001B0C6F" w:rsidSect="00D7049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59" w:rsidRDefault="00972A59" w:rsidP="00A705BB">
      <w:pPr>
        <w:spacing w:after="0" w:line="240" w:lineRule="auto"/>
      </w:pPr>
      <w:r>
        <w:separator/>
      </w:r>
    </w:p>
  </w:endnote>
  <w:endnote w:type="continuationSeparator" w:id="0">
    <w:p w:rsidR="00972A59" w:rsidRDefault="00972A59" w:rsidP="00A7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59" w:rsidRDefault="00972A59" w:rsidP="00A705BB">
      <w:pPr>
        <w:spacing w:after="0" w:line="240" w:lineRule="auto"/>
      </w:pPr>
      <w:r>
        <w:separator/>
      </w:r>
    </w:p>
  </w:footnote>
  <w:footnote w:type="continuationSeparator" w:id="0">
    <w:p w:rsidR="00972A59" w:rsidRDefault="00972A59" w:rsidP="00A705BB">
      <w:pPr>
        <w:spacing w:after="0" w:line="240" w:lineRule="auto"/>
      </w:pPr>
      <w:r>
        <w:continuationSeparator/>
      </w:r>
    </w:p>
  </w:footnote>
  <w:footnote w:id="1">
    <w:p w:rsidR="00BD5F76" w:rsidRDefault="00BD5F76">
      <w:pPr>
        <w:pStyle w:val="ae"/>
        <w:rPr>
          <w:rFonts w:hint="cs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="00033645" w:rsidRPr="00033645">
        <w:rPr>
          <w:rFonts w:ascii="David" w:hAnsi="David" w:cs="David" w:hint="cs"/>
          <w:rtl/>
        </w:rPr>
        <w:t xml:space="preserve">אסף הרדוף "ההליך הוא הביוש: השיימינג של הפרוצדורה הפלילית" </w:t>
      </w:r>
      <w:r w:rsidR="00033645" w:rsidRPr="00033645">
        <w:rPr>
          <w:rFonts w:ascii="David" w:hAnsi="David" w:cs="David" w:hint="cs"/>
          <w:b/>
          <w:bCs/>
          <w:rtl/>
        </w:rPr>
        <w:t>משפט ועסקים</w:t>
      </w:r>
      <w:r w:rsidR="00033645" w:rsidRPr="00033645">
        <w:rPr>
          <w:rFonts w:ascii="David" w:hAnsi="David" w:cs="David" w:hint="cs"/>
          <w:rtl/>
        </w:rPr>
        <w:t xml:space="preserve"> כג (צפוי להתפרסם ב2020)</w:t>
      </w:r>
      <w:r w:rsidR="00033645">
        <w:rPr>
          <w:rFonts w:hint="cs"/>
          <w:rtl/>
        </w:rPr>
        <w:t>.</w:t>
      </w:r>
    </w:p>
  </w:footnote>
  <w:footnote w:id="2">
    <w:p w:rsidR="000D76A4" w:rsidRDefault="000D76A4">
      <w:pPr>
        <w:pStyle w:val="ae"/>
        <w:rPr>
          <w:rFonts w:hint="cs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="00033645" w:rsidRPr="00033645">
        <w:rPr>
          <w:rFonts w:ascii="David" w:hAnsi="David" w:cs="David" w:hint="cs"/>
          <w:rtl/>
        </w:rPr>
        <w:t>הרדוף, לעיל ה"ש 1, עמ' 21.</w:t>
      </w:r>
    </w:p>
  </w:footnote>
  <w:footnote w:id="3">
    <w:p w:rsidR="00BD5F76" w:rsidRDefault="00BD5F76">
      <w:pPr>
        <w:pStyle w:val="ae"/>
        <w:rPr>
          <w:rFonts w:hint="cs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="00033645" w:rsidRPr="00033645">
        <w:rPr>
          <w:rFonts w:ascii="David" w:hAnsi="David" w:cs="David" w:hint="cs"/>
          <w:rtl/>
        </w:rPr>
        <w:t>ס'3 לחוק סוד: השפיטה.</w:t>
      </w:r>
    </w:p>
  </w:footnote>
  <w:footnote w:id="4">
    <w:p w:rsidR="001447C2" w:rsidRPr="00DB3C49" w:rsidRDefault="001447C2" w:rsidP="00804832">
      <w:pPr>
        <w:pStyle w:val="ae"/>
        <w:rPr>
          <w:rFonts w:ascii="David" w:hAnsi="David" w:cs="David" w:hint="cs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="00DB3C49" w:rsidRPr="00DB3C49">
        <w:rPr>
          <w:rFonts w:ascii="David" w:hAnsi="David" w:cs="David" w:hint="cs"/>
          <w:rtl/>
        </w:rPr>
        <w:t>בשורה רגב</w:t>
      </w:r>
      <w:r w:rsidR="00804832" w:rsidRPr="00DB3C49">
        <w:rPr>
          <w:rFonts w:ascii="David" w:hAnsi="David" w:cs="David" w:hint="cs"/>
          <w:rtl/>
        </w:rPr>
        <w:t xml:space="preserve"> </w:t>
      </w:r>
      <w:r w:rsidR="00804832" w:rsidRPr="00DB3C49">
        <w:rPr>
          <w:rFonts w:ascii="David" w:hAnsi="David" w:cs="David" w:hint="cs"/>
          <w:b/>
          <w:bCs/>
          <w:rtl/>
        </w:rPr>
        <w:t>היבטים</w:t>
      </w:r>
      <w:r w:rsidR="00804832" w:rsidRPr="00DB3C49">
        <w:rPr>
          <w:rFonts w:ascii="David" w:hAnsi="David" w:cs="David"/>
          <w:b/>
          <w:bCs/>
          <w:rtl/>
        </w:rPr>
        <w:t xml:space="preserve"> </w:t>
      </w:r>
      <w:r w:rsidR="00804832" w:rsidRPr="00DB3C49">
        <w:rPr>
          <w:rFonts w:ascii="David" w:hAnsi="David" w:cs="David" w:hint="cs"/>
          <w:b/>
          <w:bCs/>
          <w:rtl/>
        </w:rPr>
        <w:t>כלכליים</w:t>
      </w:r>
      <w:r w:rsidR="00804832" w:rsidRPr="00DB3C49">
        <w:rPr>
          <w:rFonts w:ascii="David" w:hAnsi="David" w:cs="David"/>
          <w:b/>
          <w:bCs/>
          <w:rtl/>
        </w:rPr>
        <w:t xml:space="preserve"> </w:t>
      </w:r>
      <w:r w:rsidR="00804832" w:rsidRPr="00DB3C49">
        <w:rPr>
          <w:rFonts w:ascii="David" w:hAnsi="David" w:cs="David" w:hint="cs"/>
          <w:b/>
          <w:bCs/>
          <w:rtl/>
        </w:rPr>
        <w:t>וכמותיים</w:t>
      </w:r>
      <w:r w:rsidR="00804832" w:rsidRPr="00DB3C49">
        <w:rPr>
          <w:rFonts w:ascii="David" w:hAnsi="David" w:cs="David"/>
          <w:b/>
          <w:bCs/>
          <w:rtl/>
        </w:rPr>
        <w:t xml:space="preserve"> </w:t>
      </w:r>
      <w:r w:rsidR="00804832" w:rsidRPr="00DB3C49">
        <w:rPr>
          <w:rFonts w:ascii="David" w:hAnsi="David" w:cs="David" w:hint="cs"/>
          <w:b/>
          <w:bCs/>
          <w:rtl/>
        </w:rPr>
        <w:t>למדיניות</w:t>
      </w:r>
      <w:r w:rsidR="00804832" w:rsidRPr="00DB3C49">
        <w:rPr>
          <w:rFonts w:ascii="David" w:hAnsi="David" w:cs="David" w:hint="cs"/>
          <w:b/>
          <w:bCs/>
          <w:rtl/>
        </w:rPr>
        <w:t xml:space="preserve"> </w:t>
      </w:r>
      <w:r w:rsidR="00804832" w:rsidRPr="00DB3C49">
        <w:rPr>
          <w:rFonts w:ascii="David" w:hAnsi="David" w:cs="David" w:hint="cs"/>
          <w:b/>
          <w:bCs/>
          <w:rtl/>
        </w:rPr>
        <w:t>אכיפת</w:t>
      </w:r>
      <w:r w:rsidR="00804832" w:rsidRPr="00DB3C49">
        <w:rPr>
          <w:rFonts w:ascii="David" w:hAnsi="David" w:cs="David"/>
          <w:b/>
          <w:bCs/>
          <w:rtl/>
        </w:rPr>
        <w:t xml:space="preserve"> </w:t>
      </w:r>
      <w:r w:rsidR="00804832" w:rsidRPr="00DB3C49">
        <w:rPr>
          <w:rFonts w:ascii="David" w:hAnsi="David" w:cs="David" w:hint="cs"/>
          <w:b/>
          <w:bCs/>
          <w:rtl/>
        </w:rPr>
        <w:t>חוק</w:t>
      </w:r>
      <w:r w:rsidR="00804832" w:rsidRPr="00DB3C49">
        <w:rPr>
          <w:rFonts w:ascii="David" w:hAnsi="David" w:cs="David"/>
          <w:b/>
          <w:bCs/>
          <w:rtl/>
        </w:rPr>
        <w:t xml:space="preserve"> </w:t>
      </w:r>
      <w:r w:rsidR="00804832" w:rsidRPr="00DB3C49">
        <w:rPr>
          <w:rFonts w:ascii="David" w:hAnsi="David" w:cs="David" w:hint="cs"/>
          <w:b/>
          <w:bCs/>
          <w:rtl/>
        </w:rPr>
        <w:t>של</w:t>
      </w:r>
      <w:r w:rsidR="00804832" w:rsidRPr="00DB3C49">
        <w:rPr>
          <w:rFonts w:ascii="David" w:hAnsi="David" w:cs="David"/>
          <w:b/>
          <w:bCs/>
          <w:rtl/>
        </w:rPr>
        <w:t xml:space="preserve"> </w:t>
      </w:r>
      <w:r w:rsidR="00804832" w:rsidRPr="00DB3C49">
        <w:rPr>
          <w:rFonts w:ascii="David" w:hAnsi="David" w:cs="David" w:hint="cs"/>
          <w:b/>
          <w:bCs/>
          <w:rtl/>
        </w:rPr>
        <w:t>עבירות</w:t>
      </w:r>
      <w:r w:rsidR="00804832" w:rsidRPr="00DB3C49">
        <w:rPr>
          <w:rFonts w:ascii="David" w:hAnsi="David" w:cs="David"/>
          <w:b/>
          <w:bCs/>
          <w:rtl/>
        </w:rPr>
        <w:t xml:space="preserve"> </w:t>
      </w:r>
      <w:r w:rsidR="00804832" w:rsidRPr="00DB3C49">
        <w:rPr>
          <w:rFonts w:ascii="David" w:hAnsi="David" w:cs="David" w:hint="cs"/>
          <w:b/>
          <w:bCs/>
          <w:rtl/>
        </w:rPr>
        <w:t>צווארון</w:t>
      </w:r>
      <w:r w:rsidR="00804832" w:rsidRPr="00DB3C49">
        <w:rPr>
          <w:rFonts w:ascii="David" w:hAnsi="David" w:cs="David"/>
          <w:b/>
          <w:bCs/>
          <w:rtl/>
        </w:rPr>
        <w:t xml:space="preserve"> </w:t>
      </w:r>
      <w:r w:rsidR="00804832" w:rsidRPr="00DB3C49">
        <w:rPr>
          <w:rFonts w:ascii="David" w:hAnsi="David" w:cs="David" w:hint="cs"/>
          <w:b/>
          <w:bCs/>
          <w:rtl/>
        </w:rPr>
        <w:t>לבן</w:t>
      </w:r>
      <w:r w:rsidR="00804832" w:rsidRPr="00DB3C49">
        <w:rPr>
          <w:rFonts w:ascii="David" w:hAnsi="David" w:cs="David"/>
          <w:b/>
          <w:bCs/>
          <w:rtl/>
        </w:rPr>
        <w:t xml:space="preserve"> </w:t>
      </w:r>
      <w:r w:rsidR="00804832" w:rsidRPr="00DB3C49">
        <w:rPr>
          <w:rFonts w:ascii="David" w:hAnsi="David" w:cs="David" w:hint="cs"/>
          <w:b/>
          <w:bCs/>
          <w:rtl/>
        </w:rPr>
        <w:t>בישראל</w:t>
      </w:r>
      <w:r w:rsidR="00DB3C49">
        <w:rPr>
          <w:rFonts w:hint="cs"/>
          <w:rtl/>
        </w:rPr>
        <w:t xml:space="preserve"> </w:t>
      </w:r>
      <w:r w:rsidR="00DB3C49" w:rsidRPr="00DB3C49">
        <w:rPr>
          <w:rFonts w:ascii="David" w:hAnsi="David" w:cs="David" w:hint="cs"/>
          <w:rtl/>
        </w:rPr>
        <w:t>עמוד 138 (חיבור</w:t>
      </w:r>
      <w:r w:rsidR="00DB3C49" w:rsidRPr="00DB3C49">
        <w:rPr>
          <w:rFonts w:ascii="David" w:hAnsi="David" w:cs="David"/>
          <w:rtl/>
        </w:rPr>
        <w:t xml:space="preserve"> </w:t>
      </w:r>
      <w:r w:rsidR="00DB3C49" w:rsidRPr="00DB3C49">
        <w:rPr>
          <w:rFonts w:ascii="David" w:hAnsi="David" w:cs="David" w:hint="cs"/>
          <w:rtl/>
        </w:rPr>
        <w:t>לשם</w:t>
      </w:r>
      <w:r w:rsidR="00DB3C49" w:rsidRPr="00DB3C49">
        <w:rPr>
          <w:rFonts w:ascii="David" w:hAnsi="David" w:cs="David"/>
          <w:rtl/>
        </w:rPr>
        <w:t xml:space="preserve"> </w:t>
      </w:r>
      <w:r w:rsidR="00DB3C49" w:rsidRPr="00DB3C49">
        <w:rPr>
          <w:rFonts w:ascii="David" w:hAnsi="David" w:cs="David" w:hint="cs"/>
          <w:rtl/>
        </w:rPr>
        <w:t>קבלת</w:t>
      </w:r>
      <w:r w:rsidR="00DB3C49" w:rsidRPr="00DB3C49">
        <w:rPr>
          <w:rFonts w:ascii="David" w:hAnsi="David" w:cs="David"/>
          <w:rtl/>
        </w:rPr>
        <w:t xml:space="preserve"> </w:t>
      </w:r>
      <w:r w:rsidR="00DB3C49" w:rsidRPr="00DB3C49">
        <w:rPr>
          <w:rFonts w:ascii="David" w:hAnsi="David" w:cs="David" w:hint="cs"/>
          <w:rtl/>
        </w:rPr>
        <w:t>תואר</w:t>
      </w:r>
      <w:r w:rsidR="00DB3C49" w:rsidRPr="00DB3C49">
        <w:rPr>
          <w:rFonts w:ascii="David" w:hAnsi="David" w:cs="David"/>
          <w:rtl/>
        </w:rPr>
        <w:t xml:space="preserve"> </w:t>
      </w:r>
      <w:r w:rsidR="00DB3C49" w:rsidRPr="00DB3C49">
        <w:rPr>
          <w:rFonts w:ascii="David" w:hAnsi="David" w:cs="David" w:hint="cs"/>
          <w:rtl/>
        </w:rPr>
        <w:t>דוקטור</w:t>
      </w:r>
      <w:r w:rsidR="00DB3C49" w:rsidRPr="00DB3C49">
        <w:rPr>
          <w:rFonts w:ascii="David" w:hAnsi="David" w:cs="David"/>
          <w:rtl/>
        </w:rPr>
        <w:t xml:space="preserve"> </w:t>
      </w:r>
      <w:r w:rsidR="00DB3C49" w:rsidRPr="00DB3C49">
        <w:rPr>
          <w:rFonts w:ascii="David" w:hAnsi="David" w:cs="David" w:hint="cs"/>
          <w:rtl/>
        </w:rPr>
        <w:t>לפילוסופיה (משפטים), האוניברסיטה העברית בירושלים - הפקולטה למדעי הרוח, 2008).</w:t>
      </w:r>
    </w:p>
  </w:footnote>
  <w:footnote w:id="5">
    <w:p w:rsidR="00BD5F76" w:rsidRDefault="00BD5F76">
      <w:pPr>
        <w:pStyle w:val="ae"/>
        <w:rPr>
          <w:rFonts w:hint="cs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="00FB3BFE" w:rsidRPr="00FB3801">
        <w:rPr>
          <w:rFonts w:ascii="David" w:hAnsi="David" w:cs="David" w:hint="cs"/>
          <w:rtl/>
        </w:rPr>
        <w:t>ע</w:t>
      </w:r>
      <w:r w:rsidR="00FB3BFE" w:rsidRPr="00FB3801">
        <w:rPr>
          <w:rFonts w:ascii="David" w:hAnsi="David" w:cs="David"/>
          <w:rtl/>
        </w:rPr>
        <w:t>"</w:t>
      </w:r>
      <w:r w:rsidR="00FB3BFE" w:rsidRPr="00FB3801">
        <w:rPr>
          <w:rFonts w:ascii="David" w:hAnsi="David" w:cs="David" w:hint="cs"/>
          <w:rtl/>
        </w:rPr>
        <w:t>פ</w:t>
      </w:r>
      <w:r w:rsidR="00FB3BFE" w:rsidRPr="00FB3801">
        <w:rPr>
          <w:rFonts w:ascii="David" w:hAnsi="David" w:cs="David"/>
          <w:rtl/>
        </w:rPr>
        <w:t xml:space="preserve"> 3927/16 </w:t>
      </w:r>
      <w:r w:rsidR="00FB3BFE" w:rsidRPr="00FB3801">
        <w:rPr>
          <w:rFonts w:ascii="David" w:hAnsi="David" w:cs="David" w:hint="cs"/>
          <w:rtl/>
        </w:rPr>
        <w:t>מדינת</w:t>
      </w:r>
      <w:r w:rsidR="00FB3BFE" w:rsidRPr="00FB3801">
        <w:rPr>
          <w:rFonts w:ascii="David" w:hAnsi="David" w:cs="David"/>
          <w:rtl/>
        </w:rPr>
        <w:t xml:space="preserve"> </w:t>
      </w:r>
      <w:r w:rsidR="00FB3BFE" w:rsidRPr="00FB3801">
        <w:rPr>
          <w:rFonts w:ascii="David" w:hAnsi="David" w:cs="David" w:hint="cs"/>
          <w:rtl/>
        </w:rPr>
        <w:t>ישראל</w:t>
      </w:r>
      <w:r w:rsidR="00FB3BFE" w:rsidRPr="00FB3801">
        <w:rPr>
          <w:rFonts w:ascii="David" w:hAnsi="David" w:cs="David"/>
          <w:rtl/>
        </w:rPr>
        <w:t xml:space="preserve"> </w:t>
      </w:r>
      <w:r w:rsidR="00FB3BFE" w:rsidRPr="00FB3801">
        <w:rPr>
          <w:rFonts w:ascii="David" w:hAnsi="David" w:cs="David" w:hint="cs"/>
          <w:rtl/>
        </w:rPr>
        <w:t>נ</w:t>
      </w:r>
      <w:r w:rsidR="00FB3BFE" w:rsidRPr="00FB3801">
        <w:rPr>
          <w:rFonts w:ascii="David" w:hAnsi="David" w:cs="David"/>
          <w:rtl/>
        </w:rPr>
        <w:t xml:space="preserve">' </w:t>
      </w:r>
      <w:r w:rsidR="00FB3BFE" w:rsidRPr="00FB3801">
        <w:rPr>
          <w:rFonts w:ascii="David" w:hAnsi="David" w:cs="David" w:hint="cs"/>
          <w:rtl/>
        </w:rPr>
        <w:t>בר</w:t>
      </w:r>
      <w:r w:rsidR="00FB3BFE" w:rsidRPr="00FB3801">
        <w:rPr>
          <w:rFonts w:ascii="David" w:hAnsi="David" w:cs="David"/>
          <w:rtl/>
        </w:rPr>
        <w:t xml:space="preserve"> </w:t>
      </w:r>
      <w:r w:rsidR="00FB3BFE" w:rsidRPr="00FB3801">
        <w:rPr>
          <w:rFonts w:ascii="David" w:hAnsi="David" w:cs="David" w:hint="cs"/>
          <w:rtl/>
        </w:rPr>
        <w:t>זיו</w:t>
      </w:r>
      <w:r w:rsidR="00FB3801" w:rsidRPr="00FB3801">
        <w:rPr>
          <w:rFonts w:ascii="David" w:hAnsi="David" w:cs="David"/>
          <w:rtl/>
        </w:rPr>
        <w:t xml:space="preserve"> (23.2.2017)</w:t>
      </w:r>
      <w:r w:rsidR="00FB3801">
        <w:rPr>
          <w:rFonts w:hint="cs"/>
          <w:rtl/>
        </w:rPr>
        <w:t>.</w:t>
      </w:r>
    </w:p>
  </w:footnote>
  <w:footnote w:id="6">
    <w:p w:rsidR="00BD5F76" w:rsidRDefault="00BD5F76">
      <w:pPr>
        <w:pStyle w:val="ae"/>
        <w:rPr>
          <w:rFonts w:hint="cs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="00033645" w:rsidRPr="00033645">
        <w:rPr>
          <w:rFonts w:ascii="David" w:hAnsi="David" w:cs="David" w:hint="cs"/>
          <w:rtl/>
        </w:rPr>
        <w:t>ס'1, חוק חופש המידע, תשנ"ח-1988</w:t>
      </w:r>
    </w:p>
  </w:footnote>
  <w:footnote w:id="7">
    <w:p w:rsidR="00BD5F76" w:rsidRDefault="00BD5F76">
      <w:pPr>
        <w:pStyle w:val="ae"/>
        <w:rPr>
          <w:rFonts w:hint="cs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="00FB3BFE" w:rsidRPr="00FB3BFE">
        <w:rPr>
          <w:rFonts w:ascii="David" w:hAnsi="David" w:cs="David" w:hint="cs"/>
          <w:rtl/>
        </w:rPr>
        <w:t>בג"ץ 258/07 ח"כ זהבה גלאון נ' וועדת הבדיקה הממשלתית לבדיקת אירועי המערכת בלבנון 2006, פ"ד סב(1) 648 (2007).</w:t>
      </w:r>
    </w:p>
  </w:footnote>
  <w:footnote w:id="8">
    <w:p w:rsidR="00BD5F76" w:rsidRPr="001447C2" w:rsidRDefault="00BD5F76" w:rsidP="00FB24F1">
      <w:pPr>
        <w:pStyle w:val="ae"/>
        <w:rPr>
          <w:rFonts w:hint="cs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="00FB24F1" w:rsidRPr="00FB24F1">
        <w:rPr>
          <w:rFonts w:ascii="David" w:hAnsi="David" w:cs="David"/>
          <w:rtl/>
        </w:rPr>
        <w:t>עע"ם 398/07 התנועה לחופש המידע נ' רשות המיסים (פורסם בנבו, 23.9.2008).</w:t>
      </w:r>
    </w:p>
  </w:footnote>
  <w:footnote w:id="9">
    <w:p w:rsidR="00DB3C49" w:rsidRDefault="00DB3C49">
      <w:pPr>
        <w:pStyle w:val="ae"/>
        <w:rPr>
          <w:rFonts w:hint="cs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="00F9330B" w:rsidRPr="00F9330B">
        <w:rPr>
          <w:rFonts w:ascii="David" w:hAnsi="David" w:cs="David" w:hint="cs"/>
          <w:rtl/>
        </w:rPr>
        <w:t>ס</w:t>
      </w:r>
      <w:r w:rsidR="00F9330B" w:rsidRPr="00F9330B">
        <w:rPr>
          <w:rFonts w:ascii="David" w:hAnsi="David" w:cs="David"/>
          <w:rtl/>
        </w:rPr>
        <w:t xml:space="preserve">'3 </w:t>
      </w:r>
      <w:r w:rsidR="00F9330B" w:rsidRPr="00F9330B">
        <w:rPr>
          <w:rFonts w:ascii="David" w:hAnsi="David" w:cs="David" w:hint="cs"/>
          <w:rtl/>
        </w:rPr>
        <w:t>לחוק</w:t>
      </w:r>
      <w:r w:rsidR="00F9330B" w:rsidRPr="00F9330B">
        <w:rPr>
          <w:rFonts w:ascii="David" w:hAnsi="David" w:cs="David"/>
          <w:rtl/>
        </w:rPr>
        <w:t xml:space="preserve"> </w:t>
      </w:r>
      <w:r w:rsidR="00F9330B" w:rsidRPr="00F9330B">
        <w:rPr>
          <w:rFonts w:ascii="David" w:hAnsi="David" w:cs="David" w:hint="cs"/>
          <w:rtl/>
        </w:rPr>
        <w:t>סוד</w:t>
      </w:r>
      <w:r w:rsidR="00F9330B" w:rsidRPr="00F9330B">
        <w:rPr>
          <w:rFonts w:ascii="David" w:hAnsi="David" w:cs="David"/>
          <w:rtl/>
        </w:rPr>
        <w:t xml:space="preserve">: </w:t>
      </w:r>
      <w:r w:rsidR="00F9330B" w:rsidRPr="00F9330B">
        <w:rPr>
          <w:rFonts w:ascii="David" w:hAnsi="David" w:cs="David" w:hint="cs"/>
          <w:rtl/>
        </w:rPr>
        <w:t>השפיטה</w:t>
      </w:r>
      <w:r w:rsidR="00F9330B" w:rsidRPr="00F9330B">
        <w:rPr>
          <w:rFonts w:ascii="David" w:hAnsi="David" w:cs="David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BB" w:rsidRPr="00A705BB" w:rsidRDefault="00A705BB" w:rsidP="00A705BB">
    <w:pPr>
      <w:pStyle w:val="aa"/>
      <w:jc w:val="center"/>
      <w:rPr>
        <w:rFonts w:ascii="David" w:hAnsi="David" w:cs="David"/>
        <w:sz w:val="24"/>
        <w:szCs w:val="24"/>
      </w:rPr>
    </w:pPr>
    <w:r w:rsidRPr="00A705BB">
      <w:rPr>
        <w:rFonts w:ascii="David" w:hAnsi="David" w:cs="David"/>
        <w:sz w:val="24"/>
        <w:szCs w:val="24"/>
        <w:rtl/>
      </w:rPr>
      <w:t>נייר עמדה מיומנויות כתיבה - רז הלפרין 209222595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F"/>
    <w:rsid w:val="00033645"/>
    <w:rsid w:val="00091693"/>
    <w:rsid w:val="000D76A4"/>
    <w:rsid w:val="001447C2"/>
    <w:rsid w:val="001B0C6F"/>
    <w:rsid w:val="001C7672"/>
    <w:rsid w:val="00280955"/>
    <w:rsid w:val="00283055"/>
    <w:rsid w:val="00470A87"/>
    <w:rsid w:val="004766D9"/>
    <w:rsid w:val="004F7B3C"/>
    <w:rsid w:val="005E5C93"/>
    <w:rsid w:val="005F398F"/>
    <w:rsid w:val="00633761"/>
    <w:rsid w:val="006F365D"/>
    <w:rsid w:val="00775D38"/>
    <w:rsid w:val="007C676B"/>
    <w:rsid w:val="00804832"/>
    <w:rsid w:val="00817EE7"/>
    <w:rsid w:val="008C6D6A"/>
    <w:rsid w:val="00972A59"/>
    <w:rsid w:val="00974BE3"/>
    <w:rsid w:val="009807BB"/>
    <w:rsid w:val="00A02EEC"/>
    <w:rsid w:val="00A33386"/>
    <w:rsid w:val="00A63B58"/>
    <w:rsid w:val="00A705BB"/>
    <w:rsid w:val="00AF4DF0"/>
    <w:rsid w:val="00BD5F76"/>
    <w:rsid w:val="00CC6645"/>
    <w:rsid w:val="00CF15A0"/>
    <w:rsid w:val="00D70497"/>
    <w:rsid w:val="00DB3C49"/>
    <w:rsid w:val="00DC2D6B"/>
    <w:rsid w:val="00DD1100"/>
    <w:rsid w:val="00F5377F"/>
    <w:rsid w:val="00F83917"/>
    <w:rsid w:val="00F91BC0"/>
    <w:rsid w:val="00F9330B"/>
    <w:rsid w:val="00FB24F1"/>
    <w:rsid w:val="00FB3801"/>
    <w:rsid w:val="00FB3BFE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5487"/>
  <w15:chartTrackingRefBased/>
  <w15:docId w15:val="{FAB4A92B-3434-4CCB-8945-D0A352ED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6A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05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05BB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A705B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05BB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A705B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0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705BB"/>
    <w:rPr>
      <w:rFonts w:ascii="Tahoma" w:hAnsi="Tahoma" w:cs="Tahoma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05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A705BB"/>
  </w:style>
  <w:style w:type="paragraph" w:styleId="ac">
    <w:name w:val="footer"/>
    <w:basedOn w:val="a"/>
    <w:link w:val="ad"/>
    <w:uiPriority w:val="99"/>
    <w:unhideWhenUsed/>
    <w:rsid w:val="00A705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A705BB"/>
  </w:style>
  <w:style w:type="paragraph" w:styleId="ae">
    <w:name w:val="footnote text"/>
    <w:basedOn w:val="a"/>
    <w:link w:val="af"/>
    <w:uiPriority w:val="99"/>
    <w:semiHidden/>
    <w:unhideWhenUsed/>
    <w:rsid w:val="00775D38"/>
    <w:pPr>
      <w:spacing w:after="0"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775D3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75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6E25-0340-4C83-A801-50A5FBC5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383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12</cp:revision>
  <dcterms:created xsi:type="dcterms:W3CDTF">2020-12-23T19:09:00Z</dcterms:created>
  <dcterms:modified xsi:type="dcterms:W3CDTF">2020-12-25T15:47:00Z</dcterms:modified>
</cp:coreProperties>
</file>