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68E84" w14:textId="77777777" w:rsidR="00981EE1" w:rsidRDefault="00981EE1" w:rsidP="00981EE1">
      <w:pPr>
        <w:spacing w:after="120" w:line="360" w:lineRule="auto"/>
        <w:ind w:left="-908"/>
        <w:jc w:val="both"/>
        <w:rPr>
          <w:rFonts w:ascii="David" w:hAnsi="David" w:cs="David"/>
          <w:b/>
          <w:bCs/>
          <w:sz w:val="24"/>
          <w:szCs w:val="24"/>
          <w:u w:val="single"/>
          <w:rtl/>
        </w:rPr>
      </w:pPr>
      <w:r w:rsidRPr="0028029B">
        <w:rPr>
          <w:rFonts w:ascii="David" w:hAnsi="David" w:cs="David" w:hint="cs"/>
          <w:b/>
          <w:bCs/>
          <w:sz w:val="24"/>
          <w:szCs w:val="24"/>
          <w:u w:val="single"/>
          <w:rtl/>
        </w:rPr>
        <w:t xml:space="preserve">שיעור 1, </w:t>
      </w:r>
      <w:r>
        <w:rPr>
          <w:rFonts w:ascii="David" w:hAnsi="David" w:cs="David" w:hint="cs"/>
          <w:b/>
          <w:bCs/>
          <w:sz w:val="24"/>
          <w:szCs w:val="24"/>
          <w:u w:val="single"/>
          <w:rtl/>
        </w:rPr>
        <w:t>18.10.2020</w:t>
      </w:r>
    </w:p>
    <w:p w14:paraId="0D861747" w14:textId="77777777" w:rsidR="00981EE1" w:rsidRPr="00F97FB6" w:rsidRDefault="00981EE1" w:rsidP="00981EE1">
      <w:pPr>
        <w:ind w:left="3344"/>
        <w:rPr>
          <w:rFonts w:ascii="David" w:hAnsi="David" w:cs="David"/>
          <w:b/>
          <w:bCs/>
          <w:sz w:val="24"/>
          <w:szCs w:val="24"/>
          <w:u w:val="single"/>
          <w:rtl/>
        </w:rPr>
      </w:pPr>
      <w:r w:rsidRPr="00F97FB6">
        <w:rPr>
          <w:rFonts w:ascii="David" w:hAnsi="David" w:cs="David" w:hint="cs"/>
          <w:b/>
          <w:bCs/>
          <w:sz w:val="24"/>
          <w:szCs w:val="24"/>
          <w:u w:val="single"/>
          <w:rtl/>
        </w:rPr>
        <w:t>דרישות הקורס</w:t>
      </w:r>
    </w:p>
    <w:p w14:paraId="6C37B08B" w14:textId="77777777" w:rsidR="00B52A8F" w:rsidRPr="00B52A8F" w:rsidRDefault="00C4593B" w:rsidP="00B87D5E">
      <w:pPr>
        <w:pStyle w:val="a4"/>
        <w:numPr>
          <w:ilvl w:val="0"/>
          <w:numId w:val="2"/>
        </w:numPr>
        <w:spacing w:line="360" w:lineRule="auto"/>
        <w:ind w:left="-625"/>
        <w:jc w:val="both"/>
        <w:rPr>
          <w:rFonts w:ascii="David" w:hAnsi="David" w:cs="David"/>
          <w:sz w:val="24"/>
          <w:szCs w:val="24"/>
        </w:rPr>
      </w:pPr>
      <w:r>
        <w:rPr>
          <w:rFonts w:ascii="David" w:hAnsi="David" w:cs="David" w:hint="cs"/>
          <w:sz w:val="24"/>
          <w:szCs w:val="24"/>
          <w:rtl/>
        </w:rPr>
        <w:t>בחינה אמריקאית של 20 שאלות בחומר סגור. (80%)  והשתתפות פעילה בקורס (20%)</w:t>
      </w:r>
      <w:r w:rsidR="0076106F">
        <w:rPr>
          <w:rFonts w:ascii="David" w:hAnsi="David" w:cs="David" w:hint="cs"/>
          <w:sz w:val="24"/>
          <w:szCs w:val="24"/>
          <w:rtl/>
        </w:rPr>
        <w:t xml:space="preserve"> - נוכחות, שיעורי בית, השתתפות, שאלות, מענה ותשובות. </w:t>
      </w:r>
      <w:r w:rsidR="00B52A8F">
        <w:rPr>
          <w:rFonts w:ascii="David" w:hAnsi="David" w:cs="David" w:hint="cs"/>
          <w:sz w:val="24"/>
          <w:szCs w:val="24"/>
          <w:rtl/>
        </w:rPr>
        <w:t xml:space="preserve">בעיית חיבור לשיעור (מילואים/מחלה או סיבות אישיות שמונעות - צריך מייל מסודר עם מסמכים). חוסר השתתפות בלי הנמקה מוריד מהציון. </w:t>
      </w:r>
      <w:r w:rsidR="00D22FFE">
        <w:rPr>
          <w:rFonts w:ascii="David" w:hAnsi="David" w:cs="David" w:hint="cs"/>
          <w:sz w:val="24"/>
          <w:szCs w:val="24"/>
          <w:rtl/>
        </w:rPr>
        <w:t xml:space="preserve">במבחן: ברגע שענית על שאלה אתה לא יכול לחזור אחורה, אי אפשר לפתוח דברים תוך כדי הבחינה. 20 שאלות אמריקאיות למבחן, כל שאלה 5 אפשרויות, ו-5 נקודות לשאלה. </w:t>
      </w:r>
    </w:p>
    <w:p w14:paraId="2F7CB5B7" w14:textId="77777777" w:rsidR="00981EE1" w:rsidRDefault="00981EE1" w:rsidP="00981EE1">
      <w:pPr>
        <w:spacing w:after="120" w:line="360" w:lineRule="auto"/>
        <w:ind w:left="-341" w:firstLine="283"/>
        <w:jc w:val="center"/>
        <w:rPr>
          <w:rFonts w:ascii="David" w:hAnsi="David" w:cs="David"/>
          <w:b/>
          <w:bCs/>
          <w:color w:val="2F5496" w:themeColor="accent1" w:themeShade="BF"/>
          <w:sz w:val="24"/>
          <w:szCs w:val="24"/>
          <w:u w:val="single"/>
          <w:rtl/>
        </w:rPr>
      </w:pPr>
      <w:r w:rsidRPr="00F97FB6">
        <w:rPr>
          <w:rFonts w:ascii="David" w:hAnsi="David" w:cs="David" w:hint="cs"/>
          <w:b/>
          <w:bCs/>
          <w:color w:val="2F5496" w:themeColor="accent1" w:themeShade="BF"/>
          <w:sz w:val="24"/>
          <w:szCs w:val="24"/>
          <w:u w:val="single"/>
          <w:rtl/>
        </w:rPr>
        <w:t>חלק א' ל</w:t>
      </w:r>
      <w:r w:rsidR="00F97FB6" w:rsidRPr="00F97FB6">
        <w:rPr>
          <w:rFonts w:ascii="David" w:hAnsi="David" w:cs="David" w:hint="cs"/>
          <w:b/>
          <w:bCs/>
          <w:color w:val="2F5496" w:themeColor="accent1" w:themeShade="BF"/>
          <w:sz w:val="24"/>
          <w:szCs w:val="24"/>
          <w:u w:val="single"/>
          <w:rtl/>
        </w:rPr>
        <w:t>קורס</w:t>
      </w:r>
      <w:r w:rsidRPr="00F97FB6">
        <w:rPr>
          <w:rFonts w:ascii="David" w:hAnsi="David" w:cs="David" w:hint="cs"/>
          <w:b/>
          <w:bCs/>
          <w:color w:val="2F5496" w:themeColor="accent1" w:themeShade="BF"/>
          <w:sz w:val="24"/>
          <w:szCs w:val="24"/>
          <w:u w:val="single"/>
          <w:rtl/>
        </w:rPr>
        <w:t xml:space="preserve"> - מבוא</w:t>
      </w:r>
      <w:r w:rsidR="004D54BF" w:rsidRPr="00F97FB6">
        <w:rPr>
          <w:rFonts w:ascii="David" w:hAnsi="David" w:cs="David" w:hint="cs"/>
          <w:b/>
          <w:bCs/>
          <w:color w:val="2F5496" w:themeColor="accent1" w:themeShade="BF"/>
          <w:sz w:val="24"/>
          <w:szCs w:val="24"/>
          <w:u w:val="single"/>
          <w:rtl/>
        </w:rPr>
        <w:t xml:space="preserve"> והקדמה קווים כלליים לקורס</w:t>
      </w:r>
    </w:p>
    <w:p w14:paraId="5E53F2A3" w14:textId="77777777" w:rsidR="0078064B" w:rsidRPr="0078064B" w:rsidRDefault="0078064B" w:rsidP="0078064B">
      <w:pPr>
        <w:pStyle w:val="a4"/>
        <w:spacing w:after="120" w:line="360" w:lineRule="auto"/>
        <w:ind w:left="-625"/>
        <w:jc w:val="both"/>
        <w:rPr>
          <w:rFonts w:ascii="David" w:hAnsi="David" w:cs="David"/>
          <w:b/>
          <w:bCs/>
          <w:sz w:val="24"/>
          <w:szCs w:val="24"/>
          <w:u w:val="single"/>
        </w:rPr>
      </w:pPr>
      <w:r w:rsidRPr="0078064B">
        <w:rPr>
          <w:rFonts w:ascii="David" w:hAnsi="David" w:cs="David" w:hint="cs"/>
          <w:b/>
          <w:bCs/>
          <w:sz w:val="24"/>
          <w:szCs w:val="24"/>
          <w:u w:val="single"/>
          <w:rtl/>
        </w:rPr>
        <w:t>הצגת נושא הקורס</w:t>
      </w:r>
    </w:p>
    <w:p w14:paraId="55904A27" w14:textId="77777777" w:rsidR="0078064B" w:rsidRDefault="00B52A8F" w:rsidP="00B87D5E">
      <w:pPr>
        <w:pStyle w:val="a4"/>
        <w:numPr>
          <w:ilvl w:val="0"/>
          <w:numId w:val="3"/>
        </w:numPr>
        <w:spacing w:after="120" w:line="360" w:lineRule="auto"/>
        <w:ind w:left="-625"/>
        <w:jc w:val="both"/>
        <w:rPr>
          <w:rFonts w:ascii="David" w:hAnsi="David" w:cs="David"/>
          <w:sz w:val="24"/>
          <w:szCs w:val="24"/>
        </w:rPr>
      </w:pPr>
      <w:r>
        <w:rPr>
          <w:rFonts w:ascii="David" w:hAnsi="David" w:cs="David" w:hint="cs"/>
          <w:sz w:val="24"/>
          <w:szCs w:val="24"/>
          <w:rtl/>
        </w:rPr>
        <w:t xml:space="preserve">על כל אזרח חל הדין הכללי, וזה לא משנה אם מישהו עבר באור אדום הם הוא מובטל או עו"ד וכו'. הדין המשמעתי הוא שונה - הוא חל </w:t>
      </w:r>
      <w:r w:rsidR="0078064B">
        <w:rPr>
          <w:rFonts w:ascii="David" w:hAnsi="David" w:cs="David" w:hint="cs"/>
          <w:sz w:val="24"/>
          <w:szCs w:val="24"/>
          <w:rtl/>
        </w:rPr>
        <w:t>סטטוטורי</w:t>
      </w:r>
      <w:r w:rsidR="0078064B">
        <w:rPr>
          <w:rFonts w:ascii="David" w:hAnsi="David" w:cs="David" w:hint="eastAsia"/>
          <w:sz w:val="24"/>
          <w:szCs w:val="24"/>
          <w:rtl/>
        </w:rPr>
        <w:t>ת</w:t>
      </w:r>
      <w:r>
        <w:rPr>
          <w:rFonts w:ascii="David" w:hAnsi="David" w:cs="David" w:hint="cs"/>
          <w:sz w:val="24"/>
          <w:szCs w:val="24"/>
          <w:rtl/>
        </w:rPr>
        <w:t xml:space="preserve"> או מכוח הסכם.</w:t>
      </w:r>
      <w:r w:rsidR="0078064B">
        <w:rPr>
          <w:rFonts w:ascii="David" w:hAnsi="David" w:cs="David" w:hint="cs"/>
          <w:sz w:val="24"/>
          <w:szCs w:val="24"/>
          <w:rtl/>
        </w:rPr>
        <w:t xml:space="preserve"> משרתי הציבור, בעלי המקצועות </w:t>
      </w:r>
      <w:proofErr w:type="spellStart"/>
      <w:r w:rsidR="0078064B">
        <w:rPr>
          <w:rFonts w:ascii="David" w:hAnsi="David" w:cs="David" w:hint="cs"/>
          <w:sz w:val="24"/>
          <w:szCs w:val="24"/>
          <w:rtl/>
        </w:rPr>
        <w:t>הסטטוטורים</w:t>
      </w:r>
      <w:proofErr w:type="spellEnd"/>
      <w:r w:rsidR="0078064B">
        <w:rPr>
          <w:rFonts w:ascii="David" w:hAnsi="David" w:cs="David" w:hint="cs"/>
          <w:sz w:val="24"/>
          <w:szCs w:val="24"/>
          <w:rtl/>
        </w:rPr>
        <w:t xml:space="preserve"> וכאלו שקיבלו עליהם כללי התנהגות וכללי אתיקה מכוח הסכם נוסף על המארג הנורמטיבי שחל ברגיל על כל אזרח באשר הוא כפופים למערך נוסף, ייחוסי להם ולהם בלבד - הדין המשמעתי. </w:t>
      </w:r>
    </w:p>
    <w:p w14:paraId="1B79AC70" w14:textId="77777777" w:rsidR="00A95EF0" w:rsidRDefault="00B52A8F" w:rsidP="00B87D5E">
      <w:pPr>
        <w:pStyle w:val="a4"/>
        <w:numPr>
          <w:ilvl w:val="0"/>
          <w:numId w:val="3"/>
        </w:numPr>
        <w:spacing w:after="120" w:line="360" w:lineRule="auto"/>
        <w:ind w:left="-625"/>
        <w:jc w:val="both"/>
        <w:rPr>
          <w:rFonts w:ascii="David" w:hAnsi="David" w:cs="David"/>
          <w:sz w:val="24"/>
          <w:szCs w:val="24"/>
        </w:rPr>
      </w:pPr>
      <w:r>
        <w:rPr>
          <w:rFonts w:ascii="David" w:hAnsi="David" w:cs="David" w:hint="cs"/>
          <w:sz w:val="24"/>
          <w:szCs w:val="24"/>
          <w:rtl/>
        </w:rPr>
        <w:t xml:space="preserve"> למשל - ועדת המשמעת קמה מכוח הסכם, אלו לא ועדות משמעת סטטוטוריות מכוח חוק, אלא מכוח הסכם. כך גם ועדות המשמעת של הספורט - סגן נשיא בית הדין העליון של השחמט, שחמטאים שעשו עברות אתיות. </w:t>
      </w:r>
      <w:r w:rsidR="0078064B">
        <w:rPr>
          <w:rFonts w:ascii="David" w:hAnsi="David" w:cs="David" w:hint="cs"/>
          <w:sz w:val="24"/>
          <w:szCs w:val="24"/>
          <w:rtl/>
        </w:rPr>
        <w:t xml:space="preserve">אלה דינים משמעתיים מכוח הסכם. </w:t>
      </w:r>
    </w:p>
    <w:p w14:paraId="25D8F83D" w14:textId="77777777" w:rsidR="0078064B" w:rsidRDefault="0078064B" w:rsidP="00B87D5E">
      <w:pPr>
        <w:pStyle w:val="a4"/>
        <w:numPr>
          <w:ilvl w:val="0"/>
          <w:numId w:val="3"/>
        </w:numPr>
        <w:spacing w:after="120" w:line="360" w:lineRule="auto"/>
        <w:ind w:left="-625"/>
        <w:jc w:val="both"/>
        <w:rPr>
          <w:rFonts w:ascii="David" w:hAnsi="David" w:cs="David"/>
          <w:sz w:val="24"/>
          <w:szCs w:val="24"/>
        </w:rPr>
      </w:pPr>
      <w:r>
        <w:rPr>
          <w:rFonts w:ascii="David" w:hAnsi="David" w:cs="David" w:hint="cs"/>
          <w:sz w:val="24"/>
          <w:szCs w:val="24"/>
          <w:rtl/>
        </w:rPr>
        <w:t xml:space="preserve">הדין המשמעתי על שלוחותיו וגווניו השונים מקיף מאגר גדול של בתי דין משמעתיים (אצל עורכי דין) וועדות משמעת (רואי חשבון ויועצי מס) - אין לשם שם נפקות חוקית להבחנה בין בית דין להבחנה, אלא הבדל </w:t>
      </w:r>
      <w:proofErr w:type="spellStart"/>
      <w:r>
        <w:rPr>
          <w:rFonts w:ascii="David" w:hAnsi="David" w:cs="David" w:hint="cs"/>
          <w:sz w:val="24"/>
          <w:szCs w:val="24"/>
          <w:rtl/>
        </w:rPr>
        <w:t>סימנטי</w:t>
      </w:r>
      <w:proofErr w:type="spellEnd"/>
      <w:r>
        <w:rPr>
          <w:rFonts w:ascii="David" w:hAnsi="David" w:cs="David" w:hint="cs"/>
          <w:sz w:val="24"/>
          <w:szCs w:val="24"/>
          <w:rtl/>
        </w:rPr>
        <w:t xml:space="preserve"> בלבד. יוצא אפוא שציבור רב ומגוון המונה מאות אלפי אנשים כפוף לשיפוט משמעתי כלשהו, אפילו רבני ערים כפופים. </w:t>
      </w:r>
    </w:p>
    <w:p w14:paraId="0FB814CE" w14:textId="77777777" w:rsidR="0078064B" w:rsidRDefault="0078064B" w:rsidP="00B87D5E">
      <w:pPr>
        <w:pStyle w:val="a4"/>
        <w:numPr>
          <w:ilvl w:val="0"/>
          <w:numId w:val="3"/>
        </w:numPr>
        <w:spacing w:after="120" w:line="360" w:lineRule="auto"/>
        <w:ind w:left="-625"/>
        <w:jc w:val="both"/>
        <w:rPr>
          <w:rFonts w:ascii="David" w:hAnsi="David" w:cs="David"/>
          <w:sz w:val="24"/>
          <w:szCs w:val="24"/>
        </w:rPr>
      </w:pPr>
      <w:r>
        <w:rPr>
          <w:rFonts w:ascii="David" w:hAnsi="David" w:cs="David" w:hint="cs"/>
          <w:sz w:val="24"/>
          <w:szCs w:val="24"/>
          <w:rtl/>
        </w:rPr>
        <w:t>בנוסף לגופים בעלי אופי צבאי ומשטרתי, שבהם המשמעת מובנת מאליה, דיני המשמעת חלים גם על עובדי ציבור, במובן הרחב של המילה ועל פרופסיות (מקצועות שקיבלו מעמד מיוחד)  רבות. ריבוי ערכאות המשמעת והחוקים העוסקים במטריה מבוססים על יסודות משפטיים שונים ובלתי אחידים.</w:t>
      </w:r>
    </w:p>
    <w:p w14:paraId="2402D1BE" w14:textId="77777777" w:rsidR="0078064B" w:rsidRPr="0022242E" w:rsidRDefault="0022242E" w:rsidP="00B87D5E">
      <w:pPr>
        <w:pStyle w:val="a4"/>
        <w:numPr>
          <w:ilvl w:val="0"/>
          <w:numId w:val="3"/>
        </w:numPr>
        <w:spacing w:after="120" w:line="360" w:lineRule="auto"/>
        <w:ind w:left="-625"/>
        <w:jc w:val="both"/>
        <w:rPr>
          <w:rFonts w:ascii="David" w:hAnsi="David" w:cs="David"/>
          <w:sz w:val="24"/>
          <w:szCs w:val="24"/>
        </w:rPr>
      </w:pPr>
      <w:r>
        <w:rPr>
          <w:noProof/>
        </w:rPr>
        <w:drawing>
          <wp:anchor distT="0" distB="0" distL="114300" distR="114300" simplePos="0" relativeHeight="251660288" behindDoc="0" locked="0" layoutInCell="1" allowOverlap="1" wp14:anchorId="5D068264" wp14:editId="5DC519C2">
            <wp:simplePos x="0" y="0"/>
            <wp:positionH relativeFrom="margin">
              <wp:posOffset>-251625</wp:posOffset>
            </wp:positionH>
            <wp:positionV relativeFrom="paragraph">
              <wp:posOffset>1102581</wp:posOffset>
            </wp:positionV>
            <wp:extent cx="3037205" cy="2059305"/>
            <wp:effectExtent l="0" t="0" r="0"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5578" t="24310" r="12408" b="30274"/>
                    <a:stretch/>
                  </pic:blipFill>
                  <pic:spPr bwMode="auto">
                    <a:xfrm>
                      <a:off x="0" y="0"/>
                      <a:ext cx="3037205" cy="205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D7A02BD" wp14:editId="7CC7EFA3">
            <wp:simplePos x="0" y="0"/>
            <wp:positionH relativeFrom="column">
              <wp:posOffset>2880277</wp:posOffset>
            </wp:positionH>
            <wp:positionV relativeFrom="paragraph">
              <wp:posOffset>1129831</wp:posOffset>
            </wp:positionV>
            <wp:extent cx="3014980" cy="2178050"/>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4525" t="23852" r="12104" b="24766"/>
                    <a:stretch/>
                  </pic:blipFill>
                  <pic:spPr bwMode="auto">
                    <a:xfrm>
                      <a:off x="0" y="0"/>
                      <a:ext cx="3014980" cy="217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64B">
        <w:rPr>
          <w:rFonts w:ascii="David" w:hAnsi="David" w:cs="David" w:hint="cs"/>
          <w:sz w:val="24"/>
          <w:szCs w:val="24"/>
          <w:rtl/>
        </w:rPr>
        <w:t xml:space="preserve">מה טיבו של הדין המשמעתי? מה מקומו בעולם המשפט? האם הוא שייך לתחום המשפט הפלילי? (הטרדה מינית בידי מעסיק למשל ), </w:t>
      </w:r>
      <w:r>
        <w:rPr>
          <w:rFonts w:ascii="David" w:hAnsi="David" w:cs="David" w:hint="cs"/>
          <w:sz w:val="24"/>
          <w:szCs w:val="24"/>
          <w:rtl/>
        </w:rPr>
        <w:t xml:space="preserve">תחום המשפט האזרחי? או המשפט הציבורי? ואולי הוא בכלל מהווה קטגוריה נפרדת ועצמאית? מהם יחסי הגומלין בין הדין הפלילי לבין הדין המשמעתי? ראוי שההליך המשמעתי יהיה חלופי או מצטרף להליך הפלילי? האם ניתן למשל להשתמש בהליך המשמעתי כתחליף להעמדה לדין פלילי, גם כאשר מדובר בעבירה פלילית מובהקת? </w:t>
      </w:r>
    </w:p>
    <w:p w14:paraId="1B3534A0" w14:textId="77777777" w:rsidR="0078064B" w:rsidRDefault="0078064B" w:rsidP="005B5439">
      <w:pPr>
        <w:spacing w:after="120" w:line="360" w:lineRule="auto"/>
        <w:jc w:val="both"/>
        <w:rPr>
          <w:rFonts w:ascii="David" w:hAnsi="David" w:cs="David"/>
          <w:sz w:val="24"/>
          <w:szCs w:val="24"/>
          <w:rtl/>
        </w:rPr>
      </w:pPr>
    </w:p>
    <w:p w14:paraId="6330A65B" w14:textId="77777777" w:rsidR="00212CDD" w:rsidRPr="00212CDD" w:rsidRDefault="005B5439" w:rsidP="00212CDD">
      <w:pPr>
        <w:spacing w:after="120" w:line="360" w:lineRule="auto"/>
        <w:jc w:val="center"/>
        <w:rPr>
          <w:rFonts w:ascii="David" w:hAnsi="David" w:cs="David"/>
          <w:b/>
          <w:bCs/>
          <w:sz w:val="24"/>
          <w:szCs w:val="24"/>
          <w:u w:val="single"/>
          <w:rtl/>
        </w:rPr>
      </w:pPr>
      <w:r w:rsidRPr="00212CDD">
        <w:rPr>
          <w:rFonts w:ascii="David" w:hAnsi="David" w:cs="David" w:hint="cs"/>
          <w:b/>
          <w:bCs/>
          <w:sz w:val="24"/>
          <w:szCs w:val="24"/>
          <w:u w:val="single"/>
          <w:rtl/>
        </w:rPr>
        <w:lastRenderedPageBreak/>
        <w:t>סכסוך משפטי -</w:t>
      </w:r>
      <w:r w:rsidR="00E7151C">
        <w:rPr>
          <w:rFonts w:ascii="David" w:hAnsi="David" w:cs="David" w:hint="cs"/>
          <w:b/>
          <w:bCs/>
          <w:sz w:val="24"/>
          <w:szCs w:val="24"/>
          <w:u w:val="single"/>
          <w:rtl/>
        </w:rPr>
        <w:t>תחומי משפט</w:t>
      </w:r>
    </w:p>
    <w:p w14:paraId="5C6ACECB" w14:textId="77777777" w:rsidR="005B5439" w:rsidRDefault="005B5439" w:rsidP="005B5439">
      <w:pPr>
        <w:spacing w:after="120" w:line="360" w:lineRule="auto"/>
        <w:jc w:val="both"/>
        <w:rPr>
          <w:rFonts w:ascii="David" w:hAnsi="David" w:cs="David"/>
          <w:sz w:val="24"/>
          <w:szCs w:val="24"/>
          <w:rtl/>
        </w:rPr>
      </w:pPr>
      <w:r>
        <w:rPr>
          <w:rFonts w:ascii="David" w:hAnsi="David" w:cs="David" w:hint="cs"/>
          <w:sz w:val="24"/>
          <w:szCs w:val="24"/>
          <w:rtl/>
        </w:rPr>
        <w:t>איך יודעים לאבחן בהליך מסוים לאן לשייך אותו?</w:t>
      </w:r>
      <w:r w:rsidR="00E7151C">
        <w:rPr>
          <w:rFonts w:ascii="David" w:hAnsi="David" w:cs="David" w:hint="cs"/>
          <w:sz w:val="24"/>
          <w:szCs w:val="24"/>
          <w:rtl/>
        </w:rPr>
        <w:t xml:space="preserve"> לפי הקריטריונים הבאים: </w:t>
      </w:r>
    </w:p>
    <w:tbl>
      <w:tblPr>
        <w:tblStyle w:val="a9"/>
        <w:bidiVisual/>
        <w:tblW w:w="8468" w:type="dxa"/>
        <w:tblLook w:val="04A0" w:firstRow="1" w:lastRow="0" w:firstColumn="1" w:lastColumn="0" w:noHBand="0" w:noVBand="1"/>
      </w:tblPr>
      <w:tblGrid>
        <w:gridCol w:w="2117"/>
        <w:gridCol w:w="1822"/>
        <w:gridCol w:w="2126"/>
        <w:gridCol w:w="2403"/>
      </w:tblGrid>
      <w:tr w:rsidR="005B5439" w14:paraId="5C544B11" w14:textId="77777777" w:rsidTr="00F06968">
        <w:trPr>
          <w:trHeight w:val="358"/>
        </w:trPr>
        <w:tc>
          <w:tcPr>
            <w:tcW w:w="2117" w:type="dxa"/>
            <w:shd w:val="clear" w:color="auto" w:fill="1F3864" w:themeFill="accent1" w:themeFillShade="80"/>
          </w:tcPr>
          <w:p w14:paraId="088C2481" w14:textId="77777777" w:rsidR="005B5439" w:rsidRDefault="005B5439" w:rsidP="005B5439">
            <w:pPr>
              <w:spacing w:after="120" w:line="360" w:lineRule="auto"/>
              <w:jc w:val="both"/>
              <w:rPr>
                <w:rFonts w:ascii="David" w:hAnsi="David" w:cs="David"/>
                <w:sz w:val="24"/>
                <w:szCs w:val="24"/>
                <w:rtl/>
              </w:rPr>
            </w:pPr>
          </w:p>
        </w:tc>
        <w:tc>
          <w:tcPr>
            <w:tcW w:w="1822" w:type="dxa"/>
            <w:shd w:val="clear" w:color="auto" w:fill="1F3864" w:themeFill="accent1" w:themeFillShade="80"/>
          </w:tcPr>
          <w:p w14:paraId="03612BC7" w14:textId="77777777" w:rsidR="005B5439" w:rsidRPr="0022242E" w:rsidRDefault="005B5439" w:rsidP="00B22BAB">
            <w:pPr>
              <w:spacing w:after="120" w:line="360" w:lineRule="auto"/>
              <w:jc w:val="center"/>
              <w:rPr>
                <w:rFonts w:ascii="David" w:hAnsi="David" w:cs="David"/>
                <w:b/>
                <w:bCs/>
                <w:sz w:val="24"/>
                <w:szCs w:val="24"/>
                <w:rtl/>
              </w:rPr>
            </w:pPr>
            <w:r w:rsidRPr="0022242E">
              <w:rPr>
                <w:rFonts w:ascii="David" w:hAnsi="David" w:cs="David" w:hint="cs"/>
                <w:b/>
                <w:bCs/>
                <w:sz w:val="24"/>
                <w:szCs w:val="24"/>
                <w:rtl/>
              </w:rPr>
              <w:t>אזרחי</w:t>
            </w:r>
          </w:p>
        </w:tc>
        <w:tc>
          <w:tcPr>
            <w:tcW w:w="2126" w:type="dxa"/>
            <w:shd w:val="clear" w:color="auto" w:fill="1F3864" w:themeFill="accent1" w:themeFillShade="80"/>
          </w:tcPr>
          <w:p w14:paraId="41D92CA3" w14:textId="77777777" w:rsidR="005B5439" w:rsidRPr="0022242E" w:rsidRDefault="00212CDD" w:rsidP="00B22BAB">
            <w:pPr>
              <w:spacing w:after="120" w:line="360" w:lineRule="auto"/>
              <w:jc w:val="center"/>
              <w:rPr>
                <w:rFonts w:ascii="David" w:hAnsi="David" w:cs="David"/>
                <w:b/>
                <w:bCs/>
                <w:sz w:val="24"/>
                <w:szCs w:val="24"/>
                <w:rtl/>
              </w:rPr>
            </w:pPr>
            <w:r w:rsidRPr="0022242E">
              <w:rPr>
                <w:rFonts w:ascii="David" w:hAnsi="David" w:cs="David" w:hint="cs"/>
                <w:b/>
                <w:bCs/>
                <w:sz w:val="24"/>
                <w:szCs w:val="24"/>
                <w:rtl/>
              </w:rPr>
              <w:t>פלילי</w:t>
            </w:r>
          </w:p>
        </w:tc>
        <w:tc>
          <w:tcPr>
            <w:tcW w:w="2403" w:type="dxa"/>
            <w:shd w:val="clear" w:color="auto" w:fill="1F3864" w:themeFill="accent1" w:themeFillShade="80"/>
          </w:tcPr>
          <w:p w14:paraId="43923DA9" w14:textId="77777777" w:rsidR="005B5439" w:rsidRPr="0022242E" w:rsidRDefault="00212CDD" w:rsidP="00B22BAB">
            <w:pPr>
              <w:spacing w:after="120" w:line="360" w:lineRule="auto"/>
              <w:jc w:val="center"/>
              <w:rPr>
                <w:rFonts w:ascii="David" w:hAnsi="David" w:cs="David"/>
                <w:b/>
                <w:bCs/>
                <w:sz w:val="24"/>
                <w:szCs w:val="24"/>
                <w:rtl/>
              </w:rPr>
            </w:pPr>
            <w:r w:rsidRPr="0022242E">
              <w:rPr>
                <w:rFonts w:ascii="David" w:hAnsi="David" w:cs="David" w:hint="cs"/>
                <w:b/>
                <w:bCs/>
                <w:sz w:val="24"/>
                <w:szCs w:val="24"/>
                <w:rtl/>
              </w:rPr>
              <w:t>ציבורי</w:t>
            </w:r>
          </w:p>
        </w:tc>
      </w:tr>
      <w:tr w:rsidR="005B5439" w14:paraId="7C09C96F" w14:textId="77777777" w:rsidTr="00F06968">
        <w:trPr>
          <w:trHeight w:val="622"/>
        </w:trPr>
        <w:tc>
          <w:tcPr>
            <w:tcW w:w="2117" w:type="dxa"/>
            <w:shd w:val="clear" w:color="auto" w:fill="1F3864" w:themeFill="accent1" w:themeFillShade="80"/>
          </w:tcPr>
          <w:p w14:paraId="28D0C0BD" w14:textId="77777777" w:rsidR="005B5439" w:rsidRPr="0022242E" w:rsidRDefault="005B5439" w:rsidP="0022242E">
            <w:pPr>
              <w:spacing w:after="120" w:line="360" w:lineRule="auto"/>
              <w:jc w:val="center"/>
              <w:rPr>
                <w:rFonts w:ascii="David" w:hAnsi="David" w:cs="David"/>
                <w:b/>
                <w:bCs/>
                <w:sz w:val="24"/>
                <w:szCs w:val="24"/>
                <w:rtl/>
              </w:rPr>
            </w:pPr>
            <w:r w:rsidRPr="0022242E">
              <w:rPr>
                <w:rFonts w:ascii="David" w:hAnsi="David" w:cs="David" w:hint="cs"/>
                <w:b/>
                <w:bCs/>
                <w:sz w:val="24"/>
                <w:szCs w:val="24"/>
                <w:rtl/>
              </w:rPr>
              <w:t>צדדים להליך:</w:t>
            </w:r>
          </w:p>
        </w:tc>
        <w:tc>
          <w:tcPr>
            <w:tcW w:w="1822" w:type="dxa"/>
          </w:tcPr>
          <w:p w14:paraId="6B7EEC46" w14:textId="77777777" w:rsidR="005B5439" w:rsidRDefault="00B22BAB" w:rsidP="00F06968">
            <w:pPr>
              <w:spacing w:after="120" w:line="360" w:lineRule="auto"/>
              <w:jc w:val="center"/>
              <w:rPr>
                <w:rFonts w:ascii="David" w:hAnsi="David" w:cs="David"/>
                <w:sz w:val="24"/>
                <w:szCs w:val="24"/>
                <w:rtl/>
              </w:rPr>
            </w:pPr>
            <w:r>
              <w:rPr>
                <w:rFonts w:ascii="David" w:hAnsi="David" w:cs="David" w:hint="cs"/>
                <w:sz w:val="24"/>
                <w:szCs w:val="24"/>
                <w:rtl/>
              </w:rPr>
              <w:t>אזרח - אזרח (יחסים/קניין)</w:t>
            </w:r>
          </w:p>
        </w:tc>
        <w:tc>
          <w:tcPr>
            <w:tcW w:w="2126" w:type="dxa"/>
          </w:tcPr>
          <w:p w14:paraId="7F3B1C8E" w14:textId="77777777" w:rsidR="005B5439" w:rsidRDefault="0022242E" w:rsidP="00F06968">
            <w:pPr>
              <w:spacing w:after="120" w:line="360" w:lineRule="auto"/>
              <w:jc w:val="center"/>
              <w:rPr>
                <w:rFonts w:ascii="David" w:hAnsi="David" w:cs="David"/>
                <w:sz w:val="24"/>
                <w:szCs w:val="24"/>
                <w:rtl/>
              </w:rPr>
            </w:pPr>
            <w:r>
              <w:rPr>
                <w:rFonts w:ascii="David" w:hAnsi="David" w:cs="David" w:hint="cs"/>
                <w:sz w:val="24"/>
                <w:szCs w:val="24"/>
                <w:rtl/>
              </w:rPr>
              <w:t>רשות - אזרח (שמירה על החוק)</w:t>
            </w:r>
          </w:p>
        </w:tc>
        <w:tc>
          <w:tcPr>
            <w:tcW w:w="2403" w:type="dxa"/>
          </w:tcPr>
          <w:p w14:paraId="19C37FC8" w14:textId="77777777" w:rsidR="005B5439" w:rsidRDefault="0022242E" w:rsidP="00F06968">
            <w:pPr>
              <w:spacing w:after="120" w:line="360" w:lineRule="auto"/>
              <w:jc w:val="center"/>
              <w:rPr>
                <w:rFonts w:ascii="David" w:hAnsi="David" w:cs="David"/>
                <w:sz w:val="24"/>
                <w:szCs w:val="24"/>
                <w:rtl/>
              </w:rPr>
            </w:pPr>
            <w:r>
              <w:rPr>
                <w:rFonts w:ascii="David" w:hAnsi="David" w:cs="David" w:hint="cs"/>
                <w:sz w:val="24"/>
                <w:szCs w:val="24"/>
                <w:rtl/>
              </w:rPr>
              <w:t>אזרח - רשות (זכויות אזרח)</w:t>
            </w:r>
          </w:p>
        </w:tc>
      </w:tr>
      <w:tr w:rsidR="005B5439" w14:paraId="59EC32BD" w14:textId="77777777" w:rsidTr="00F06968">
        <w:trPr>
          <w:trHeight w:val="348"/>
        </w:trPr>
        <w:tc>
          <w:tcPr>
            <w:tcW w:w="2117" w:type="dxa"/>
            <w:shd w:val="clear" w:color="auto" w:fill="1F3864" w:themeFill="accent1" w:themeFillShade="80"/>
          </w:tcPr>
          <w:p w14:paraId="1E81A6DB" w14:textId="77777777" w:rsidR="005B5439" w:rsidRPr="0022242E" w:rsidRDefault="005B5439" w:rsidP="0022242E">
            <w:pPr>
              <w:spacing w:after="120" w:line="360" w:lineRule="auto"/>
              <w:jc w:val="center"/>
              <w:rPr>
                <w:rFonts w:ascii="David" w:hAnsi="David" w:cs="David"/>
                <w:b/>
                <w:bCs/>
                <w:sz w:val="24"/>
                <w:szCs w:val="24"/>
                <w:rtl/>
              </w:rPr>
            </w:pPr>
            <w:r w:rsidRPr="0022242E">
              <w:rPr>
                <w:rFonts w:ascii="David" w:hAnsi="David" w:cs="David" w:hint="cs"/>
                <w:b/>
                <w:bCs/>
                <w:sz w:val="24"/>
                <w:szCs w:val="24"/>
                <w:rtl/>
              </w:rPr>
              <w:t>הסעד המבוקש:</w:t>
            </w:r>
          </w:p>
        </w:tc>
        <w:tc>
          <w:tcPr>
            <w:tcW w:w="1822" w:type="dxa"/>
          </w:tcPr>
          <w:p w14:paraId="6EEAD907" w14:textId="77777777" w:rsidR="005B5439" w:rsidRDefault="006553B8" w:rsidP="00F06968">
            <w:pPr>
              <w:spacing w:after="120" w:line="360" w:lineRule="auto"/>
              <w:jc w:val="center"/>
              <w:rPr>
                <w:rFonts w:ascii="David" w:hAnsi="David" w:cs="David"/>
                <w:sz w:val="24"/>
                <w:szCs w:val="24"/>
                <w:rtl/>
              </w:rPr>
            </w:pPr>
            <w:r>
              <w:rPr>
                <w:rFonts w:ascii="David" w:hAnsi="David" w:cs="David" w:hint="cs"/>
                <w:sz w:val="24"/>
                <w:szCs w:val="24"/>
                <w:rtl/>
              </w:rPr>
              <w:t>פיצוי</w:t>
            </w:r>
          </w:p>
        </w:tc>
        <w:tc>
          <w:tcPr>
            <w:tcW w:w="2126" w:type="dxa"/>
          </w:tcPr>
          <w:p w14:paraId="4294C798" w14:textId="77777777" w:rsidR="005B5439" w:rsidRDefault="00471B63" w:rsidP="00F06968">
            <w:pPr>
              <w:spacing w:after="120" w:line="360" w:lineRule="auto"/>
              <w:jc w:val="center"/>
              <w:rPr>
                <w:rFonts w:ascii="David" w:hAnsi="David" w:cs="David"/>
                <w:sz w:val="24"/>
                <w:szCs w:val="24"/>
                <w:rtl/>
              </w:rPr>
            </w:pPr>
            <w:r>
              <w:rPr>
                <w:rFonts w:ascii="David" w:hAnsi="David" w:cs="David" w:hint="cs"/>
                <w:sz w:val="24"/>
                <w:szCs w:val="24"/>
                <w:rtl/>
              </w:rPr>
              <w:t>עונש</w:t>
            </w:r>
          </w:p>
        </w:tc>
        <w:tc>
          <w:tcPr>
            <w:tcW w:w="2403" w:type="dxa"/>
          </w:tcPr>
          <w:p w14:paraId="60B9FB57" w14:textId="77777777" w:rsidR="005B5439" w:rsidRDefault="00471B63" w:rsidP="00F06968">
            <w:pPr>
              <w:spacing w:after="120" w:line="360" w:lineRule="auto"/>
              <w:jc w:val="center"/>
              <w:rPr>
                <w:rFonts w:ascii="David" w:hAnsi="David" w:cs="David"/>
                <w:sz w:val="24"/>
                <w:szCs w:val="24"/>
                <w:rtl/>
              </w:rPr>
            </w:pPr>
            <w:r>
              <w:rPr>
                <w:rFonts w:ascii="David" w:hAnsi="David" w:cs="David" w:hint="cs"/>
                <w:sz w:val="24"/>
                <w:szCs w:val="24"/>
                <w:rtl/>
              </w:rPr>
              <w:t>צו עשה</w:t>
            </w:r>
          </w:p>
        </w:tc>
      </w:tr>
      <w:tr w:rsidR="005B5439" w14:paraId="5A1B6538" w14:textId="77777777" w:rsidTr="00F06968">
        <w:trPr>
          <w:trHeight w:val="358"/>
        </w:trPr>
        <w:tc>
          <w:tcPr>
            <w:tcW w:w="2117" w:type="dxa"/>
            <w:shd w:val="clear" w:color="auto" w:fill="1F3864" w:themeFill="accent1" w:themeFillShade="80"/>
          </w:tcPr>
          <w:p w14:paraId="55635958" w14:textId="77777777" w:rsidR="005B5439" w:rsidRPr="0022242E" w:rsidRDefault="005B5439" w:rsidP="0022242E">
            <w:pPr>
              <w:spacing w:after="120" w:line="360" w:lineRule="auto"/>
              <w:jc w:val="center"/>
              <w:rPr>
                <w:rFonts w:ascii="David" w:hAnsi="David" w:cs="David"/>
                <w:b/>
                <w:bCs/>
                <w:sz w:val="24"/>
                <w:szCs w:val="24"/>
                <w:rtl/>
              </w:rPr>
            </w:pPr>
            <w:r w:rsidRPr="0022242E">
              <w:rPr>
                <w:rFonts w:ascii="David" w:hAnsi="David" w:cs="David" w:hint="cs"/>
                <w:b/>
                <w:bCs/>
                <w:sz w:val="24"/>
                <w:szCs w:val="24"/>
                <w:rtl/>
              </w:rPr>
              <w:t>איך נפתח הליך:</w:t>
            </w:r>
          </w:p>
        </w:tc>
        <w:tc>
          <w:tcPr>
            <w:tcW w:w="1822" w:type="dxa"/>
          </w:tcPr>
          <w:p w14:paraId="5F677942" w14:textId="77777777" w:rsidR="005B5439" w:rsidRDefault="00CA04E7" w:rsidP="00F06968">
            <w:pPr>
              <w:spacing w:after="120" w:line="360" w:lineRule="auto"/>
              <w:jc w:val="center"/>
              <w:rPr>
                <w:rFonts w:ascii="David" w:hAnsi="David" w:cs="David"/>
                <w:sz w:val="24"/>
                <w:szCs w:val="24"/>
                <w:rtl/>
              </w:rPr>
            </w:pPr>
            <w:r>
              <w:rPr>
                <w:rFonts w:ascii="David" w:hAnsi="David" w:cs="David" w:hint="cs"/>
                <w:sz w:val="24"/>
                <w:szCs w:val="24"/>
                <w:rtl/>
              </w:rPr>
              <w:t>כתב תביעה</w:t>
            </w:r>
          </w:p>
        </w:tc>
        <w:tc>
          <w:tcPr>
            <w:tcW w:w="2126" w:type="dxa"/>
          </w:tcPr>
          <w:p w14:paraId="1FA3AF39" w14:textId="77777777" w:rsidR="005B5439" w:rsidRDefault="00CA04E7" w:rsidP="00F06968">
            <w:pPr>
              <w:spacing w:after="120" w:line="360" w:lineRule="auto"/>
              <w:jc w:val="center"/>
              <w:rPr>
                <w:rFonts w:ascii="David" w:hAnsi="David" w:cs="David"/>
                <w:sz w:val="24"/>
                <w:szCs w:val="24"/>
                <w:rtl/>
              </w:rPr>
            </w:pPr>
            <w:r>
              <w:rPr>
                <w:rFonts w:ascii="David" w:hAnsi="David" w:cs="David" w:hint="cs"/>
                <w:sz w:val="24"/>
                <w:szCs w:val="24"/>
                <w:rtl/>
              </w:rPr>
              <w:t>כתב אישום</w:t>
            </w:r>
          </w:p>
        </w:tc>
        <w:tc>
          <w:tcPr>
            <w:tcW w:w="2403" w:type="dxa"/>
          </w:tcPr>
          <w:p w14:paraId="6585D3CE" w14:textId="77777777" w:rsidR="005B5439" w:rsidRDefault="00CA04E7" w:rsidP="00F06968">
            <w:pPr>
              <w:spacing w:after="120" w:line="360" w:lineRule="auto"/>
              <w:jc w:val="center"/>
              <w:rPr>
                <w:rFonts w:ascii="David" w:hAnsi="David" w:cs="David"/>
                <w:sz w:val="24"/>
                <w:szCs w:val="24"/>
                <w:rtl/>
              </w:rPr>
            </w:pPr>
            <w:r>
              <w:rPr>
                <w:rFonts w:ascii="David" w:hAnsi="David" w:cs="David" w:hint="cs"/>
                <w:sz w:val="24"/>
                <w:szCs w:val="24"/>
                <w:rtl/>
              </w:rPr>
              <w:t>עתירה</w:t>
            </w:r>
          </w:p>
        </w:tc>
      </w:tr>
      <w:tr w:rsidR="005B5439" w14:paraId="4521AAFC" w14:textId="77777777" w:rsidTr="00F06968">
        <w:trPr>
          <w:trHeight w:val="358"/>
        </w:trPr>
        <w:tc>
          <w:tcPr>
            <w:tcW w:w="2117" w:type="dxa"/>
            <w:shd w:val="clear" w:color="auto" w:fill="1F3864" w:themeFill="accent1" w:themeFillShade="80"/>
          </w:tcPr>
          <w:p w14:paraId="6806F7F2" w14:textId="77777777" w:rsidR="005B5439" w:rsidRPr="002D6727" w:rsidRDefault="00CA04E7" w:rsidP="002D6727">
            <w:pPr>
              <w:spacing w:after="120" w:line="360" w:lineRule="auto"/>
              <w:jc w:val="center"/>
              <w:rPr>
                <w:rFonts w:ascii="David" w:hAnsi="David" w:cs="David"/>
                <w:b/>
                <w:bCs/>
                <w:sz w:val="24"/>
                <w:szCs w:val="24"/>
                <w:rtl/>
              </w:rPr>
            </w:pPr>
            <w:r w:rsidRPr="002D6727">
              <w:rPr>
                <w:rFonts w:ascii="David" w:hAnsi="David" w:cs="David" w:hint="cs"/>
                <w:b/>
                <w:bCs/>
                <w:sz w:val="24"/>
                <w:szCs w:val="24"/>
                <w:rtl/>
              </w:rPr>
              <w:t>דוגמאות לחוקים</w:t>
            </w:r>
          </w:p>
        </w:tc>
        <w:tc>
          <w:tcPr>
            <w:tcW w:w="1822" w:type="dxa"/>
          </w:tcPr>
          <w:p w14:paraId="6E63009D" w14:textId="77777777" w:rsidR="005B5439" w:rsidRDefault="00CA04E7" w:rsidP="00F06968">
            <w:pPr>
              <w:spacing w:after="120" w:line="360" w:lineRule="auto"/>
              <w:jc w:val="center"/>
              <w:rPr>
                <w:rFonts w:ascii="David" w:hAnsi="David" w:cs="David"/>
                <w:sz w:val="24"/>
                <w:szCs w:val="24"/>
                <w:rtl/>
              </w:rPr>
            </w:pPr>
            <w:r>
              <w:rPr>
                <w:rFonts w:ascii="David" w:hAnsi="David" w:cs="David" w:hint="cs"/>
                <w:sz w:val="24"/>
                <w:szCs w:val="24"/>
                <w:rtl/>
              </w:rPr>
              <w:t>חוזים</w:t>
            </w:r>
          </w:p>
        </w:tc>
        <w:tc>
          <w:tcPr>
            <w:tcW w:w="2126" w:type="dxa"/>
          </w:tcPr>
          <w:p w14:paraId="671B70FB" w14:textId="77777777" w:rsidR="005B5439" w:rsidRDefault="00CA04E7" w:rsidP="00F06968">
            <w:pPr>
              <w:spacing w:after="120" w:line="360" w:lineRule="auto"/>
              <w:jc w:val="center"/>
              <w:rPr>
                <w:rFonts w:ascii="David" w:hAnsi="David" w:cs="David"/>
                <w:sz w:val="24"/>
                <w:szCs w:val="24"/>
                <w:rtl/>
              </w:rPr>
            </w:pPr>
            <w:r>
              <w:rPr>
                <w:rFonts w:ascii="David" w:hAnsi="David" w:cs="David" w:hint="cs"/>
                <w:sz w:val="24"/>
                <w:szCs w:val="24"/>
                <w:rtl/>
              </w:rPr>
              <w:t>תעבורה</w:t>
            </w:r>
          </w:p>
        </w:tc>
        <w:tc>
          <w:tcPr>
            <w:tcW w:w="2403" w:type="dxa"/>
          </w:tcPr>
          <w:p w14:paraId="22CA4765" w14:textId="77777777" w:rsidR="005B5439" w:rsidRDefault="00CA04E7" w:rsidP="00F06968">
            <w:pPr>
              <w:spacing w:after="120" w:line="360" w:lineRule="auto"/>
              <w:jc w:val="center"/>
              <w:rPr>
                <w:rFonts w:ascii="David" w:hAnsi="David" w:cs="David"/>
                <w:sz w:val="24"/>
                <w:szCs w:val="24"/>
                <w:rtl/>
              </w:rPr>
            </w:pPr>
            <w:r>
              <w:rPr>
                <w:rFonts w:ascii="David" w:hAnsi="David" w:cs="David" w:hint="cs"/>
                <w:sz w:val="24"/>
                <w:szCs w:val="24"/>
                <w:rtl/>
              </w:rPr>
              <w:t>מכרזים</w:t>
            </w:r>
          </w:p>
        </w:tc>
      </w:tr>
      <w:tr w:rsidR="005B5439" w14:paraId="126ADA6F" w14:textId="77777777" w:rsidTr="00F06968">
        <w:trPr>
          <w:trHeight w:val="348"/>
        </w:trPr>
        <w:tc>
          <w:tcPr>
            <w:tcW w:w="2117" w:type="dxa"/>
            <w:shd w:val="clear" w:color="auto" w:fill="1F3864" w:themeFill="accent1" w:themeFillShade="80"/>
          </w:tcPr>
          <w:p w14:paraId="37A94F5A" w14:textId="77777777" w:rsidR="005B5439" w:rsidRPr="002D6727" w:rsidRDefault="00EA4CF9" w:rsidP="002D6727">
            <w:pPr>
              <w:spacing w:after="120" w:line="360" w:lineRule="auto"/>
              <w:jc w:val="center"/>
              <w:rPr>
                <w:rFonts w:ascii="David" w:hAnsi="David" w:cs="David"/>
                <w:b/>
                <w:bCs/>
                <w:sz w:val="24"/>
                <w:szCs w:val="24"/>
                <w:rtl/>
              </w:rPr>
            </w:pPr>
            <w:r w:rsidRPr="002D6727">
              <w:rPr>
                <w:rFonts w:ascii="David" w:hAnsi="David" w:cs="David" w:hint="cs"/>
                <w:b/>
                <w:bCs/>
                <w:sz w:val="24"/>
                <w:szCs w:val="24"/>
                <w:rtl/>
              </w:rPr>
              <w:t>מה הנפקות?</w:t>
            </w:r>
          </w:p>
        </w:tc>
        <w:tc>
          <w:tcPr>
            <w:tcW w:w="1822" w:type="dxa"/>
          </w:tcPr>
          <w:p w14:paraId="7556064F" w14:textId="77777777" w:rsidR="005B5439" w:rsidRDefault="00EA4CF9" w:rsidP="00F06968">
            <w:pPr>
              <w:spacing w:after="120" w:line="360" w:lineRule="auto"/>
              <w:jc w:val="center"/>
              <w:rPr>
                <w:rFonts w:ascii="David" w:hAnsi="David" w:cs="David"/>
                <w:sz w:val="24"/>
                <w:szCs w:val="24"/>
                <w:rtl/>
              </w:rPr>
            </w:pPr>
            <w:r>
              <w:rPr>
                <w:rFonts w:ascii="David" w:hAnsi="David" w:cs="David" w:hint="cs"/>
                <w:sz w:val="24"/>
                <w:szCs w:val="24"/>
                <w:rtl/>
              </w:rPr>
              <w:t>מאזן הסתברות 51%</w:t>
            </w:r>
          </w:p>
        </w:tc>
        <w:tc>
          <w:tcPr>
            <w:tcW w:w="2126" w:type="dxa"/>
          </w:tcPr>
          <w:p w14:paraId="003D0402" w14:textId="77777777" w:rsidR="005B5439" w:rsidRDefault="00EA4CF9" w:rsidP="00F06968">
            <w:pPr>
              <w:spacing w:after="120" w:line="360" w:lineRule="auto"/>
              <w:jc w:val="center"/>
              <w:rPr>
                <w:rFonts w:ascii="David" w:hAnsi="David" w:cs="David"/>
                <w:sz w:val="24"/>
                <w:szCs w:val="24"/>
                <w:rtl/>
              </w:rPr>
            </w:pPr>
            <w:r>
              <w:rPr>
                <w:rFonts w:ascii="David" w:hAnsi="David" w:cs="David" w:hint="cs"/>
                <w:sz w:val="24"/>
                <w:szCs w:val="24"/>
                <w:rtl/>
              </w:rPr>
              <w:t>מעל לכל ספק סביר 90%.</w:t>
            </w:r>
          </w:p>
        </w:tc>
        <w:tc>
          <w:tcPr>
            <w:tcW w:w="2403" w:type="dxa"/>
          </w:tcPr>
          <w:p w14:paraId="3FCF6538" w14:textId="77777777" w:rsidR="005B5439" w:rsidRDefault="00EA4CF9" w:rsidP="00F06968">
            <w:pPr>
              <w:spacing w:after="120" w:line="360" w:lineRule="auto"/>
              <w:jc w:val="center"/>
              <w:rPr>
                <w:rFonts w:ascii="David" w:hAnsi="David" w:cs="David"/>
                <w:sz w:val="24"/>
                <w:szCs w:val="24"/>
                <w:rtl/>
              </w:rPr>
            </w:pPr>
            <w:r>
              <w:rPr>
                <w:rFonts w:ascii="David" w:hAnsi="David" w:cs="David" w:hint="cs"/>
                <w:sz w:val="24"/>
                <w:szCs w:val="24"/>
                <w:rtl/>
              </w:rPr>
              <w:t>חזקת תיקון מעשי השלטון</w:t>
            </w:r>
          </w:p>
        </w:tc>
      </w:tr>
    </w:tbl>
    <w:p w14:paraId="284A81F5" w14:textId="77777777" w:rsidR="005B5439" w:rsidRDefault="005B5439" w:rsidP="005B5439">
      <w:pPr>
        <w:spacing w:after="120" w:line="360" w:lineRule="auto"/>
        <w:jc w:val="both"/>
        <w:rPr>
          <w:rFonts w:ascii="David" w:hAnsi="David" w:cs="David"/>
          <w:sz w:val="24"/>
          <w:szCs w:val="24"/>
          <w:rtl/>
        </w:rPr>
      </w:pPr>
    </w:p>
    <w:p w14:paraId="4D685F3B" w14:textId="77777777" w:rsidR="006020A6" w:rsidRDefault="006020A6" w:rsidP="005B5439">
      <w:pPr>
        <w:spacing w:after="120" w:line="360" w:lineRule="auto"/>
        <w:jc w:val="both"/>
        <w:rPr>
          <w:rFonts w:ascii="David" w:hAnsi="David" w:cs="David"/>
          <w:sz w:val="24"/>
          <w:szCs w:val="24"/>
          <w:rtl/>
        </w:rPr>
      </w:pPr>
      <w:r>
        <w:rPr>
          <w:rFonts w:ascii="David" w:hAnsi="David" w:cs="David" w:hint="cs"/>
          <w:sz w:val="24"/>
          <w:szCs w:val="24"/>
          <w:rtl/>
        </w:rPr>
        <w:t xml:space="preserve">מבנה תחיקתי של מדינת ישראל: פירמידת הנורמות. </w:t>
      </w:r>
      <w:r w:rsidR="00F87066">
        <w:rPr>
          <w:rFonts w:ascii="David" w:hAnsi="David" w:cs="David" w:hint="cs"/>
          <w:sz w:val="24"/>
          <w:szCs w:val="24"/>
          <w:rtl/>
        </w:rPr>
        <w:t xml:space="preserve"> האם ועדת משמעת או בית דין משמעתי</w:t>
      </w:r>
      <w:r w:rsidR="0040742E">
        <w:rPr>
          <w:rFonts w:ascii="David" w:hAnsi="David" w:cs="David" w:hint="cs"/>
          <w:sz w:val="24"/>
          <w:szCs w:val="24"/>
          <w:rtl/>
        </w:rPr>
        <w:t xml:space="preserve"> יכול לבטל כלל אתי </w:t>
      </w:r>
      <w:r w:rsidR="00F87066">
        <w:rPr>
          <w:rFonts w:ascii="David" w:hAnsi="David" w:cs="David" w:hint="cs"/>
          <w:sz w:val="24"/>
          <w:szCs w:val="24"/>
          <w:rtl/>
        </w:rPr>
        <w:t xml:space="preserve"> אם הוא איננו עומד בתנאי הסבירות או שהוא נוגד לחוק יסוד? (</w:t>
      </w:r>
      <w:r w:rsidR="0040742E">
        <w:rPr>
          <w:rFonts w:ascii="David" w:hAnsi="David" w:cs="David" w:hint="cs"/>
          <w:sz w:val="24"/>
          <w:szCs w:val="24"/>
          <w:rtl/>
        </w:rPr>
        <w:t xml:space="preserve">בית משפט שלום יכול לפסוק במסגרת תקיפה עקיפה). </w:t>
      </w:r>
      <w:r w:rsidR="006C23D7">
        <w:rPr>
          <w:rFonts w:ascii="David" w:hAnsi="David" w:cs="David" w:hint="cs"/>
          <w:sz w:val="24"/>
          <w:szCs w:val="24"/>
          <w:rtl/>
        </w:rPr>
        <w:t xml:space="preserve">לדוג': פסיכיאטרית שניהלה רומן עם מטופל שלה בניגוד לכללי האתיקה שלה. האם היא יכולה לטעון שהכלל לא חוקתי לפי חוק יסוד כבוד האדם וחירותו? </w:t>
      </w:r>
    </w:p>
    <w:p w14:paraId="381A425C" w14:textId="77777777" w:rsidR="00F97FB6" w:rsidRPr="00F97FB6" w:rsidRDefault="00F97FB6" w:rsidP="00F97FB6">
      <w:pPr>
        <w:spacing w:after="120" w:line="360" w:lineRule="auto"/>
        <w:ind w:left="-341" w:firstLine="283"/>
        <w:jc w:val="center"/>
        <w:rPr>
          <w:rFonts w:ascii="David" w:hAnsi="David" w:cs="David"/>
          <w:b/>
          <w:bCs/>
          <w:color w:val="FFC000" w:themeColor="accent4"/>
          <w:sz w:val="24"/>
          <w:szCs w:val="24"/>
          <w:u w:val="single"/>
          <w:rtl/>
        </w:rPr>
      </w:pPr>
      <w:r w:rsidRPr="00F97FB6">
        <w:rPr>
          <w:rFonts w:ascii="David" w:hAnsi="David" w:cs="David" w:hint="cs"/>
          <w:b/>
          <w:bCs/>
          <w:color w:val="FFC000" w:themeColor="accent4"/>
          <w:sz w:val="24"/>
          <w:szCs w:val="24"/>
          <w:u w:val="single"/>
          <w:rtl/>
        </w:rPr>
        <w:t xml:space="preserve">נושא 1 לסילבוס: פס"ד </w:t>
      </w:r>
      <w:proofErr w:type="spellStart"/>
      <w:r w:rsidRPr="00F97FB6">
        <w:rPr>
          <w:rFonts w:ascii="David" w:hAnsi="David" w:cs="David" w:hint="cs"/>
          <w:b/>
          <w:bCs/>
          <w:color w:val="FFC000" w:themeColor="accent4"/>
          <w:sz w:val="24"/>
          <w:szCs w:val="24"/>
          <w:u w:val="single"/>
          <w:rtl/>
        </w:rPr>
        <w:t>צימוקין</w:t>
      </w:r>
      <w:proofErr w:type="spellEnd"/>
    </w:p>
    <w:p w14:paraId="62709AC9" w14:textId="77777777" w:rsidR="00D70E84" w:rsidRPr="006F2DE4" w:rsidRDefault="00D70E84" w:rsidP="00B87D5E">
      <w:pPr>
        <w:pStyle w:val="a4"/>
        <w:numPr>
          <w:ilvl w:val="0"/>
          <w:numId w:val="4"/>
        </w:numPr>
        <w:spacing w:after="120" w:line="360" w:lineRule="auto"/>
        <w:ind w:left="-58"/>
        <w:jc w:val="both"/>
        <w:rPr>
          <w:rFonts w:ascii="David" w:hAnsi="David" w:cs="David"/>
          <w:b/>
          <w:bCs/>
          <w:sz w:val="24"/>
          <w:szCs w:val="24"/>
          <w:rtl/>
        </w:rPr>
      </w:pPr>
      <w:r w:rsidRPr="006F2DE4">
        <w:rPr>
          <w:rFonts w:ascii="David" w:hAnsi="David" w:cs="David" w:hint="cs"/>
          <w:b/>
          <w:bCs/>
          <w:sz w:val="24"/>
          <w:szCs w:val="24"/>
          <w:rtl/>
        </w:rPr>
        <w:t xml:space="preserve">בג"ץ 13/57 </w:t>
      </w:r>
      <w:proofErr w:type="spellStart"/>
      <w:r w:rsidRPr="006F2DE4">
        <w:rPr>
          <w:rFonts w:ascii="David" w:hAnsi="David" w:cs="David" w:hint="cs"/>
          <w:b/>
          <w:bCs/>
          <w:sz w:val="24"/>
          <w:szCs w:val="24"/>
          <w:rtl/>
        </w:rPr>
        <w:t>צימוקין</w:t>
      </w:r>
      <w:proofErr w:type="spellEnd"/>
      <w:r w:rsidRPr="006F2DE4">
        <w:rPr>
          <w:rFonts w:ascii="David" w:hAnsi="David" w:cs="David" w:hint="cs"/>
          <w:b/>
          <w:bCs/>
          <w:sz w:val="24"/>
          <w:szCs w:val="24"/>
          <w:rtl/>
        </w:rPr>
        <w:t xml:space="preserve"> נ' בית הדין המשמעתי. </w:t>
      </w:r>
    </w:p>
    <w:p w14:paraId="14EF0948" w14:textId="77777777" w:rsidR="006F2DE4" w:rsidRDefault="006F2DE4" w:rsidP="00D70E84">
      <w:pPr>
        <w:spacing w:after="120" w:line="360" w:lineRule="auto"/>
        <w:jc w:val="both"/>
        <w:rPr>
          <w:rFonts w:ascii="David" w:hAnsi="David" w:cs="David"/>
          <w:sz w:val="24"/>
          <w:szCs w:val="24"/>
          <w:rtl/>
        </w:rPr>
      </w:pPr>
      <w:r w:rsidRPr="00D57442">
        <w:rPr>
          <w:rFonts w:ascii="David" w:hAnsi="David" w:cs="David" w:hint="cs"/>
          <w:b/>
          <w:bCs/>
          <w:sz w:val="24"/>
          <w:szCs w:val="24"/>
          <w:rtl/>
        </w:rPr>
        <w:t>עובדות המקרה:</w:t>
      </w:r>
      <w:r w:rsidR="00D57442">
        <w:rPr>
          <w:rFonts w:ascii="David" w:hAnsi="David" w:cs="David" w:hint="cs"/>
          <w:b/>
          <w:bCs/>
          <w:sz w:val="24"/>
          <w:szCs w:val="24"/>
          <w:rtl/>
        </w:rPr>
        <w:t xml:space="preserve">  </w:t>
      </w:r>
      <w:r w:rsidR="00DE5DA7">
        <w:rPr>
          <w:rFonts w:ascii="David" w:hAnsi="David" w:cs="David" w:hint="cs"/>
          <w:sz w:val="24"/>
          <w:szCs w:val="24"/>
          <w:rtl/>
        </w:rPr>
        <w:t xml:space="preserve">בין דצמבר 53-יוני 54 המבקש שירת כפקיד בלו מטעם אגף הנהלת המכס </w:t>
      </w:r>
      <w:proofErr w:type="spellStart"/>
      <w:r w:rsidR="00DE5DA7">
        <w:rPr>
          <w:rFonts w:ascii="David" w:hAnsi="David" w:cs="David" w:hint="cs"/>
          <w:sz w:val="24"/>
          <w:szCs w:val="24"/>
          <w:rtl/>
        </w:rPr>
        <w:t>והלו</w:t>
      </w:r>
      <w:proofErr w:type="spellEnd"/>
      <w:r w:rsidR="00DE5DA7">
        <w:rPr>
          <w:rFonts w:ascii="David" w:hAnsi="David" w:cs="David" w:hint="cs"/>
          <w:sz w:val="24"/>
          <w:szCs w:val="24"/>
          <w:rtl/>
        </w:rPr>
        <w:t xml:space="preserve"> חיפה, בבית חרושת למשקאות חריפים בחיפה. עלה החש אצל השלטונות שבעלי בית החרושת משתמשים בכוהל בלתי חוקי לייצור המשקאות. המבקש הואשם בשני סעיפים: לקיחת שוחד (קיבל 1000 לירות כדי להימנע מלפקח על תהליך הייצור ותנועת השיווק) ובמעילה באמון על ידי פקיד ציבור (על כך שלקח משקאות לשימוש אישי על דעת עצמו ללא תשלום, בניגוד לרצונם של מנהלי בית החרושת). בתום פרשת ההוכחות, חזרה </w:t>
      </w:r>
      <w:proofErr w:type="spellStart"/>
      <w:r w:rsidR="00DE5DA7">
        <w:rPr>
          <w:rFonts w:ascii="David" w:hAnsi="David" w:cs="David" w:hint="cs"/>
          <w:sz w:val="24"/>
          <w:szCs w:val="24"/>
          <w:rtl/>
        </w:rPr>
        <w:t>ה</w:t>
      </w:r>
      <w:r w:rsidR="00F06968">
        <w:rPr>
          <w:rFonts w:ascii="David" w:hAnsi="David" w:cs="David" w:hint="cs"/>
          <w:sz w:val="24"/>
          <w:szCs w:val="24"/>
          <w:rtl/>
        </w:rPr>
        <w:t>התביעה</w:t>
      </w:r>
      <w:proofErr w:type="spellEnd"/>
      <w:r w:rsidR="00DE5DA7">
        <w:rPr>
          <w:rFonts w:ascii="David" w:hAnsi="David" w:cs="David" w:hint="cs"/>
          <w:sz w:val="24"/>
          <w:szCs w:val="24"/>
          <w:rtl/>
        </w:rPr>
        <w:t xml:space="preserve"> מן האישום הראשון וזוכה גם מהאישום השני. </w:t>
      </w:r>
    </w:p>
    <w:p w14:paraId="3143D717" w14:textId="77777777" w:rsidR="00DE5DA7" w:rsidRDefault="00DE5DA7" w:rsidP="00D70E84">
      <w:pPr>
        <w:spacing w:after="120" w:line="360" w:lineRule="auto"/>
        <w:jc w:val="both"/>
        <w:rPr>
          <w:rFonts w:ascii="David" w:hAnsi="David" w:cs="David"/>
          <w:sz w:val="24"/>
          <w:szCs w:val="24"/>
          <w:rtl/>
        </w:rPr>
      </w:pPr>
      <w:r>
        <w:rPr>
          <w:rFonts w:ascii="David" w:hAnsi="David" w:cs="David" w:hint="cs"/>
          <w:sz w:val="24"/>
          <w:szCs w:val="24"/>
          <w:rtl/>
        </w:rPr>
        <w:t xml:space="preserve">לאחר מכן, התבקש לתת את הדין בבית הדין המשמעתי של עובדי המדינה על 4 פרטי עבירה: </w:t>
      </w:r>
      <w:r w:rsidR="00B86EB9">
        <w:rPr>
          <w:rFonts w:ascii="David" w:hAnsi="David" w:cs="David" w:hint="cs"/>
          <w:sz w:val="24"/>
          <w:szCs w:val="24"/>
          <w:rtl/>
        </w:rPr>
        <w:t xml:space="preserve">התנהגות שאינה הולמת עובד מדינה: קבלת טובת הנאה בשווי כסף בקבוקי יינות; נטילת בקבוקים בלי ידיעת בעל המפעל; קבלת סכומי כספים, </w:t>
      </w:r>
      <w:r w:rsidR="000961B9">
        <w:rPr>
          <w:rFonts w:ascii="David" w:hAnsi="David" w:cs="David" w:hint="cs"/>
          <w:sz w:val="24"/>
          <w:szCs w:val="24"/>
          <w:rtl/>
        </w:rPr>
        <w:t xml:space="preserve">ליקויים ואי סדרים בפיקוח. </w:t>
      </w:r>
    </w:p>
    <w:p w14:paraId="129F4F38" w14:textId="77777777" w:rsidR="000961B9" w:rsidRPr="00D57442" w:rsidRDefault="000961B9" w:rsidP="00D70E84">
      <w:pPr>
        <w:spacing w:after="120" w:line="360" w:lineRule="auto"/>
        <w:jc w:val="both"/>
        <w:rPr>
          <w:rFonts w:ascii="David" w:hAnsi="David" w:cs="David"/>
          <w:sz w:val="24"/>
          <w:szCs w:val="24"/>
          <w:rtl/>
        </w:rPr>
      </w:pPr>
      <w:r>
        <w:rPr>
          <w:rFonts w:ascii="David" w:hAnsi="David" w:cs="David" w:hint="cs"/>
          <w:sz w:val="24"/>
          <w:szCs w:val="24"/>
          <w:rtl/>
        </w:rPr>
        <w:t xml:space="preserve">המבקש טען שאין להעמידו לדין משמעתי כיוון שכבר עמד וזוכה בהליך פלילי. </w:t>
      </w:r>
    </w:p>
    <w:p w14:paraId="04AEE439" w14:textId="77777777" w:rsidR="006F2DE4" w:rsidRDefault="006F2DE4" w:rsidP="00D70E84">
      <w:pPr>
        <w:spacing w:after="120" w:line="360" w:lineRule="auto"/>
        <w:jc w:val="both"/>
        <w:rPr>
          <w:rFonts w:ascii="David" w:hAnsi="David" w:cs="David"/>
          <w:sz w:val="24"/>
          <w:szCs w:val="24"/>
          <w:rtl/>
        </w:rPr>
      </w:pPr>
      <w:r w:rsidRPr="00AD3EF0">
        <w:rPr>
          <w:rFonts w:ascii="David" w:hAnsi="David" w:cs="David" w:hint="cs"/>
          <w:b/>
          <w:bCs/>
          <w:sz w:val="24"/>
          <w:szCs w:val="24"/>
          <w:rtl/>
        </w:rPr>
        <w:t>הסוגייה המשפטית:</w:t>
      </w:r>
      <w:r w:rsidR="00AD3EF0">
        <w:rPr>
          <w:rFonts w:ascii="David" w:hAnsi="David" w:cs="David" w:hint="cs"/>
          <w:sz w:val="24"/>
          <w:szCs w:val="24"/>
          <w:rtl/>
        </w:rPr>
        <w:t xml:space="preserve"> האם אפשר לתבוע פקיד ממשלתי לדין משמעתי על סמך חומר אישום שכבר נדון והוכרע כבר במשפט פלילי? </w:t>
      </w:r>
      <w:r w:rsidR="00F06968">
        <w:rPr>
          <w:rFonts w:ascii="David" w:hAnsi="David" w:cs="David" w:hint="cs"/>
          <w:sz w:val="24"/>
          <w:szCs w:val="24"/>
          <w:rtl/>
        </w:rPr>
        <w:t>ה</w:t>
      </w:r>
      <w:r w:rsidR="00F06968" w:rsidRPr="00D27F74">
        <w:rPr>
          <w:rFonts w:ascii="David" w:hAnsi="David" w:cs="David"/>
          <w:sz w:val="24"/>
          <w:szCs w:val="24"/>
          <w:rtl/>
        </w:rPr>
        <w:t>אם מוסמך בית הדין המשמעתי "לברר מחדש .... עובדות שכבר נקבעו על ידי בית המפשט המחוזי בחיפה.....",</w:t>
      </w:r>
      <w:r w:rsidR="00F06968" w:rsidRPr="00D27F74">
        <w:rPr>
          <w:rFonts w:ascii="David" w:hAnsi="David" w:cs="David" w:hint="cs"/>
          <w:sz w:val="24"/>
          <w:szCs w:val="24"/>
          <w:rtl/>
        </w:rPr>
        <w:t>?</w:t>
      </w:r>
      <w:r w:rsidR="00F06968">
        <w:rPr>
          <w:rFonts w:cs="FrankRuehl" w:hint="cs"/>
          <w:spacing w:val="10"/>
          <w:sz w:val="24"/>
          <w:rtl/>
        </w:rPr>
        <w:t xml:space="preserve"> </w:t>
      </w:r>
      <w:r w:rsidR="00D27F74">
        <w:rPr>
          <w:rFonts w:ascii="David" w:hAnsi="David" w:cs="David" w:hint="cs"/>
          <w:sz w:val="24"/>
          <w:szCs w:val="24"/>
          <w:rtl/>
        </w:rPr>
        <w:t xml:space="preserve">השאלה היא חלק מהשאלה המקיפה האם </w:t>
      </w:r>
      <w:r w:rsidR="00D27F74" w:rsidRPr="00D27F74">
        <w:rPr>
          <w:rFonts w:ascii="David" w:hAnsi="David" w:cs="David"/>
          <w:sz w:val="24"/>
          <w:szCs w:val="24"/>
          <w:rtl/>
        </w:rPr>
        <w:t>החלטת הזיכוי של בית המשפט המחוזי עשויה לשמש נושא לטענת סיכון-כפול בפי המבקש</w:t>
      </w:r>
    </w:p>
    <w:p w14:paraId="4476201F" w14:textId="77777777" w:rsidR="00D27F74" w:rsidRDefault="00D27F74" w:rsidP="00D70E84">
      <w:pPr>
        <w:spacing w:after="120" w:line="360" w:lineRule="auto"/>
        <w:jc w:val="both"/>
        <w:rPr>
          <w:rFonts w:ascii="David" w:hAnsi="David" w:cs="David"/>
          <w:b/>
          <w:bCs/>
          <w:sz w:val="24"/>
          <w:szCs w:val="24"/>
          <w:rtl/>
        </w:rPr>
      </w:pPr>
    </w:p>
    <w:p w14:paraId="02BB0EB2" w14:textId="77777777" w:rsidR="006F2DE4" w:rsidRDefault="006F2DE4" w:rsidP="00453E1F">
      <w:pPr>
        <w:spacing w:after="120" w:line="360" w:lineRule="auto"/>
        <w:ind w:left="-625"/>
        <w:jc w:val="both"/>
        <w:rPr>
          <w:rFonts w:ascii="David" w:hAnsi="David" w:cs="David"/>
          <w:b/>
          <w:bCs/>
          <w:sz w:val="24"/>
          <w:szCs w:val="24"/>
          <w:rtl/>
        </w:rPr>
      </w:pPr>
      <w:r w:rsidRPr="00F06968">
        <w:rPr>
          <w:rFonts w:ascii="David" w:hAnsi="David" w:cs="David" w:hint="cs"/>
          <w:b/>
          <w:bCs/>
          <w:sz w:val="24"/>
          <w:szCs w:val="24"/>
          <w:rtl/>
        </w:rPr>
        <w:lastRenderedPageBreak/>
        <w:t xml:space="preserve">דעות: </w:t>
      </w:r>
    </w:p>
    <w:p w14:paraId="5D2F7670" w14:textId="77777777" w:rsidR="00D27F74" w:rsidRDefault="00D27F74" w:rsidP="00B87D5E">
      <w:pPr>
        <w:pStyle w:val="a4"/>
        <w:numPr>
          <w:ilvl w:val="0"/>
          <w:numId w:val="5"/>
        </w:numPr>
        <w:spacing w:after="120" w:line="360" w:lineRule="auto"/>
        <w:ind w:left="-483"/>
        <w:jc w:val="both"/>
        <w:rPr>
          <w:rFonts w:ascii="David" w:hAnsi="David" w:cs="David"/>
          <w:b/>
          <w:bCs/>
          <w:sz w:val="24"/>
          <w:szCs w:val="24"/>
        </w:rPr>
      </w:pPr>
      <w:r>
        <w:rPr>
          <w:rFonts w:ascii="David" w:hAnsi="David" w:cs="David" w:hint="cs"/>
          <w:b/>
          <w:bCs/>
          <w:sz w:val="24"/>
          <w:szCs w:val="24"/>
          <w:rtl/>
        </w:rPr>
        <w:t xml:space="preserve">הנשיא שניאור  חשין: </w:t>
      </w:r>
    </w:p>
    <w:p w14:paraId="00DF943D" w14:textId="77777777" w:rsidR="00D27F74" w:rsidRDefault="00D27F74" w:rsidP="00B87D5E">
      <w:pPr>
        <w:pStyle w:val="a4"/>
        <w:numPr>
          <w:ilvl w:val="0"/>
          <w:numId w:val="6"/>
        </w:numPr>
        <w:spacing w:after="120" w:line="360" w:lineRule="auto"/>
        <w:ind w:left="-483"/>
        <w:jc w:val="both"/>
        <w:rPr>
          <w:rFonts w:ascii="David" w:hAnsi="David" w:cs="David"/>
          <w:sz w:val="24"/>
          <w:szCs w:val="24"/>
        </w:rPr>
      </w:pPr>
      <w:r w:rsidRPr="00D27F74">
        <w:rPr>
          <w:rFonts w:ascii="David" w:hAnsi="David" w:cs="David" w:hint="cs"/>
          <w:sz w:val="24"/>
          <w:szCs w:val="24"/>
          <w:rtl/>
        </w:rPr>
        <w:t xml:space="preserve">לא כל האישומים ואל כל העובדות נדונו במשפט הפלילי. לפחות שניים מהם לא נדונו (פריטים 1 ו-4). </w:t>
      </w:r>
      <w:r>
        <w:rPr>
          <w:rFonts w:ascii="David" w:hAnsi="David" w:cs="David" w:hint="cs"/>
          <w:sz w:val="24"/>
          <w:szCs w:val="24"/>
          <w:rtl/>
        </w:rPr>
        <w:t xml:space="preserve">ביחס אליהן אין ענת סיכון כפול או מעשה בית דין. </w:t>
      </w:r>
    </w:p>
    <w:p w14:paraId="1C46A1B5" w14:textId="77777777" w:rsidR="00527EBA" w:rsidRPr="00527EBA" w:rsidRDefault="00527EBA" w:rsidP="00B87D5E">
      <w:pPr>
        <w:pStyle w:val="a4"/>
        <w:numPr>
          <w:ilvl w:val="0"/>
          <w:numId w:val="6"/>
        </w:numPr>
        <w:spacing w:after="120" w:line="360" w:lineRule="auto"/>
        <w:ind w:left="-483"/>
        <w:jc w:val="both"/>
        <w:rPr>
          <w:rFonts w:ascii="David" w:hAnsi="David" w:cs="David"/>
          <w:color w:val="4472C4" w:themeColor="accent1"/>
          <w:sz w:val="24"/>
          <w:szCs w:val="24"/>
          <w:rtl/>
        </w:rPr>
      </w:pPr>
      <w:r>
        <w:rPr>
          <w:rFonts w:ascii="David" w:hAnsi="David" w:cs="David" w:hint="cs"/>
          <w:sz w:val="24"/>
          <w:szCs w:val="24"/>
          <w:rtl/>
        </w:rPr>
        <w:t xml:space="preserve">באשר לכל האישומים, </w:t>
      </w:r>
      <w:r w:rsidRPr="00527EBA">
        <w:rPr>
          <w:rFonts w:ascii="David" w:hAnsi="David" w:cs="David" w:hint="cs"/>
          <w:color w:val="4472C4" w:themeColor="accent1"/>
          <w:sz w:val="24"/>
          <w:szCs w:val="24"/>
          <w:rtl/>
        </w:rPr>
        <w:t xml:space="preserve">הליך משמעתי אינו כהליך פלילי. </w:t>
      </w:r>
      <w:r w:rsidRPr="00527EBA">
        <w:rPr>
          <w:rFonts w:ascii="David" w:hAnsi="David" w:cs="David"/>
          <w:color w:val="4472C4" w:themeColor="accent1"/>
          <w:sz w:val="24"/>
          <w:szCs w:val="24"/>
          <w:rtl/>
        </w:rPr>
        <w:t>התביעה הפלילית נועדה לקבוע אם הנאשם עבר על החוק ואם הוא ראוי כי יטילו עליו את העונש הקבוע בחוק, ואילו הדיון המשמעתי לא נועד להעניש את ה"עבריין", כי אם לקבוע, בראש וראשונה, אם הוא עודנו ראוי לאמון אשר רחשו לו השלטונות והציבור לפני שנמתח עליו קו של חשד. לשון אחרת: הדיון המשמעתי אין מהותו פלילית, כי אם אזרחית, ואין תכליתו ענישה, כי אם הגנה</w:t>
      </w:r>
      <w:r w:rsidR="00321681">
        <w:rPr>
          <w:rFonts w:ascii="David" w:hAnsi="David" w:cs="David" w:hint="cs"/>
          <w:color w:val="4472C4" w:themeColor="accent1"/>
          <w:sz w:val="24"/>
          <w:szCs w:val="24"/>
          <w:rtl/>
        </w:rPr>
        <w:t xml:space="preserve">. </w:t>
      </w:r>
      <w:r w:rsidR="00321681" w:rsidRPr="00CE09D2">
        <w:rPr>
          <w:rFonts w:cs="FrankRuehl"/>
          <w:spacing w:val="10"/>
          <w:sz w:val="24"/>
          <w:rtl/>
        </w:rPr>
        <w:t>. התביעה הפלילית מוגשת בשם היועץ המשפטי, והדיון המשמעתי – בשם נציב שירות המנגנון. סדרי הדיון ודיני הראיות שונים בשני סוגי המשפט, ולא הרי זה כהרי זה גם מבחינת שיעור הוכחות הדרוש לחיוב</w:t>
      </w:r>
      <w:r w:rsidR="00A74EEF">
        <w:rPr>
          <w:rFonts w:ascii="David" w:hAnsi="David" w:cs="David" w:hint="cs"/>
          <w:color w:val="4472C4" w:themeColor="accent1"/>
          <w:sz w:val="24"/>
          <w:szCs w:val="24"/>
          <w:rtl/>
        </w:rPr>
        <w:t xml:space="preserve">, </w:t>
      </w:r>
      <w:r w:rsidR="00A74EEF" w:rsidRPr="00CE09D2">
        <w:rPr>
          <w:rFonts w:cs="FrankRuehl"/>
          <w:spacing w:val="10"/>
          <w:sz w:val="24"/>
          <w:rtl/>
        </w:rPr>
        <w:t xml:space="preserve">ואף </w:t>
      </w:r>
      <w:proofErr w:type="spellStart"/>
      <w:r w:rsidR="00A74EEF" w:rsidRPr="00CE09D2">
        <w:rPr>
          <w:rFonts w:cs="FrankRuehl"/>
          <w:spacing w:val="10"/>
          <w:sz w:val="24"/>
          <w:rtl/>
        </w:rPr>
        <w:t>הענשים</w:t>
      </w:r>
      <w:proofErr w:type="spellEnd"/>
      <w:r w:rsidR="00A74EEF" w:rsidRPr="00CE09D2">
        <w:rPr>
          <w:rFonts w:cs="FrankRuehl"/>
          <w:spacing w:val="10"/>
          <w:sz w:val="24"/>
          <w:rtl/>
        </w:rPr>
        <w:t xml:space="preserve"> – </w:t>
      </w:r>
      <w:proofErr w:type="spellStart"/>
      <w:r w:rsidR="00A74EEF" w:rsidRPr="00CE09D2">
        <w:rPr>
          <w:rFonts w:cs="FrankRuehl"/>
          <w:spacing w:val="10"/>
          <w:sz w:val="24"/>
          <w:rtl/>
        </w:rPr>
        <w:t>הסקנציות</w:t>
      </w:r>
      <w:proofErr w:type="spellEnd"/>
      <w:r w:rsidR="00A74EEF" w:rsidRPr="00CE09D2">
        <w:rPr>
          <w:rFonts w:cs="FrankRuehl"/>
          <w:spacing w:val="10"/>
          <w:sz w:val="24"/>
          <w:rtl/>
        </w:rPr>
        <w:t xml:space="preserve"> – שבית המשפט הפלילי ובית הדין המשמעתי מוסמכים להטיל אינם זהים אלה לאלה</w:t>
      </w:r>
    </w:p>
    <w:p w14:paraId="5CB66369" w14:textId="77777777" w:rsidR="00F06968" w:rsidRDefault="00F06968" w:rsidP="00453E1F">
      <w:pPr>
        <w:spacing w:after="120" w:line="360" w:lineRule="auto"/>
        <w:ind w:left="-766"/>
        <w:jc w:val="both"/>
        <w:rPr>
          <w:rFonts w:ascii="David" w:hAnsi="David" w:cs="David"/>
          <w:b/>
          <w:bCs/>
          <w:sz w:val="24"/>
          <w:szCs w:val="24"/>
          <w:rtl/>
        </w:rPr>
      </w:pPr>
      <w:r w:rsidRPr="00527EBA">
        <w:rPr>
          <w:rFonts w:ascii="David" w:hAnsi="David" w:cs="David" w:hint="cs"/>
          <w:b/>
          <w:bCs/>
          <w:color w:val="4472C4" w:themeColor="accent1"/>
          <w:sz w:val="24"/>
          <w:szCs w:val="24"/>
          <w:rtl/>
        </w:rPr>
        <w:t>דרך החשיבה של שנות החמישים</w:t>
      </w:r>
      <w:r w:rsidR="00902962">
        <w:rPr>
          <w:rFonts w:ascii="David" w:hAnsi="David" w:cs="David" w:hint="cs"/>
          <w:b/>
          <w:bCs/>
          <w:sz w:val="24"/>
          <w:szCs w:val="24"/>
          <w:rtl/>
        </w:rPr>
        <w:t>:</w:t>
      </w:r>
    </w:p>
    <w:p w14:paraId="5C10A380" w14:textId="77777777" w:rsidR="00902962" w:rsidRDefault="00902962" w:rsidP="00B87D5E">
      <w:pPr>
        <w:pStyle w:val="a4"/>
        <w:numPr>
          <w:ilvl w:val="0"/>
          <w:numId w:val="7"/>
        </w:numPr>
        <w:spacing w:after="120" w:line="360" w:lineRule="auto"/>
        <w:ind w:left="-625"/>
        <w:jc w:val="both"/>
        <w:rPr>
          <w:rFonts w:ascii="David" w:hAnsi="David" w:cs="David"/>
          <w:b/>
          <w:bCs/>
          <w:sz w:val="24"/>
          <w:szCs w:val="24"/>
        </w:rPr>
      </w:pPr>
      <w:r>
        <w:rPr>
          <w:rFonts w:ascii="David" w:hAnsi="David" w:cs="David" w:hint="cs"/>
          <w:b/>
          <w:bCs/>
          <w:sz w:val="24"/>
          <w:szCs w:val="24"/>
          <w:rtl/>
        </w:rPr>
        <w:t xml:space="preserve">הנשיא שניאור חשין: </w:t>
      </w:r>
      <w:r w:rsidRPr="00453E1F">
        <w:rPr>
          <w:rFonts w:ascii="David" w:hAnsi="David" w:cs="David" w:hint="cs"/>
          <w:sz w:val="24"/>
          <w:szCs w:val="24"/>
          <w:rtl/>
        </w:rPr>
        <w:t xml:space="preserve">לדעתו השלטונות עושים עמו חסד בהעמידו לין משמעתי. </w:t>
      </w:r>
      <w:r w:rsidR="000300AC" w:rsidRPr="00453E1F">
        <w:rPr>
          <w:rFonts w:ascii="David" w:hAnsi="David" w:cs="David" w:hint="cs"/>
          <w:sz w:val="24"/>
          <w:szCs w:val="24"/>
          <w:rtl/>
        </w:rPr>
        <w:t>לא פיטרו אותו אלא העניקו לו הזדמנות נוספות מול טריבונל אחר, בשונה מהטריבונל שלא היה בטוח בצדקתו " התנהגות שמעוררות חשד רציני".</w:t>
      </w:r>
      <w:r w:rsidR="000300AC">
        <w:rPr>
          <w:rFonts w:ascii="David" w:hAnsi="David" w:cs="David" w:hint="cs"/>
          <w:b/>
          <w:bCs/>
          <w:sz w:val="24"/>
          <w:szCs w:val="24"/>
          <w:rtl/>
        </w:rPr>
        <w:t xml:space="preserve"> </w:t>
      </w:r>
    </w:p>
    <w:p w14:paraId="055D3A53" w14:textId="77777777" w:rsidR="000300AC" w:rsidRDefault="000300AC" w:rsidP="00B87D5E">
      <w:pPr>
        <w:pStyle w:val="a4"/>
        <w:numPr>
          <w:ilvl w:val="0"/>
          <w:numId w:val="7"/>
        </w:numPr>
        <w:spacing w:after="120" w:line="360" w:lineRule="auto"/>
        <w:ind w:left="-625"/>
        <w:jc w:val="both"/>
        <w:rPr>
          <w:rFonts w:ascii="David" w:hAnsi="David" w:cs="David"/>
          <w:b/>
          <w:bCs/>
          <w:sz w:val="24"/>
          <w:szCs w:val="24"/>
        </w:rPr>
      </w:pPr>
      <w:r>
        <w:rPr>
          <w:rFonts w:ascii="David" w:hAnsi="David" w:cs="David" w:hint="cs"/>
          <w:b/>
          <w:bCs/>
          <w:sz w:val="24"/>
          <w:szCs w:val="24"/>
          <w:rtl/>
        </w:rPr>
        <w:t xml:space="preserve">השופט זוסמן: </w:t>
      </w:r>
      <w:r w:rsidR="00277FF4" w:rsidRPr="00453E1F">
        <w:rPr>
          <w:rFonts w:ascii="David" w:hAnsi="David" w:cs="David"/>
          <w:sz w:val="24"/>
          <w:szCs w:val="24"/>
          <w:rtl/>
        </w:rPr>
        <w:t xml:space="preserve">נראה הדבר, כי </w:t>
      </w:r>
      <w:proofErr w:type="spellStart"/>
      <w:r w:rsidR="00277FF4" w:rsidRPr="00453E1F">
        <w:rPr>
          <w:rFonts w:ascii="David" w:hAnsi="David" w:cs="David"/>
          <w:sz w:val="24"/>
          <w:szCs w:val="24"/>
          <w:rtl/>
        </w:rPr>
        <w:t>הענין</w:t>
      </w:r>
      <w:proofErr w:type="spellEnd"/>
      <w:r w:rsidR="00277FF4" w:rsidRPr="00453E1F">
        <w:rPr>
          <w:rFonts w:ascii="David" w:hAnsi="David" w:cs="David"/>
          <w:sz w:val="24"/>
          <w:szCs w:val="24"/>
          <w:rtl/>
        </w:rPr>
        <w:t xml:space="preserve"> לא נחשב בעיני הממונים עליו כה רציני שינקטו נגדו מיד באמצעים משמעתיים; צעדים אלה ננקטו רק אחרי שחזר המבקש לעבודתו והמשיך בה למעלה מעשרה חדשים. בדונם עכשיו בפרשה זו, ינהגו הנוגעים בדבר בוודאי לפי חוש הפרופורציה ההולם את המעשה.</w:t>
      </w:r>
    </w:p>
    <w:p w14:paraId="649326F1" w14:textId="77777777" w:rsidR="00277FF4" w:rsidRPr="00902962" w:rsidRDefault="00277FF4" w:rsidP="00B87D5E">
      <w:pPr>
        <w:pStyle w:val="a4"/>
        <w:numPr>
          <w:ilvl w:val="0"/>
          <w:numId w:val="7"/>
        </w:numPr>
        <w:spacing w:after="120" w:line="360" w:lineRule="auto"/>
        <w:ind w:left="-625"/>
        <w:jc w:val="both"/>
        <w:rPr>
          <w:rFonts w:ascii="David" w:hAnsi="David" w:cs="David"/>
          <w:b/>
          <w:bCs/>
          <w:sz w:val="24"/>
          <w:szCs w:val="24"/>
          <w:rtl/>
        </w:rPr>
      </w:pPr>
      <w:r>
        <w:rPr>
          <w:rFonts w:ascii="David" w:hAnsi="David" w:cs="David" w:hint="cs"/>
          <w:b/>
          <w:bCs/>
          <w:sz w:val="24"/>
          <w:szCs w:val="24"/>
          <w:rtl/>
        </w:rPr>
        <w:t xml:space="preserve">השופט </w:t>
      </w:r>
      <w:proofErr w:type="spellStart"/>
      <w:r>
        <w:rPr>
          <w:rFonts w:ascii="David" w:hAnsi="David" w:cs="David" w:hint="cs"/>
          <w:b/>
          <w:bCs/>
          <w:sz w:val="24"/>
          <w:szCs w:val="24"/>
          <w:rtl/>
        </w:rPr>
        <w:t>לנדוי</w:t>
      </w:r>
      <w:proofErr w:type="spellEnd"/>
      <w:r>
        <w:rPr>
          <w:rFonts w:ascii="David" w:hAnsi="David" w:cs="David" w:hint="cs"/>
          <w:b/>
          <w:bCs/>
          <w:sz w:val="24"/>
          <w:szCs w:val="24"/>
          <w:rtl/>
        </w:rPr>
        <w:t xml:space="preserve">: </w:t>
      </w:r>
      <w:r w:rsidRPr="00453E1F">
        <w:rPr>
          <w:rFonts w:ascii="David" w:hAnsi="David" w:cs="David"/>
          <w:sz w:val="24"/>
          <w:szCs w:val="24"/>
          <w:rtl/>
        </w:rPr>
        <w:t xml:space="preserve">אין חולק על כך של בית דין משמעתי רשאי להטיל סנקציות נוספות על אלה שהוטלו כבר במשפט פלילי נגד אותו הנאשם, וכן הוא רשאי להטיל סנקציות משמעתיות, אם כי הנאשם זוכה מקודם במשפט פלילי שהתנהל על אותן העובדות, כי מעשה </w:t>
      </w:r>
      <w:proofErr w:type="spellStart"/>
      <w:r w:rsidRPr="00453E1F">
        <w:rPr>
          <w:rFonts w:ascii="David" w:hAnsi="David" w:cs="David"/>
          <w:sz w:val="24"/>
          <w:szCs w:val="24"/>
          <w:rtl/>
        </w:rPr>
        <w:t>מסויים</w:t>
      </w:r>
      <w:proofErr w:type="spellEnd"/>
      <w:r w:rsidRPr="00453E1F">
        <w:rPr>
          <w:rFonts w:ascii="David" w:hAnsi="David" w:cs="David"/>
          <w:sz w:val="24"/>
          <w:szCs w:val="24"/>
          <w:rtl/>
        </w:rPr>
        <w:t xml:space="preserve"> של פקיד הציבור יכול להיחשב לו כהפרת משמעת או כהתרשלות במילוי תפקידו, אם כי אותו מעשה לא עלה כדי עבירה פלילית. ועוד, עצם העובדה שאדם הורשע במשפט פלילי יכולה לשמש, ללא בדיקה של נכונות ההרשעה, כעילה לנקיטת סנקציות משמעתיות נגדו</w:t>
      </w:r>
      <w:r w:rsidRPr="00453E1F">
        <w:rPr>
          <w:rFonts w:ascii="David" w:hAnsi="David" w:cs="David" w:hint="cs"/>
          <w:sz w:val="24"/>
          <w:szCs w:val="24"/>
          <w:rtl/>
        </w:rPr>
        <w:t xml:space="preserve">. </w:t>
      </w:r>
      <w:r w:rsidRPr="00453E1F">
        <w:rPr>
          <w:rFonts w:ascii="David" w:hAnsi="David" w:cs="David"/>
          <w:sz w:val="24"/>
          <w:szCs w:val="24"/>
          <w:rtl/>
        </w:rPr>
        <w:t xml:space="preserve">האם בית הדין רשאי לברר מחדש עובדות, שכבר </w:t>
      </w:r>
      <w:proofErr w:type="spellStart"/>
      <w:r w:rsidRPr="00453E1F">
        <w:rPr>
          <w:rFonts w:ascii="David" w:hAnsi="David" w:cs="David"/>
          <w:sz w:val="24"/>
          <w:szCs w:val="24"/>
          <w:rtl/>
        </w:rPr>
        <w:t>נתבררו</w:t>
      </w:r>
      <w:proofErr w:type="spellEnd"/>
      <w:r w:rsidRPr="00453E1F">
        <w:rPr>
          <w:rFonts w:ascii="David" w:hAnsi="David" w:cs="David"/>
          <w:sz w:val="24"/>
          <w:szCs w:val="24"/>
          <w:rtl/>
        </w:rPr>
        <w:t xml:space="preserve"> במשפט הפלילי, ולהגיע לממצאי עובדות הסותרות את ממצאי בית המשפט. לא במסקנות אחרות או בהטלת סנקציות אחרות או נוספות על יסוד העובדות שנמצאו בדיון הקודם אנו עוסקים כאן, אלא בסתירת ממצאי העובדות עצמן</w:t>
      </w:r>
      <w:r w:rsidRPr="00453E1F">
        <w:rPr>
          <w:rtl/>
        </w:rPr>
        <w:t xml:space="preserve"> </w:t>
      </w:r>
      <w:r w:rsidRPr="00453E1F">
        <w:rPr>
          <w:rFonts w:ascii="David" w:hAnsi="David" w:cs="David"/>
          <w:sz w:val="24"/>
          <w:szCs w:val="24"/>
          <w:rtl/>
        </w:rPr>
        <w:t>אין מקום לטענת מניעות, נוכח האפשרות הניתנת לשני בעלי-הדין להביא לפני בית הדין המשמעתי ראיות נוספות, שלא היו כשרות במשפט הפלילי. אני מדגיש: לשני בעלי הדין</w:t>
      </w:r>
    </w:p>
    <w:p w14:paraId="7C49CC81" w14:textId="77777777" w:rsidR="003027EB" w:rsidRPr="00677479" w:rsidRDefault="00677479" w:rsidP="00677479">
      <w:pPr>
        <w:spacing w:after="120" w:line="360" w:lineRule="auto"/>
        <w:ind w:left="-766"/>
        <w:jc w:val="both"/>
        <w:rPr>
          <w:rFonts w:ascii="David" w:hAnsi="David" w:cs="David"/>
          <w:b/>
          <w:bCs/>
          <w:sz w:val="24"/>
          <w:szCs w:val="24"/>
          <w:u w:val="single"/>
          <w:rtl/>
        </w:rPr>
      </w:pPr>
      <w:r w:rsidRPr="00677479">
        <w:rPr>
          <w:rFonts w:ascii="David" w:hAnsi="David" w:cs="David" w:hint="cs"/>
          <w:b/>
          <w:bCs/>
          <w:sz w:val="24"/>
          <w:szCs w:val="24"/>
          <w:u w:val="single"/>
          <w:rtl/>
        </w:rPr>
        <w:t>שיעור 2, 25.10.2020</w:t>
      </w:r>
    </w:p>
    <w:p w14:paraId="363772B7" w14:textId="77777777" w:rsidR="003027EB" w:rsidRDefault="00677479" w:rsidP="00AD76B4">
      <w:pPr>
        <w:spacing w:after="120" w:line="360" w:lineRule="auto"/>
        <w:jc w:val="center"/>
        <w:rPr>
          <w:rFonts w:ascii="David" w:hAnsi="David" w:cs="David"/>
          <w:b/>
          <w:bCs/>
          <w:color w:val="FFC000" w:themeColor="accent4"/>
          <w:sz w:val="24"/>
          <w:szCs w:val="24"/>
          <w:u w:val="single"/>
          <w:rtl/>
        </w:rPr>
      </w:pPr>
      <w:r w:rsidRPr="00677479">
        <w:rPr>
          <w:rFonts w:ascii="David" w:hAnsi="David" w:cs="David" w:hint="cs"/>
          <w:b/>
          <w:bCs/>
          <w:color w:val="FFC000" w:themeColor="accent4"/>
          <w:sz w:val="24"/>
          <w:szCs w:val="24"/>
          <w:u w:val="single"/>
          <w:rtl/>
        </w:rPr>
        <w:t>הקורס ממעוף הציפור</w:t>
      </w:r>
    </w:p>
    <w:p w14:paraId="0838A815" w14:textId="77777777" w:rsidR="00AD76B4" w:rsidRPr="00AD76B4" w:rsidRDefault="00AD76B4" w:rsidP="00AD76B4">
      <w:pPr>
        <w:spacing w:after="120" w:line="360" w:lineRule="auto"/>
        <w:ind w:left="-908"/>
        <w:rPr>
          <w:rFonts w:ascii="David" w:hAnsi="David" w:cs="David"/>
          <w:sz w:val="24"/>
          <w:szCs w:val="24"/>
          <w:rtl/>
        </w:rPr>
      </w:pPr>
      <w:r w:rsidRPr="00AD76B4">
        <w:rPr>
          <w:rFonts w:ascii="David" w:hAnsi="David" w:cs="David" w:hint="cs"/>
          <w:sz w:val="24"/>
          <w:szCs w:val="24"/>
          <w:rtl/>
        </w:rPr>
        <w:t>הקורס בנוי משלושה חלקים:</w:t>
      </w:r>
    </w:p>
    <w:p w14:paraId="0094D9B1" w14:textId="77777777" w:rsidR="00695975" w:rsidRPr="00695975" w:rsidRDefault="00AD76B4" w:rsidP="00B87D5E">
      <w:pPr>
        <w:pStyle w:val="a4"/>
        <w:numPr>
          <w:ilvl w:val="0"/>
          <w:numId w:val="8"/>
        </w:numPr>
        <w:spacing w:after="120" w:line="360" w:lineRule="auto"/>
        <w:ind w:left="-483"/>
        <w:rPr>
          <w:rFonts w:ascii="David" w:hAnsi="David" w:cs="David"/>
          <w:sz w:val="24"/>
          <w:szCs w:val="24"/>
        </w:rPr>
      </w:pPr>
      <w:r w:rsidRPr="00D51741">
        <w:rPr>
          <w:rFonts w:ascii="David" w:hAnsi="David" w:cs="David" w:hint="cs"/>
          <w:b/>
          <w:bCs/>
          <w:color w:val="2F5496" w:themeColor="accent1" w:themeShade="BF"/>
          <w:sz w:val="24"/>
          <w:szCs w:val="24"/>
          <w:rtl/>
        </w:rPr>
        <w:t>חלק א'</w:t>
      </w:r>
      <w:r w:rsidR="009840BF" w:rsidRPr="00D51741">
        <w:rPr>
          <w:rFonts w:ascii="David" w:hAnsi="David" w:cs="David" w:hint="cs"/>
          <w:b/>
          <w:bCs/>
          <w:color w:val="2F5496" w:themeColor="accent1" w:themeShade="BF"/>
          <w:sz w:val="24"/>
          <w:szCs w:val="24"/>
          <w:rtl/>
        </w:rPr>
        <w:t xml:space="preserve"> לקורס</w:t>
      </w:r>
      <w:r w:rsidRPr="00D51741">
        <w:rPr>
          <w:rFonts w:ascii="David" w:hAnsi="David" w:cs="David" w:hint="cs"/>
          <w:b/>
          <w:bCs/>
          <w:color w:val="2F5496" w:themeColor="accent1" w:themeShade="BF"/>
          <w:sz w:val="24"/>
          <w:szCs w:val="24"/>
          <w:rtl/>
        </w:rPr>
        <w:t>:</w:t>
      </w:r>
      <w:r w:rsidRPr="00D51741">
        <w:rPr>
          <w:rFonts w:ascii="David" w:hAnsi="David" w:cs="David" w:hint="cs"/>
          <w:color w:val="2F5496" w:themeColor="accent1" w:themeShade="BF"/>
          <w:sz w:val="24"/>
          <w:szCs w:val="24"/>
          <w:rtl/>
        </w:rPr>
        <w:t xml:space="preserve"> </w:t>
      </w:r>
      <w:r w:rsidRPr="00AD76B4">
        <w:rPr>
          <w:rFonts w:ascii="David" w:hAnsi="David" w:cs="David" w:hint="cs"/>
          <w:sz w:val="24"/>
          <w:szCs w:val="24"/>
          <w:rtl/>
        </w:rPr>
        <w:t>העקרונות הכלליים של הדין המשמעתי</w:t>
      </w:r>
    </w:p>
    <w:p w14:paraId="69700748" w14:textId="77777777" w:rsidR="00695975" w:rsidRDefault="009840BF" w:rsidP="009840BF">
      <w:pPr>
        <w:pStyle w:val="a4"/>
        <w:numPr>
          <w:ilvl w:val="0"/>
          <w:numId w:val="6"/>
        </w:numPr>
        <w:spacing w:after="120" w:line="360" w:lineRule="auto"/>
        <w:ind w:left="-341"/>
        <w:jc w:val="both"/>
        <w:rPr>
          <w:rFonts w:ascii="David" w:hAnsi="David" w:cs="David"/>
          <w:sz w:val="24"/>
          <w:szCs w:val="24"/>
        </w:rPr>
      </w:pPr>
      <w:r w:rsidRPr="00D51741">
        <w:rPr>
          <w:rFonts w:ascii="David" w:hAnsi="David" w:cs="David" w:hint="cs"/>
          <w:b/>
          <w:bCs/>
          <w:color w:val="FFC000" w:themeColor="accent4"/>
          <w:sz w:val="24"/>
          <w:szCs w:val="24"/>
          <w:rtl/>
        </w:rPr>
        <w:t>נושא 1 לסילבוס</w:t>
      </w:r>
      <w:r>
        <w:rPr>
          <w:rFonts w:ascii="David" w:hAnsi="David" w:cs="David" w:hint="cs"/>
          <w:b/>
          <w:bCs/>
          <w:sz w:val="24"/>
          <w:szCs w:val="24"/>
          <w:rtl/>
        </w:rPr>
        <w:t xml:space="preserve">: </w:t>
      </w:r>
      <w:r w:rsidR="00695975" w:rsidRPr="007E49B7">
        <w:rPr>
          <w:rFonts w:ascii="David" w:hAnsi="David" w:cs="David" w:hint="cs"/>
          <w:b/>
          <w:bCs/>
          <w:sz w:val="24"/>
          <w:szCs w:val="24"/>
          <w:rtl/>
        </w:rPr>
        <w:t xml:space="preserve">בג"ץ </w:t>
      </w:r>
      <w:proofErr w:type="spellStart"/>
      <w:r w:rsidR="00695975" w:rsidRPr="007E49B7">
        <w:rPr>
          <w:rFonts w:ascii="David" w:hAnsi="David" w:cs="David" w:hint="cs"/>
          <w:b/>
          <w:bCs/>
          <w:sz w:val="24"/>
          <w:szCs w:val="24"/>
          <w:rtl/>
        </w:rPr>
        <w:t>צימוקין</w:t>
      </w:r>
      <w:proofErr w:type="spellEnd"/>
      <w:r w:rsidR="00695975" w:rsidRPr="007E49B7">
        <w:rPr>
          <w:rFonts w:ascii="David" w:hAnsi="David" w:cs="David" w:hint="cs"/>
          <w:b/>
          <w:bCs/>
          <w:sz w:val="24"/>
          <w:szCs w:val="24"/>
          <w:rtl/>
        </w:rPr>
        <w:t xml:space="preserve"> -</w:t>
      </w:r>
      <w:r w:rsidR="00695975">
        <w:rPr>
          <w:rFonts w:ascii="David" w:hAnsi="David" w:cs="David" w:hint="cs"/>
          <w:sz w:val="24"/>
          <w:szCs w:val="24"/>
          <w:rtl/>
        </w:rPr>
        <w:t xml:space="preserve"> עוסק בשאלת הדין המשמעתי ובמיקומו יחד עם משמעותו האופרטיבית. אף אחד מהשופטים לא קבע שהדין המשמעתי הוא ענף מהמשפט הפלילי. חמישה עשורים לאחר מכן, בקצב איטי בתי המשפט מכירים בדין המשמעתי כדין פלילי. בקורס ננסה להבין איך קרה ההליך הזה. </w:t>
      </w:r>
      <w:r w:rsidR="00271B91">
        <w:rPr>
          <w:rFonts w:ascii="David" w:hAnsi="David" w:cs="David" w:hint="cs"/>
          <w:sz w:val="24"/>
          <w:szCs w:val="24"/>
          <w:rtl/>
        </w:rPr>
        <w:t>]</w:t>
      </w:r>
    </w:p>
    <w:p w14:paraId="09D446E7" w14:textId="77777777" w:rsidR="00695975" w:rsidRDefault="009840BF" w:rsidP="009840BF">
      <w:pPr>
        <w:pStyle w:val="a4"/>
        <w:numPr>
          <w:ilvl w:val="0"/>
          <w:numId w:val="6"/>
        </w:numPr>
        <w:spacing w:after="120" w:line="360" w:lineRule="auto"/>
        <w:ind w:left="-341"/>
        <w:jc w:val="both"/>
        <w:rPr>
          <w:rFonts w:ascii="David" w:hAnsi="David" w:cs="David"/>
          <w:sz w:val="24"/>
          <w:szCs w:val="24"/>
        </w:rPr>
      </w:pPr>
      <w:r w:rsidRPr="00D51741">
        <w:rPr>
          <w:rFonts w:ascii="David" w:hAnsi="David" w:cs="David" w:hint="cs"/>
          <w:b/>
          <w:bCs/>
          <w:color w:val="FFC000" w:themeColor="accent4"/>
          <w:sz w:val="24"/>
          <w:szCs w:val="24"/>
          <w:rtl/>
        </w:rPr>
        <w:lastRenderedPageBreak/>
        <w:t>נושא 2 לסילבוס</w:t>
      </w:r>
      <w:r>
        <w:rPr>
          <w:rFonts w:ascii="David" w:hAnsi="David" w:cs="David" w:hint="cs"/>
          <w:b/>
          <w:bCs/>
          <w:sz w:val="24"/>
          <w:szCs w:val="24"/>
          <w:rtl/>
        </w:rPr>
        <w:t xml:space="preserve">: </w:t>
      </w:r>
      <w:r w:rsidR="00695975" w:rsidRPr="00695975">
        <w:rPr>
          <w:rFonts w:ascii="David" w:hAnsi="David" w:cs="David" w:hint="cs"/>
          <w:b/>
          <w:bCs/>
          <w:sz w:val="24"/>
          <w:szCs w:val="24"/>
          <w:rtl/>
        </w:rPr>
        <w:t>סדרי הדין:</w:t>
      </w:r>
      <w:r w:rsidR="00695975">
        <w:rPr>
          <w:rFonts w:ascii="David" w:hAnsi="David" w:cs="David" w:hint="cs"/>
          <w:sz w:val="24"/>
          <w:szCs w:val="24"/>
          <w:rtl/>
        </w:rPr>
        <w:t xml:space="preserve"> בדיקת סדרי הדין של ההליך המשמעתי לעומת ההליך האזרחי והפלילי</w:t>
      </w:r>
    </w:p>
    <w:p w14:paraId="2FB0C085" w14:textId="77777777" w:rsidR="00695975" w:rsidRPr="009840BF" w:rsidRDefault="009840BF" w:rsidP="009840BF">
      <w:pPr>
        <w:pStyle w:val="a4"/>
        <w:numPr>
          <w:ilvl w:val="0"/>
          <w:numId w:val="6"/>
        </w:numPr>
        <w:spacing w:after="120" w:line="360" w:lineRule="auto"/>
        <w:ind w:left="-341"/>
        <w:jc w:val="both"/>
        <w:rPr>
          <w:rFonts w:ascii="David" w:hAnsi="David" w:cs="David"/>
          <w:sz w:val="24"/>
          <w:szCs w:val="24"/>
          <w:rtl/>
        </w:rPr>
      </w:pPr>
      <w:r w:rsidRPr="00D51741">
        <w:rPr>
          <w:rFonts w:ascii="David" w:hAnsi="David" w:cs="David" w:hint="cs"/>
          <w:b/>
          <w:bCs/>
          <w:color w:val="FFC000" w:themeColor="accent4"/>
          <w:sz w:val="24"/>
          <w:szCs w:val="24"/>
          <w:rtl/>
        </w:rPr>
        <w:t>נושא 3 לסילבוס</w:t>
      </w:r>
      <w:r>
        <w:rPr>
          <w:rFonts w:ascii="David" w:hAnsi="David" w:cs="David"/>
          <w:b/>
          <w:bCs/>
          <w:sz w:val="24"/>
          <w:szCs w:val="24"/>
        </w:rPr>
        <w:t xml:space="preserve">: </w:t>
      </w:r>
      <w:r w:rsidR="00695975" w:rsidRPr="00695975">
        <w:rPr>
          <w:rFonts w:ascii="David" w:hAnsi="David" w:cs="David" w:hint="cs"/>
          <w:b/>
          <w:bCs/>
          <w:sz w:val="24"/>
          <w:szCs w:val="24"/>
          <w:rtl/>
        </w:rPr>
        <w:t>נושאים כלליים</w:t>
      </w:r>
      <w:r w:rsidR="00695975" w:rsidRPr="009840BF">
        <w:rPr>
          <w:rFonts w:ascii="David" w:hAnsi="David" w:cs="David" w:hint="cs"/>
          <w:b/>
          <w:bCs/>
          <w:sz w:val="24"/>
          <w:szCs w:val="24"/>
          <w:rtl/>
        </w:rPr>
        <w:t xml:space="preserve"> (5 נושאים):</w:t>
      </w:r>
      <w:r w:rsidR="00695975" w:rsidRPr="009840BF">
        <w:rPr>
          <w:rFonts w:ascii="David" w:hAnsi="David" w:cs="David" w:hint="cs"/>
          <w:sz w:val="24"/>
          <w:szCs w:val="24"/>
          <w:rtl/>
        </w:rPr>
        <w:t xml:space="preserve"> </w:t>
      </w:r>
      <w:r w:rsidR="00F002A1">
        <w:rPr>
          <w:rFonts w:ascii="David" w:hAnsi="David" w:cs="David" w:hint="cs"/>
          <w:sz w:val="24"/>
          <w:szCs w:val="24"/>
          <w:rtl/>
        </w:rPr>
        <w:t xml:space="preserve">(1) </w:t>
      </w:r>
      <w:r w:rsidR="00695975" w:rsidRPr="009840BF">
        <w:rPr>
          <w:rFonts w:ascii="David" w:hAnsi="David" w:cs="David" w:hint="cs"/>
          <w:sz w:val="24"/>
          <w:szCs w:val="24"/>
          <w:rtl/>
        </w:rPr>
        <w:t xml:space="preserve">התנגשות בין הליך משמעתי להליך פלילי מקביל, </w:t>
      </w:r>
      <w:r w:rsidR="00F002A1">
        <w:rPr>
          <w:rFonts w:ascii="David" w:hAnsi="David" w:cs="David" w:hint="cs"/>
          <w:sz w:val="24"/>
          <w:szCs w:val="24"/>
          <w:rtl/>
        </w:rPr>
        <w:t>(2)</w:t>
      </w:r>
      <w:r w:rsidR="00695975" w:rsidRPr="009840BF">
        <w:rPr>
          <w:rFonts w:ascii="David" w:hAnsi="David" w:cs="David" w:hint="cs"/>
          <w:sz w:val="24"/>
          <w:szCs w:val="24"/>
          <w:rtl/>
        </w:rPr>
        <w:t xml:space="preserve">סדר דין וראיות בהליך משמעתי, </w:t>
      </w:r>
      <w:r w:rsidR="00F002A1">
        <w:rPr>
          <w:rFonts w:ascii="David" w:hAnsi="David" w:cs="David" w:hint="cs"/>
          <w:sz w:val="24"/>
          <w:szCs w:val="24"/>
          <w:rtl/>
        </w:rPr>
        <w:t>(3)</w:t>
      </w:r>
      <w:r w:rsidR="00695975" w:rsidRPr="009840BF">
        <w:rPr>
          <w:rFonts w:ascii="David" w:hAnsi="David" w:cs="David" w:hint="cs"/>
          <w:sz w:val="24"/>
          <w:szCs w:val="24"/>
          <w:rtl/>
        </w:rPr>
        <w:t xml:space="preserve">דרגת ההוכחה הנדרשת בהליכים משמעתיים, </w:t>
      </w:r>
      <w:r w:rsidR="00F002A1">
        <w:rPr>
          <w:rFonts w:ascii="David" w:hAnsi="David" w:cs="David" w:hint="cs"/>
          <w:sz w:val="24"/>
          <w:szCs w:val="24"/>
          <w:rtl/>
        </w:rPr>
        <w:t>(4)</w:t>
      </w:r>
      <w:r w:rsidR="00695975" w:rsidRPr="009840BF">
        <w:rPr>
          <w:rFonts w:ascii="David" w:hAnsi="David" w:cs="David" w:hint="cs"/>
          <w:sz w:val="24"/>
          <w:szCs w:val="24"/>
          <w:rtl/>
        </w:rPr>
        <w:t xml:space="preserve">הגוף שממנה את ערכאות המשמעת, </w:t>
      </w:r>
      <w:r w:rsidR="00F002A1">
        <w:rPr>
          <w:rFonts w:ascii="David" w:hAnsi="David" w:cs="David" w:hint="cs"/>
          <w:sz w:val="24"/>
          <w:szCs w:val="24"/>
          <w:rtl/>
        </w:rPr>
        <w:t xml:space="preserve">(5) </w:t>
      </w:r>
      <w:r w:rsidR="00695975" w:rsidRPr="009840BF">
        <w:rPr>
          <w:rFonts w:ascii="David" w:hAnsi="David" w:cs="David" w:hint="cs"/>
          <w:sz w:val="24"/>
          <w:szCs w:val="24"/>
          <w:rtl/>
        </w:rPr>
        <w:t>הענישה המשמעתית</w:t>
      </w:r>
    </w:p>
    <w:p w14:paraId="2AD6756D" w14:textId="77777777" w:rsidR="00AD76B4" w:rsidRDefault="00AD76B4" w:rsidP="00B87D5E">
      <w:pPr>
        <w:pStyle w:val="a4"/>
        <w:numPr>
          <w:ilvl w:val="0"/>
          <w:numId w:val="8"/>
        </w:numPr>
        <w:spacing w:after="120" w:line="360" w:lineRule="auto"/>
        <w:ind w:left="-483"/>
        <w:jc w:val="both"/>
        <w:rPr>
          <w:rFonts w:ascii="David" w:hAnsi="David" w:cs="David"/>
          <w:sz w:val="24"/>
          <w:szCs w:val="24"/>
        </w:rPr>
      </w:pPr>
      <w:r w:rsidRPr="00D51741">
        <w:rPr>
          <w:rFonts w:ascii="David" w:hAnsi="David" w:cs="David" w:hint="cs"/>
          <w:b/>
          <w:bCs/>
          <w:color w:val="2F5496" w:themeColor="accent1" w:themeShade="BF"/>
          <w:sz w:val="24"/>
          <w:szCs w:val="24"/>
          <w:rtl/>
        </w:rPr>
        <w:t>חלק ב'</w:t>
      </w:r>
      <w:r w:rsidR="00D51741" w:rsidRPr="00D51741">
        <w:rPr>
          <w:rFonts w:ascii="David" w:hAnsi="David" w:cs="David" w:hint="cs"/>
          <w:b/>
          <w:bCs/>
          <w:color w:val="2F5496" w:themeColor="accent1" w:themeShade="BF"/>
          <w:sz w:val="24"/>
          <w:szCs w:val="24"/>
          <w:rtl/>
        </w:rPr>
        <w:t xml:space="preserve"> לקורס</w:t>
      </w:r>
      <w:r w:rsidRPr="00AD76B4">
        <w:rPr>
          <w:rFonts w:ascii="David" w:hAnsi="David" w:cs="David" w:hint="cs"/>
          <w:b/>
          <w:bCs/>
          <w:sz w:val="24"/>
          <w:szCs w:val="24"/>
          <w:rtl/>
        </w:rPr>
        <w:t>:</w:t>
      </w:r>
      <w:r w:rsidRPr="00AD76B4">
        <w:rPr>
          <w:rFonts w:ascii="David" w:hAnsi="David" w:cs="David" w:hint="cs"/>
          <w:sz w:val="24"/>
          <w:szCs w:val="24"/>
          <w:rtl/>
        </w:rPr>
        <w:t xml:space="preserve"> </w:t>
      </w:r>
      <w:r w:rsidRPr="009840BF">
        <w:rPr>
          <w:rFonts w:ascii="David" w:hAnsi="David" w:cs="David" w:hint="cs"/>
          <w:b/>
          <w:bCs/>
          <w:sz w:val="24"/>
          <w:szCs w:val="24"/>
          <w:rtl/>
        </w:rPr>
        <w:t>ערכאות המשמעת הסטטוטוריות</w:t>
      </w:r>
      <w:r w:rsidRPr="00AD76B4">
        <w:rPr>
          <w:rFonts w:ascii="David" w:hAnsi="David" w:cs="David" w:hint="cs"/>
          <w:sz w:val="24"/>
          <w:szCs w:val="24"/>
          <w:rtl/>
        </w:rPr>
        <w:t xml:space="preserve"> (כמעט ולא נתייחס לערכאות משמעת הסכמיות)</w:t>
      </w:r>
    </w:p>
    <w:p w14:paraId="0063988A" w14:textId="77777777" w:rsidR="00695975" w:rsidRDefault="00D51741" w:rsidP="00B87D5E">
      <w:pPr>
        <w:pStyle w:val="a4"/>
        <w:numPr>
          <w:ilvl w:val="0"/>
          <w:numId w:val="6"/>
        </w:numPr>
        <w:spacing w:after="120" w:line="360" w:lineRule="auto"/>
        <w:ind w:left="-58"/>
        <w:jc w:val="both"/>
        <w:rPr>
          <w:rFonts w:ascii="David" w:hAnsi="David" w:cs="David"/>
          <w:sz w:val="24"/>
          <w:szCs w:val="24"/>
        </w:rPr>
      </w:pPr>
      <w:r w:rsidRPr="00D51741">
        <w:rPr>
          <w:rFonts w:ascii="David" w:hAnsi="David" w:cs="David" w:hint="cs"/>
          <w:b/>
          <w:bCs/>
          <w:color w:val="FFC000" w:themeColor="accent4"/>
          <w:sz w:val="24"/>
          <w:szCs w:val="24"/>
          <w:rtl/>
        </w:rPr>
        <w:t>נושא 4 לסילבוס</w:t>
      </w:r>
      <w:r>
        <w:rPr>
          <w:rFonts w:ascii="David" w:hAnsi="David" w:cs="David" w:hint="cs"/>
          <w:b/>
          <w:bCs/>
          <w:sz w:val="24"/>
          <w:szCs w:val="24"/>
          <w:rtl/>
        </w:rPr>
        <w:t xml:space="preserve">: </w:t>
      </w:r>
      <w:r w:rsidR="00695975" w:rsidRPr="009840BF">
        <w:rPr>
          <w:rFonts w:ascii="David" w:hAnsi="David" w:cs="David" w:hint="cs"/>
          <w:b/>
          <w:bCs/>
          <w:sz w:val="24"/>
          <w:szCs w:val="24"/>
          <w:rtl/>
        </w:rPr>
        <w:t>טבלת השוואה בין הערכאות המשמעתיות בארץ</w:t>
      </w:r>
      <w:r w:rsidR="00695975">
        <w:rPr>
          <w:rFonts w:ascii="David" w:hAnsi="David" w:cs="David" w:hint="cs"/>
          <w:sz w:val="24"/>
          <w:szCs w:val="24"/>
          <w:rtl/>
        </w:rPr>
        <w:t xml:space="preserve"> - כמעט כל הערכאות המשמעתיות הרלוונטיות החשוב: התובנות, ההבדלים בין הערכאות, האם יש משמעות ליוקרת הפרופסיה, ושש תתי קבוצות שונות שמייחד כל אחת מהקבוצות. </w:t>
      </w:r>
    </w:p>
    <w:p w14:paraId="07DF939E" w14:textId="77777777" w:rsidR="00271B91" w:rsidRDefault="00D51741" w:rsidP="00B87D5E">
      <w:pPr>
        <w:pStyle w:val="a4"/>
        <w:numPr>
          <w:ilvl w:val="0"/>
          <w:numId w:val="6"/>
        </w:numPr>
        <w:spacing w:after="120" w:line="360" w:lineRule="auto"/>
        <w:ind w:left="-58"/>
        <w:jc w:val="both"/>
        <w:rPr>
          <w:rFonts w:ascii="David" w:hAnsi="David" w:cs="David"/>
          <w:sz w:val="24"/>
          <w:szCs w:val="24"/>
        </w:rPr>
      </w:pPr>
      <w:r w:rsidRPr="00D51741">
        <w:rPr>
          <w:rFonts w:ascii="David" w:hAnsi="David" w:cs="David" w:hint="cs"/>
          <w:b/>
          <w:bCs/>
          <w:color w:val="FFC000" w:themeColor="accent4"/>
          <w:sz w:val="24"/>
          <w:szCs w:val="24"/>
          <w:rtl/>
        </w:rPr>
        <w:t>נושא 5 לסילבוס</w:t>
      </w:r>
      <w:r>
        <w:rPr>
          <w:rFonts w:ascii="David" w:hAnsi="David" w:cs="David" w:hint="cs"/>
          <w:b/>
          <w:bCs/>
          <w:sz w:val="24"/>
          <w:szCs w:val="24"/>
          <w:rtl/>
        </w:rPr>
        <w:t xml:space="preserve">: </w:t>
      </w:r>
      <w:r w:rsidR="00695975" w:rsidRPr="009840BF">
        <w:rPr>
          <w:rFonts w:ascii="David" w:hAnsi="David" w:cs="David" w:hint="cs"/>
          <w:b/>
          <w:bCs/>
          <w:sz w:val="24"/>
          <w:szCs w:val="24"/>
          <w:rtl/>
        </w:rPr>
        <w:t>הליכים משמעתיים מיוחדים:</w:t>
      </w:r>
      <w:r w:rsidR="00271B91">
        <w:rPr>
          <w:rFonts w:ascii="David" w:hAnsi="David" w:cs="David" w:hint="cs"/>
          <w:sz w:val="24"/>
          <w:szCs w:val="24"/>
          <w:rtl/>
        </w:rPr>
        <w:t xml:space="preserve"> </w:t>
      </w:r>
      <w:r w:rsidR="00695975" w:rsidRPr="00271B91">
        <w:rPr>
          <w:rFonts w:ascii="David" w:hAnsi="David" w:cs="David" w:hint="cs"/>
          <w:sz w:val="24"/>
          <w:szCs w:val="24"/>
          <w:rtl/>
        </w:rPr>
        <w:t xml:space="preserve">ההליך המשמעתי של שופטים (עד היום הוגשו 25-26 שהוגשו, מתוכם רק 4 פורסמו לציבור. למה דווקא את ארבעתם </w:t>
      </w:r>
      <w:proofErr w:type="spellStart"/>
      <w:r w:rsidR="00695975" w:rsidRPr="00271B91">
        <w:rPr>
          <w:rFonts w:ascii="David" w:hAnsi="David" w:cs="David" w:hint="cs"/>
          <w:sz w:val="24"/>
          <w:szCs w:val="24"/>
          <w:rtl/>
        </w:rPr>
        <w:t>פירסמו</w:t>
      </w:r>
      <w:proofErr w:type="spellEnd"/>
      <w:r w:rsidR="00695975" w:rsidRPr="00271B91">
        <w:rPr>
          <w:rFonts w:ascii="David" w:hAnsi="David" w:cs="David" w:hint="cs"/>
          <w:sz w:val="24"/>
          <w:szCs w:val="24"/>
          <w:rtl/>
        </w:rPr>
        <w:t xml:space="preserve"> לציבור, מה היו השיקולים, שוני ברטוריקה, שיקולים בפועל וכו'. בעיית העומס בבתי המשפט, הבסיס לאמון הציבור במערכת המשפט</w:t>
      </w:r>
      <w:r w:rsidR="00F3629F" w:rsidRPr="00271B91">
        <w:rPr>
          <w:rFonts w:ascii="David" w:hAnsi="David" w:cs="David" w:hint="cs"/>
          <w:sz w:val="24"/>
          <w:szCs w:val="24"/>
          <w:rtl/>
        </w:rPr>
        <w:t xml:space="preserve">. </w:t>
      </w:r>
    </w:p>
    <w:p w14:paraId="272ED1B1" w14:textId="77777777" w:rsidR="00271B91" w:rsidRDefault="00D51741" w:rsidP="00B87D5E">
      <w:pPr>
        <w:pStyle w:val="a4"/>
        <w:numPr>
          <w:ilvl w:val="0"/>
          <w:numId w:val="6"/>
        </w:numPr>
        <w:spacing w:after="120" w:line="360" w:lineRule="auto"/>
        <w:ind w:left="-58"/>
        <w:jc w:val="both"/>
        <w:rPr>
          <w:rFonts w:ascii="David" w:hAnsi="David" w:cs="David"/>
          <w:sz w:val="24"/>
          <w:szCs w:val="24"/>
        </w:rPr>
      </w:pPr>
      <w:r w:rsidRPr="00D51741">
        <w:rPr>
          <w:rFonts w:ascii="David" w:hAnsi="David" w:cs="David" w:hint="cs"/>
          <w:b/>
          <w:bCs/>
          <w:color w:val="FFC000" w:themeColor="accent4"/>
          <w:sz w:val="24"/>
          <w:szCs w:val="24"/>
          <w:rtl/>
        </w:rPr>
        <w:t>נושא 6 לסילבוס</w:t>
      </w:r>
      <w:r>
        <w:rPr>
          <w:rFonts w:ascii="David" w:hAnsi="David" w:cs="David" w:hint="cs"/>
          <w:b/>
          <w:bCs/>
          <w:sz w:val="24"/>
          <w:szCs w:val="24"/>
          <w:rtl/>
        </w:rPr>
        <w:t xml:space="preserve">: </w:t>
      </w:r>
      <w:r w:rsidR="00F3629F" w:rsidRPr="009840BF">
        <w:rPr>
          <w:rFonts w:ascii="David" w:hAnsi="David" w:cs="David" w:hint="cs"/>
          <w:b/>
          <w:bCs/>
          <w:sz w:val="24"/>
          <w:szCs w:val="24"/>
          <w:rtl/>
        </w:rPr>
        <w:t>ההיסטוריה של הקמת ערכאות משמעת בישראל</w:t>
      </w:r>
      <w:r w:rsidR="00F3629F" w:rsidRPr="00271B91">
        <w:rPr>
          <w:rFonts w:ascii="David" w:hAnsi="David" w:cs="David" w:hint="cs"/>
          <w:sz w:val="24"/>
          <w:szCs w:val="24"/>
          <w:rtl/>
        </w:rPr>
        <w:t xml:space="preserve">: בשלושה שלבים: שנות החמישים, שנות השישים עד שמונים, והשלב השלישי של שנות התשעים. </w:t>
      </w:r>
    </w:p>
    <w:p w14:paraId="4A2F4B7B" w14:textId="77777777" w:rsidR="00271B91" w:rsidRPr="00271B91" w:rsidRDefault="00271B91" w:rsidP="00B87D5E">
      <w:pPr>
        <w:pStyle w:val="a4"/>
        <w:numPr>
          <w:ilvl w:val="0"/>
          <w:numId w:val="6"/>
        </w:numPr>
        <w:spacing w:after="120" w:line="360" w:lineRule="auto"/>
        <w:ind w:left="-58"/>
        <w:jc w:val="both"/>
        <w:rPr>
          <w:rFonts w:ascii="David" w:hAnsi="David" w:cs="David"/>
          <w:sz w:val="24"/>
          <w:szCs w:val="24"/>
          <w:rtl/>
        </w:rPr>
      </w:pPr>
      <w:r w:rsidRPr="00271B91">
        <w:rPr>
          <w:rFonts w:ascii="David" w:hAnsi="David" w:cs="David" w:hint="cs"/>
          <w:sz w:val="24"/>
          <w:szCs w:val="24"/>
          <w:rtl/>
        </w:rPr>
        <w:t>מידת ההתערבות של בתי המשפט בפסקי דין משמעתיים</w:t>
      </w:r>
    </w:p>
    <w:p w14:paraId="136F96A0" w14:textId="77777777" w:rsidR="00AD76B4" w:rsidRDefault="00AD76B4" w:rsidP="00B87D5E">
      <w:pPr>
        <w:pStyle w:val="a4"/>
        <w:numPr>
          <w:ilvl w:val="0"/>
          <w:numId w:val="8"/>
        </w:numPr>
        <w:spacing w:after="120" w:line="360" w:lineRule="auto"/>
        <w:ind w:left="-483"/>
        <w:rPr>
          <w:rFonts w:ascii="David" w:hAnsi="David" w:cs="David"/>
          <w:sz w:val="24"/>
          <w:szCs w:val="24"/>
        </w:rPr>
      </w:pPr>
      <w:r w:rsidRPr="00D51741">
        <w:rPr>
          <w:rFonts w:ascii="David" w:hAnsi="David" w:cs="David" w:hint="cs"/>
          <w:b/>
          <w:bCs/>
          <w:color w:val="2F5496" w:themeColor="accent1" w:themeShade="BF"/>
          <w:sz w:val="24"/>
          <w:szCs w:val="24"/>
          <w:rtl/>
        </w:rPr>
        <w:t>חלק ג'</w:t>
      </w:r>
      <w:r w:rsidR="00D51741" w:rsidRPr="00D51741">
        <w:rPr>
          <w:rFonts w:ascii="David" w:hAnsi="David" w:cs="David" w:hint="cs"/>
          <w:b/>
          <w:bCs/>
          <w:color w:val="2F5496" w:themeColor="accent1" w:themeShade="BF"/>
          <w:sz w:val="24"/>
          <w:szCs w:val="24"/>
          <w:rtl/>
        </w:rPr>
        <w:t xml:space="preserve"> לקורס</w:t>
      </w:r>
      <w:r w:rsidRPr="00AD76B4">
        <w:rPr>
          <w:rFonts w:ascii="David" w:hAnsi="David" w:cs="David" w:hint="cs"/>
          <w:b/>
          <w:bCs/>
          <w:sz w:val="24"/>
          <w:szCs w:val="24"/>
          <w:rtl/>
        </w:rPr>
        <w:t>:</w:t>
      </w:r>
      <w:r w:rsidRPr="00AD76B4">
        <w:rPr>
          <w:rFonts w:ascii="David" w:hAnsi="David" w:cs="David" w:hint="cs"/>
          <w:sz w:val="24"/>
          <w:szCs w:val="24"/>
          <w:rtl/>
        </w:rPr>
        <w:t xml:space="preserve"> </w:t>
      </w:r>
      <w:r w:rsidRPr="009840BF">
        <w:rPr>
          <w:rFonts w:ascii="David" w:hAnsi="David" w:cs="David" w:hint="cs"/>
          <w:b/>
          <w:bCs/>
          <w:sz w:val="24"/>
          <w:szCs w:val="24"/>
          <w:rtl/>
        </w:rPr>
        <w:t>בתי הדין המשמעתיים של לשכת עורכי הדין</w:t>
      </w:r>
    </w:p>
    <w:p w14:paraId="3AF22755" w14:textId="77777777" w:rsidR="007E49B7" w:rsidRDefault="00D51741" w:rsidP="00B87D5E">
      <w:pPr>
        <w:pStyle w:val="a4"/>
        <w:numPr>
          <w:ilvl w:val="0"/>
          <w:numId w:val="6"/>
        </w:numPr>
        <w:spacing w:after="120" w:line="360" w:lineRule="auto"/>
        <w:ind w:left="-58"/>
        <w:jc w:val="both"/>
        <w:rPr>
          <w:rFonts w:ascii="David" w:hAnsi="David" w:cs="David"/>
          <w:sz w:val="24"/>
          <w:szCs w:val="24"/>
        </w:rPr>
      </w:pPr>
      <w:r w:rsidRPr="00D51741">
        <w:rPr>
          <w:rFonts w:ascii="David" w:hAnsi="David" w:cs="David" w:hint="cs"/>
          <w:b/>
          <w:bCs/>
          <w:color w:val="FFC000" w:themeColor="accent4"/>
          <w:sz w:val="24"/>
          <w:szCs w:val="24"/>
          <w:rtl/>
        </w:rPr>
        <w:t>נושא 7 לסילבוס</w:t>
      </w:r>
      <w:r>
        <w:rPr>
          <w:rFonts w:ascii="David" w:hAnsi="David" w:cs="David" w:hint="cs"/>
          <w:sz w:val="24"/>
          <w:szCs w:val="24"/>
          <w:rtl/>
        </w:rPr>
        <w:t xml:space="preserve">: </w:t>
      </w:r>
      <w:r w:rsidR="00271B91">
        <w:rPr>
          <w:rFonts w:ascii="David" w:hAnsi="David" w:cs="David" w:hint="cs"/>
          <w:sz w:val="24"/>
          <w:szCs w:val="24"/>
          <w:rtl/>
        </w:rPr>
        <w:t xml:space="preserve">ההיסטוריה של הקמת לשכת עורכי הדין, מ-1918-200, 7 תאריכים שמביאים עמם בשורה כרקע. </w:t>
      </w:r>
    </w:p>
    <w:p w14:paraId="76DBABFC" w14:textId="77777777" w:rsidR="00271B91" w:rsidRDefault="00D51741" w:rsidP="00B87D5E">
      <w:pPr>
        <w:pStyle w:val="a4"/>
        <w:numPr>
          <w:ilvl w:val="0"/>
          <w:numId w:val="6"/>
        </w:numPr>
        <w:spacing w:after="120" w:line="360" w:lineRule="auto"/>
        <w:ind w:left="-58"/>
        <w:jc w:val="both"/>
        <w:rPr>
          <w:rFonts w:ascii="David" w:hAnsi="David" w:cs="David"/>
          <w:sz w:val="24"/>
          <w:szCs w:val="24"/>
        </w:rPr>
      </w:pPr>
      <w:r w:rsidRPr="00D51741">
        <w:rPr>
          <w:rFonts w:ascii="David" w:hAnsi="David" w:cs="David" w:hint="cs"/>
          <w:b/>
          <w:bCs/>
          <w:color w:val="FFC000" w:themeColor="accent4"/>
          <w:sz w:val="24"/>
          <w:szCs w:val="24"/>
          <w:rtl/>
        </w:rPr>
        <w:t>נושא 8 לסילבוס:</w:t>
      </w:r>
      <w:r>
        <w:rPr>
          <w:rFonts w:ascii="David" w:hAnsi="David" w:cs="David" w:hint="cs"/>
          <w:sz w:val="24"/>
          <w:szCs w:val="24"/>
          <w:rtl/>
        </w:rPr>
        <w:t xml:space="preserve"> </w:t>
      </w:r>
      <w:r w:rsidR="00271B91">
        <w:rPr>
          <w:rFonts w:ascii="David" w:hAnsi="David" w:cs="David" w:hint="cs"/>
          <w:sz w:val="24"/>
          <w:szCs w:val="24"/>
          <w:rtl/>
        </w:rPr>
        <w:t xml:space="preserve">המערכת המשמעתית של לשכת עורכי הדין - בשביל להבין את מקורות הביקורת על הדין המשמעתי של הלשכה. </w:t>
      </w:r>
    </w:p>
    <w:p w14:paraId="6461E705" w14:textId="77777777" w:rsidR="00271B91" w:rsidRDefault="00D51741" w:rsidP="00B87D5E">
      <w:pPr>
        <w:pStyle w:val="a4"/>
        <w:numPr>
          <w:ilvl w:val="0"/>
          <w:numId w:val="6"/>
        </w:numPr>
        <w:spacing w:after="120" w:line="360" w:lineRule="auto"/>
        <w:ind w:left="-58"/>
        <w:jc w:val="both"/>
        <w:rPr>
          <w:rFonts w:ascii="David" w:hAnsi="David" w:cs="David"/>
          <w:sz w:val="24"/>
          <w:szCs w:val="24"/>
        </w:rPr>
      </w:pPr>
      <w:r w:rsidRPr="00D51741">
        <w:rPr>
          <w:rFonts w:ascii="David" w:hAnsi="David" w:cs="David" w:hint="cs"/>
          <w:b/>
          <w:bCs/>
          <w:color w:val="FFC000" w:themeColor="accent4"/>
          <w:sz w:val="24"/>
          <w:szCs w:val="24"/>
          <w:rtl/>
        </w:rPr>
        <w:t>נושא 9 לסילבוס</w:t>
      </w:r>
      <w:r>
        <w:rPr>
          <w:rFonts w:ascii="David" w:hAnsi="David" w:cs="David" w:hint="cs"/>
          <w:sz w:val="24"/>
          <w:szCs w:val="24"/>
          <w:rtl/>
        </w:rPr>
        <w:t xml:space="preserve">: </w:t>
      </w:r>
      <w:r w:rsidR="00271B91">
        <w:rPr>
          <w:rFonts w:ascii="David" w:hAnsi="David" w:cs="David" w:hint="cs"/>
          <w:sz w:val="24"/>
          <w:szCs w:val="24"/>
          <w:rtl/>
        </w:rPr>
        <w:t>הרפורמה בדין המשמעתי</w:t>
      </w:r>
      <w:r w:rsidR="00F97963">
        <w:rPr>
          <w:rFonts w:ascii="David" w:hAnsi="David" w:cs="David" w:hint="cs"/>
          <w:sz w:val="24"/>
          <w:szCs w:val="24"/>
          <w:rtl/>
        </w:rPr>
        <w:t xml:space="preserve"> של לשכת עורכי הדין (ועדת מינויים, הסמכות להגיש קובלנות, פרקליט בשכר, הדיון הפומבי, חוות דעת מקדימה של ועדת האתיקה הארצית, עיכוב ביצועו של גזר דין משמעתי). </w:t>
      </w:r>
    </w:p>
    <w:p w14:paraId="1AE88A0E" w14:textId="77777777" w:rsidR="00F97963" w:rsidRDefault="00D51741" w:rsidP="00B87D5E">
      <w:pPr>
        <w:pStyle w:val="a4"/>
        <w:numPr>
          <w:ilvl w:val="0"/>
          <w:numId w:val="6"/>
        </w:numPr>
        <w:spacing w:after="120" w:line="360" w:lineRule="auto"/>
        <w:ind w:left="-58"/>
        <w:jc w:val="both"/>
        <w:rPr>
          <w:rFonts w:ascii="David" w:hAnsi="David" w:cs="David"/>
          <w:sz w:val="24"/>
          <w:szCs w:val="24"/>
        </w:rPr>
      </w:pPr>
      <w:r w:rsidRPr="00D51741">
        <w:rPr>
          <w:rFonts w:ascii="David" w:hAnsi="David" w:cs="David" w:hint="cs"/>
          <w:b/>
          <w:bCs/>
          <w:color w:val="FFC000" w:themeColor="accent4"/>
          <w:sz w:val="24"/>
          <w:szCs w:val="24"/>
          <w:rtl/>
        </w:rPr>
        <w:t>נושא 10 לסילבוס</w:t>
      </w:r>
      <w:r>
        <w:rPr>
          <w:rFonts w:ascii="David" w:hAnsi="David" w:cs="David" w:hint="cs"/>
          <w:sz w:val="24"/>
          <w:szCs w:val="24"/>
          <w:rtl/>
        </w:rPr>
        <w:t xml:space="preserve">: </w:t>
      </w:r>
      <w:r w:rsidR="00F97963">
        <w:rPr>
          <w:rFonts w:ascii="David" w:hAnsi="David" w:cs="David" w:hint="cs"/>
          <w:sz w:val="24"/>
          <w:szCs w:val="24"/>
          <w:rtl/>
        </w:rPr>
        <w:t xml:space="preserve">ענישה משמעתית בעבירות פליליות שיש בהן קלון </w:t>
      </w:r>
    </w:p>
    <w:p w14:paraId="6604E964" w14:textId="77777777" w:rsidR="005F61D8" w:rsidRDefault="00D51741" w:rsidP="00B87D5E">
      <w:pPr>
        <w:pStyle w:val="a4"/>
        <w:numPr>
          <w:ilvl w:val="0"/>
          <w:numId w:val="6"/>
        </w:numPr>
        <w:spacing w:after="120" w:line="360" w:lineRule="auto"/>
        <w:ind w:left="-58"/>
        <w:jc w:val="both"/>
        <w:rPr>
          <w:rFonts w:ascii="David" w:hAnsi="David" w:cs="David"/>
          <w:sz w:val="24"/>
          <w:szCs w:val="24"/>
        </w:rPr>
      </w:pPr>
      <w:r w:rsidRPr="00D51741">
        <w:rPr>
          <w:rFonts w:ascii="David" w:hAnsi="David" w:cs="David" w:hint="cs"/>
          <w:b/>
          <w:bCs/>
          <w:color w:val="FFC000" w:themeColor="accent4"/>
          <w:sz w:val="24"/>
          <w:szCs w:val="24"/>
          <w:rtl/>
        </w:rPr>
        <w:t>נושא 11 לסילבוס</w:t>
      </w:r>
      <w:r>
        <w:rPr>
          <w:rFonts w:ascii="David" w:hAnsi="David" w:cs="David" w:hint="cs"/>
          <w:sz w:val="24"/>
          <w:szCs w:val="24"/>
          <w:rtl/>
        </w:rPr>
        <w:t xml:space="preserve">: </w:t>
      </w:r>
      <w:r w:rsidR="005F61D8">
        <w:rPr>
          <w:rFonts w:ascii="David" w:hAnsi="David" w:cs="David" w:hint="cs"/>
          <w:sz w:val="24"/>
          <w:szCs w:val="24"/>
          <w:rtl/>
        </w:rPr>
        <w:t xml:space="preserve">הפליליזציה של ההליך המשמעתי: הכרה בזכות השתיקה של הנאשם, החמרה בקשר לדרגת ההוכחה הנדרשת, קבלת טענת סיכון כפול, החמרה בעניין היסוד הנפשי הכרה ביכולת לחזור בהודאה גם לאחר הכרעת דין, פרשנות חוק בצורה דווקנית, הכרה בהגנות מחוק סדר הדין הפלילי, יישום עיקרון החוקיות בהליכים משמעתיים, הכרה בהגנה מן הצדק בהליכי משמעת, ועוד מלא והמון ולא מעט בכלל. </w:t>
      </w:r>
    </w:p>
    <w:p w14:paraId="657A84E8" w14:textId="77777777" w:rsidR="005F61D8" w:rsidRDefault="00D51741" w:rsidP="00B87D5E">
      <w:pPr>
        <w:pStyle w:val="a4"/>
        <w:numPr>
          <w:ilvl w:val="0"/>
          <w:numId w:val="6"/>
        </w:numPr>
        <w:spacing w:after="120" w:line="360" w:lineRule="auto"/>
        <w:ind w:left="-58"/>
        <w:jc w:val="both"/>
        <w:rPr>
          <w:rFonts w:ascii="David" w:hAnsi="David" w:cs="David"/>
          <w:sz w:val="24"/>
          <w:szCs w:val="24"/>
          <w:rtl/>
        </w:rPr>
      </w:pPr>
      <w:r w:rsidRPr="00D51741">
        <w:rPr>
          <w:rFonts w:ascii="David" w:hAnsi="David" w:cs="David" w:hint="cs"/>
          <w:b/>
          <w:bCs/>
          <w:color w:val="FFC000" w:themeColor="accent4"/>
          <w:sz w:val="24"/>
          <w:szCs w:val="24"/>
          <w:rtl/>
        </w:rPr>
        <w:t>נושא 12 לסילבוס:</w:t>
      </w:r>
      <w:r>
        <w:rPr>
          <w:rFonts w:ascii="David" w:hAnsi="David" w:cs="David" w:hint="cs"/>
          <w:sz w:val="24"/>
          <w:szCs w:val="24"/>
          <w:rtl/>
        </w:rPr>
        <w:t xml:space="preserve"> </w:t>
      </w:r>
      <w:r w:rsidR="005F61D8">
        <w:rPr>
          <w:rFonts w:ascii="David" w:hAnsi="David" w:cs="David" w:hint="cs"/>
          <w:sz w:val="24"/>
          <w:szCs w:val="24"/>
          <w:rtl/>
        </w:rPr>
        <w:t>ביקורת על הליך הפליליזציה</w:t>
      </w:r>
    </w:p>
    <w:p w14:paraId="2849A17B" w14:textId="77777777" w:rsidR="003027EB" w:rsidRPr="00D51741" w:rsidRDefault="00D22FFE" w:rsidP="00D51741">
      <w:pPr>
        <w:spacing w:after="120" w:line="360" w:lineRule="auto"/>
        <w:ind w:left="-625"/>
        <w:jc w:val="both"/>
        <w:rPr>
          <w:rFonts w:ascii="David" w:hAnsi="David" w:cs="David"/>
          <w:b/>
          <w:bCs/>
          <w:color w:val="538135" w:themeColor="accent6" w:themeShade="BF"/>
          <w:sz w:val="24"/>
          <w:szCs w:val="24"/>
          <w:u w:val="single"/>
          <w:rtl/>
        </w:rPr>
      </w:pPr>
      <w:r w:rsidRPr="00D51741">
        <w:rPr>
          <w:rFonts w:ascii="David" w:hAnsi="David" w:cs="David" w:hint="cs"/>
          <w:b/>
          <w:bCs/>
          <w:color w:val="538135" w:themeColor="accent6" w:themeShade="BF"/>
          <w:sz w:val="24"/>
          <w:szCs w:val="24"/>
          <w:u w:val="single"/>
          <w:rtl/>
        </w:rPr>
        <w:t>קריאה:</w:t>
      </w:r>
    </w:p>
    <w:p w14:paraId="2BC4C66C" w14:textId="77777777" w:rsidR="00D22FFE" w:rsidRPr="00913754" w:rsidRDefault="00D22FFE" w:rsidP="00F04893">
      <w:pPr>
        <w:pStyle w:val="a4"/>
        <w:numPr>
          <w:ilvl w:val="0"/>
          <w:numId w:val="9"/>
        </w:numPr>
        <w:spacing w:after="120" w:line="360" w:lineRule="auto"/>
        <w:ind w:left="-483"/>
        <w:jc w:val="both"/>
        <w:rPr>
          <w:rFonts w:ascii="David" w:hAnsi="David" w:cs="David"/>
          <w:b/>
          <w:bCs/>
          <w:sz w:val="24"/>
          <w:szCs w:val="24"/>
        </w:rPr>
      </w:pPr>
      <w:r w:rsidRPr="00913754">
        <w:rPr>
          <w:rFonts w:ascii="David" w:hAnsi="David" w:cs="David" w:hint="cs"/>
          <w:b/>
          <w:bCs/>
          <w:sz w:val="24"/>
          <w:szCs w:val="24"/>
          <w:rtl/>
        </w:rPr>
        <w:t>הצעה לשימוש בנוסחה מדעית למתן פס"ד לפי ס' 79א' לחוק בתי המשפט</w:t>
      </w:r>
    </w:p>
    <w:p w14:paraId="36FCF5CD" w14:textId="77777777" w:rsidR="00FF14CF" w:rsidRDefault="00F04893" w:rsidP="00F04893">
      <w:pPr>
        <w:spacing w:after="120" w:line="360" w:lineRule="auto"/>
        <w:ind w:left="-483"/>
        <w:jc w:val="both"/>
        <w:rPr>
          <w:rFonts w:ascii="David" w:hAnsi="David" w:cs="David"/>
          <w:sz w:val="24"/>
          <w:szCs w:val="24"/>
          <w:rtl/>
        </w:rPr>
      </w:pPr>
      <w:r>
        <w:rPr>
          <w:rFonts w:ascii="David" w:hAnsi="David" w:cs="David" w:hint="cs"/>
          <w:sz w:val="24"/>
          <w:szCs w:val="24"/>
          <w:rtl/>
        </w:rPr>
        <w:t xml:space="preserve">הסעיף מאפשר לבתי המשפט לתת פסקי דין על דרך הפשרה כאשר הצדדים מסכימים לכך. היתרונות: מניעת חשיפת סודות מסחריים, מהירות, יעילות ומיקוד. יש ירידה בשנים האחרונות בשימוש בסעיף. לפי כותב המאמר, סיבה זו נובעת בין היתר מחוסר אמון של עו"ד בפסקי דין הניתנים לפי הסעיף, פסקי דין שלרוב אינם מנומקים, ומיעוט בערעורים שהתקבלו. </w:t>
      </w:r>
    </w:p>
    <w:p w14:paraId="216E87C6" w14:textId="77777777" w:rsidR="00F04893" w:rsidRDefault="00F04893" w:rsidP="00F04893">
      <w:pPr>
        <w:spacing w:after="120" w:line="360" w:lineRule="auto"/>
        <w:ind w:left="-483"/>
        <w:jc w:val="both"/>
        <w:rPr>
          <w:rFonts w:ascii="David" w:hAnsi="David" w:cs="David"/>
          <w:sz w:val="24"/>
          <w:szCs w:val="24"/>
          <w:rtl/>
        </w:rPr>
      </w:pPr>
      <w:r>
        <w:rPr>
          <w:rFonts w:ascii="David" w:hAnsi="David" w:cs="David" w:hint="cs"/>
          <w:sz w:val="24"/>
          <w:szCs w:val="24"/>
          <w:rtl/>
        </w:rPr>
        <w:t xml:space="preserve">לפי כותב המאמר עם התקדמות יישום התיק האלקטרוני, לא תהיה בעיה להוסיף אלגוריתם שייחשב </w:t>
      </w:r>
      <w:proofErr w:type="spellStart"/>
      <w:r>
        <w:rPr>
          <w:rFonts w:ascii="David" w:hAnsi="David" w:cs="David" w:hint="cs"/>
          <w:sz w:val="24"/>
          <w:szCs w:val="24"/>
          <w:rtl/>
        </w:rPr>
        <w:t>באופו</w:t>
      </w:r>
      <w:proofErr w:type="spellEnd"/>
      <w:r>
        <w:rPr>
          <w:rFonts w:ascii="David" w:hAnsi="David" w:cs="David" w:hint="cs"/>
          <w:sz w:val="24"/>
          <w:szCs w:val="24"/>
          <w:rtl/>
        </w:rPr>
        <w:t xml:space="preserve"> אוטומטי. </w:t>
      </w:r>
      <w:r w:rsidRPr="00F04893">
        <w:rPr>
          <w:rFonts w:ascii="David" w:hAnsi="David" w:cs="David"/>
          <w:sz w:val="24"/>
          <w:szCs w:val="24"/>
          <w:rtl/>
        </w:rPr>
        <w:t xml:space="preserve">היעדר כלים מדעיים למתן פסק הדין, עלולה להרתיע צדדים מליתן לבית-המשפט </w:t>
      </w:r>
      <w:r w:rsidRPr="00F04893">
        <w:rPr>
          <w:rFonts w:ascii="David" w:hAnsi="David" w:cs="David"/>
          <w:sz w:val="24"/>
          <w:szCs w:val="24"/>
          <w:rtl/>
        </w:rPr>
        <w:lastRenderedPageBreak/>
        <w:t xml:space="preserve">להחליט בהתאם לסעיף 79א. לאור העובדה שהסכמה כזו כוללת הן ויתור על נימוקים והן ויתור דה פקטו על זכות הערעור, אם הצדדים יחששו שההכרעה היא שרירותית ולא מבוססת על תהליך חשיבה מסודר וקוהרנטי, או שמא רכיב הצדק החלוקתי שבה בלתי תלוי ויכול להוות הפתעה בסופו של יום, הרי שהם יעדיפו להמשיך את ההליך. הרתעה זו העלולה למנוע צדדים מליתן הסכמתם להכריע בעניינם בדרך זו, היא תוצאה שאינה רצויה הן לבית-המשפט העמוס לעייפה והן לצדדים המנהלים דיונים ארוכים וסבוכים והוצאותיהם מרובות. </w:t>
      </w:r>
      <w:r w:rsidRPr="00F04893">
        <w:rPr>
          <w:rFonts w:ascii="David" w:hAnsi="David" w:cs="David" w:hint="cs"/>
          <w:sz w:val="24"/>
          <w:szCs w:val="24"/>
          <w:rtl/>
        </w:rPr>
        <w:t>הכותב</w:t>
      </w:r>
      <w:r w:rsidRPr="00F04893">
        <w:rPr>
          <w:rFonts w:ascii="David" w:hAnsi="David" w:cs="David"/>
          <w:sz w:val="24"/>
          <w:szCs w:val="24"/>
          <w:rtl/>
        </w:rPr>
        <w:t xml:space="preserve"> מאמין כי השימוש בנוסחאות שהוצעו יהיה בר-תועלת מצרפית מבחינה חברתית ומשפטית אשר יאפשר גידול משמעותי במספר התיקים בהם ניתנים פסקי דין לפי סעיף 79א (א) לחוק ויעלה את קרנו של בית-המשפט בעיני ציבור המתדיינים ועורכי הדין</w:t>
      </w:r>
      <w:r w:rsidRPr="00F04893">
        <w:rPr>
          <w:rFonts w:ascii="David" w:hAnsi="David" w:cs="David"/>
          <w:sz w:val="24"/>
          <w:szCs w:val="24"/>
        </w:rPr>
        <w:t>.</w:t>
      </w:r>
    </w:p>
    <w:p w14:paraId="285B89A7" w14:textId="77777777" w:rsidR="00D22FFE" w:rsidRPr="00FF14CF" w:rsidRDefault="00F43C17" w:rsidP="00F04893">
      <w:pPr>
        <w:pStyle w:val="a4"/>
        <w:numPr>
          <w:ilvl w:val="0"/>
          <w:numId w:val="9"/>
        </w:numPr>
        <w:spacing w:after="120" w:line="360" w:lineRule="auto"/>
        <w:ind w:left="-766"/>
        <w:jc w:val="both"/>
        <w:rPr>
          <w:rFonts w:ascii="David" w:hAnsi="David" w:cs="David"/>
          <w:b/>
          <w:bCs/>
          <w:sz w:val="24"/>
          <w:szCs w:val="24"/>
          <w:rtl/>
        </w:rPr>
      </w:pPr>
      <w:r w:rsidRPr="00FF14CF">
        <w:rPr>
          <w:rFonts w:ascii="David" w:hAnsi="David" w:cs="David" w:hint="cs"/>
          <w:b/>
          <w:bCs/>
          <w:sz w:val="24"/>
          <w:szCs w:val="24"/>
          <w:rtl/>
        </w:rPr>
        <w:t xml:space="preserve">מודל חדש לענישה משמעתית בעבירות פליליות שיש בהן קלון </w:t>
      </w:r>
      <w:proofErr w:type="spellStart"/>
      <w:r w:rsidRPr="00FF14CF">
        <w:rPr>
          <w:rFonts w:ascii="David" w:hAnsi="David" w:cs="David" w:hint="cs"/>
          <w:b/>
          <w:bCs/>
          <w:sz w:val="24"/>
          <w:szCs w:val="24"/>
          <w:rtl/>
        </w:rPr>
        <w:t>קליי</w:t>
      </w:r>
      <w:proofErr w:type="spellEnd"/>
      <w:r w:rsidRPr="00FF14CF">
        <w:rPr>
          <w:rFonts w:ascii="David" w:hAnsi="David" w:cs="David" w:hint="cs"/>
          <w:b/>
          <w:bCs/>
          <w:sz w:val="24"/>
          <w:szCs w:val="24"/>
          <w:rtl/>
        </w:rPr>
        <w:t xml:space="preserve"> ואיגרא, המשפט כרך כ, </w:t>
      </w:r>
      <w:proofErr w:type="spellStart"/>
      <w:r w:rsidRPr="00FF14CF">
        <w:rPr>
          <w:rFonts w:ascii="David" w:hAnsi="David" w:cs="David" w:hint="cs"/>
          <w:b/>
          <w:bCs/>
          <w:sz w:val="24"/>
          <w:szCs w:val="24"/>
          <w:rtl/>
        </w:rPr>
        <w:t>עמ</w:t>
      </w:r>
      <w:proofErr w:type="spellEnd"/>
      <w:r w:rsidRPr="00FF14CF">
        <w:rPr>
          <w:rFonts w:ascii="David" w:hAnsi="David" w:cs="David" w:hint="cs"/>
          <w:b/>
          <w:bCs/>
          <w:sz w:val="24"/>
          <w:szCs w:val="24"/>
          <w:rtl/>
        </w:rPr>
        <w:t xml:space="preserve"> 145 (דצמבר 2014) </w:t>
      </w:r>
    </w:p>
    <w:p w14:paraId="5ABC9386" w14:textId="77777777" w:rsidR="00F04893" w:rsidRDefault="00F04893" w:rsidP="00F04893">
      <w:pPr>
        <w:pStyle w:val="a4"/>
        <w:spacing w:after="120" w:line="360" w:lineRule="auto"/>
        <w:ind w:left="-766"/>
        <w:jc w:val="both"/>
        <w:rPr>
          <w:rFonts w:ascii="David" w:hAnsi="David" w:cs="David"/>
          <w:sz w:val="24"/>
          <w:szCs w:val="24"/>
          <w:rtl/>
        </w:rPr>
      </w:pPr>
      <w:r>
        <w:rPr>
          <w:rFonts w:ascii="David" w:hAnsi="David" w:cs="David" w:hint="cs"/>
          <w:sz w:val="24"/>
          <w:szCs w:val="24"/>
          <w:rtl/>
        </w:rPr>
        <w:t xml:space="preserve">כפילות הליכים בדין משמעתי ובמשפט פלילי יוצרת שורה ארוכה של בעיות. לכן כותבי המאמר מציעים מודל חדש לענישה משמעתית: עבירות משמעת במעשים שיש בהם קלון: ידונו בהליך פלילי, שם הערכאה הפלילית תוכל לצרף סנקציות משמעתיות נוסף על הענישה הפלילית. </w:t>
      </w:r>
    </w:p>
    <w:p w14:paraId="0F745CF1" w14:textId="77777777" w:rsidR="00F04893" w:rsidRDefault="00F04893" w:rsidP="00F04893">
      <w:pPr>
        <w:pStyle w:val="a4"/>
        <w:spacing w:after="120" w:line="360" w:lineRule="auto"/>
        <w:ind w:left="-766"/>
        <w:jc w:val="both"/>
        <w:rPr>
          <w:rFonts w:ascii="David" w:hAnsi="David" w:cs="David"/>
          <w:sz w:val="24"/>
          <w:szCs w:val="24"/>
          <w:rtl/>
        </w:rPr>
      </w:pPr>
      <w:r>
        <w:rPr>
          <w:rFonts w:ascii="David" w:hAnsi="David" w:cs="David" w:hint="cs"/>
          <w:sz w:val="24"/>
          <w:szCs w:val="24"/>
          <w:rtl/>
        </w:rPr>
        <w:t xml:space="preserve">המודל המוצע: העברת סמכויות של הדין המשמעתי לידי בתי המשפט הרגילים הדנים בעברות פליליות של עורכי דין. איך: תיקון בחקיקה ושימוש בסמכות הטבועה שיש לבתי המשפט. ניצנים לתופעה כבר קיימים. המודל פותר את הבעיות הקיימות: בעיית עמימות מושג הקלון - קביעת הקלון ואחידותו. איחוי שני ההליכים הנפרדים. מונע בזבוז משאבים, מונע את בעיית התמשכות ההליכים בבית הדין המשמעתי של הלשכה. פותר את בעיית ההפללה העצמית, פותר את בעיית שקולי הענישה. כן, לפי המודל המוצע בית המשפט יוכל להכריז על </w:t>
      </w:r>
      <w:proofErr w:type="spellStart"/>
      <w:r>
        <w:rPr>
          <w:rFonts w:ascii="David" w:hAnsi="David" w:cs="David" w:hint="cs"/>
          <w:sz w:val="24"/>
          <w:szCs w:val="24"/>
          <w:rtl/>
        </w:rPr>
        <w:t>השעייה</w:t>
      </w:r>
      <w:proofErr w:type="spellEnd"/>
      <w:r>
        <w:rPr>
          <w:rFonts w:ascii="David" w:hAnsi="David" w:cs="David" w:hint="cs"/>
          <w:sz w:val="24"/>
          <w:szCs w:val="24"/>
          <w:rtl/>
        </w:rPr>
        <w:t xml:space="preserve"> זמנית של עורך הדין, </w:t>
      </w:r>
      <w:proofErr w:type="spellStart"/>
      <w:r>
        <w:rPr>
          <w:rFonts w:ascii="David" w:hAnsi="David" w:cs="David" w:hint="cs"/>
          <w:sz w:val="24"/>
          <w:szCs w:val="24"/>
          <w:rtl/>
        </w:rPr>
        <w:t>ייפתור</w:t>
      </w:r>
      <w:proofErr w:type="spellEnd"/>
      <w:r>
        <w:rPr>
          <w:rFonts w:ascii="David" w:hAnsi="David" w:cs="David" w:hint="cs"/>
          <w:sz w:val="24"/>
          <w:szCs w:val="24"/>
          <w:rtl/>
        </w:rPr>
        <w:t xml:space="preserve"> את בעיית חוסר התיאום בין שני הגופים, ופותר את בעיית </w:t>
      </w:r>
      <w:proofErr w:type="spellStart"/>
      <w:r>
        <w:rPr>
          <w:rFonts w:ascii="David" w:hAnsi="David" w:cs="David" w:hint="cs"/>
          <w:sz w:val="24"/>
          <w:szCs w:val="24"/>
          <w:rtl/>
        </w:rPr>
        <w:t>השיפט</w:t>
      </w:r>
      <w:proofErr w:type="spellEnd"/>
      <w:r>
        <w:rPr>
          <w:rFonts w:ascii="David" w:hAnsi="David" w:cs="David" w:hint="cs"/>
          <w:sz w:val="24"/>
          <w:szCs w:val="24"/>
          <w:rtl/>
        </w:rPr>
        <w:t xml:space="preserve"> הפנימי בידי עורכי דין חברים. </w:t>
      </w:r>
    </w:p>
    <w:p w14:paraId="7E1E342E" w14:textId="77777777" w:rsidR="00F04893" w:rsidRDefault="00F04893" w:rsidP="00F04893">
      <w:pPr>
        <w:pStyle w:val="a4"/>
        <w:spacing w:after="120" w:line="360" w:lineRule="auto"/>
        <w:ind w:left="-766"/>
        <w:jc w:val="both"/>
        <w:rPr>
          <w:rFonts w:ascii="David" w:hAnsi="David" w:cs="David"/>
          <w:sz w:val="24"/>
          <w:szCs w:val="24"/>
          <w:rtl/>
        </w:rPr>
      </w:pPr>
      <w:r>
        <w:rPr>
          <w:rFonts w:ascii="David" w:hAnsi="David" w:cs="David" w:hint="cs"/>
          <w:sz w:val="24"/>
          <w:szCs w:val="24"/>
          <w:rtl/>
        </w:rPr>
        <w:t xml:space="preserve">הביקורות על המודל: יש הבדל בין מטרות הענישה בדין הפלילי לבין מטרות הענישה בדין המשמעתי. הביקורת השנייה: עשוי להיווצר איפה ואיפה בענישה הפלילית - עורך דין מועל בכספים לעומת אדם מועל בכספים, יכול לקבל עונש אחר ולא שוויוני. ביקורת שלישית: התנגדות הלשכה להעברת הרגולציה מידיה לידי בית המשפט. הפרופסיה. עדיין, נוכח היתרונות הם קוראים למחוקק לתקן ומקווים שגם הלשכה תהיה חברה. </w:t>
      </w:r>
    </w:p>
    <w:p w14:paraId="67C4D679" w14:textId="77777777" w:rsidR="003027EB" w:rsidRPr="0035603C" w:rsidRDefault="0035603C" w:rsidP="0035603C">
      <w:pPr>
        <w:spacing w:after="120" w:line="360" w:lineRule="auto"/>
        <w:ind w:left="-908"/>
        <w:jc w:val="both"/>
        <w:rPr>
          <w:rFonts w:ascii="David" w:hAnsi="David" w:cs="David"/>
          <w:b/>
          <w:bCs/>
          <w:sz w:val="24"/>
          <w:szCs w:val="24"/>
          <w:u w:val="single"/>
          <w:rtl/>
        </w:rPr>
      </w:pPr>
      <w:r w:rsidRPr="0035603C">
        <w:rPr>
          <w:rFonts w:ascii="David" w:hAnsi="David" w:cs="David" w:hint="cs"/>
          <w:b/>
          <w:bCs/>
          <w:sz w:val="24"/>
          <w:szCs w:val="24"/>
          <w:u w:val="single"/>
          <w:rtl/>
        </w:rPr>
        <w:t>שיעור 3, 01.11.2020</w:t>
      </w:r>
    </w:p>
    <w:p w14:paraId="0564D347" w14:textId="77777777" w:rsidR="003027EB" w:rsidRPr="007078A6" w:rsidRDefault="00C44FB7" w:rsidP="007078A6">
      <w:pPr>
        <w:spacing w:after="120" w:line="360" w:lineRule="auto"/>
        <w:jc w:val="center"/>
        <w:rPr>
          <w:rFonts w:ascii="David" w:hAnsi="David" w:cs="David"/>
          <w:b/>
          <w:bCs/>
          <w:color w:val="FFC000" w:themeColor="accent4"/>
          <w:sz w:val="24"/>
          <w:szCs w:val="24"/>
          <w:u w:val="single"/>
          <w:rtl/>
        </w:rPr>
      </w:pPr>
      <w:r>
        <w:rPr>
          <w:rFonts w:ascii="David" w:hAnsi="David" w:cs="David" w:hint="cs"/>
          <w:b/>
          <w:bCs/>
          <w:color w:val="FFC000" w:themeColor="accent4"/>
          <w:sz w:val="24"/>
          <w:szCs w:val="24"/>
          <w:u w:val="single"/>
          <w:rtl/>
        </w:rPr>
        <w:t xml:space="preserve">נושא 2 לסילבוס: סדרי הדין: </w:t>
      </w:r>
      <w:r w:rsidR="007078A6" w:rsidRPr="007078A6">
        <w:rPr>
          <w:rFonts w:ascii="David" w:hAnsi="David" w:cs="David" w:hint="cs"/>
          <w:b/>
          <w:bCs/>
          <w:color w:val="FFC000" w:themeColor="accent4"/>
          <w:sz w:val="24"/>
          <w:szCs w:val="24"/>
          <w:u w:val="single"/>
          <w:rtl/>
        </w:rPr>
        <w:t>הליך המשמעתי לעומת ההליך הפלילי והאזרחי המקביל</w:t>
      </w:r>
    </w:p>
    <w:p w14:paraId="0809ECD0" w14:textId="77777777" w:rsidR="007078A6" w:rsidRDefault="007078A6" w:rsidP="005521A9">
      <w:pPr>
        <w:spacing w:after="120" w:line="360" w:lineRule="auto"/>
        <w:ind w:left="-908"/>
        <w:jc w:val="both"/>
        <w:rPr>
          <w:rFonts w:ascii="David" w:hAnsi="David" w:cs="David"/>
          <w:sz w:val="24"/>
          <w:szCs w:val="24"/>
          <w:rtl/>
        </w:rPr>
      </w:pPr>
      <w:r w:rsidRPr="005521A9">
        <w:rPr>
          <w:rFonts w:ascii="David" w:hAnsi="David" w:cs="David" w:hint="cs"/>
          <w:b/>
          <w:bCs/>
          <w:sz w:val="24"/>
          <w:szCs w:val="24"/>
          <w:rtl/>
        </w:rPr>
        <w:t>חזרה:</w:t>
      </w:r>
      <w:r>
        <w:rPr>
          <w:rFonts w:ascii="David" w:hAnsi="David" w:cs="David" w:hint="cs"/>
          <w:sz w:val="24"/>
          <w:szCs w:val="24"/>
          <w:rtl/>
        </w:rPr>
        <w:t xml:space="preserve"> פס"ד </w:t>
      </w:r>
      <w:proofErr w:type="spellStart"/>
      <w:r>
        <w:rPr>
          <w:rFonts w:ascii="David" w:hAnsi="David" w:cs="David" w:hint="cs"/>
          <w:sz w:val="24"/>
          <w:szCs w:val="24"/>
          <w:rtl/>
        </w:rPr>
        <w:t>צימוקין</w:t>
      </w:r>
      <w:proofErr w:type="spellEnd"/>
      <w:r>
        <w:rPr>
          <w:rFonts w:ascii="David" w:hAnsi="David" w:cs="David" w:hint="cs"/>
          <w:sz w:val="24"/>
          <w:szCs w:val="24"/>
          <w:rtl/>
        </w:rPr>
        <w:t xml:space="preserve"> ניסה לבחון לראשונה מה טיבו של ההליך המשמעתי: שייך לתחום האזרחי/פלילי/ציבורי. הגענו לשאלה בעקבות טענת סיכון כפול של אותו נאשם שנסגר נגדו הדין הפלילי אולם נפתח נגדו הליך משמעתי. בית המשפט היה צריך להשתחרר מכך שההליך המשמעתי הוא הליך פלילי - לכן התשובה הייתה חד משמעית, אולם כל אחד מהשופטים הלך בדרך אחרת. אף אחד מהשופטים לא סבר שזהו חלק מההליך הפלילי.</w:t>
      </w:r>
    </w:p>
    <w:p w14:paraId="7FCEACDE" w14:textId="77777777" w:rsidR="007078A6" w:rsidRDefault="007078A6" w:rsidP="005521A9">
      <w:pPr>
        <w:spacing w:after="120" w:line="360" w:lineRule="auto"/>
        <w:ind w:left="-908"/>
        <w:jc w:val="both"/>
        <w:rPr>
          <w:rFonts w:ascii="David" w:hAnsi="David" w:cs="David"/>
          <w:sz w:val="24"/>
          <w:szCs w:val="24"/>
          <w:rtl/>
        </w:rPr>
      </w:pPr>
      <w:r>
        <w:rPr>
          <w:rFonts w:ascii="David" w:hAnsi="David" w:cs="David" w:hint="cs"/>
          <w:sz w:val="24"/>
          <w:szCs w:val="24"/>
          <w:rtl/>
        </w:rPr>
        <w:t xml:space="preserve">מאז שנות החמישים קיימת תופעה של </w:t>
      </w:r>
      <w:proofErr w:type="spellStart"/>
      <w:r>
        <w:rPr>
          <w:rFonts w:ascii="David" w:hAnsi="David" w:cs="David" w:hint="cs"/>
          <w:sz w:val="24"/>
          <w:szCs w:val="24"/>
          <w:rtl/>
        </w:rPr>
        <w:t>פליליזציה</w:t>
      </w:r>
      <w:proofErr w:type="spellEnd"/>
      <w:r>
        <w:rPr>
          <w:rFonts w:ascii="David" w:hAnsi="David" w:cs="David" w:hint="cs"/>
          <w:sz w:val="24"/>
          <w:szCs w:val="24"/>
          <w:rtl/>
        </w:rPr>
        <w:t xml:space="preserve"> של ההליך המשמעתי - הרבה סוגיות של המשפט הפלילי הוכנסו אל תוך ההליך המשמעתי, כמו למשל: טענת הגנה מן הצדק. </w:t>
      </w:r>
      <w:r w:rsidR="00F90D92">
        <w:rPr>
          <w:rFonts w:ascii="David" w:hAnsi="David" w:cs="David" w:hint="cs"/>
          <w:sz w:val="24"/>
          <w:szCs w:val="24"/>
          <w:rtl/>
        </w:rPr>
        <w:t xml:space="preserve">למה? חקיקת חוקי היסוד של שנות התשעים, כן - הדמיון הצורני: ההליך המשמעתי מושפע צורנית מההליך הפלילי. </w:t>
      </w:r>
    </w:p>
    <w:p w14:paraId="36CAC187" w14:textId="77777777" w:rsidR="003027EB" w:rsidRDefault="003027EB" w:rsidP="003027EB">
      <w:pPr>
        <w:spacing w:after="120" w:line="360" w:lineRule="auto"/>
        <w:jc w:val="both"/>
        <w:rPr>
          <w:rFonts w:ascii="David" w:hAnsi="David" w:cs="David"/>
          <w:sz w:val="24"/>
          <w:szCs w:val="24"/>
          <w:rtl/>
        </w:rPr>
      </w:pPr>
    </w:p>
    <w:p w14:paraId="1B6F1BB5" w14:textId="77777777" w:rsidR="003027EB" w:rsidRDefault="003027EB" w:rsidP="003027EB">
      <w:pPr>
        <w:spacing w:after="120" w:line="360" w:lineRule="auto"/>
        <w:jc w:val="both"/>
        <w:rPr>
          <w:rFonts w:ascii="David" w:hAnsi="David" w:cs="David"/>
          <w:sz w:val="24"/>
          <w:szCs w:val="24"/>
          <w:rtl/>
        </w:rPr>
      </w:pPr>
    </w:p>
    <w:tbl>
      <w:tblPr>
        <w:tblStyle w:val="a9"/>
        <w:bidiVisual/>
        <w:tblW w:w="8915" w:type="dxa"/>
        <w:tblInd w:w="1" w:type="dxa"/>
        <w:tblLook w:val="04A0" w:firstRow="1" w:lastRow="0" w:firstColumn="1" w:lastColumn="0" w:noHBand="0" w:noVBand="1"/>
      </w:tblPr>
      <w:tblGrid>
        <w:gridCol w:w="1842"/>
        <w:gridCol w:w="2268"/>
        <w:gridCol w:w="2423"/>
        <w:gridCol w:w="2382"/>
      </w:tblGrid>
      <w:tr w:rsidR="00144A13" w14:paraId="7F4DBEEC" w14:textId="77777777" w:rsidTr="00D51741">
        <w:trPr>
          <w:trHeight w:val="132"/>
        </w:trPr>
        <w:tc>
          <w:tcPr>
            <w:tcW w:w="1842" w:type="dxa"/>
            <w:shd w:val="clear" w:color="auto" w:fill="1F3864" w:themeFill="accent1" w:themeFillShade="80"/>
          </w:tcPr>
          <w:p w14:paraId="1086A30F" w14:textId="77777777" w:rsidR="00144A13" w:rsidRPr="00144A13" w:rsidRDefault="00144A13" w:rsidP="00144A13">
            <w:pPr>
              <w:spacing w:after="120" w:line="360" w:lineRule="auto"/>
              <w:jc w:val="center"/>
              <w:rPr>
                <w:rFonts w:ascii="David" w:hAnsi="David" w:cs="David"/>
                <w:b/>
                <w:bCs/>
                <w:sz w:val="24"/>
                <w:szCs w:val="24"/>
                <w:rtl/>
              </w:rPr>
            </w:pPr>
          </w:p>
        </w:tc>
        <w:tc>
          <w:tcPr>
            <w:tcW w:w="2268" w:type="dxa"/>
            <w:shd w:val="clear" w:color="auto" w:fill="1F3864" w:themeFill="accent1" w:themeFillShade="80"/>
          </w:tcPr>
          <w:p w14:paraId="182A21B0" w14:textId="77777777" w:rsidR="00144A13" w:rsidRPr="00144A13" w:rsidRDefault="00144A13" w:rsidP="00144A13">
            <w:pPr>
              <w:spacing w:after="120" w:line="360" w:lineRule="auto"/>
              <w:jc w:val="center"/>
              <w:rPr>
                <w:rFonts w:ascii="David" w:hAnsi="David" w:cs="David"/>
                <w:b/>
                <w:bCs/>
                <w:sz w:val="24"/>
                <w:szCs w:val="24"/>
                <w:rtl/>
              </w:rPr>
            </w:pPr>
            <w:r w:rsidRPr="00144A13">
              <w:rPr>
                <w:rFonts w:ascii="David" w:hAnsi="David" w:cs="David" w:hint="cs"/>
                <w:b/>
                <w:bCs/>
                <w:sz w:val="24"/>
                <w:szCs w:val="24"/>
                <w:rtl/>
              </w:rPr>
              <w:t>הליך אזרחי</w:t>
            </w:r>
          </w:p>
        </w:tc>
        <w:tc>
          <w:tcPr>
            <w:tcW w:w="2423" w:type="dxa"/>
            <w:shd w:val="clear" w:color="auto" w:fill="1F3864" w:themeFill="accent1" w:themeFillShade="80"/>
          </w:tcPr>
          <w:p w14:paraId="235B08FF" w14:textId="77777777" w:rsidR="00144A13" w:rsidRPr="00144A13" w:rsidRDefault="00144A13" w:rsidP="00144A13">
            <w:pPr>
              <w:spacing w:after="120" w:line="360" w:lineRule="auto"/>
              <w:jc w:val="center"/>
              <w:rPr>
                <w:rFonts w:ascii="David" w:hAnsi="David" w:cs="David"/>
                <w:b/>
                <w:bCs/>
                <w:sz w:val="24"/>
                <w:szCs w:val="24"/>
                <w:rtl/>
              </w:rPr>
            </w:pPr>
            <w:r w:rsidRPr="00144A13">
              <w:rPr>
                <w:rFonts w:ascii="David" w:hAnsi="David" w:cs="David" w:hint="cs"/>
                <w:b/>
                <w:bCs/>
                <w:sz w:val="24"/>
                <w:szCs w:val="24"/>
                <w:rtl/>
              </w:rPr>
              <w:t>הליך פלילי</w:t>
            </w:r>
          </w:p>
        </w:tc>
        <w:tc>
          <w:tcPr>
            <w:tcW w:w="2382" w:type="dxa"/>
            <w:shd w:val="clear" w:color="auto" w:fill="1F3864" w:themeFill="accent1" w:themeFillShade="80"/>
          </w:tcPr>
          <w:p w14:paraId="7674F0FB" w14:textId="77777777" w:rsidR="00144A13" w:rsidRPr="00144A13" w:rsidRDefault="00144A13" w:rsidP="00144A13">
            <w:pPr>
              <w:spacing w:after="120" w:line="360" w:lineRule="auto"/>
              <w:jc w:val="center"/>
              <w:rPr>
                <w:rFonts w:ascii="David" w:hAnsi="David" w:cs="David"/>
                <w:b/>
                <w:bCs/>
                <w:sz w:val="24"/>
                <w:szCs w:val="24"/>
                <w:rtl/>
              </w:rPr>
            </w:pPr>
            <w:r w:rsidRPr="00144A13">
              <w:rPr>
                <w:rFonts w:ascii="David" w:hAnsi="David" w:cs="David" w:hint="cs"/>
                <w:b/>
                <w:bCs/>
                <w:sz w:val="24"/>
                <w:szCs w:val="24"/>
                <w:rtl/>
              </w:rPr>
              <w:t>הליך משמעתי</w:t>
            </w:r>
          </w:p>
        </w:tc>
      </w:tr>
      <w:tr w:rsidR="00144A13" w14:paraId="01F1F896" w14:textId="77777777" w:rsidTr="004676BC">
        <w:trPr>
          <w:trHeight w:val="757"/>
        </w:trPr>
        <w:tc>
          <w:tcPr>
            <w:tcW w:w="1842" w:type="dxa"/>
            <w:shd w:val="clear" w:color="auto" w:fill="1F3864" w:themeFill="accent1" w:themeFillShade="80"/>
          </w:tcPr>
          <w:p w14:paraId="64A259BF" w14:textId="77777777" w:rsidR="00144A13" w:rsidRPr="00144A13" w:rsidRDefault="00144A13" w:rsidP="00144A13">
            <w:pPr>
              <w:spacing w:after="120" w:line="360" w:lineRule="auto"/>
              <w:jc w:val="center"/>
              <w:rPr>
                <w:rFonts w:ascii="David" w:hAnsi="David" w:cs="David"/>
                <w:b/>
                <w:bCs/>
                <w:sz w:val="24"/>
                <w:szCs w:val="24"/>
                <w:rtl/>
              </w:rPr>
            </w:pPr>
            <w:r w:rsidRPr="00144A13">
              <w:rPr>
                <w:rFonts w:ascii="David" w:hAnsi="David" w:cs="David" w:hint="cs"/>
                <w:b/>
                <w:bCs/>
                <w:sz w:val="24"/>
                <w:szCs w:val="24"/>
                <w:rtl/>
              </w:rPr>
              <w:t>האירוע המצדיק פתיחת ההליך</w:t>
            </w:r>
          </w:p>
        </w:tc>
        <w:tc>
          <w:tcPr>
            <w:tcW w:w="2268" w:type="dxa"/>
          </w:tcPr>
          <w:p w14:paraId="4359D186" w14:textId="77777777" w:rsidR="004676BC" w:rsidRDefault="004676BC" w:rsidP="004676BC">
            <w:pPr>
              <w:spacing w:after="120" w:line="360" w:lineRule="auto"/>
              <w:jc w:val="center"/>
              <w:rPr>
                <w:rFonts w:ascii="David" w:hAnsi="David" w:cs="David"/>
                <w:sz w:val="24"/>
                <w:szCs w:val="24"/>
                <w:rtl/>
              </w:rPr>
            </w:pPr>
          </w:p>
          <w:p w14:paraId="67C7D30D" w14:textId="77777777" w:rsidR="00144A13" w:rsidRDefault="004676BC" w:rsidP="004676BC">
            <w:pPr>
              <w:spacing w:after="120" w:line="360" w:lineRule="auto"/>
              <w:jc w:val="center"/>
              <w:rPr>
                <w:rFonts w:ascii="David" w:hAnsi="David" w:cs="David"/>
                <w:sz w:val="24"/>
                <w:szCs w:val="24"/>
                <w:rtl/>
              </w:rPr>
            </w:pPr>
            <w:r>
              <w:rPr>
                <w:rFonts w:ascii="David" w:hAnsi="David" w:cs="David" w:hint="cs"/>
                <w:sz w:val="24"/>
                <w:szCs w:val="24"/>
                <w:rtl/>
              </w:rPr>
              <w:t>גרימת עוולה</w:t>
            </w:r>
          </w:p>
        </w:tc>
        <w:tc>
          <w:tcPr>
            <w:tcW w:w="2423" w:type="dxa"/>
          </w:tcPr>
          <w:p w14:paraId="77F87D99" w14:textId="77777777" w:rsidR="004676BC" w:rsidRDefault="004676BC" w:rsidP="004676BC">
            <w:pPr>
              <w:spacing w:after="120" w:line="360" w:lineRule="auto"/>
              <w:jc w:val="center"/>
              <w:rPr>
                <w:rFonts w:ascii="David" w:hAnsi="David" w:cs="David"/>
                <w:sz w:val="24"/>
                <w:szCs w:val="24"/>
                <w:rtl/>
              </w:rPr>
            </w:pPr>
          </w:p>
          <w:p w14:paraId="12F75BA8" w14:textId="77777777" w:rsidR="00144A13" w:rsidRDefault="00E35CED" w:rsidP="004676BC">
            <w:pPr>
              <w:spacing w:after="120" w:line="360" w:lineRule="auto"/>
              <w:jc w:val="center"/>
              <w:rPr>
                <w:rFonts w:ascii="David" w:hAnsi="David" w:cs="David"/>
                <w:sz w:val="24"/>
                <w:szCs w:val="24"/>
                <w:rtl/>
              </w:rPr>
            </w:pPr>
            <w:r>
              <w:rPr>
                <w:rFonts w:ascii="David" w:hAnsi="David" w:cs="David" w:hint="cs"/>
                <w:sz w:val="24"/>
                <w:szCs w:val="24"/>
                <w:rtl/>
              </w:rPr>
              <w:t>ביצוע עבירה פלילית</w:t>
            </w:r>
          </w:p>
        </w:tc>
        <w:tc>
          <w:tcPr>
            <w:tcW w:w="2382" w:type="dxa"/>
          </w:tcPr>
          <w:p w14:paraId="36840649" w14:textId="77777777" w:rsidR="00144A13" w:rsidRDefault="004676BC" w:rsidP="003027EB">
            <w:pPr>
              <w:spacing w:after="120" w:line="360" w:lineRule="auto"/>
              <w:jc w:val="both"/>
              <w:rPr>
                <w:rFonts w:ascii="David" w:hAnsi="David" w:cs="David"/>
                <w:sz w:val="24"/>
                <w:szCs w:val="24"/>
                <w:rtl/>
              </w:rPr>
            </w:pPr>
            <w:r>
              <w:rPr>
                <w:rFonts w:ascii="David" w:hAnsi="David" w:cs="David" w:hint="cs"/>
                <w:sz w:val="24"/>
                <w:szCs w:val="24"/>
                <w:rtl/>
              </w:rPr>
              <w:t>ביצוע עבירת משמעת (הפרת כללי אתיקה/ התנהגות שאינה הולמת - כלל אמורפי שמשתנה בין פרופסיות)</w:t>
            </w:r>
          </w:p>
        </w:tc>
      </w:tr>
      <w:tr w:rsidR="00144A13" w14:paraId="1EEE3768" w14:textId="77777777" w:rsidTr="004676BC">
        <w:trPr>
          <w:trHeight w:val="1132"/>
        </w:trPr>
        <w:tc>
          <w:tcPr>
            <w:tcW w:w="1842" w:type="dxa"/>
            <w:shd w:val="clear" w:color="auto" w:fill="1F3864" w:themeFill="accent1" w:themeFillShade="80"/>
          </w:tcPr>
          <w:p w14:paraId="3ADA52B5" w14:textId="77777777" w:rsidR="00144A13" w:rsidRPr="00144A13" w:rsidRDefault="00144A13" w:rsidP="00144A13">
            <w:pPr>
              <w:spacing w:after="120" w:line="360" w:lineRule="auto"/>
              <w:jc w:val="center"/>
              <w:rPr>
                <w:rFonts w:ascii="David" w:hAnsi="David" w:cs="David"/>
                <w:b/>
                <w:bCs/>
                <w:sz w:val="24"/>
                <w:szCs w:val="24"/>
                <w:rtl/>
              </w:rPr>
            </w:pPr>
            <w:r w:rsidRPr="00144A13">
              <w:rPr>
                <w:rFonts w:ascii="David" w:hAnsi="David" w:cs="David" w:hint="cs"/>
                <w:b/>
                <w:bCs/>
                <w:sz w:val="24"/>
                <w:szCs w:val="24"/>
                <w:rtl/>
              </w:rPr>
              <w:t>פעולות "טרום הליך"</w:t>
            </w:r>
          </w:p>
        </w:tc>
        <w:tc>
          <w:tcPr>
            <w:tcW w:w="2268" w:type="dxa"/>
          </w:tcPr>
          <w:p w14:paraId="64A3B6C8" w14:textId="77777777" w:rsidR="00144A13" w:rsidRDefault="005A7451" w:rsidP="005A7451">
            <w:pPr>
              <w:spacing w:after="120" w:line="360" w:lineRule="auto"/>
              <w:jc w:val="center"/>
              <w:rPr>
                <w:rFonts w:ascii="David" w:hAnsi="David" w:cs="David"/>
                <w:sz w:val="24"/>
                <w:szCs w:val="24"/>
                <w:rtl/>
              </w:rPr>
            </w:pPr>
            <w:r>
              <w:rPr>
                <w:rFonts w:ascii="David" w:hAnsi="David" w:cs="David" w:hint="cs"/>
                <w:sz w:val="24"/>
                <w:szCs w:val="24"/>
                <w:rtl/>
              </w:rPr>
              <w:t>מכתב התראה</w:t>
            </w:r>
          </w:p>
        </w:tc>
        <w:tc>
          <w:tcPr>
            <w:tcW w:w="2423" w:type="dxa"/>
          </w:tcPr>
          <w:p w14:paraId="77A7FD01" w14:textId="77777777" w:rsidR="00144A13" w:rsidRDefault="005A7451" w:rsidP="005A7451">
            <w:pPr>
              <w:spacing w:after="120" w:line="360" w:lineRule="auto"/>
              <w:jc w:val="center"/>
              <w:rPr>
                <w:rFonts w:ascii="David" w:hAnsi="David" w:cs="David"/>
                <w:sz w:val="24"/>
                <w:szCs w:val="24"/>
                <w:rtl/>
              </w:rPr>
            </w:pPr>
            <w:r>
              <w:rPr>
                <w:rFonts w:ascii="David" w:hAnsi="David" w:cs="David" w:hint="cs"/>
                <w:sz w:val="24"/>
                <w:szCs w:val="24"/>
                <w:rtl/>
              </w:rPr>
              <w:t>בגשת תלונה למשטרה</w:t>
            </w:r>
          </w:p>
        </w:tc>
        <w:tc>
          <w:tcPr>
            <w:tcW w:w="2382" w:type="dxa"/>
          </w:tcPr>
          <w:p w14:paraId="02A21437" w14:textId="77777777" w:rsidR="00144A13" w:rsidRDefault="005A7451" w:rsidP="005A7451">
            <w:pPr>
              <w:spacing w:after="120" w:line="360" w:lineRule="auto"/>
              <w:jc w:val="center"/>
              <w:rPr>
                <w:rFonts w:ascii="David" w:hAnsi="David" w:cs="David"/>
                <w:sz w:val="24"/>
                <w:szCs w:val="24"/>
                <w:rtl/>
              </w:rPr>
            </w:pPr>
            <w:r>
              <w:rPr>
                <w:rFonts w:ascii="David" w:hAnsi="David" w:cs="David" w:hint="cs"/>
                <w:sz w:val="24"/>
                <w:szCs w:val="24"/>
                <w:rtl/>
              </w:rPr>
              <w:t>הגשת תלונה לגוף הרגולטורי (לשכת עורכי הדין/ מועצת רואי החשבון/משרד הבריאות)</w:t>
            </w:r>
          </w:p>
        </w:tc>
      </w:tr>
      <w:tr w:rsidR="00144A13" w14:paraId="48925823" w14:textId="77777777" w:rsidTr="004676BC">
        <w:trPr>
          <w:trHeight w:val="1210"/>
        </w:trPr>
        <w:tc>
          <w:tcPr>
            <w:tcW w:w="1842" w:type="dxa"/>
            <w:shd w:val="clear" w:color="auto" w:fill="1F3864" w:themeFill="accent1" w:themeFillShade="80"/>
          </w:tcPr>
          <w:p w14:paraId="33D057D1" w14:textId="77777777" w:rsidR="00144A13" w:rsidRPr="00144A13" w:rsidRDefault="00144A13" w:rsidP="00144A13">
            <w:pPr>
              <w:spacing w:after="120" w:line="360" w:lineRule="auto"/>
              <w:jc w:val="center"/>
              <w:rPr>
                <w:rFonts w:ascii="David" w:hAnsi="David" w:cs="David"/>
                <w:b/>
                <w:bCs/>
                <w:sz w:val="24"/>
                <w:szCs w:val="24"/>
                <w:rtl/>
              </w:rPr>
            </w:pPr>
            <w:r w:rsidRPr="00144A13">
              <w:rPr>
                <w:rFonts w:ascii="David" w:hAnsi="David" w:cs="David" w:hint="cs"/>
                <w:b/>
                <w:bCs/>
                <w:sz w:val="24"/>
                <w:szCs w:val="24"/>
                <w:rtl/>
              </w:rPr>
              <w:t>גוף חוקר</w:t>
            </w:r>
          </w:p>
        </w:tc>
        <w:tc>
          <w:tcPr>
            <w:tcW w:w="2268" w:type="dxa"/>
          </w:tcPr>
          <w:p w14:paraId="5AC5BEE5" w14:textId="77777777" w:rsidR="00144A13" w:rsidRDefault="00A75CB1" w:rsidP="00A75CB1">
            <w:pPr>
              <w:spacing w:after="120" w:line="360" w:lineRule="auto"/>
              <w:jc w:val="center"/>
              <w:rPr>
                <w:rFonts w:ascii="David" w:hAnsi="David" w:cs="David"/>
                <w:sz w:val="24"/>
                <w:szCs w:val="24"/>
                <w:rtl/>
              </w:rPr>
            </w:pPr>
            <w:r>
              <w:rPr>
                <w:rFonts w:ascii="David" w:hAnsi="David" w:cs="David" w:hint="cs"/>
                <w:sz w:val="24"/>
                <w:szCs w:val="24"/>
                <w:rtl/>
              </w:rPr>
              <w:t>כל צד בעצמו (חוקר פרטי לדוג')</w:t>
            </w:r>
          </w:p>
        </w:tc>
        <w:tc>
          <w:tcPr>
            <w:tcW w:w="2423" w:type="dxa"/>
          </w:tcPr>
          <w:p w14:paraId="6F394C74" w14:textId="77777777" w:rsidR="00144A13" w:rsidRDefault="00A75CB1" w:rsidP="00A75CB1">
            <w:pPr>
              <w:spacing w:after="120" w:line="360" w:lineRule="auto"/>
              <w:jc w:val="center"/>
              <w:rPr>
                <w:rFonts w:ascii="David" w:hAnsi="David" w:cs="David"/>
                <w:sz w:val="24"/>
                <w:szCs w:val="24"/>
                <w:rtl/>
              </w:rPr>
            </w:pPr>
            <w:r>
              <w:rPr>
                <w:rFonts w:ascii="David" w:hAnsi="David" w:cs="David" w:hint="cs"/>
                <w:sz w:val="24"/>
                <w:szCs w:val="24"/>
                <w:rtl/>
              </w:rPr>
              <w:t xml:space="preserve">המשטרה או הרשות המטפלת (רשות </w:t>
            </w:r>
            <w:proofErr w:type="spellStart"/>
            <w:r>
              <w:rPr>
                <w:rFonts w:ascii="David" w:hAnsi="David" w:cs="David" w:hint="cs"/>
                <w:sz w:val="24"/>
                <w:szCs w:val="24"/>
                <w:rtl/>
              </w:rPr>
              <w:t>המידים</w:t>
            </w:r>
            <w:proofErr w:type="spellEnd"/>
            <w:r>
              <w:rPr>
                <w:rFonts w:ascii="David" w:hAnsi="David" w:cs="David" w:hint="cs"/>
                <w:sz w:val="24"/>
                <w:szCs w:val="24"/>
                <w:rtl/>
              </w:rPr>
              <w:t>/הרשות לניירות ערך)</w:t>
            </w:r>
          </w:p>
        </w:tc>
        <w:tc>
          <w:tcPr>
            <w:tcW w:w="2382" w:type="dxa"/>
          </w:tcPr>
          <w:p w14:paraId="0436E240" w14:textId="77777777" w:rsidR="00144A13" w:rsidRDefault="00A75CB1" w:rsidP="00A75CB1">
            <w:pPr>
              <w:spacing w:after="120" w:line="360" w:lineRule="auto"/>
              <w:jc w:val="center"/>
              <w:rPr>
                <w:rFonts w:ascii="David" w:hAnsi="David" w:cs="David"/>
                <w:sz w:val="24"/>
                <w:szCs w:val="24"/>
                <w:rtl/>
              </w:rPr>
            </w:pPr>
            <w:r>
              <w:rPr>
                <w:rFonts w:ascii="David" w:hAnsi="David" w:cs="David" w:hint="cs"/>
                <w:sz w:val="24"/>
                <w:szCs w:val="24"/>
                <w:rtl/>
              </w:rPr>
              <w:t>הגוף הרגולטורי</w:t>
            </w:r>
          </w:p>
        </w:tc>
      </w:tr>
      <w:tr w:rsidR="00144A13" w14:paraId="3C2BE4EB" w14:textId="77777777" w:rsidTr="004676BC">
        <w:trPr>
          <w:trHeight w:val="740"/>
        </w:trPr>
        <w:tc>
          <w:tcPr>
            <w:tcW w:w="1842" w:type="dxa"/>
            <w:shd w:val="clear" w:color="auto" w:fill="1F3864" w:themeFill="accent1" w:themeFillShade="80"/>
          </w:tcPr>
          <w:p w14:paraId="314C1AF8" w14:textId="77777777" w:rsidR="00144A13" w:rsidRPr="00144A13" w:rsidRDefault="00144A13" w:rsidP="00144A13">
            <w:pPr>
              <w:spacing w:after="120" w:line="360" w:lineRule="auto"/>
              <w:jc w:val="center"/>
              <w:rPr>
                <w:rFonts w:ascii="David" w:hAnsi="David" w:cs="David"/>
                <w:b/>
                <w:bCs/>
                <w:sz w:val="24"/>
                <w:szCs w:val="24"/>
                <w:rtl/>
              </w:rPr>
            </w:pPr>
            <w:r w:rsidRPr="00144A13">
              <w:rPr>
                <w:rFonts w:ascii="David" w:hAnsi="David" w:cs="David" w:hint="cs"/>
                <w:b/>
                <w:bCs/>
                <w:sz w:val="24"/>
                <w:szCs w:val="24"/>
                <w:rtl/>
              </w:rPr>
              <w:t>גוף המחליט אם לפתוח בהליך</w:t>
            </w:r>
          </w:p>
        </w:tc>
        <w:tc>
          <w:tcPr>
            <w:tcW w:w="2268" w:type="dxa"/>
          </w:tcPr>
          <w:p w14:paraId="4FB37748" w14:textId="77777777" w:rsidR="00144A13" w:rsidRDefault="003F493E" w:rsidP="003F493E">
            <w:pPr>
              <w:spacing w:after="120" w:line="360" w:lineRule="auto"/>
              <w:jc w:val="center"/>
              <w:rPr>
                <w:rFonts w:ascii="David" w:hAnsi="David" w:cs="David"/>
                <w:sz w:val="24"/>
                <w:szCs w:val="24"/>
                <w:rtl/>
              </w:rPr>
            </w:pPr>
            <w:r>
              <w:rPr>
                <w:rFonts w:ascii="David" w:hAnsi="David" w:cs="David" w:hint="cs"/>
                <w:sz w:val="24"/>
                <w:szCs w:val="24"/>
                <w:rtl/>
              </w:rPr>
              <w:t>הצד הנפגע</w:t>
            </w:r>
          </w:p>
        </w:tc>
        <w:tc>
          <w:tcPr>
            <w:tcW w:w="2423" w:type="dxa"/>
          </w:tcPr>
          <w:p w14:paraId="32F3E12B"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הפרקליטות (או המשטרה במקרים שהחוק מסמיך)</w:t>
            </w:r>
          </w:p>
        </w:tc>
        <w:tc>
          <w:tcPr>
            <w:tcW w:w="2382" w:type="dxa"/>
          </w:tcPr>
          <w:p w14:paraId="51120A8F"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הגוף הממונה לפי החוק הספציפי</w:t>
            </w:r>
          </w:p>
        </w:tc>
      </w:tr>
      <w:tr w:rsidR="00144A13" w14:paraId="2108C019" w14:textId="77777777" w:rsidTr="004676BC">
        <w:trPr>
          <w:trHeight w:val="1030"/>
        </w:trPr>
        <w:tc>
          <w:tcPr>
            <w:tcW w:w="1842" w:type="dxa"/>
            <w:shd w:val="clear" w:color="auto" w:fill="1F3864" w:themeFill="accent1" w:themeFillShade="80"/>
          </w:tcPr>
          <w:p w14:paraId="7AF9E475" w14:textId="77777777" w:rsidR="00144A13" w:rsidRPr="00144A13" w:rsidRDefault="00144A13" w:rsidP="00144A13">
            <w:pPr>
              <w:spacing w:after="120" w:line="360" w:lineRule="auto"/>
              <w:jc w:val="center"/>
              <w:rPr>
                <w:rFonts w:ascii="David" w:hAnsi="David" w:cs="David"/>
                <w:b/>
                <w:bCs/>
                <w:sz w:val="24"/>
                <w:szCs w:val="24"/>
                <w:rtl/>
              </w:rPr>
            </w:pPr>
            <w:r w:rsidRPr="00144A13">
              <w:rPr>
                <w:rFonts w:ascii="David" w:hAnsi="David" w:cs="David" w:hint="cs"/>
                <w:b/>
                <w:bCs/>
                <w:sz w:val="24"/>
                <w:szCs w:val="24"/>
                <w:rtl/>
              </w:rPr>
              <w:t>דרך פתיחת ההליך</w:t>
            </w:r>
          </w:p>
        </w:tc>
        <w:tc>
          <w:tcPr>
            <w:tcW w:w="2268" w:type="dxa"/>
          </w:tcPr>
          <w:p w14:paraId="5FBE5B95"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הגשת כתב תביעה</w:t>
            </w:r>
          </w:p>
        </w:tc>
        <w:tc>
          <w:tcPr>
            <w:tcW w:w="2423" w:type="dxa"/>
          </w:tcPr>
          <w:p w14:paraId="24CC3F5E"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הגשת כתב אישום</w:t>
            </w:r>
          </w:p>
        </w:tc>
        <w:tc>
          <w:tcPr>
            <w:tcW w:w="2382" w:type="dxa"/>
          </w:tcPr>
          <w:p w14:paraId="4AA7C3A0"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הגשת כתב קובלנה (ומה מאוד לכתב אישום: המבנה ורשימת העדים שמופיעה בכתב אישום תופיע גם בכתבי קובלנה)</w:t>
            </w:r>
          </w:p>
        </w:tc>
      </w:tr>
      <w:tr w:rsidR="00144A13" w14:paraId="7B775349" w14:textId="77777777" w:rsidTr="004676BC">
        <w:trPr>
          <w:trHeight w:val="980"/>
        </w:trPr>
        <w:tc>
          <w:tcPr>
            <w:tcW w:w="1842" w:type="dxa"/>
            <w:shd w:val="clear" w:color="auto" w:fill="1F3864" w:themeFill="accent1" w:themeFillShade="80"/>
          </w:tcPr>
          <w:p w14:paraId="67BE32EE" w14:textId="77777777" w:rsidR="00144A13" w:rsidRPr="00144A13" w:rsidRDefault="00144A13" w:rsidP="00144A13">
            <w:pPr>
              <w:spacing w:after="120" w:line="360" w:lineRule="auto"/>
              <w:jc w:val="center"/>
              <w:rPr>
                <w:rFonts w:ascii="David" w:hAnsi="David" w:cs="David"/>
                <w:b/>
                <w:bCs/>
                <w:sz w:val="24"/>
                <w:szCs w:val="24"/>
                <w:rtl/>
              </w:rPr>
            </w:pPr>
            <w:r w:rsidRPr="00144A13">
              <w:rPr>
                <w:rFonts w:ascii="David" w:hAnsi="David" w:cs="David" w:hint="cs"/>
                <w:b/>
                <w:bCs/>
                <w:sz w:val="24"/>
                <w:szCs w:val="24"/>
                <w:rtl/>
              </w:rPr>
              <w:t>מוגש ל:</w:t>
            </w:r>
          </w:p>
        </w:tc>
        <w:tc>
          <w:tcPr>
            <w:tcW w:w="2268" w:type="dxa"/>
          </w:tcPr>
          <w:p w14:paraId="06B4C8FA"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בית המשפט</w:t>
            </w:r>
          </w:p>
        </w:tc>
        <w:tc>
          <w:tcPr>
            <w:tcW w:w="2423" w:type="dxa"/>
          </w:tcPr>
          <w:p w14:paraId="608EE39A"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בית המשפט</w:t>
            </w:r>
          </w:p>
        </w:tc>
        <w:tc>
          <w:tcPr>
            <w:tcW w:w="2382" w:type="dxa"/>
          </w:tcPr>
          <w:p w14:paraId="64BE8168"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וועדת המשמעת/בית דין משמעתי = אותו דבר, רק הטרמינולוגיה שונה!</w:t>
            </w:r>
          </w:p>
        </w:tc>
      </w:tr>
      <w:tr w:rsidR="00144A13" w14:paraId="6903FAD2" w14:textId="77777777" w:rsidTr="004676BC">
        <w:trPr>
          <w:trHeight w:val="1058"/>
        </w:trPr>
        <w:tc>
          <w:tcPr>
            <w:tcW w:w="1842" w:type="dxa"/>
            <w:shd w:val="clear" w:color="auto" w:fill="1F3864" w:themeFill="accent1" w:themeFillShade="80"/>
          </w:tcPr>
          <w:p w14:paraId="2BC315ED" w14:textId="77777777" w:rsidR="00144A13" w:rsidRPr="00144A13" w:rsidRDefault="00144A13" w:rsidP="00144A13">
            <w:pPr>
              <w:spacing w:after="120" w:line="360" w:lineRule="auto"/>
              <w:jc w:val="center"/>
              <w:rPr>
                <w:rFonts w:ascii="David" w:hAnsi="David" w:cs="David"/>
                <w:b/>
                <w:bCs/>
                <w:sz w:val="24"/>
                <w:szCs w:val="24"/>
                <w:rtl/>
              </w:rPr>
            </w:pPr>
            <w:r w:rsidRPr="00144A13">
              <w:rPr>
                <w:rFonts w:ascii="David" w:hAnsi="David" w:cs="David" w:hint="cs"/>
                <w:b/>
                <w:bCs/>
                <w:sz w:val="24"/>
                <w:szCs w:val="24"/>
                <w:rtl/>
              </w:rPr>
              <w:t>הגדרת יוזם ההליך</w:t>
            </w:r>
          </w:p>
        </w:tc>
        <w:tc>
          <w:tcPr>
            <w:tcW w:w="2268" w:type="dxa"/>
          </w:tcPr>
          <w:p w14:paraId="762CE90E"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התובע</w:t>
            </w:r>
          </w:p>
        </w:tc>
        <w:tc>
          <w:tcPr>
            <w:tcW w:w="2423" w:type="dxa"/>
          </w:tcPr>
          <w:p w14:paraId="33F5B4A0"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המאשים</w:t>
            </w:r>
          </w:p>
        </w:tc>
        <w:tc>
          <w:tcPr>
            <w:tcW w:w="2382" w:type="dxa"/>
          </w:tcPr>
          <w:p w14:paraId="741F1F62"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הקובל</w:t>
            </w:r>
          </w:p>
        </w:tc>
      </w:tr>
      <w:tr w:rsidR="00144A13" w14:paraId="22598B64" w14:textId="77777777" w:rsidTr="004676BC">
        <w:trPr>
          <w:trHeight w:val="851"/>
        </w:trPr>
        <w:tc>
          <w:tcPr>
            <w:tcW w:w="1842" w:type="dxa"/>
            <w:shd w:val="clear" w:color="auto" w:fill="1F3864" w:themeFill="accent1" w:themeFillShade="80"/>
          </w:tcPr>
          <w:p w14:paraId="58BA2CD2" w14:textId="77777777" w:rsidR="00144A13" w:rsidRPr="00144A13" w:rsidRDefault="00144A13" w:rsidP="00144A13">
            <w:pPr>
              <w:spacing w:after="120" w:line="360" w:lineRule="auto"/>
              <w:jc w:val="center"/>
              <w:rPr>
                <w:rFonts w:ascii="David" w:hAnsi="David" w:cs="David"/>
                <w:b/>
                <w:bCs/>
                <w:sz w:val="24"/>
                <w:szCs w:val="24"/>
                <w:rtl/>
              </w:rPr>
            </w:pPr>
            <w:r w:rsidRPr="00144A13">
              <w:rPr>
                <w:rFonts w:ascii="David" w:hAnsi="David" w:cs="David" w:hint="cs"/>
                <w:b/>
                <w:bCs/>
                <w:sz w:val="24"/>
                <w:szCs w:val="24"/>
                <w:rtl/>
              </w:rPr>
              <w:t>הגדרת ה"מתגונן"</w:t>
            </w:r>
          </w:p>
        </w:tc>
        <w:tc>
          <w:tcPr>
            <w:tcW w:w="2268" w:type="dxa"/>
          </w:tcPr>
          <w:p w14:paraId="795648A8"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הנתבע</w:t>
            </w:r>
          </w:p>
        </w:tc>
        <w:tc>
          <w:tcPr>
            <w:tcW w:w="2423" w:type="dxa"/>
          </w:tcPr>
          <w:p w14:paraId="7E2E4319"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הנאשם</w:t>
            </w:r>
          </w:p>
        </w:tc>
        <w:tc>
          <w:tcPr>
            <w:tcW w:w="2382" w:type="dxa"/>
          </w:tcPr>
          <w:p w14:paraId="4FD10FD7" w14:textId="77777777" w:rsidR="00144A13" w:rsidRDefault="00A06AF9" w:rsidP="003027EB">
            <w:pPr>
              <w:spacing w:after="120" w:line="360" w:lineRule="auto"/>
              <w:jc w:val="both"/>
              <w:rPr>
                <w:rFonts w:ascii="David" w:hAnsi="David" w:cs="David"/>
                <w:sz w:val="24"/>
                <w:szCs w:val="24"/>
                <w:rtl/>
              </w:rPr>
            </w:pPr>
            <w:proofErr w:type="spellStart"/>
            <w:r>
              <w:rPr>
                <w:rFonts w:ascii="David" w:hAnsi="David" w:cs="David" w:hint="cs"/>
                <w:sz w:val="24"/>
                <w:szCs w:val="24"/>
                <w:rtl/>
              </w:rPr>
              <w:t>הנילון</w:t>
            </w:r>
            <w:proofErr w:type="spellEnd"/>
            <w:r>
              <w:rPr>
                <w:rFonts w:ascii="David" w:hAnsi="David" w:cs="David" w:hint="cs"/>
                <w:sz w:val="24"/>
                <w:szCs w:val="24"/>
                <w:rtl/>
              </w:rPr>
              <w:t>/הנקבל/הנאשם (ההבדלים בסמנטיקה)</w:t>
            </w:r>
          </w:p>
        </w:tc>
      </w:tr>
      <w:tr w:rsidR="00144A13" w14:paraId="08B43B14" w14:textId="77777777" w:rsidTr="004676BC">
        <w:trPr>
          <w:trHeight w:val="1213"/>
        </w:trPr>
        <w:tc>
          <w:tcPr>
            <w:tcW w:w="1842" w:type="dxa"/>
            <w:shd w:val="clear" w:color="auto" w:fill="1F3864" w:themeFill="accent1" w:themeFillShade="80"/>
          </w:tcPr>
          <w:p w14:paraId="60453E76" w14:textId="77777777" w:rsidR="00144A13" w:rsidRPr="00144A13" w:rsidRDefault="00144A13" w:rsidP="00144A13">
            <w:pPr>
              <w:spacing w:after="120" w:line="360" w:lineRule="auto"/>
              <w:jc w:val="center"/>
              <w:rPr>
                <w:rFonts w:ascii="David" w:hAnsi="David" w:cs="David"/>
                <w:b/>
                <w:bCs/>
                <w:sz w:val="24"/>
                <w:szCs w:val="24"/>
                <w:rtl/>
              </w:rPr>
            </w:pPr>
            <w:r w:rsidRPr="00144A13">
              <w:rPr>
                <w:rFonts w:ascii="David" w:hAnsi="David" w:cs="David" w:hint="cs"/>
                <w:b/>
                <w:bCs/>
                <w:sz w:val="24"/>
                <w:szCs w:val="24"/>
                <w:rtl/>
              </w:rPr>
              <w:t>שלב ראשוני של ההליך</w:t>
            </w:r>
          </w:p>
        </w:tc>
        <w:tc>
          <w:tcPr>
            <w:tcW w:w="2268" w:type="dxa"/>
          </w:tcPr>
          <w:p w14:paraId="5B7A2B7A"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קדם משפט</w:t>
            </w:r>
          </w:p>
        </w:tc>
        <w:tc>
          <w:tcPr>
            <w:tcW w:w="2423" w:type="dxa"/>
          </w:tcPr>
          <w:p w14:paraId="78E2D5C3"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הקראת כתב אישום</w:t>
            </w:r>
          </w:p>
        </w:tc>
        <w:tc>
          <w:tcPr>
            <w:tcW w:w="2382" w:type="dxa"/>
          </w:tcPr>
          <w:p w14:paraId="312F9001" w14:textId="77777777" w:rsidR="00144A13" w:rsidRDefault="00A06AF9" w:rsidP="003027EB">
            <w:pPr>
              <w:spacing w:after="120" w:line="360" w:lineRule="auto"/>
              <w:jc w:val="both"/>
              <w:rPr>
                <w:rFonts w:ascii="David" w:hAnsi="David" w:cs="David"/>
                <w:sz w:val="24"/>
                <w:szCs w:val="24"/>
                <w:rtl/>
              </w:rPr>
            </w:pPr>
            <w:r>
              <w:rPr>
                <w:rFonts w:ascii="David" w:hAnsi="David" w:cs="David" w:hint="cs"/>
                <w:sz w:val="24"/>
                <w:szCs w:val="24"/>
                <w:rtl/>
              </w:rPr>
              <w:t>הקראת כתב קובלנה</w:t>
            </w:r>
          </w:p>
        </w:tc>
      </w:tr>
      <w:tr w:rsidR="00A06AF9" w14:paraId="4927136F" w14:textId="77777777" w:rsidTr="00D51741">
        <w:trPr>
          <w:trHeight w:val="274"/>
        </w:trPr>
        <w:tc>
          <w:tcPr>
            <w:tcW w:w="8915" w:type="dxa"/>
            <w:gridSpan w:val="4"/>
            <w:shd w:val="clear" w:color="auto" w:fill="1F3864" w:themeFill="accent1" w:themeFillShade="80"/>
          </w:tcPr>
          <w:p w14:paraId="054B1109" w14:textId="77777777" w:rsidR="00A06AF9" w:rsidRPr="00A06AF9" w:rsidRDefault="00A06AF9" w:rsidP="00A06AF9">
            <w:pPr>
              <w:spacing w:after="120" w:line="360" w:lineRule="auto"/>
              <w:jc w:val="both"/>
              <w:rPr>
                <w:rFonts w:ascii="David" w:hAnsi="David" w:cs="David"/>
                <w:b/>
                <w:bCs/>
                <w:sz w:val="24"/>
                <w:szCs w:val="24"/>
                <w:rtl/>
              </w:rPr>
            </w:pPr>
            <w:r w:rsidRPr="00A06AF9">
              <w:rPr>
                <w:rFonts w:ascii="David" w:hAnsi="David" w:cs="David" w:hint="cs"/>
                <w:b/>
                <w:bCs/>
                <w:sz w:val="24"/>
                <w:szCs w:val="24"/>
                <w:rtl/>
              </w:rPr>
              <w:t xml:space="preserve">המערכת בנויה כך שבשלב זה, עד אליו, מסתיימים כ-90% מהתיקים. ככה בנויה המערכת. </w:t>
            </w:r>
          </w:p>
          <w:p w14:paraId="2BD94489" w14:textId="77777777" w:rsidR="00A06AF9" w:rsidRDefault="00A06AF9" w:rsidP="003027EB">
            <w:pPr>
              <w:spacing w:after="120" w:line="360" w:lineRule="auto"/>
              <w:jc w:val="both"/>
              <w:rPr>
                <w:rFonts w:ascii="David" w:hAnsi="David" w:cs="David"/>
                <w:sz w:val="24"/>
                <w:szCs w:val="24"/>
                <w:rtl/>
              </w:rPr>
            </w:pPr>
          </w:p>
        </w:tc>
      </w:tr>
      <w:tr w:rsidR="00A06AF9" w14:paraId="62DBF223" w14:textId="77777777" w:rsidTr="004676BC">
        <w:trPr>
          <w:trHeight w:val="1213"/>
        </w:trPr>
        <w:tc>
          <w:tcPr>
            <w:tcW w:w="1842" w:type="dxa"/>
            <w:shd w:val="clear" w:color="auto" w:fill="1F3864" w:themeFill="accent1" w:themeFillShade="80"/>
          </w:tcPr>
          <w:p w14:paraId="7B217717" w14:textId="77777777" w:rsidR="00A06AF9" w:rsidRPr="00144A13" w:rsidRDefault="00095ECA" w:rsidP="00790775">
            <w:pPr>
              <w:spacing w:after="120" w:line="360" w:lineRule="auto"/>
              <w:jc w:val="center"/>
              <w:rPr>
                <w:rFonts w:ascii="David" w:hAnsi="David" w:cs="David"/>
                <w:b/>
                <w:bCs/>
                <w:sz w:val="24"/>
                <w:szCs w:val="24"/>
                <w:rtl/>
              </w:rPr>
            </w:pPr>
            <w:r>
              <w:rPr>
                <w:rFonts w:ascii="David" w:hAnsi="David" w:cs="David" w:hint="cs"/>
                <w:b/>
                <w:bCs/>
                <w:sz w:val="24"/>
                <w:szCs w:val="24"/>
                <w:rtl/>
              </w:rPr>
              <w:lastRenderedPageBreak/>
              <w:t>אופציית סיום ההליך בשלב ראשוני</w:t>
            </w:r>
          </w:p>
        </w:tc>
        <w:tc>
          <w:tcPr>
            <w:tcW w:w="2268" w:type="dxa"/>
          </w:tcPr>
          <w:p w14:paraId="4DE2B187" w14:textId="77777777" w:rsidR="00A06AF9" w:rsidRDefault="0069418E" w:rsidP="003027EB">
            <w:pPr>
              <w:spacing w:after="120" w:line="360" w:lineRule="auto"/>
              <w:jc w:val="both"/>
              <w:rPr>
                <w:rFonts w:ascii="David" w:hAnsi="David" w:cs="David"/>
                <w:sz w:val="24"/>
                <w:szCs w:val="24"/>
                <w:rtl/>
              </w:rPr>
            </w:pPr>
            <w:r>
              <w:rPr>
                <w:rFonts w:ascii="David" w:hAnsi="David" w:cs="David" w:hint="cs"/>
                <w:sz w:val="24"/>
                <w:szCs w:val="24"/>
                <w:rtl/>
              </w:rPr>
              <w:t xml:space="preserve">הסכם פשרה, גישור, 79א', סילוק על הסף, קבלת התביעה - הגנה מופרכת. </w:t>
            </w:r>
          </w:p>
        </w:tc>
        <w:tc>
          <w:tcPr>
            <w:tcW w:w="2423" w:type="dxa"/>
          </w:tcPr>
          <w:p w14:paraId="0CC171C5" w14:textId="77777777" w:rsidR="00A06AF9" w:rsidRDefault="0069418E" w:rsidP="003027EB">
            <w:pPr>
              <w:spacing w:after="120" w:line="360" w:lineRule="auto"/>
              <w:jc w:val="both"/>
              <w:rPr>
                <w:rFonts w:ascii="David" w:hAnsi="David" w:cs="David"/>
                <w:sz w:val="24"/>
                <w:szCs w:val="24"/>
                <w:rtl/>
              </w:rPr>
            </w:pPr>
            <w:r>
              <w:rPr>
                <w:rFonts w:ascii="David" w:hAnsi="David" w:cs="David" w:hint="cs"/>
                <w:sz w:val="24"/>
                <w:szCs w:val="24"/>
                <w:rtl/>
              </w:rPr>
              <w:t xml:space="preserve">הסדר טיעון, הודאה באשמה, גישור בפלילית, מחיקת כתב אישום. </w:t>
            </w:r>
          </w:p>
        </w:tc>
        <w:tc>
          <w:tcPr>
            <w:tcW w:w="2382" w:type="dxa"/>
          </w:tcPr>
          <w:p w14:paraId="7436515A" w14:textId="77777777" w:rsidR="00A06AF9" w:rsidRDefault="0069418E" w:rsidP="003027EB">
            <w:pPr>
              <w:spacing w:after="120" w:line="360" w:lineRule="auto"/>
              <w:jc w:val="both"/>
              <w:rPr>
                <w:rFonts w:ascii="David" w:hAnsi="David" w:cs="David"/>
                <w:sz w:val="24"/>
                <w:szCs w:val="24"/>
                <w:rtl/>
              </w:rPr>
            </w:pPr>
            <w:proofErr w:type="spellStart"/>
            <w:r>
              <w:rPr>
                <w:rFonts w:ascii="David" w:hAnsi="David" w:cs="David" w:hint="cs"/>
                <w:sz w:val="24"/>
                <w:szCs w:val="24"/>
                <w:rtl/>
              </w:rPr>
              <w:t>בודאה</w:t>
            </w:r>
            <w:proofErr w:type="spellEnd"/>
            <w:r>
              <w:rPr>
                <w:rFonts w:ascii="David" w:hAnsi="David" w:cs="David" w:hint="cs"/>
                <w:sz w:val="24"/>
                <w:szCs w:val="24"/>
                <w:rtl/>
              </w:rPr>
              <w:t xml:space="preserve"> באשמה, הסדר טיעון, מחיקת כתב קובלנה. </w:t>
            </w:r>
          </w:p>
        </w:tc>
      </w:tr>
      <w:tr w:rsidR="00A06AF9" w14:paraId="659DFE29" w14:textId="77777777" w:rsidTr="004676BC">
        <w:trPr>
          <w:trHeight w:val="1213"/>
        </w:trPr>
        <w:tc>
          <w:tcPr>
            <w:tcW w:w="1842" w:type="dxa"/>
            <w:shd w:val="clear" w:color="auto" w:fill="1F3864" w:themeFill="accent1" w:themeFillShade="80"/>
          </w:tcPr>
          <w:p w14:paraId="2AE52014" w14:textId="77777777" w:rsidR="00A06AF9" w:rsidRPr="00144A13" w:rsidRDefault="00095ECA" w:rsidP="00790775">
            <w:pPr>
              <w:spacing w:after="120" w:line="360" w:lineRule="auto"/>
              <w:jc w:val="center"/>
              <w:rPr>
                <w:rFonts w:ascii="David" w:hAnsi="David" w:cs="David"/>
                <w:b/>
                <w:bCs/>
                <w:sz w:val="24"/>
                <w:szCs w:val="24"/>
                <w:rtl/>
              </w:rPr>
            </w:pPr>
            <w:r>
              <w:rPr>
                <w:rFonts w:ascii="David" w:hAnsi="David" w:cs="David" w:hint="cs"/>
                <w:b/>
                <w:bCs/>
                <w:sz w:val="24"/>
                <w:szCs w:val="24"/>
                <w:rtl/>
              </w:rPr>
              <w:t>המשך ההליכים</w:t>
            </w:r>
          </w:p>
        </w:tc>
        <w:tc>
          <w:tcPr>
            <w:tcW w:w="2268" w:type="dxa"/>
          </w:tcPr>
          <w:p w14:paraId="330C604E" w14:textId="77777777" w:rsidR="00A06AF9" w:rsidRDefault="0069418E" w:rsidP="0069418E">
            <w:pPr>
              <w:spacing w:after="120" w:line="360" w:lineRule="auto"/>
              <w:jc w:val="center"/>
              <w:rPr>
                <w:rFonts w:ascii="David" w:hAnsi="David" w:cs="David"/>
                <w:sz w:val="24"/>
                <w:szCs w:val="24"/>
                <w:rtl/>
              </w:rPr>
            </w:pPr>
            <w:r>
              <w:rPr>
                <w:rFonts w:ascii="David" w:hAnsi="David" w:cs="David" w:hint="cs"/>
                <w:sz w:val="24"/>
                <w:szCs w:val="24"/>
                <w:rtl/>
              </w:rPr>
              <w:t>שלב ההוכחות</w:t>
            </w:r>
          </w:p>
        </w:tc>
        <w:tc>
          <w:tcPr>
            <w:tcW w:w="2423" w:type="dxa"/>
          </w:tcPr>
          <w:p w14:paraId="7CD75D49" w14:textId="77777777" w:rsidR="00A06AF9" w:rsidRDefault="0069418E" w:rsidP="0069418E">
            <w:pPr>
              <w:spacing w:after="120" w:line="360" w:lineRule="auto"/>
              <w:jc w:val="center"/>
              <w:rPr>
                <w:rFonts w:ascii="David" w:hAnsi="David" w:cs="David"/>
                <w:sz w:val="24"/>
                <w:szCs w:val="24"/>
                <w:rtl/>
              </w:rPr>
            </w:pPr>
            <w:r>
              <w:rPr>
                <w:rFonts w:ascii="David" w:hAnsi="David" w:cs="David" w:hint="cs"/>
                <w:sz w:val="24"/>
                <w:szCs w:val="24"/>
                <w:rtl/>
              </w:rPr>
              <w:t>שלב ההוכחות</w:t>
            </w:r>
          </w:p>
        </w:tc>
        <w:tc>
          <w:tcPr>
            <w:tcW w:w="2382" w:type="dxa"/>
          </w:tcPr>
          <w:p w14:paraId="6D22A843" w14:textId="77777777" w:rsidR="00A06AF9" w:rsidRDefault="0069418E" w:rsidP="0069418E">
            <w:pPr>
              <w:spacing w:after="120" w:line="360" w:lineRule="auto"/>
              <w:jc w:val="center"/>
              <w:rPr>
                <w:rFonts w:ascii="David" w:hAnsi="David" w:cs="David"/>
                <w:sz w:val="24"/>
                <w:szCs w:val="24"/>
                <w:rtl/>
              </w:rPr>
            </w:pPr>
            <w:r>
              <w:rPr>
                <w:rFonts w:ascii="David" w:hAnsi="David" w:cs="David" w:hint="cs"/>
                <w:sz w:val="24"/>
                <w:szCs w:val="24"/>
                <w:rtl/>
              </w:rPr>
              <w:t>שלב ההוכחות</w:t>
            </w:r>
          </w:p>
        </w:tc>
      </w:tr>
      <w:tr w:rsidR="00A06AF9" w14:paraId="767D811E" w14:textId="77777777" w:rsidTr="004676BC">
        <w:trPr>
          <w:trHeight w:val="1213"/>
        </w:trPr>
        <w:tc>
          <w:tcPr>
            <w:tcW w:w="1842" w:type="dxa"/>
            <w:shd w:val="clear" w:color="auto" w:fill="1F3864" w:themeFill="accent1" w:themeFillShade="80"/>
          </w:tcPr>
          <w:p w14:paraId="792C536B" w14:textId="77777777" w:rsidR="00A06AF9" w:rsidRDefault="00095ECA" w:rsidP="00790775">
            <w:pPr>
              <w:spacing w:after="120" w:line="360" w:lineRule="auto"/>
              <w:jc w:val="center"/>
              <w:rPr>
                <w:rFonts w:ascii="David" w:hAnsi="David" w:cs="David"/>
                <w:b/>
                <w:bCs/>
                <w:sz w:val="24"/>
                <w:szCs w:val="24"/>
                <w:rtl/>
              </w:rPr>
            </w:pPr>
            <w:r>
              <w:rPr>
                <w:rFonts w:ascii="David" w:hAnsi="David" w:cs="David" w:hint="cs"/>
                <w:b/>
                <w:bCs/>
                <w:sz w:val="24"/>
                <w:szCs w:val="24"/>
                <w:rtl/>
              </w:rPr>
              <w:t>שלב הסיכומים</w:t>
            </w:r>
          </w:p>
          <w:p w14:paraId="3489189F" w14:textId="77777777" w:rsidR="00A06AF9" w:rsidRPr="00144A13" w:rsidRDefault="00A06AF9" w:rsidP="00790775">
            <w:pPr>
              <w:spacing w:after="120" w:line="360" w:lineRule="auto"/>
              <w:jc w:val="center"/>
              <w:rPr>
                <w:rFonts w:ascii="David" w:hAnsi="David" w:cs="David"/>
                <w:b/>
                <w:bCs/>
                <w:sz w:val="24"/>
                <w:szCs w:val="24"/>
                <w:rtl/>
              </w:rPr>
            </w:pPr>
          </w:p>
        </w:tc>
        <w:tc>
          <w:tcPr>
            <w:tcW w:w="2268" w:type="dxa"/>
          </w:tcPr>
          <w:p w14:paraId="0A826335" w14:textId="77777777" w:rsidR="00A06AF9" w:rsidRDefault="00596FA8" w:rsidP="003027EB">
            <w:pPr>
              <w:spacing w:after="120" w:line="360" w:lineRule="auto"/>
              <w:jc w:val="both"/>
              <w:rPr>
                <w:rFonts w:ascii="David" w:hAnsi="David" w:cs="David"/>
                <w:sz w:val="24"/>
                <w:szCs w:val="24"/>
                <w:rtl/>
              </w:rPr>
            </w:pPr>
            <w:r>
              <w:rPr>
                <w:rFonts w:ascii="David" w:hAnsi="David" w:cs="David" w:hint="cs"/>
                <w:sz w:val="24"/>
                <w:szCs w:val="24"/>
                <w:rtl/>
              </w:rPr>
              <w:t>לעניין האחריות וגוב הפיצוי</w:t>
            </w:r>
          </w:p>
        </w:tc>
        <w:tc>
          <w:tcPr>
            <w:tcW w:w="2423" w:type="dxa"/>
          </w:tcPr>
          <w:p w14:paraId="47249AC1" w14:textId="77777777" w:rsidR="00A06AF9" w:rsidRDefault="00596FA8" w:rsidP="003027EB">
            <w:pPr>
              <w:spacing w:after="120" w:line="360" w:lineRule="auto"/>
              <w:jc w:val="both"/>
              <w:rPr>
                <w:rFonts w:ascii="David" w:hAnsi="David" w:cs="David"/>
                <w:sz w:val="24"/>
                <w:szCs w:val="24"/>
                <w:rtl/>
              </w:rPr>
            </w:pPr>
            <w:r>
              <w:rPr>
                <w:rFonts w:ascii="David" w:hAnsi="David" w:cs="David" w:hint="cs"/>
                <w:sz w:val="24"/>
                <w:szCs w:val="24"/>
                <w:rtl/>
              </w:rPr>
              <w:t>לעניין האשמה בלבד</w:t>
            </w:r>
          </w:p>
        </w:tc>
        <w:tc>
          <w:tcPr>
            <w:tcW w:w="2382" w:type="dxa"/>
          </w:tcPr>
          <w:p w14:paraId="6251C849" w14:textId="77777777" w:rsidR="00A06AF9" w:rsidRDefault="00596FA8" w:rsidP="003027EB">
            <w:pPr>
              <w:spacing w:after="120" w:line="360" w:lineRule="auto"/>
              <w:jc w:val="both"/>
              <w:rPr>
                <w:rFonts w:ascii="David" w:hAnsi="David" w:cs="David"/>
                <w:sz w:val="24"/>
                <w:szCs w:val="24"/>
                <w:rtl/>
              </w:rPr>
            </w:pPr>
            <w:r>
              <w:rPr>
                <w:rFonts w:ascii="David" w:hAnsi="David" w:cs="David" w:hint="cs"/>
                <w:sz w:val="24"/>
                <w:szCs w:val="24"/>
                <w:rtl/>
              </w:rPr>
              <w:t>לעניין האשמה בלבד</w:t>
            </w:r>
          </w:p>
        </w:tc>
      </w:tr>
      <w:tr w:rsidR="00A06AF9" w14:paraId="0005F0B2" w14:textId="77777777" w:rsidTr="004676BC">
        <w:trPr>
          <w:trHeight w:val="1213"/>
        </w:trPr>
        <w:tc>
          <w:tcPr>
            <w:tcW w:w="1842" w:type="dxa"/>
            <w:shd w:val="clear" w:color="auto" w:fill="1F3864" w:themeFill="accent1" w:themeFillShade="80"/>
          </w:tcPr>
          <w:p w14:paraId="47CF4B9E" w14:textId="77777777" w:rsidR="00A06AF9" w:rsidRDefault="00095ECA" w:rsidP="00790775">
            <w:pPr>
              <w:spacing w:after="120" w:line="360" w:lineRule="auto"/>
              <w:jc w:val="center"/>
              <w:rPr>
                <w:rFonts w:ascii="David" w:hAnsi="David" w:cs="David"/>
                <w:b/>
                <w:bCs/>
                <w:sz w:val="24"/>
                <w:szCs w:val="24"/>
                <w:rtl/>
              </w:rPr>
            </w:pPr>
            <w:r>
              <w:rPr>
                <w:rFonts w:ascii="David" w:hAnsi="David" w:cs="David" w:hint="cs"/>
                <w:b/>
                <w:bCs/>
                <w:sz w:val="24"/>
                <w:szCs w:val="24"/>
                <w:rtl/>
              </w:rPr>
              <w:t>שלב פסק הדין</w:t>
            </w:r>
          </w:p>
        </w:tc>
        <w:tc>
          <w:tcPr>
            <w:tcW w:w="2268" w:type="dxa"/>
          </w:tcPr>
          <w:p w14:paraId="7694BFA4" w14:textId="77777777" w:rsidR="00A06AF9" w:rsidRDefault="00D3265A" w:rsidP="003027EB">
            <w:pPr>
              <w:spacing w:after="120" w:line="360" w:lineRule="auto"/>
              <w:jc w:val="both"/>
              <w:rPr>
                <w:rFonts w:ascii="David" w:hAnsi="David" w:cs="David"/>
                <w:sz w:val="24"/>
                <w:szCs w:val="24"/>
                <w:rtl/>
              </w:rPr>
            </w:pPr>
            <w:r>
              <w:rPr>
                <w:rFonts w:ascii="David" w:hAnsi="David" w:cs="David" w:hint="cs"/>
                <w:sz w:val="24"/>
                <w:szCs w:val="24"/>
                <w:rtl/>
              </w:rPr>
              <w:t>הן לעניין החבות והן לעניין גובה הפיצוי</w:t>
            </w:r>
          </w:p>
        </w:tc>
        <w:tc>
          <w:tcPr>
            <w:tcW w:w="2423" w:type="dxa"/>
          </w:tcPr>
          <w:p w14:paraId="4388EF36" w14:textId="77777777" w:rsidR="00A06AF9" w:rsidRDefault="00D3265A" w:rsidP="003027EB">
            <w:pPr>
              <w:spacing w:after="120" w:line="360" w:lineRule="auto"/>
              <w:jc w:val="both"/>
              <w:rPr>
                <w:rFonts w:ascii="David" w:hAnsi="David" w:cs="David"/>
                <w:sz w:val="24"/>
                <w:szCs w:val="24"/>
                <w:rtl/>
              </w:rPr>
            </w:pPr>
            <w:r>
              <w:rPr>
                <w:rFonts w:ascii="David" w:hAnsi="David" w:cs="David" w:hint="cs"/>
                <w:sz w:val="24"/>
                <w:szCs w:val="24"/>
                <w:rtl/>
              </w:rPr>
              <w:t>רק לעניין האשמה - הכרעת דין</w:t>
            </w:r>
          </w:p>
        </w:tc>
        <w:tc>
          <w:tcPr>
            <w:tcW w:w="2382" w:type="dxa"/>
          </w:tcPr>
          <w:p w14:paraId="774DD589" w14:textId="77777777" w:rsidR="00A06AF9" w:rsidRDefault="00D3265A" w:rsidP="003027EB">
            <w:pPr>
              <w:spacing w:after="120" w:line="360" w:lineRule="auto"/>
              <w:jc w:val="both"/>
              <w:rPr>
                <w:rFonts w:ascii="David" w:hAnsi="David" w:cs="David"/>
                <w:sz w:val="24"/>
                <w:szCs w:val="24"/>
                <w:rtl/>
              </w:rPr>
            </w:pPr>
            <w:r>
              <w:rPr>
                <w:rFonts w:ascii="David" w:hAnsi="David" w:cs="David" w:hint="cs"/>
                <w:sz w:val="24"/>
                <w:szCs w:val="24"/>
                <w:rtl/>
              </w:rPr>
              <w:t xml:space="preserve"> רק לעניין האשמה - הכרעת דין</w:t>
            </w:r>
          </w:p>
        </w:tc>
      </w:tr>
      <w:tr w:rsidR="00A06AF9" w14:paraId="19B9094B" w14:textId="77777777" w:rsidTr="004676BC">
        <w:trPr>
          <w:trHeight w:val="1213"/>
        </w:trPr>
        <w:tc>
          <w:tcPr>
            <w:tcW w:w="1842" w:type="dxa"/>
            <w:shd w:val="clear" w:color="auto" w:fill="1F3864" w:themeFill="accent1" w:themeFillShade="80"/>
          </w:tcPr>
          <w:p w14:paraId="7EEF7CF4" w14:textId="77777777" w:rsidR="00A06AF9" w:rsidRDefault="00095ECA" w:rsidP="00790775">
            <w:pPr>
              <w:spacing w:after="120" w:line="360" w:lineRule="auto"/>
              <w:jc w:val="center"/>
              <w:rPr>
                <w:rFonts w:ascii="David" w:hAnsi="David" w:cs="David"/>
                <w:b/>
                <w:bCs/>
                <w:sz w:val="24"/>
                <w:szCs w:val="24"/>
                <w:rtl/>
              </w:rPr>
            </w:pPr>
            <w:r>
              <w:rPr>
                <w:rFonts w:ascii="David" w:hAnsi="David" w:cs="David" w:hint="cs"/>
                <w:b/>
                <w:bCs/>
                <w:sz w:val="24"/>
                <w:szCs w:val="24"/>
                <w:rtl/>
              </w:rPr>
              <w:t>שלב ראיות סיכומים נוסף</w:t>
            </w:r>
          </w:p>
        </w:tc>
        <w:tc>
          <w:tcPr>
            <w:tcW w:w="2268" w:type="dxa"/>
          </w:tcPr>
          <w:p w14:paraId="4499A7DC" w14:textId="77777777" w:rsidR="00A06AF9" w:rsidRDefault="00D3265A" w:rsidP="003027EB">
            <w:pPr>
              <w:spacing w:after="120" w:line="360" w:lineRule="auto"/>
              <w:jc w:val="both"/>
              <w:rPr>
                <w:rFonts w:ascii="David" w:hAnsi="David" w:cs="David"/>
                <w:sz w:val="24"/>
                <w:szCs w:val="24"/>
                <w:rtl/>
              </w:rPr>
            </w:pPr>
            <w:r>
              <w:rPr>
                <w:rFonts w:ascii="David" w:hAnsi="David" w:cs="David" w:hint="cs"/>
                <w:sz w:val="24"/>
                <w:szCs w:val="24"/>
                <w:rtl/>
              </w:rPr>
              <w:t>אין בדרך כלל</w:t>
            </w:r>
          </w:p>
        </w:tc>
        <w:tc>
          <w:tcPr>
            <w:tcW w:w="2423" w:type="dxa"/>
          </w:tcPr>
          <w:p w14:paraId="55C97711" w14:textId="77777777" w:rsidR="00A06AF9" w:rsidRDefault="00D3265A" w:rsidP="003027EB">
            <w:pPr>
              <w:spacing w:after="120" w:line="360" w:lineRule="auto"/>
              <w:jc w:val="both"/>
              <w:rPr>
                <w:rFonts w:ascii="David" w:hAnsi="David" w:cs="David"/>
                <w:sz w:val="24"/>
                <w:szCs w:val="24"/>
                <w:rtl/>
              </w:rPr>
            </w:pPr>
            <w:r>
              <w:rPr>
                <w:rFonts w:ascii="David" w:hAnsi="David" w:cs="David" w:hint="cs"/>
                <w:sz w:val="24"/>
                <w:szCs w:val="24"/>
                <w:rtl/>
              </w:rPr>
              <w:t>לעניין הענישה המתאימה</w:t>
            </w:r>
          </w:p>
        </w:tc>
        <w:tc>
          <w:tcPr>
            <w:tcW w:w="2382" w:type="dxa"/>
          </w:tcPr>
          <w:p w14:paraId="2CE9A058" w14:textId="77777777" w:rsidR="00A06AF9" w:rsidRDefault="00D3265A" w:rsidP="003027EB">
            <w:pPr>
              <w:spacing w:after="120" w:line="360" w:lineRule="auto"/>
              <w:jc w:val="both"/>
              <w:rPr>
                <w:rFonts w:ascii="David" w:hAnsi="David" w:cs="David"/>
                <w:sz w:val="24"/>
                <w:szCs w:val="24"/>
                <w:rtl/>
              </w:rPr>
            </w:pPr>
            <w:r>
              <w:rPr>
                <w:rFonts w:ascii="David" w:hAnsi="David" w:cs="David" w:hint="cs"/>
                <w:sz w:val="24"/>
                <w:szCs w:val="24"/>
                <w:rtl/>
              </w:rPr>
              <w:t>לעניין הענישה המתאימה</w:t>
            </w:r>
          </w:p>
        </w:tc>
      </w:tr>
      <w:tr w:rsidR="00A06AF9" w14:paraId="67F453C2" w14:textId="77777777" w:rsidTr="004676BC">
        <w:trPr>
          <w:trHeight w:val="1213"/>
        </w:trPr>
        <w:tc>
          <w:tcPr>
            <w:tcW w:w="1842" w:type="dxa"/>
            <w:shd w:val="clear" w:color="auto" w:fill="1F3864" w:themeFill="accent1" w:themeFillShade="80"/>
          </w:tcPr>
          <w:p w14:paraId="6AA633FF" w14:textId="77777777" w:rsidR="00A06AF9" w:rsidRDefault="00095ECA" w:rsidP="00790775">
            <w:pPr>
              <w:spacing w:after="120" w:line="360" w:lineRule="auto"/>
              <w:jc w:val="center"/>
              <w:rPr>
                <w:rFonts w:ascii="David" w:hAnsi="David" w:cs="David"/>
                <w:b/>
                <w:bCs/>
                <w:sz w:val="24"/>
                <w:szCs w:val="24"/>
                <w:rtl/>
              </w:rPr>
            </w:pPr>
            <w:r>
              <w:rPr>
                <w:rFonts w:ascii="David" w:hAnsi="David" w:cs="David" w:hint="cs"/>
                <w:b/>
                <w:bCs/>
                <w:sz w:val="24"/>
                <w:szCs w:val="24"/>
                <w:rtl/>
              </w:rPr>
              <w:t>פסק דין נוסף</w:t>
            </w:r>
          </w:p>
        </w:tc>
        <w:tc>
          <w:tcPr>
            <w:tcW w:w="2268" w:type="dxa"/>
          </w:tcPr>
          <w:p w14:paraId="0525AEDB" w14:textId="77777777" w:rsidR="00A06AF9" w:rsidRDefault="00D3265A" w:rsidP="003027EB">
            <w:pPr>
              <w:spacing w:after="120" w:line="360" w:lineRule="auto"/>
              <w:jc w:val="both"/>
              <w:rPr>
                <w:rFonts w:ascii="David" w:hAnsi="David" w:cs="David"/>
                <w:sz w:val="24"/>
                <w:szCs w:val="24"/>
                <w:rtl/>
              </w:rPr>
            </w:pPr>
            <w:r>
              <w:rPr>
                <w:rFonts w:ascii="David" w:hAnsi="David" w:cs="David" w:hint="cs"/>
                <w:sz w:val="24"/>
                <w:szCs w:val="24"/>
                <w:rtl/>
              </w:rPr>
              <w:t>אין</w:t>
            </w:r>
          </w:p>
        </w:tc>
        <w:tc>
          <w:tcPr>
            <w:tcW w:w="2423" w:type="dxa"/>
          </w:tcPr>
          <w:p w14:paraId="11B1CCA5" w14:textId="77777777" w:rsidR="00A06AF9" w:rsidRDefault="00D3265A" w:rsidP="003027EB">
            <w:pPr>
              <w:spacing w:after="120" w:line="360" w:lineRule="auto"/>
              <w:jc w:val="both"/>
              <w:rPr>
                <w:rFonts w:ascii="David" w:hAnsi="David" w:cs="David"/>
                <w:sz w:val="24"/>
                <w:szCs w:val="24"/>
                <w:rtl/>
              </w:rPr>
            </w:pPr>
            <w:r>
              <w:rPr>
                <w:rFonts w:ascii="David" w:hAnsi="David" w:cs="David" w:hint="cs"/>
                <w:sz w:val="24"/>
                <w:szCs w:val="24"/>
                <w:rtl/>
              </w:rPr>
              <w:t>רק לעניין העונש - גזר דין</w:t>
            </w:r>
          </w:p>
          <w:p w14:paraId="6D049B8C" w14:textId="77777777" w:rsidR="00D3265A" w:rsidRDefault="00D3265A" w:rsidP="003027EB">
            <w:pPr>
              <w:spacing w:after="120" w:line="360" w:lineRule="auto"/>
              <w:jc w:val="both"/>
              <w:rPr>
                <w:rFonts w:ascii="David" w:hAnsi="David" w:cs="David"/>
                <w:sz w:val="24"/>
                <w:szCs w:val="24"/>
                <w:rtl/>
              </w:rPr>
            </w:pPr>
            <w:r>
              <w:rPr>
                <w:rFonts w:ascii="David" w:hAnsi="David" w:cs="David" w:hint="cs"/>
                <w:sz w:val="24"/>
                <w:szCs w:val="24"/>
                <w:rtl/>
              </w:rPr>
              <w:t>(הפיצול - כי עד לשלב זה, המידע הרלוונטי חסוי לשופט)</w:t>
            </w:r>
          </w:p>
        </w:tc>
        <w:tc>
          <w:tcPr>
            <w:tcW w:w="2382" w:type="dxa"/>
          </w:tcPr>
          <w:p w14:paraId="64D0403F" w14:textId="77777777" w:rsidR="00A06AF9" w:rsidRDefault="00D3265A" w:rsidP="003027EB">
            <w:pPr>
              <w:spacing w:after="120" w:line="360" w:lineRule="auto"/>
              <w:jc w:val="both"/>
              <w:rPr>
                <w:rFonts w:ascii="David" w:hAnsi="David" w:cs="David"/>
                <w:sz w:val="24"/>
                <w:szCs w:val="24"/>
                <w:rtl/>
              </w:rPr>
            </w:pPr>
            <w:r>
              <w:rPr>
                <w:rFonts w:ascii="David" w:hAnsi="David" w:cs="David" w:hint="cs"/>
                <w:sz w:val="24"/>
                <w:szCs w:val="24"/>
                <w:rtl/>
              </w:rPr>
              <w:t>רק לעניין העונש - גזר דין</w:t>
            </w:r>
          </w:p>
          <w:p w14:paraId="243D8A6E" w14:textId="77777777" w:rsidR="00D3265A" w:rsidRDefault="00D3265A" w:rsidP="003027EB">
            <w:pPr>
              <w:spacing w:after="120" w:line="360" w:lineRule="auto"/>
              <w:jc w:val="both"/>
              <w:rPr>
                <w:rFonts w:ascii="David" w:hAnsi="David" w:cs="David"/>
                <w:sz w:val="24"/>
                <w:szCs w:val="24"/>
                <w:rtl/>
              </w:rPr>
            </w:pPr>
            <w:r>
              <w:rPr>
                <w:rFonts w:ascii="David" w:hAnsi="David" w:cs="David" w:hint="cs"/>
                <w:sz w:val="24"/>
                <w:szCs w:val="24"/>
                <w:rtl/>
              </w:rPr>
              <w:t>(הפיצול - כי עד לשלב זה, המידע הרלוונטי חסוי לשופט)</w:t>
            </w:r>
          </w:p>
        </w:tc>
      </w:tr>
      <w:tr w:rsidR="00A06AF9" w14:paraId="4B8D57F9" w14:textId="77777777" w:rsidTr="00CC69DB">
        <w:trPr>
          <w:trHeight w:val="859"/>
        </w:trPr>
        <w:tc>
          <w:tcPr>
            <w:tcW w:w="1842" w:type="dxa"/>
            <w:shd w:val="clear" w:color="auto" w:fill="1F3864" w:themeFill="accent1" w:themeFillShade="80"/>
          </w:tcPr>
          <w:p w14:paraId="233E235A" w14:textId="77777777" w:rsidR="00A06AF9" w:rsidRDefault="00095ECA" w:rsidP="00790775">
            <w:pPr>
              <w:spacing w:after="120" w:line="360" w:lineRule="auto"/>
              <w:jc w:val="center"/>
              <w:rPr>
                <w:rFonts w:ascii="David" w:hAnsi="David" w:cs="David"/>
                <w:b/>
                <w:bCs/>
                <w:sz w:val="24"/>
                <w:szCs w:val="24"/>
                <w:rtl/>
              </w:rPr>
            </w:pPr>
            <w:r>
              <w:rPr>
                <w:rFonts w:ascii="David" w:hAnsi="David" w:cs="David" w:hint="cs"/>
                <w:b/>
                <w:bCs/>
                <w:sz w:val="24"/>
                <w:szCs w:val="24"/>
                <w:rtl/>
              </w:rPr>
              <w:t>ערעור</w:t>
            </w:r>
          </w:p>
        </w:tc>
        <w:tc>
          <w:tcPr>
            <w:tcW w:w="2268" w:type="dxa"/>
          </w:tcPr>
          <w:p w14:paraId="21DF006D" w14:textId="77777777" w:rsidR="00A06AF9" w:rsidRDefault="00CC69DB" w:rsidP="003027EB">
            <w:pPr>
              <w:spacing w:after="120" w:line="360" w:lineRule="auto"/>
              <w:jc w:val="both"/>
              <w:rPr>
                <w:rFonts w:ascii="David" w:hAnsi="David" w:cs="David"/>
                <w:sz w:val="24"/>
                <w:szCs w:val="24"/>
                <w:rtl/>
              </w:rPr>
            </w:pPr>
            <w:r>
              <w:rPr>
                <w:rFonts w:ascii="David" w:hAnsi="David" w:cs="David" w:hint="cs"/>
                <w:sz w:val="24"/>
                <w:szCs w:val="24"/>
                <w:rtl/>
              </w:rPr>
              <w:t>שלום - מחוזי</w:t>
            </w:r>
          </w:p>
          <w:p w14:paraId="03200914" w14:textId="77777777" w:rsidR="00CC69DB" w:rsidRDefault="00CC69DB" w:rsidP="003027EB">
            <w:pPr>
              <w:spacing w:after="120" w:line="360" w:lineRule="auto"/>
              <w:jc w:val="both"/>
              <w:rPr>
                <w:rFonts w:ascii="David" w:hAnsi="David" w:cs="David"/>
                <w:sz w:val="24"/>
                <w:szCs w:val="24"/>
                <w:rtl/>
              </w:rPr>
            </w:pPr>
            <w:r>
              <w:rPr>
                <w:rFonts w:ascii="David" w:hAnsi="David" w:cs="David" w:hint="cs"/>
                <w:sz w:val="24"/>
                <w:szCs w:val="24"/>
                <w:rtl/>
              </w:rPr>
              <w:t>מחוזי - עליון</w:t>
            </w:r>
          </w:p>
        </w:tc>
        <w:tc>
          <w:tcPr>
            <w:tcW w:w="2423" w:type="dxa"/>
          </w:tcPr>
          <w:p w14:paraId="7F08EF92" w14:textId="77777777" w:rsidR="00A06AF9" w:rsidRDefault="00CC69DB" w:rsidP="003027EB">
            <w:pPr>
              <w:spacing w:after="120" w:line="360" w:lineRule="auto"/>
              <w:jc w:val="both"/>
              <w:rPr>
                <w:rFonts w:ascii="David" w:hAnsi="David" w:cs="David"/>
                <w:sz w:val="24"/>
                <w:szCs w:val="24"/>
                <w:rtl/>
              </w:rPr>
            </w:pPr>
            <w:r>
              <w:rPr>
                <w:rFonts w:ascii="David" w:hAnsi="David" w:cs="David" w:hint="cs"/>
                <w:sz w:val="24"/>
                <w:szCs w:val="24"/>
                <w:rtl/>
              </w:rPr>
              <w:t xml:space="preserve">שלום - מחוזי </w:t>
            </w:r>
            <w:proofErr w:type="spellStart"/>
            <w:r>
              <w:rPr>
                <w:rFonts w:ascii="David" w:hAnsi="David" w:cs="David" w:hint="cs"/>
                <w:sz w:val="24"/>
                <w:szCs w:val="24"/>
                <w:rtl/>
              </w:rPr>
              <w:t>מחוזי</w:t>
            </w:r>
            <w:proofErr w:type="spellEnd"/>
            <w:r>
              <w:rPr>
                <w:rFonts w:ascii="David" w:hAnsi="David" w:cs="David" w:hint="cs"/>
                <w:sz w:val="24"/>
                <w:szCs w:val="24"/>
                <w:rtl/>
              </w:rPr>
              <w:t xml:space="preserve"> - עליון</w:t>
            </w:r>
          </w:p>
        </w:tc>
        <w:tc>
          <w:tcPr>
            <w:tcW w:w="2382" w:type="dxa"/>
          </w:tcPr>
          <w:p w14:paraId="14DBB3CC" w14:textId="77777777" w:rsidR="00A06AF9" w:rsidRDefault="00CC69DB" w:rsidP="003027EB">
            <w:pPr>
              <w:spacing w:after="120" w:line="360" w:lineRule="auto"/>
              <w:jc w:val="both"/>
              <w:rPr>
                <w:rFonts w:ascii="David" w:hAnsi="David" w:cs="David"/>
                <w:sz w:val="24"/>
                <w:szCs w:val="24"/>
                <w:rtl/>
              </w:rPr>
            </w:pPr>
            <w:r>
              <w:rPr>
                <w:rFonts w:ascii="David" w:hAnsi="David" w:cs="David" w:hint="cs"/>
                <w:sz w:val="24"/>
                <w:szCs w:val="24"/>
                <w:rtl/>
              </w:rPr>
              <w:t xml:space="preserve">תלוי בערכאה: </w:t>
            </w:r>
          </w:p>
        </w:tc>
      </w:tr>
      <w:tr w:rsidR="00A06AF9" w14:paraId="3415BDA7" w14:textId="77777777" w:rsidTr="00CC69DB">
        <w:trPr>
          <w:trHeight w:val="1283"/>
        </w:trPr>
        <w:tc>
          <w:tcPr>
            <w:tcW w:w="1842" w:type="dxa"/>
            <w:shd w:val="clear" w:color="auto" w:fill="1F3864" w:themeFill="accent1" w:themeFillShade="80"/>
          </w:tcPr>
          <w:p w14:paraId="0874D483" w14:textId="77777777" w:rsidR="00A06AF9" w:rsidRDefault="00095ECA" w:rsidP="00790775">
            <w:pPr>
              <w:spacing w:after="120" w:line="360" w:lineRule="auto"/>
              <w:jc w:val="center"/>
              <w:rPr>
                <w:rFonts w:ascii="David" w:hAnsi="David" w:cs="David"/>
                <w:b/>
                <w:bCs/>
                <w:sz w:val="24"/>
                <w:szCs w:val="24"/>
                <w:rtl/>
              </w:rPr>
            </w:pPr>
            <w:r>
              <w:rPr>
                <w:rFonts w:ascii="David" w:hAnsi="David" w:cs="David" w:hint="cs"/>
                <w:b/>
                <w:bCs/>
                <w:sz w:val="24"/>
                <w:szCs w:val="24"/>
                <w:rtl/>
              </w:rPr>
              <w:t>משפט חוזר</w:t>
            </w:r>
          </w:p>
        </w:tc>
        <w:tc>
          <w:tcPr>
            <w:tcW w:w="2268" w:type="dxa"/>
          </w:tcPr>
          <w:p w14:paraId="05094C08" w14:textId="77777777" w:rsidR="00A06AF9" w:rsidRDefault="00CC69DB" w:rsidP="003027EB">
            <w:pPr>
              <w:spacing w:after="120" w:line="360" w:lineRule="auto"/>
              <w:jc w:val="both"/>
              <w:rPr>
                <w:rFonts w:ascii="David" w:hAnsi="David" w:cs="David"/>
                <w:sz w:val="24"/>
                <w:szCs w:val="24"/>
                <w:rtl/>
              </w:rPr>
            </w:pPr>
            <w:r>
              <w:rPr>
                <w:rFonts w:ascii="David" w:hAnsi="David" w:cs="David" w:hint="cs"/>
                <w:sz w:val="24"/>
                <w:szCs w:val="24"/>
                <w:rtl/>
              </w:rPr>
              <w:t>פס"ד חלוט - מעשה בית דין</w:t>
            </w:r>
          </w:p>
        </w:tc>
        <w:tc>
          <w:tcPr>
            <w:tcW w:w="2423" w:type="dxa"/>
          </w:tcPr>
          <w:p w14:paraId="50B6895A" w14:textId="77777777" w:rsidR="00A06AF9" w:rsidRDefault="00CC69DB" w:rsidP="003027EB">
            <w:pPr>
              <w:spacing w:after="120" w:line="360" w:lineRule="auto"/>
              <w:jc w:val="both"/>
              <w:rPr>
                <w:rFonts w:ascii="David" w:hAnsi="David" w:cs="David"/>
                <w:sz w:val="24"/>
                <w:szCs w:val="24"/>
                <w:rtl/>
              </w:rPr>
            </w:pPr>
            <w:r>
              <w:rPr>
                <w:rFonts w:ascii="David" w:hAnsi="David" w:cs="David" w:hint="cs"/>
                <w:sz w:val="24"/>
                <w:szCs w:val="24"/>
                <w:rtl/>
              </w:rPr>
              <w:t>ס' 31 לחסד"פ</w:t>
            </w:r>
          </w:p>
        </w:tc>
        <w:tc>
          <w:tcPr>
            <w:tcW w:w="2382" w:type="dxa"/>
          </w:tcPr>
          <w:p w14:paraId="05C00F40" w14:textId="77777777" w:rsidR="00A06AF9" w:rsidRDefault="00CC69DB" w:rsidP="003027EB">
            <w:pPr>
              <w:spacing w:after="120" w:line="360" w:lineRule="auto"/>
              <w:jc w:val="both"/>
              <w:rPr>
                <w:rFonts w:ascii="David" w:hAnsi="David" w:cs="David"/>
                <w:sz w:val="24"/>
                <w:szCs w:val="24"/>
                <w:rtl/>
              </w:rPr>
            </w:pPr>
            <w:r>
              <w:rPr>
                <w:rFonts w:ascii="David" w:hAnsi="David" w:cs="David" w:hint="cs"/>
                <w:sz w:val="24"/>
                <w:szCs w:val="24"/>
                <w:rtl/>
              </w:rPr>
              <w:t>חוק שיפוט משמעת (משפט חוזר)</w:t>
            </w:r>
          </w:p>
        </w:tc>
      </w:tr>
    </w:tbl>
    <w:p w14:paraId="41197A5F" w14:textId="77777777" w:rsidR="003C6258" w:rsidRDefault="003C6258" w:rsidP="003027EB">
      <w:pPr>
        <w:spacing w:after="120" w:line="360" w:lineRule="auto"/>
        <w:jc w:val="both"/>
        <w:rPr>
          <w:rFonts w:ascii="David" w:hAnsi="David" w:cs="David"/>
          <w:sz w:val="24"/>
          <w:szCs w:val="24"/>
          <w:rtl/>
        </w:rPr>
      </w:pPr>
    </w:p>
    <w:p w14:paraId="09786C07" w14:textId="77777777" w:rsidR="003C6258" w:rsidRDefault="008053AC" w:rsidP="008053AC">
      <w:pPr>
        <w:spacing w:after="120" w:line="360" w:lineRule="auto"/>
        <w:ind w:left="-766"/>
        <w:jc w:val="both"/>
        <w:rPr>
          <w:rFonts w:ascii="David" w:hAnsi="David" w:cs="David"/>
          <w:sz w:val="24"/>
          <w:szCs w:val="24"/>
          <w:rtl/>
        </w:rPr>
      </w:pPr>
      <w:r>
        <w:rPr>
          <w:rFonts w:ascii="David" w:hAnsi="David" w:cs="David" w:hint="cs"/>
          <w:sz w:val="24"/>
          <w:szCs w:val="24"/>
          <w:rtl/>
        </w:rPr>
        <w:t xml:space="preserve">שאלה: נניח שבגין אותו מעשה או מחדל (עו"ד חשוד בשליחת יד בפיקדון ללקוח: אדם שנפגע בתאונת דרכים, זכה במשפט, שואל את עורך הדין מה עם הפיצוי, העו"ד אומר שעדיין לא הגיע. </w:t>
      </w:r>
      <w:proofErr w:type="spellStart"/>
      <w:r>
        <w:rPr>
          <w:rFonts w:ascii="David" w:hAnsi="David" w:cs="David" w:hint="cs"/>
          <w:sz w:val="24"/>
          <w:szCs w:val="24"/>
          <w:rtl/>
        </w:rPr>
        <w:t>בהוא</w:t>
      </w:r>
      <w:proofErr w:type="spellEnd"/>
      <w:r>
        <w:rPr>
          <w:rFonts w:ascii="David" w:hAnsi="David" w:cs="David" w:hint="cs"/>
          <w:sz w:val="24"/>
          <w:szCs w:val="24"/>
          <w:rtl/>
        </w:rPr>
        <w:t xml:space="preserve"> מבין מחברת הביטוח שקיבל 100 אלף ₪. בשלב הזה הוא כבר חושד בעו"ד ומגיע להתייעצות: מה כדאי לו לעשות: תלונה במשטרה? תביעה אזרחית? תלונה לגוף הרגולטורי? שניים במקביל או כולם? מדורג? </w:t>
      </w:r>
      <w:r w:rsidR="006520CC">
        <w:rPr>
          <w:rFonts w:ascii="David" w:hAnsi="David" w:cs="David" w:hint="cs"/>
          <w:sz w:val="24"/>
          <w:szCs w:val="24"/>
          <w:rtl/>
        </w:rPr>
        <w:t xml:space="preserve"> אין תשובה אחת - אין כלל אצבע, יש שיקולים לכאן ולכאן. תלוי בנסיבות. </w:t>
      </w:r>
      <w:r w:rsidR="00F5583F">
        <w:rPr>
          <w:rFonts w:ascii="David" w:hAnsi="David" w:cs="David" w:hint="cs"/>
          <w:sz w:val="24"/>
          <w:szCs w:val="24"/>
          <w:rtl/>
        </w:rPr>
        <w:t xml:space="preserve">במשך הסמסטר נראה עוד דברים שיוכלו לסייע לנו. </w:t>
      </w:r>
    </w:p>
    <w:p w14:paraId="6BD4F007" w14:textId="77777777" w:rsidR="00F14711" w:rsidRDefault="00D51741" w:rsidP="008053AC">
      <w:pPr>
        <w:spacing w:after="120" w:line="360" w:lineRule="auto"/>
        <w:ind w:left="-766"/>
        <w:jc w:val="both"/>
        <w:rPr>
          <w:rFonts w:ascii="David" w:hAnsi="David" w:cs="David"/>
          <w:sz w:val="24"/>
          <w:szCs w:val="24"/>
          <w:rtl/>
        </w:rPr>
      </w:pPr>
      <w:r w:rsidRPr="00D51741">
        <w:rPr>
          <w:rFonts w:ascii="David" w:hAnsi="David" w:cs="David" w:hint="cs"/>
          <w:b/>
          <w:bCs/>
          <w:color w:val="538135" w:themeColor="accent6" w:themeShade="BF"/>
          <w:sz w:val="24"/>
          <w:szCs w:val="24"/>
          <w:rtl/>
        </w:rPr>
        <w:t xml:space="preserve">קריאה: </w:t>
      </w:r>
      <w:r w:rsidR="00F14711">
        <w:rPr>
          <w:rFonts w:ascii="David" w:hAnsi="David" w:cs="David" w:hint="cs"/>
          <w:sz w:val="24"/>
          <w:szCs w:val="24"/>
          <w:rtl/>
        </w:rPr>
        <w:t xml:space="preserve">: לקרוא בעיון </w:t>
      </w:r>
      <w:bookmarkStart w:id="0" w:name="_Hlk55143893"/>
      <w:r w:rsidR="00F14711">
        <w:rPr>
          <w:rFonts w:ascii="David" w:hAnsi="David" w:cs="David" w:hint="cs"/>
          <w:sz w:val="24"/>
          <w:szCs w:val="24"/>
          <w:rtl/>
        </w:rPr>
        <w:t>טבלת השוואת ערכאות סטטוטוריות</w:t>
      </w:r>
      <w:bookmarkEnd w:id="0"/>
      <w:r w:rsidR="00F14711">
        <w:rPr>
          <w:rFonts w:ascii="David" w:hAnsi="David" w:cs="David" w:hint="cs"/>
          <w:sz w:val="24"/>
          <w:szCs w:val="24"/>
          <w:rtl/>
        </w:rPr>
        <w:t xml:space="preserve">: לנסות לסווג קבוצות שונות וייחודיות. (20 עמודים של טבלה). </w:t>
      </w:r>
      <w:r w:rsidR="008B469E">
        <w:rPr>
          <w:rFonts w:ascii="David" w:hAnsi="David" w:cs="David" w:hint="cs"/>
          <w:sz w:val="24"/>
          <w:szCs w:val="24"/>
          <w:rtl/>
        </w:rPr>
        <w:t xml:space="preserve"> לכל אחת ייעוד משלה. </w:t>
      </w:r>
    </w:p>
    <w:p w14:paraId="6309322E" w14:textId="77777777" w:rsidR="00F97FB6" w:rsidRDefault="00F97FB6" w:rsidP="008053AC">
      <w:pPr>
        <w:spacing w:after="120" w:line="360" w:lineRule="auto"/>
        <w:ind w:left="-766"/>
        <w:jc w:val="both"/>
        <w:rPr>
          <w:rFonts w:ascii="David" w:hAnsi="David" w:cs="David"/>
          <w:b/>
          <w:bCs/>
          <w:sz w:val="24"/>
          <w:szCs w:val="24"/>
          <w:u w:val="single"/>
          <w:rtl/>
        </w:rPr>
      </w:pPr>
    </w:p>
    <w:p w14:paraId="72D6EF71" w14:textId="77777777" w:rsidR="008B469E" w:rsidRDefault="008B469E" w:rsidP="008053AC">
      <w:pPr>
        <w:spacing w:after="120" w:line="360" w:lineRule="auto"/>
        <w:ind w:left="-766"/>
        <w:jc w:val="both"/>
        <w:rPr>
          <w:rFonts w:ascii="David" w:hAnsi="David" w:cs="David"/>
          <w:b/>
          <w:bCs/>
          <w:sz w:val="24"/>
          <w:szCs w:val="24"/>
          <w:u w:val="single"/>
          <w:rtl/>
        </w:rPr>
      </w:pPr>
      <w:r w:rsidRPr="008B469E">
        <w:rPr>
          <w:rFonts w:ascii="David" w:hAnsi="David" w:cs="David" w:hint="cs"/>
          <w:b/>
          <w:bCs/>
          <w:sz w:val="24"/>
          <w:szCs w:val="24"/>
          <w:u w:val="single"/>
          <w:rtl/>
        </w:rPr>
        <w:lastRenderedPageBreak/>
        <w:t>שיעור 4, 08.11.2020</w:t>
      </w:r>
    </w:p>
    <w:p w14:paraId="3AACAEFF" w14:textId="77777777" w:rsidR="008053AC" w:rsidRDefault="00C44FB7" w:rsidP="00E46E78">
      <w:pPr>
        <w:spacing w:after="120" w:line="360" w:lineRule="auto"/>
        <w:jc w:val="center"/>
        <w:rPr>
          <w:rFonts w:ascii="David" w:hAnsi="David" w:cs="David"/>
          <w:b/>
          <w:bCs/>
          <w:color w:val="FFC000" w:themeColor="accent4"/>
          <w:sz w:val="24"/>
          <w:szCs w:val="24"/>
          <w:u w:val="single"/>
          <w:rtl/>
        </w:rPr>
      </w:pPr>
      <w:r w:rsidRPr="00C44FB7">
        <w:rPr>
          <w:rFonts w:ascii="David" w:hAnsi="David" w:cs="David" w:hint="cs"/>
          <w:b/>
          <w:bCs/>
          <w:color w:val="FFC000" w:themeColor="accent4"/>
          <w:sz w:val="24"/>
          <w:szCs w:val="24"/>
          <w:u w:val="single"/>
          <w:rtl/>
        </w:rPr>
        <w:t xml:space="preserve">נושא 3 לסילבוס: 5 נושאים כלליים: </w:t>
      </w:r>
      <w:r w:rsidR="00E46E78" w:rsidRPr="00C44FB7">
        <w:rPr>
          <w:rFonts w:ascii="David" w:hAnsi="David" w:cs="David" w:hint="cs"/>
          <w:b/>
          <w:bCs/>
          <w:color w:val="FFC000" w:themeColor="accent4"/>
          <w:sz w:val="24"/>
          <w:szCs w:val="24"/>
          <w:u w:val="single"/>
          <w:rtl/>
        </w:rPr>
        <w:t>סוגיות בשיפוט משמעתי סטטוטורי</w:t>
      </w:r>
    </w:p>
    <w:p w14:paraId="0DC24AAD" w14:textId="77777777" w:rsidR="00F002A1" w:rsidRPr="003C4CA2" w:rsidRDefault="00F002A1" w:rsidP="00F002A1">
      <w:pPr>
        <w:spacing w:after="120" w:line="360" w:lineRule="auto"/>
        <w:ind w:left="-766"/>
        <w:jc w:val="both"/>
        <w:rPr>
          <w:rFonts w:ascii="David" w:hAnsi="David" w:cs="David"/>
          <w:b/>
          <w:bCs/>
          <w:color w:val="C45911" w:themeColor="accent2" w:themeShade="BF"/>
          <w:sz w:val="24"/>
          <w:szCs w:val="24"/>
          <w:u w:val="single"/>
          <w:rtl/>
        </w:rPr>
      </w:pPr>
      <w:r w:rsidRPr="003C4CA2">
        <w:rPr>
          <w:rFonts w:ascii="David" w:hAnsi="David" w:cs="David" w:hint="cs"/>
          <w:color w:val="C45911" w:themeColor="accent2" w:themeShade="BF"/>
          <w:sz w:val="24"/>
          <w:szCs w:val="24"/>
          <w:rtl/>
        </w:rPr>
        <w:t>(1) התנגשות בין הליך משמעתי להליך פלילי מקביל, (2)סדר דין וראיות בהליך משמעתי, (</w:t>
      </w:r>
      <w:r w:rsidRPr="003C4CA2">
        <w:rPr>
          <w:rFonts w:ascii="David" w:hAnsi="David" w:cs="David" w:hint="cs"/>
          <w:color w:val="C45911" w:themeColor="accent2" w:themeShade="BF"/>
          <w:sz w:val="24"/>
          <w:szCs w:val="24"/>
          <w:u w:val="single"/>
          <w:rtl/>
        </w:rPr>
        <w:t>3)דרגת ההוכחה הנדרשת בהליכים משמעתיים</w:t>
      </w:r>
      <w:r w:rsidRPr="003C4CA2">
        <w:rPr>
          <w:rFonts w:ascii="David" w:hAnsi="David" w:cs="David" w:hint="cs"/>
          <w:color w:val="C45911" w:themeColor="accent2" w:themeShade="BF"/>
          <w:sz w:val="24"/>
          <w:szCs w:val="24"/>
          <w:rtl/>
        </w:rPr>
        <w:t>, (4)הגוף שממנה את ערכאות המשמעת, (5) הענישה המשמעתית</w:t>
      </w:r>
    </w:p>
    <w:p w14:paraId="71B780BF" w14:textId="77777777" w:rsidR="00E46E78" w:rsidRPr="00E5413E" w:rsidRDefault="00E46E78" w:rsidP="003C1778">
      <w:pPr>
        <w:pStyle w:val="a4"/>
        <w:numPr>
          <w:ilvl w:val="0"/>
          <w:numId w:val="10"/>
        </w:numPr>
        <w:spacing w:after="120" w:line="360" w:lineRule="auto"/>
        <w:ind w:left="-341" w:hanging="357"/>
        <w:contextualSpacing w:val="0"/>
        <w:jc w:val="both"/>
        <w:rPr>
          <w:rFonts w:ascii="David" w:hAnsi="David" w:cs="David"/>
          <w:b/>
          <w:bCs/>
          <w:sz w:val="24"/>
          <w:szCs w:val="24"/>
        </w:rPr>
      </w:pPr>
      <w:r w:rsidRPr="00E5413E">
        <w:rPr>
          <w:rFonts w:ascii="David" w:hAnsi="David" w:cs="David" w:hint="cs"/>
          <w:b/>
          <w:bCs/>
          <w:sz w:val="24"/>
          <w:szCs w:val="24"/>
          <w:rtl/>
        </w:rPr>
        <w:t>הכוחות הפועלים בשיפוט המשמעתי</w:t>
      </w:r>
      <w:r w:rsidR="00941A08" w:rsidRPr="00E5413E">
        <w:rPr>
          <w:rFonts w:ascii="David" w:hAnsi="David" w:cs="David" w:hint="cs"/>
          <w:b/>
          <w:bCs/>
          <w:sz w:val="24"/>
          <w:szCs w:val="24"/>
          <w:rtl/>
        </w:rPr>
        <w:t>:</w:t>
      </w:r>
    </w:p>
    <w:p w14:paraId="27D31E8B" w14:textId="77777777" w:rsidR="00E46E78" w:rsidRDefault="00E46E78" w:rsidP="003C1778">
      <w:pPr>
        <w:pStyle w:val="a4"/>
        <w:numPr>
          <w:ilvl w:val="0"/>
          <w:numId w:val="10"/>
        </w:numPr>
        <w:spacing w:after="120" w:line="360" w:lineRule="auto"/>
        <w:ind w:left="-341" w:hanging="357"/>
        <w:contextualSpacing w:val="0"/>
        <w:jc w:val="both"/>
        <w:rPr>
          <w:rFonts w:ascii="David" w:hAnsi="David" w:cs="David"/>
          <w:sz w:val="24"/>
          <w:szCs w:val="24"/>
        </w:rPr>
      </w:pPr>
      <w:r>
        <w:rPr>
          <w:rFonts w:ascii="David" w:hAnsi="David" w:cs="David" w:hint="cs"/>
          <w:sz w:val="24"/>
          <w:szCs w:val="24"/>
          <w:rtl/>
        </w:rPr>
        <w:t>אפיוני השיפוט המשמעתי - ניתן לאפיין ב-4 פרמטרים</w:t>
      </w:r>
    </w:p>
    <w:p w14:paraId="69477769" w14:textId="77777777" w:rsidR="00E46E78" w:rsidRDefault="00E46E78" w:rsidP="003C1778">
      <w:pPr>
        <w:pStyle w:val="a4"/>
        <w:numPr>
          <w:ilvl w:val="1"/>
          <w:numId w:val="10"/>
        </w:numPr>
        <w:spacing w:after="120" w:line="360" w:lineRule="auto"/>
        <w:ind w:left="-58" w:hanging="357"/>
        <w:contextualSpacing w:val="0"/>
        <w:jc w:val="both"/>
        <w:rPr>
          <w:rFonts w:ascii="David" w:hAnsi="David" w:cs="David"/>
          <w:sz w:val="24"/>
          <w:szCs w:val="24"/>
        </w:rPr>
      </w:pPr>
      <w:r>
        <w:rPr>
          <w:rFonts w:ascii="David" w:hAnsi="David" w:cs="David" w:hint="cs"/>
          <w:sz w:val="24"/>
          <w:szCs w:val="24"/>
          <w:rtl/>
        </w:rPr>
        <w:t>סמכות השיפוט המשמעתי שנוצרת מהשתייכות הפרט לגוף שהחוק קבע / שקיבל על עצמו שיישפט בשיפוט משמעתי. לא משהו שחל על כלל האוכלוסייה: הוראה חוקית שמחילה את השיפוט המשמעתי/ הסכם</w:t>
      </w:r>
    </w:p>
    <w:p w14:paraId="75BCEAD5" w14:textId="77777777" w:rsidR="00E46E78" w:rsidRDefault="00E46E78" w:rsidP="003C1778">
      <w:pPr>
        <w:pStyle w:val="a4"/>
        <w:numPr>
          <w:ilvl w:val="1"/>
          <w:numId w:val="10"/>
        </w:numPr>
        <w:spacing w:after="120" w:line="360" w:lineRule="auto"/>
        <w:ind w:left="-58" w:hanging="357"/>
        <w:contextualSpacing w:val="0"/>
        <w:jc w:val="both"/>
        <w:rPr>
          <w:rFonts w:ascii="David" w:hAnsi="David" w:cs="David"/>
          <w:sz w:val="24"/>
          <w:szCs w:val="24"/>
        </w:rPr>
      </w:pPr>
      <w:r>
        <w:rPr>
          <w:rFonts w:ascii="David" w:hAnsi="David" w:cs="David" w:hint="cs"/>
          <w:sz w:val="24"/>
          <w:szCs w:val="24"/>
          <w:rtl/>
        </w:rPr>
        <w:t>ייחודו של הדין המהותי המיושם בידי ערכאת הדין המשמעתי. לכל פרופסיה יש דין משמעתי משלה, והיא לא בהכרח דומה לכללים שדומים על פרופסיות אחרות</w:t>
      </w:r>
    </w:p>
    <w:p w14:paraId="6B89D899" w14:textId="77777777" w:rsidR="00E46E78" w:rsidRDefault="00E46E78" w:rsidP="003C1778">
      <w:pPr>
        <w:pStyle w:val="a4"/>
        <w:numPr>
          <w:ilvl w:val="1"/>
          <w:numId w:val="10"/>
        </w:numPr>
        <w:spacing w:after="120" w:line="360" w:lineRule="auto"/>
        <w:ind w:left="-58" w:hanging="357"/>
        <w:contextualSpacing w:val="0"/>
        <w:jc w:val="both"/>
        <w:rPr>
          <w:rFonts w:ascii="David" w:hAnsi="David" w:cs="David"/>
          <w:sz w:val="24"/>
          <w:szCs w:val="24"/>
        </w:rPr>
      </w:pPr>
      <w:r>
        <w:rPr>
          <w:rFonts w:ascii="David" w:hAnsi="David" w:cs="David" w:hint="cs"/>
          <w:sz w:val="24"/>
          <w:szCs w:val="24"/>
          <w:rtl/>
        </w:rPr>
        <w:t xml:space="preserve">עובדת השיפוט המשמעתי כמוסיף על הדין הכללי ולא גורע ממנו. אי אפשר באמצעות כללי האתיקה לגרוע מהשיפוט הכללי, אלא רק להוסיף עליו. </w:t>
      </w:r>
    </w:p>
    <w:p w14:paraId="22476317" w14:textId="77777777" w:rsidR="00E46E78" w:rsidRDefault="00E46E78" w:rsidP="003C1778">
      <w:pPr>
        <w:pStyle w:val="a4"/>
        <w:numPr>
          <w:ilvl w:val="1"/>
          <w:numId w:val="10"/>
        </w:numPr>
        <w:spacing w:after="120" w:line="360" w:lineRule="auto"/>
        <w:ind w:left="-58" w:hanging="357"/>
        <w:contextualSpacing w:val="0"/>
        <w:jc w:val="both"/>
        <w:rPr>
          <w:rFonts w:ascii="David" w:hAnsi="David" w:cs="David"/>
          <w:sz w:val="24"/>
          <w:szCs w:val="24"/>
        </w:rPr>
      </w:pPr>
      <w:r>
        <w:rPr>
          <w:rFonts w:ascii="David" w:hAnsi="David" w:cs="David" w:hint="cs"/>
          <w:sz w:val="24"/>
          <w:szCs w:val="24"/>
          <w:rtl/>
        </w:rPr>
        <w:t>אכיפת פסקי הדין - הפרדה - ערכאת משמעת אינה ערכאה ממלכתית. אם מוגש כתב אישום פלילי נגד בעל פרופסיה על ביצוע עבירה פלילית, בית</w:t>
      </w:r>
      <w:r w:rsidR="00E5413E">
        <w:rPr>
          <w:rFonts w:ascii="David" w:hAnsi="David" w:cs="David" w:hint="cs"/>
          <w:sz w:val="24"/>
          <w:szCs w:val="24"/>
          <w:rtl/>
        </w:rPr>
        <w:t xml:space="preserve"> </w:t>
      </w:r>
      <w:r>
        <w:rPr>
          <w:rFonts w:ascii="David" w:hAnsi="David" w:cs="David" w:hint="cs"/>
          <w:sz w:val="24"/>
          <w:szCs w:val="24"/>
          <w:rtl/>
        </w:rPr>
        <w:t xml:space="preserve">המשפט יכול לעצור אותו עד תום ההליכים, אבל בית המשפט לא יכול למנוע ממנו לעסוק במקצוע עד תום ההליכים. </w:t>
      </w:r>
      <w:r w:rsidR="009A5261">
        <w:rPr>
          <w:rFonts w:ascii="David" w:hAnsi="David" w:cs="David" w:hint="cs"/>
          <w:sz w:val="24"/>
          <w:szCs w:val="24"/>
          <w:rtl/>
        </w:rPr>
        <w:t>מי שיכול לשלול רישיון עריכת דין זה לא בית המשפט אלא רק לשכת עורכי הדין. לשכת עורכי הדין תצטרך לשקול את סיכויי ההכרעה במשפט הפלילי. עם זאת, רוב השופטים לא סומכים על לשכת עורכי הדין שתפעל נכון - היא משחררת אותו, אבל בתנאים מגבילים: אז אחד התנאים יכול להיות לא לעסוק במקצוע עריכת הדין עד לסיום ההליך הפלילי. עקיפה של החוק מעניק את הסמכויות של שלילת ר</w:t>
      </w:r>
      <w:r w:rsidR="00E5413E">
        <w:rPr>
          <w:rFonts w:ascii="David" w:hAnsi="David" w:cs="David" w:hint="cs"/>
          <w:sz w:val="24"/>
          <w:szCs w:val="24"/>
          <w:rtl/>
        </w:rPr>
        <w:t>י</w:t>
      </w:r>
      <w:r w:rsidR="009A5261">
        <w:rPr>
          <w:rFonts w:ascii="David" w:hAnsi="David" w:cs="David" w:hint="cs"/>
          <w:sz w:val="24"/>
          <w:szCs w:val="24"/>
          <w:rtl/>
        </w:rPr>
        <w:t xml:space="preserve">שיון (גם זמניות) ללשכת עורכי הדין. כך, האפיון הרביעי לעיתים מתנגש עם הפרקטיקה. </w:t>
      </w:r>
    </w:p>
    <w:p w14:paraId="27B1266D" w14:textId="77777777" w:rsidR="009A5261" w:rsidRDefault="008D2532" w:rsidP="009A5261">
      <w:pPr>
        <w:pStyle w:val="a4"/>
        <w:numPr>
          <w:ilvl w:val="0"/>
          <w:numId w:val="10"/>
        </w:numPr>
        <w:spacing w:after="120" w:line="360" w:lineRule="auto"/>
        <w:ind w:left="-199"/>
        <w:jc w:val="both"/>
        <w:rPr>
          <w:rFonts w:ascii="David" w:hAnsi="David" w:cs="David"/>
          <w:sz w:val="24"/>
          <w:szCs w:val="24"/>
        </w:rPr>
      </w:pPr>
      <w:r w:rsidRPr="008D2532">
        <w:rPr>
          <w:rFonts w:ascii="David" w:hAnsi="David" w:cs="David" w:hint="cs"/>
          <w:b/>
          <w:bCs/>
          <w:sz w:val="24"/>
          <w:szCs w:val="24"/>
          <w:rtl/>
        </w:rPr>
        <w:t>תכלית השיפוט המשמעתי הסטטוטורי -</w:t>
      </w:r>
      <w:r>
        <w:rPr>
          <w:rFonts w:ascii="David" w:hAnsi="David" w:cs="David" w:hint="cs"/>
          <w:sz w:val="24"/>
          <w:szCs w:val="24"/>
          <w:rtl/>
        </w:rPr>
        <w:t xml:space="preserve"> לשמור על רמת התנהגות אתית גבוהה על פי קריטריונים קבועים מראש, תוך הגנה על הציבור מפני ניצול שלילי של סמכות מסוימת שהוענקה לקבוצות האלה, ולשמור על הציבור מפני הכוח שיש בידיים של פרופסיות מסוימות.  ועדיין יש הבדל בין מטרת השיפוט של הפרופסיות - ייחודו </w:t>
      </w:r>
      <w:proofErr w:type="spellStart"/>
      <w:r>
        <w:rPr>
          <w:rFonts w:ascii="David" w:hAnsi="David" w:cs="David" w:hint="cs"/>
          <w:sz w:val="24"/>
          <w:szCs w:val="24"/>
          <w:rtl/>
        </w:rPr>
        <w:t>מקצעויותו</w:t>
      </w:r>
      <w:proofErr w:type="spellEnd"/>
      <w:r>
        <w:rPr>
          <w:rFonts w:ascii="David" w:hAnsi="David" w:cs="David" w:hint="cs"/>
          <w:sz w:val="24"/>
          <w:szCs w:val="24"/>
          <w:rtl/>
        </w:rPr>
        <w:t xml:space="preserve"> וכבודו של הפרופסיה, וממול - הגנה על הציבור מפני אלה שאינם ראויים לעבוד במקצוע. זו מעין אמנה חברתית בין החברה לפרופסיה. </w:t>
      </w:r>
    </w:p>
    <w:p w14:paraId="521BD87F" w14:textId="77777777" w:rsidR="00772580" w:rsidRDefault="00772580" w:rsidP="00772580">
      <w:pPr>
        <w:pStyle w:val="a4"/>
        <w:spacing w:after="120" w:line="360" w:lineRule="auto"/>
        <w:ind w:left="-199"/>
        <w:jc w:val="both"/>
        <w:rPr>
          <w:rFonts w:ascii="David" w:hAnsi="David" w:cs="David"/>
          <w:sz w:val="24"/>
          <w:szCs w:val="24"/>
          <w:rtl/>
        </w:rPr>
      </w:pPr>
      <w:r>
        <w:rPr>
          <w:rFonts w:ascii="David" w:hAnsi="David" w:cs="David" w:hint="cs"/>
          <w:sz w:val="24"/>
          <w:szCs w:val="24"/>
          <w:rtl/>
        </w:rPr>
        <w:t xml:space="preserve">מתנה לעו"ד על עבודה טובה אינה שווה למתנה שניתנה לעובד ציבור בגין שירות מצוין שניתן, בלי כוונה לשוחד - זה נכנס לחוק המתנות שאוסר את הדבר. </w:t>
      </w:r>
    </w:p>
    <w:p w14:paraId="114D631F" w14:textId="77777777" w:rsidR="00F002A1" w:rsidRPr="00AD673A" w:rsidRDefault="00F002A1" w:rsidP="00F002A1">
      <w:pPr>
        <w:spacing w:after="120" w:line="360" w:lineRule="auto"/>
        <w:ind w:left="-341"/>
        <w:jc w:val="both"/>
        <w:rPr>
          <w:rFonts w:ascii="David" w:hAnsi="David" w:cs="David"/>
          <w:b/>
          <w:bCs/>
          <w:color w:val="C45911" w:themeColor="accent2" w:themeShade="BF"/>
          <w:sz w:val="24"/>
          <w:szCs w:val="24"/>
          <w:u w:val="single"/>
        </w:rPr>
      </w:pPr>
      <w:r w:rsidRPr="00AD673A">
        <w:rPr>
          <w:rFonts w:ascii="David" w:hAnsi="David" w:cs="David" w:hint="cs"/>
          <w:b/>
          <w:bCs/>
          <w:color w:val="C45911" w:themeColor="accent2" w:themeShade="BF"/>
          <w:sz w:val="24"/>
          <w:szCs w:val="24"/>
          <w:u w:val="single"/>
          <w:rtl/>
        </w:rPr>
        <w:t>(1) סוגייה 1: התנגשות בין הליך משמעתי להליך פלילי מקביל</w:t>
      </w:r>
    </w:p>
    <w:p w14:paraId="60E04DB6" w14:textId="77777777" w:rsidR="00772580" w:rsidRDefault="00772580" w:rsidP="00772580">
      <w:pPr>
        <w:pStyle w:val="a4"/>
        <w:numPr>
          <w:ilvl w:val="0"/>
          <w:numId w:val="10"/>
        </w:numPr>
        <w:spacing w:after="120" w:line="360" w:lineRule="auto"/>
        <w:ind w:left="-199" w:hanging="357"/>
        <w:contextualSpacing w:val="0"/>
        <w:jc w:val="both"/>
        <w:rPr>
          <w:rFonts w:ascii="David" w:hAnsi="David" w:cs="David"/>
          <w:sz w:val="24"/>
          <w:szCs w:val="24"/>
        </w:rPr>
      </w:pPr>
      <w:r>
        <w:rPr>
          <w:rFonts w:ascii="David" w:hAnsi="David" w:cs="David" w:hint="cs"/>
          <w:sz w:val="24"/>
          <w:szCs w:val="24"/>
          <w:rtl/>
        </w:rPr>
        <w:t>התנגשות בין הליך משמעתי להליך פלילי מקביל. שלושה מצבים:</w:t>
      </w:r>
    </w:p>
    <w:p w14:paraId="18123AD4" w14:textId="77777777" w:rsidR="00772580" w:rsidRDefault="00772580" w:rsidP="00772580">
      <w:pPr>
        <w:pStyle w:val="a4"/>
        <w:numPr>
          <w:ilvl w:val="1"/>
          <w:numId w:val="10"/>
        </w:numPr>
        <w:spacing w:after="120" w:line="360" w:lineRule="auto"/>
        <w:ind w:left="226" w:hanging="357"/>
        <w:contextualSpacing w:val="0"/>
        <w:jc w:val="both"/>
        <w:rPr>
          <w:rFonts w:ascii="David" w:hAnsi="David" w:cs="David"/>
          <w:sz w:val="24"/>
          <w:szCs w:val="24"/>
        </w:rPr>
      </w:pPr>
      <w:r>
        <w:rPr>
          <w:rFonts w:ascii="David" w:hAnsi="David" w:cs="David" w:hint="cs"/>
          <w:sz w:val="24"/>
          <w:szCs w:val="24"/>
          <w:rtl/>
        </w:rPr>
        <w:t>שני ההליכים במקביל</w:t>
      </w:r>
    </w:p>
    <w:p w14:paraId="0E678639" w14:textId="77777777" w:rsidR="00772580" w:rsidRDefault="00772580" w:rsidP="00772580">
      <w:pPr>
        <w:pStyle w:val="a4"/>
        <w:numPr>
          <w:ilvl w:val="1"/>
          <w:numId w:val="10"/>
        </w:numPr>
        <w:spacing w:after="120" w:line="360" w:lineRule="auto"/>
        <w:ind w:left="226" w:hanging="357"/>
        <w:contextualSpacing w:val="0"/>
        <w:jc w:val="both"/>
        <w:rPr>
          <w:rFonts w:ascii="David" w:hAnsi="David" w:cs="David"/>
          <w:sz w:val="24"/>
          <w:szCs w:val="24"/>
        </w:rPr>
      </w:pPr>
      <w:r>
        <w:rPr>
          <w:rFonts w:ascii="David" w:hAnsi="David" w:cs="David" w:hint="cs"/>
          <w:sz w:val="24"/>
          <w:szCs w:val="24"/>
          <w:rtl/>
        </w:rPr>
        <w:t>הליך פלילי ממשיך והליך משמעתי מוקפא</w:t>
      </w:r>
    </w:p>
    <w:p w14:paraId="3494FCD1" w14:textId="77777777" w:rsidR="00772580" w:rsidRDefault="00772580" w:rsidP="00772580">
      <w:pPr>
        <w:pStyle w:val="a4"/>
        <w:numPr>
          <w:ilvl w:val="1"/>
          <w:numId w:val="10"/>
        </w:numPr>
        <w:spacing w:after="120" w:line="360" w:lineRule="auto"/>
        <w:ind w:left="226" w:hanging="357"/>
        <w:contextualSpacing w:val="0"/>
        <w:jc w:val="both"/>
        <w:rPr>
          <w:rFonts w:ascii="David" w:hAnsi="David" w:cs="David"/>
          <w:sz w:val="24"/>
          <w:szCs w:val="24"/>
        </w:rPr>
      </w:pPr>
      <w:r>
        <w:rPr>
          <w:rFonts w:ascii="David" w:hAnsi="David" w:cs="David" w:hint="cs"/>
          <w:sz w:val="24"/>
          <w:szCs w:val="24"/>
          <w:rtl/>
        </w:rPr>
        <w:t>הליל משמעתי מוקפא והליך פלילי ממשיך</w:t>
      </w:r>
    </w:p>
    <w:p w14:paraId="52B3BC09" w14:textId="77777777" w:rsidR="007127F4" w:rsidRDefault="007127F4" w:rsidP="007127F4">
      <w:pPr>
        <w:pStyle w:val="a4"/>
        <w:spacing w:after="120" w:line="360" w:lineRule="auto"/>
        <w:ind w:left="226"/>
        <w:contextualSpacing w:val="0"/>
        <w:jc w:val="both"/>
        <w:rPr>
          <w:rFonts w:ascii="David" w:hAnsi="David" w:cs="David"/>
          <w:sz w:val="24"/>
          <w:szCs w:val="24"/>
          <w:rtl/>
        </w:rPr>
      </w:pPr>
      <w:r>
        <w:rPr>
          <w:rFonts w:ascii="David" w:hAnsi="David" w:cs="David" w:hint="cs"/>
          <w:sz w:val="24"/>
          <w:szCs w:val="24"/>
          <w:rtl/>
        </w:rPr>
        <w:lastRenderedPageBreak/>
        <w:t xml:space="preserve">הנאשם לא יכול לבקש שאחד ההליכים יוקפא כי זה פוגע בהגנה שלו. שנית, ההליך הפלילי ידו על העליונה - ההליך הפלילי לא מופסק אף פעם, הוא מתעלם לחלוטין אם יש או אין הליך משמעתי מקביל. שלישית, ההליך המשמעתי יהיה לפי ערכאת וועדת המשמעת. יש ערכאות משמעת שמוקפאות ומחכות לראות מה יעלה בגורל ההליך הפלילי. יש כאלה שממשיכות לנהל במקביל. השאלה לרוב תלויה במהירות: ככל שההליך הפלילי הוא מהיר יותר ערכאת המשמעת תעדיף להמתין. ככל שההליך הפלילי מתארך - כך ייגבר הסיכוי שערכאת המשמעת לא תקפיא את עצמה. </w:t>
      </w:r>
    </w:p>
    <w:p w14:paraId="54418481" w14:textId="77777777" w:rsidR="003C1778" w:rsidRPr="00AD673A" w:rsidRDefault="003C1778" w:rsidP="003C1778">
      <w:pPr>
        <w:pStyle w:val="a4"/>
        <w:spacing w:after="120" w:line="360" w:lineRule="auto"/>
        <w:ind w:left="-341"/>
        <w:contextualSpacing w:val="0"/>
        <w:jc w:val="both"/>
        <w:rPr>
          <w:rFonts w:ascii="David" w:hAnsi="David" w:cs="David"/>
          <w:b/>
          <w:bCs/>
          <w:color w:val="C45911" w:themeColor="accent2" w:themeShade="BF"/>
          <w:sz w:val="24"/>
          <w:szCs w:val="24"/>
          <w:u w:val="single"/>
        </w:rPr>
      </w:pPr>
      <w:r w:rsidRPr="00AD673A">
        <w:rPr>
          <w:rFonts w:ascii="David" w:hAnsi="David" w:cs="David" w:hint="cs"/>
          <w:b/>
          <w:bCs/>
          <w:color w:val="C45911" w:themeColor="accent2" w:themeShade="BF"/>
          <w:sz w:val="24"/>
          <w:szCs w:val="24"/>
          <w:u w:val="single"/>
          <w:rtl/>
        </w:rPr>
        <w:t>(2) סוגייה 2: סדר דין וראיות בהליך משמעתי</w:t>
      </w:r>
    </w:p>
    <w:p w14:paraId="70851D88" w14:textId="77777777" w:rsidR="00772580" w:rsidRDefault="00772580" w:rsidP="00772580">
      <w:pPr>
        <w:pStyle w:val="a4"/>
        <w:numPr>
          <w:ilvl w:val="0"/>
          <w:numId w:val="10"/>
        </w:numPr>
        <w:spacing w:after="120" w:line="360" w:lineRule="auto"/>
        <w:ind w:left="-199" w:hanging="357"/>
        <w:contextualSpacing w:val="0"/>
        <w:jc w:val="both"/>
        <w:rPr>
          <w:rFonts w:ascii="David" w:hAnsi="David" w:cs="David"/>
          <w:sz w:val="24"/>
          <w:szCs w:val="24"/>
        </w:rPr>
      </w:pPr>
      <w:r w:rsidRPr="00D901FC">
        <w:rPr>
          <w:rFonts w:ascii="David" w:hAnsi="David" w:cs="David" w:hint="cs"/>
          <w:b/>
          <w:bCs/>
          <w:sz w:val="24"/>
          <w:szCs w:val="24"/>
          <w:rtl/>
        </w:rPr>
        <w:t>סדר דין וראיות בהליך המשמעתי</w:t>
      </w:r>
      <w:r w:rsidR="007127F4" w:rsidRPr="00D901FC">
        <w:rPr>
          <w:rFonts w:ascii="David" w:hAnsi="David" w:cs="David" w:hint="cs"/>
          <w:b/>
          <w:bCs/>
          <w:sz w:val="24"/>
          <w:szCs w:val="24"/>
          <w:rtl/>
        </w:rPr>
        <w:t>:</w:t>
      </w:r>
      <w:r w:rsidR="007127F4">
        <w:rPr>
          <w:rFonts w:ascii="David" w:hAnsi="David" w:cs="David" w:hint="cs"/>
          <w:sz w:val="24"/>
          <w:szCs w:val="24"/>
          <w:rtl/>
        </w:rPr>
        <w:t xml:space="preserve"> </w:t>
      </w:r>
      <w:r w:rsidR="00D901FC">
        <w:rPr>
          <w:rFonts w:ascii="David" w:hAnsi="David" w:cs="David" w:hint="cs"/>
          <w:sz w:val="24"/>
          <w:szCs w:val="24"/>
          <w:rtl/>
        </w:rPr>
        <w:t>לערכאות המשמעת סדרי דין וראיות מיוחדים, תוך שימת גש לדרכים שונ</w:t>
      </w:r>
      <w:r w:rsidR="00A73B3D">
        <w:rPr>
          <w:rFonts w:ascii="David" w:hAnsi="David" w:cs="David" w:hint="cs"/>
          <w:sz w:val="24"/>
          <w:szCs w:val="24"/>
          <w:rtl/>
        </w:rPr>
        <w:t>ו</w:t>
      </w:r>
      <w:r w:rsidR="00D901FC">
        <w:rPr>
          <w:rFonts w:ascii="David" w:hAnsi="David" w:cs="David" w:hint="cs"/>
          <w:sz w:val="24"/>
          <w:szCs w:val="24"/>
          <w:rtl/>
        </w:rPr>
        <w:t xml:space="preserve">ת כנגד </w:t>
      </w:r>
      <w:proofErr w:type="spellStart"/>
      <w:r w:rsidR="00D901FC">
        <w:rPr>
          <w:rFonts w:ascii="David" w:hAnsi="David" w:cs="David" w:hint="cs"/>
          <w:sz w:val="24"/>
          <w:szCs w:val="24"/>
          <w:rtl/>
        </w:rPr>
        <w:t>הנילון</w:t>
      </w:r>
      <w:proofErr w:type="spellEnd"/>
      <w:r w:rsidR="00D901FC">
        <w:rPr>
          <w:rFonts w:ascii="David" w:hAnsi="David" w:cs="David" w:hint="cs"/>
          <w:sz w:val="24"/>
          <w:szCs w:val="24"/>
          <w:rtl/>
        </w:rPr>
        <w:t xml:space="preserve">. קיימים הבדלים בין סדרי הדין של הדינים השונים. ניתן לקבוע שדינים משמעתיים גמישים בהרבה מאשר בהליך פלילי. הרבה יותר קל לתקן כתב קובלנה מאשר כתב אישום למשל. </w:t>
      </w:r>
    </w:p>
    <w:p w14:paraId="3DCACDFD" w14:textId="77777777" w:rsidR="003C1778" w:rsidRPr="00AD673A" w:rsidRDefault="003C1778" w:rsidP="00AD673A">
      <w:pPr>
        <w:pStyle w:val="a4"/>
        <w:spacing w:after="120" w:line="360" w:lineRule="auto"/>
        <w:ind w:left="-341"/>
        <w:contextualSpacing w:val="0"/>
        <w:jc w:val="both"/>
        <w:rPr>
          <w:rFonts w:ascii="David" w:hAnsi="David" w:cs="David"/>
          <w:b/>
          <w:bCs/>
          <w:color w:val="C45911" w:themeColor="accent2" w:themeShade="BF"/>
          <w:sz w:val="24"/>
          <w:szCs w:val="24"/>
          <w:u w:val="single"/>
        </w:rPr>
      </w:pPr>
      <w:r w:rsidRPr="00AD673A">
        <w:rPr>
          <w:rFonts w:ascii="David" w:hAnsi="David" w:cs="David" w:hint="cs"/>
          <w:b/>
          <w:bCs/>
          <w:color w:val="C45911" w:themeColor="accent2" w:themeShade="BF"/>
          <w:sz w:val="24"/>
          <w:szCs w:val="24"/>
          <w:u w:val="single"/>
          <w:rtl/>
        </w:rPr>
        <w:t>(4) סוגייה 4: הגוף שממנה את ערכאות המשמעת</w:t>
      </w:r>
    </w:p>
    <w:p w14:paraId="284D25D3" w14:textId="77777777" w:rsidR="00D901FC" w:rsidRDefault="00D901FC" w:rsidP="00772580">
      <w:pPr>
        <w:pStyle w:val="a4"/>
        <w:numPr>
          <w:ilvl w:val="0"/>
          <w:numId w:val="10"/>
        </w:numPr>
        <w:spacing w:after="120" w:line="360" w:lineRule="auto"/>
        <w:ind w:left="-199" w:hanging="357"/>
        <w:contextualSpacing w:val="0"/>
        <w:jc w:val="both"/>
        <w:rPr>
          <w:rFonts w:ascii="David" w:hAnsi="David" w:cs="David"/>
          <w:sz w:val="24"/>
          <w:szCs w:val="24"/>
        </w:rPr>
      </w:pPr>
      <w:r w:rsidRPr="00D901FC">
        <w:rPr>
          <w:rFonts w:ascii="David" w:hAnsi="David" w:cs="David" w:hint="cs"/>
          <w:b/>
          <w:bCs/>
          <w:sz w:val="24"/>
          <w:szCs w:val="24"/>
          <w:rtl/>
        </w:rPr>
        <w:t>הגוף שממנה את וועדת המשמעת</w:t>
      </w:r>
      <w:r>
        <w:rPr>
          <w:rFonts w:ascii="David" w:hAnsi="David" w:cs="David" w:hint="cs"/>
          <w:sz w:val="24"/>
          <w:szCs w:val="24"/>
          <w:rtl/>
        </w:rPr>
        <w:t xml:space="preserve"> - לפעמים זה הרגולטור, לפעמים אין קשר לרגולטור (כמו בייעוץ תיקי השקעות) - שם הוועדה היא על ידי שר המשפטי ולא שר האוצר שהוא הרגולטור, לפעמים זה ייצור כלאיים (בית הדין המשמעתי של עובדי המדינה - שר המשפטים בהתייעצות עם שר האוצר) . כאשר החוק אומר שגורם א' ממנה בהתייעצות </w:t>
      </w:r>
      <w:r w:rsidR="00A73B3D">
        <w:rPr>
          <w:rFonts w:ascii="David" w:hAnsi="David" w:cs="David" w:hint="cs"/>
          <w:sz w:val="24"/>
          <w:szCs w:val="24"/>
          <w:rtl/>
        </w:rPr>
        <w:t xml:space="preserve">יחד עם גורם ב' - אם ב' מסכים, מצוין. אם גורם ב' מתנגד, יכול עדיין למנות את אותו אדם, אבל הוא חייב לנמק מדוע הא מסתייג מהעצה של גורם ב'. </w:t>
      </w:r>
    </w:p>
    <w:p w14:paraId="32B0CAFF" w14:textId="77777777" w:rsidR="00AD673A" w:rsidRPr="00AD673A" w:rsidRDefault="00AD673A" w:rsidP="00AD673A">
      <w:pPr>
        <w:pStyle w:val="a4"/>
        <w:spacing w:after="120" w:line="360" w:lineRule="auto"/>
        <w:ind w:left="-341"/>
        <w:contextualSpacing w:val="0"/>
        <w:jc w:val="both"/>
        <w:rPr>
          <w:rFonts w:ascii="David" w:hAnsi="David" w:cs="David"/>
          <w:b/>
          <w:bCs/>
          <w:color w:val="C45911" w:themeColor="accent2" w:themeShade="BF"/>
          <w:sz w:val="24"/>
          <w:szCs w:val="24"/>
          <w:u w:val="single"/>
        </w:rPr>
      </w:pPr>
      <w:r w:rsidRPr="00AD673A">
        <w:rPr>
          <w:rFonts w:ascii="David" w:hAnsi="David" w:cs="David" w:hint="cs"/>
          <w:b/>
          <w:bCs/>
          <w:color w:val="C45911" w:themeColor="accent2" w:themeShade="BF"/>
          <w:sz w:val="24"/>
          <w:szCs w:val="24"/>
          <w:u w:val="single"/>
          <w:rtl/>
        </w:rPr>
        <w:t>(5) סוגייה 5: הענישה המשמעתית</w:t>
      </w:r>
    </w:p>
    <w:p w14:paraId="43686D15" w14:textId="77777777" w:rsidR="00B60869" w:rsidRDefault="000A171E" w:rsidP="00772580">
      <w:pPr>
        <w:pStyle w:val="a4"/>
        <w:numPr>
          <w:ilvl w:val="0"/>
          <w:numId w:val="10"/>
        </w:numPr>
        <w:spacing w:after="120" w:line="360" w:lineRule="auto"/>
        <w:ind w:left="-199" w:hanging="357"/>
        <w:contextualSpacing w:val="0"/>
        <w:jc w:val="both"/>
        <w:rPr>
          <w:rFonts w:ascii="David" w:hAnsi="David" w:cs="David"/>
          <w:sz w:val="24"/>
          <w:szCs w:val="24"/>
        </w:rPr>
      </w:pPr>
      <w:r w:rsidRPr="003C1778">
        <w:rPr>
          <w:rFonts w:ascii="David" w:hAnsi="David" w:cs="David" w:hint="cs"/>
          <w:b/>
          <w:bCs/>
          <w:sz w:val="24"/>
          <w:szCs w:val="24"/>
          <w:rtl/>
        </w:rPr>
        <w:t>הענישה המשמעתית</w:t>
      </w:r>
      <w:r>
        <w:rPr>
          <w:rFonts w:ascii="David" w:hAnsi="David" w:cs="David" w:hint="cs"/>
          <w:sz w:val="24"/>
          <w:szCs w:val="24"/>
          <w:rtl/>
        </w:rPr>
        <w:t xml:space="preserve"> - רבים מהשיקולים </w:t>
      </w:r>
      <w:proofErr w:type="spellStart"/>
      <w:r>
        <w:rPr>
          <w:rFonts w:ascii="David" w:hAnsi="David" w:cs="David" w:hint="cs"/>
          <w:sz w:val="24"/>
          <w:szCs w:val="24"/>
          <w:rtl/>
        </w:rPr>
        <w:t>לקולא</w:t>
      </w:r>
      <w:proofErr w:type="spellEnd"/>
      <w:r>
        <w:rPr>
          <w:rFonts w:ascii="David" w:hAnsi="David" w:cs="David" w:hint="cs"/>
          <w:sz w:val="24"/>
          <w:szCs w:val="24"/>
          <w:rtl/>
        </w:rPr>
        <w:t xml:space="preserve"> בהליכים הפליליים - כמו הבעיות הכלכלית, מצבו האישי, לא רלוונטיים להליך משמעתי. למשל, לא נתחשב בעורך דין שגנב כספי לקוח כי ההי רעב. זה שעורך דין חווה משבר כלכלי, לא הולכים להתחשב במשבר הכלכלי שלו, כי הוא מסוכן בתור עורך דין. הבסיס המהותי הוא שלא מתחשבים בנסיבות אישיות בהליכים המשמעתיים. השיפוט המשמעתי גם הוא פרסונאלי ולא טריטוריאלי, ואפשר להחיל את הדין המשמעתי גם בעבירות שנעשו גם מחוץ למדינה. </w:t>
      </w:r>
      <w:r w:rsidR="00B60869">
        <w:rPr>
          <w:rFonts w:ascii="David" w:hAnsi="David" w:cs="David" w:hint="cs"/>
          <w:sz w:val="24"/>
          <w:szCs w:val="24"/>
          <w:rtl/>
        </w:rPr>
        <w:t xml:space="preserve">אם עו"ד גנב לקוח </w:t>
      </w:r>
      <w:proofErr w:type="spellStart"/>
      <w:r w:rsidR="00B60869">
        <w:rPr>
          <w:rFonts w:ascii="David" w:hAnsi="David" w:cs="David" w:hint="cs"/>
          <w:sz w:val="24"/>
          <w:szCs w:val="24"/>
          <w:rtl/>
        </w:rPr>
        <w:t>בזימבובואה</w:t>
      </w:r>
      <w:proofErr w:type="spellEnd"/>
      <w:r w:rsidR="00B60869">
        <w:rPr>
          <w:rFonts w:ascii="David" w:hAnsi="David" w:cs="David" w:hint="cs"/>
          <w:sz w:val="24"/>
          <w:szCs w:val="24"/>
          <w:rtl/>
        </w:rPr>
        <w:t xml:space="preserve"> - הוא יועמד לדין משמעתי ולא לדין פלילי. לדין הפלילי יש תקופות התיישנות שונות לפי חומרת העבירה, בניגוד להליך המשמעתי, שם אין כל כך התיישנות.</w:t>
      </w:r>
    </w:p>
    <w:p w14:paraId="182D8D4E" w14:textId="77777777" w:rsidR="000A171E" w:rsidRDefault="00B60869" w:rsidP="00B60869">
      <w:pPr>
        <w:pStyle w:val="a4"/>
        <w:spacing w:after="120" w:line="360" w:lineRule="auto"/>
        <w:ind w:left="-199"/>
        <w:contextualSpacing w:val="0"/>
        <w:jc w:val="both"/>
        <w:rPr>
          <w:rFonts w:ascii="David" w:hAnsi="David" w:cs="David"/>
          <w:sz w:val="24"/>
          <w:szCs w:val="24"/>
          <w:rtl/>
        </w:rPr>
      </w:pPr>
      <w:r>
        <w:rPr>
          <w:rFonts w:ascii="David" w:hAnsi="David" w:cs="David" w:hint="cs"/>
          <w:sz w:val="24"/>
          <w:szCs w:val="24"/>
          <w:rtl/>
        </w:rPr>
        <w:t xml:space="preserve">סרגל הענישה: התראה&gt; נזיפה&gt;קנס&gt;התליית הרישיון לתקופה מוגבלת (השעיה זמנית) - במקצועות </w:t>
      </w:r>
      <w:proofErr w:type="spellStart"/>
      <w:r>
        <w:rPr>
          <w:rFonts w:ascii="David" w:hAnsi="David" w:cs="David" w:hint="cs"/>
          <w:sz w:val="24"/>
          <w:szCs w:val="24"/>
          <w:rtl/>
        </w:rPr>
        <w:t>סטטוטורים</w:t>
      </w:r>
      <w:proofErr w:type="spellEnd"/>
      <w:r>
        <w:rPr>
          <w:rFonts w:ascii="David" w:hAnsi="David" w:cs="David" w:hint="cs"/>
          <w:sz w:val="24"/>
          <w:szCs w:val="24"/>
          <w:rtl/>
        </w:rPr>
        <w:t xml:space="preserve">&gt; הרחקה לצמיתות מהמקצוע (שלילת רישיון)&gt; פיטורין&gt; שלילת פנסיה והטבות שונות/ שלילת חופות/ביטול דרגות/פגיעה בקידום. שיפוטיים: העברה מתפקיד/העברה למקום אחר.  </w:t>
      </w:r>
    </w:p>
    <w:p w14:paraId="2692B889" w14:textId="77777777" w:rsidR="00941A08" w:rsidRDefault="00941A08" w:rsidP="00941A08">
      <w:pPr>
        <w:spacing w:after="120" w:line="360" w:lineRule="auto"/>
        <w:ind w:left="-341" w:firstLine="283"/>
        <w:jc w:val="center"/>
        <w:rPr>
          <w:rFonts w:ascii="David" w:hAnsi="David" w:cs="David"/>
          <w:b/>
          <w:bCs/>
          <w:color w:val="2F5496" w:themeColor="accent1" w:themeShade="BF"/>
          <w:sz w:val="24"/>
          <w:szCs w:val="24"/>
          <w:u w:val="single"/>
          <w:rtl/>
        </w:rPr>
      </w:pPr>
      <w:r w:rsidRPr="00F97FB6">
        <w:rPr>
          <w:rFonts w:ascii="David" w:hAnsi="David" w:cs="David" w:hint="cs"/>
          <w:b/>
          <w:bCs/>
          <w:color w:val="2F5496" w:themeColor="accent1" w:themeShade="BF"/>
          <w:sz w:val="24"/>
          <w:szCs w:val="24"/>
          <w:u w:val="single"/>
          <w:rtl/>
        </w:rPr>
        <w:t xml:space="preserve">חלק </w:t>
      </w:r>
      <w:r>
        <w:rPr>
          <w:rFonts w:ascii="David" w:hAnsi="David" w:cs="David" w:hint="cs"/>
          <w:b/>
          <w:bCs/>
          <w:color w:val="2F5496" w:themeColor="accent1" w:themeShade="BF"/>
          <w:sz w:val="24"/>
          <w:szCs w:val="24"/>
          <w:u w:val="single"/>
          <w:rtl/>
        </w:rPr>
        <w:t>ב</w:t>
      </w:r>
      <w:r w:rsidRPr="00F97FB6">
        <w:rPr>
          <w:rFonts w:ascii="David" w:hAnsi="David" w:cs="David" w:hint="cs"/>
          <w:b/>
          <w:bCs/>
          <w:color w:val="2F5496" w:themeColor="accent1" w:themeShade="BF"/>
          <w:sz w:val="24"/>
          <w:szCs w:val="24"/>
          <w:u w:val="single"/>
          <w:rtl/>
        </w:rPr>
        <w:t xml:space="preserve">' לקורס - </w:t>
      </w:r>
      <w:r>
        <w:rPr>
          <w:rFonts w:ascii="David" w:hAnsi="David" w:cs="David" w:hint="cs"/>
          <w:b/>
          <w:bCs/>
          <w:color w:val="2F5496" w:themeColor="accent1" w:themeShade="BF"/>
          <w:sz w:val="24"/>
          <w:szCs w:val="24"/>
          <w:u w:val="single"/>
          <w:rtl/>
        </w:rPr>
        <w:t>ערכאות משמעת סטטוטוריות</w:t>
      </w:r>
    </w:p>
    <w:p w14:paraId="65BE3962" w14:textId="77777777" w:rsidR="00AE2B6E" w:rsidRPr="00AE2B6E" w:rsidRDefault="00AE2B6E" w:rsidP="00AE2B6E">
      <w:pPr>
        <w:spacing w:after="120" w:line="360" w:lineRule="auto"/>
        <w:jc w:val="center"/>
        <w:rPr>
          <w:rFonts w:ascii="David" w:hAnsi="David" w:cs="David"/>
          <w:b/>
          <w:bCs/>
          <w:sz w:val="24"/>
          <w:szCs w:val="24"/>
          <w:u w:val="single"/>
          <w:rtl/>
        </w:rPr>
      </w:pPr>
      <w:r w:rsidRPr="00AE2B6E">
        <w:rPr>
          <w:rFonts w:ascii="David" w:hAnsi="David" w:cs="David" w:hint="cs"/>
          <w:b/>
          <w:bCs/>
          <w:sz w:val="24"/>
          <w:szCs w:val="24"/>
          <w:u w:val="single"/>
          <w:rtl/>
        </w:rPr>
        <w:t>סוגי ערכאות משמעת</w:t>
      </w:r>
    </w:p>
    <w:p w14:paraId="4DAC47BB" w14:textId="77777777" w:rsidR="00AE2B6E" w:rsidRDefault="00AE2B6E" w:rsidP="00941A08">
      <w:pPr>
        <w:pStyle w:val="a4"/>
        <w:numPr>
          <w:ilvl w:val="0"/>
          <w:numId w:val="11"/>
        </w:numPr>
        <w:spacing w:after="120" w:line="360" w:lineRule="auto"/>
        <w:ind w:left="-341" w:hanging="357"/>
        <w:contextualSpacing w:val="0"/>
        <w:jc w:val="both"/>
        <w:rPr>
          <w:rFonts w:ascii="David" w:hAnsi="David" w:cs="David"/>
          <w:sz w:val="24"/>
          <w:szCs w:val="24"/>
        </w:rPr>
      </w:pPr>
      <w:r>
        <w:rPr>
          <w:rFonts w:ascii="David" w:hAnsi="David" w:cs="David" w:hint="cs"/>
          <w:sz w:val="24"/>
          <w:szCs w:val="24"/>
          <w:rtl/>
        </w:rPr>
        <w:t>שיפוט משמעתי הסכמי</w:t>
      </w:r>
    </w:p>
    <w:p w14:paraId="6548B6AF" w14:textId="77777777" w:rsidR="00AE2B6E" w:rsidRDefault="00AE2B6E" w:rsidP="00941A08">
      <w:pPr>
        <w:pStyle w:val="a4"/>
        <w:numPr>
          <w:ilvl w:val="0"/>
          <w:numId w:val="11"/>
        </w:numPr>
        <w:spacing w:after="120" w:line="360" w:lineRule="auto"/>
        <w:ind w:left="-341" w:hanging="357"/>
        <w:contextualSpacing w:val="0"/>
        <w:jc w:val="both"/>
        <w:rPr>
          <w:rFonts w:ascii="David" w:hAnsi="David" w:cs="David"/>
          <w:sz w:val="24"/>
          <w:szCs w:val="24"/>
        </w:rPr>
      </w:pPr>
      <w:r>
        <w:rPr>
          <w:rFonts w:ascii="David" w:hAnsi="David" w:cs="David" w:hint="cs"/>
          <w:sz w:val="24"/>
          <w:szCs w:val="24"/>
          <w:rtl/>
        </w:rPr>
        <w:t>שיפוט משמעת מכוח חוק</w:t>
      </w:r>
    </w:p>
    <w:p w14:paraId="31954B0A" w14:textId="77777777" w:rsidR="00AE2B6E" w:rsidRDefault="00AE2B6E" w:rsidP="00941A08">
      <w:pPr>
        <w:pStyle w:val="a4"/>
        <w:numPr>
          <w:ilvl w:val="1"/>
          <w:numId w:val="11"/>
        </w:numPr>
        <w:spacing w:after="120" w:line="360" w:lineRule="auto"/>
        <w:ind w:left="84" w:hanging="357"/>
        <w:contextualSpacing w:val="0"/>
        <w:jc w:val="both"/>
        <w:rPr>
          <w:rFonts w:ascii="David" w:hAnsi="David" w:cs="David"/>
          <w:sz w:val="24"/>
          <w:szCs w:val="24"/>
        </w:rPr>
      </w:pPr>
      <w:r>
        <w:rPr>
          <w:rFonts w:ascii="David" w:hAnsi="David" w:cs="David" w:hint="cs"/>
          <w:sz w:val="24"/>
          <w:szCs w:val="24"/>
          <w:rtl/>
        </w:rPr>
        <w:t>עובדי ציבור</w:t>
      </w:r>
    </w:p>
    <w:p w14:paraId="476C94F3" w14:textId="77777777" w:rsidR="00AE2B6E" w:rsidRDefault="00AE2B6E" w:rsidP="00941A08">
      <w:pPr>
        <w:pStyle w:val="a4"/>
        <w:numPr>
          <w:ilvl w:val="1"/>
          <w:numId w:val="11"/>
        </w:numPr>
        <w:spacing w:after="120" w:line="360" w:lineRule="auto"/>
        <w:ind w:left="84" w:hanging="357"/>
        <w:contextualSpacing w:val="0"/>
        <w:jc w:val="both"/>
        <w:rPr>
          <w:rFonts w:ascii="David" w:hAnsi="David" w:cs="David"/>
          <w:sz w:val="24"/>
          <w:szCs w:val="24"/>
        </w:rPr>
      </w:pPr>
      <w:r>
        <w:rPr>
          <w:rFonts w:ascii="David" w:hAnsi="David" w:cs="David" w:hint="cs"/>
          <w:sz w:val="24"/>
          <w:szCs w:val="24"/>
          <w:rtl/>
        </w:rPr>
        <w:t>פרופסיות</w:t>
      </w:r>
    </w:p>
    <w:p w14:paraId="2B9B11B5" w14:textId="77777777" w:rsidR="00941A08" w:rsidRPr="00941A08" w:rsidRDefault="00941A08" w:rsidP="005B32D7">
      <w:pPr>
        <w:pStyle w:val="a4"/>
        <w:spacing w:after="120" w:line="360" w:lineRule="auto"/>
        <w:ind w:left="84"/>
        <w:contextualSpacing w:val="0"/>
        <w:jc w:val="center"/>
        <w:rPr>
          <w:rFonts w:ascii="David" w:hAnsi="David" w:cs="David"/>
          <w:sz w:val="24"/>
          <w:szCs w:val="24"/>
          <w:u w:val="single"/>
        </w:rPr>
      </w:pPr>
      <w:r w:rsidRPr="00941A08">
        <w:rPr>
          <w:rFonts w:ascii="David" w:hAnsi="David" w:cs="David" w:hint="cs"/>
          <w:b/>
          <w:bCs/>
          <w:color w:val="FFC000" w:themeColor="accent4"/>
          <w:sz w:val="24"/>
          <w:szCs w:val="24"/>
          <w:u w:val="single"/>
          <w:rtl/>
        </w:rPr>
        <w:lastRenderedPageBreak/>
        <w:t>נושא 4 לסילבוס: טבלת השוואה בין הערכאות המשמעתיות בארץ</w:t>
      </w:r>
    </w:p>
    <w:p w14:paraId="77032803" w14:textId="77777777" w:rsidR="00AE2B6E" w:rsidRDefault="00AE2B6E" w:rsidP="005B32D7">
      <w:pPr>
        <w:pStyle w:val="a4"/>
        <w:spacing w:after="120" w:line="360" w:lineRule="auto"/>
        <w:ind w:left="-766"/>
        <w:contextualSpacing w:val="0"/>
        <w:jc w:val="both"/>
        <w:rPr>
          <w:rFonts w:ascii="David" w:hAnsi="David" w:cs="David"/>
          <w:sz w:val="24"/>
          <w:szCs w:val="24"/>
          <w:rtl/>
        </w:rPr>
      </w:pPr>
      <w:r>
        <w:rPr>
          <w:rFonts w:ascii="David" w:hAnsi="David" w:cs="David" w:hint="cs"/>
          <w:sz w:val="24"/>
          <w:szCs w:val="24"/>
          <w:rtl/>
        </w:rPr>
        <w:t xml:space="preserve">טבלת השוואה בין ערכאות המשמעת: </w:t>
      </w:r>
    </w:p>
    <w:p w14:paraId="4F23046F" w14:textId="77777777" w:rsidR="00AE2B6E" w:rsidRDefault="00AE2B6E" w:rsidP="005B32D7">
      <w:pPr>
        <w:pStyle w:val="a4"/>
        <w:numPr>
          <w:ilvl w:val="2"/>
          <w:numId w:val="11"/>
        </w:numPr>
        <w:spacing w:after="120" w:line="360" w:lineRule="auto"/>
        <w:ind w:left="-341"/>
        <w:contextualSpacing w:val="0"/>
        <w:jc w:val="both"/>
        <w:rPr>
          <w:rFonts w:ascii="David" w:hAnsi="David" w:cs="David"/>
          <w:sz w:val="24"/>
          <w:szCs w:val="24"/>
        </w:rPr>
      </w:pPr>
      <w:r>
        <w:rPr>
          <w:rFonts w:ascii="David" w:hAnsi="David" w:cs="David" w:hint="cs"/>
          <w:sz w:val="24"/>
          <w:szCs w:val="24"/>
          <w:rtl/>
        </w:rPr>
        <w:t>בערכאות המשמעת עם דלתיים פתוחות - מקפידים יותר על דיני ראיות</w:t>
      </w:r>
    </w:p>
    <w:p w14:paraId="0D6DEE38" w14:textId="77777777" w:rsidR="00AE2B6E" w:rsidRDefault="00AE2B6E" w:rsidP="005B32D7">
      <w:pPr>
        <w:pStyle w:val="a4"/>
        <w:numPr>
          <w:ilvl w:val="2"/>
          <w:numId w:val="11"/>
        </w:numPr>
        <w:spacing w:after="120" w:line="360" w:lineRule="auto"/>
        <w:ind w:left="-341"/>
        <w:contextualSpacing w:val="0"/>
        <w:jc w:val="both"/>
        <w:rPr>
          <w:rFonts w:ascii="David" w:hAnsi="David" w:cs="David"/>
          <w:sz w:val="24"/>
          <w:szCs w:val="24"/>
        </w:rPr>
      </w:pPr>
      <w:r>
        <w:rPr>
          <w:rFonts w:ascii="David" w:hAnsi="David" w:cs="David" w:hint="cs"/>
          <w:sz w:val="24"/>
          <w:szCs w:val="24"/>
          <w:rtl/>
        </w:rPr>
        <w:t>ברוב ערכאות המשמעת נכלל בהרכב הוועדה גורם שאיננו מזוהה מידית עם מוסדות הערכאה המשמעתית - כלומר ניתן לכנות אותו כנוחות נציג ציבור. הוא לא חלק מהברנז'ה שעוסקת בפרופסיה.</w:t>
      </w:r>
    </w:p>
    <w:p w14:paraId="4D58904B" w14:textId="77777777" w:rsidR="00AE2B6E" w:rsidRDefault="00AE2B6E" w:rsidP="005B32D7">
      <w:pPr>
        <w:pStyle w:val="a4"/>
        <w:numPr>
          <w:ilvl w:val="2"/>
          <w:numId w:val="11"/>
        </w:numPr>
        <w:spacing w:after="120" w:line="360" w:lineRule="auto"/>
        <w:ind w:left="-341"/>
        <w:contextualSpacing w:val="0"/>
        <w:jc w:val="both"/>
        <w:rPr>
          <w:rFonts w:ascii="David" w:hAnsi="David" w:cs="David"/>
          <w:sz w:val="24"/>
          <w:szCs w:val="24"/>
        </w:rPr>
      </w:pPr>
      <w:r>
        <w:rPr>
          <w:rFonts w:ascii="David" w:hAnsi="David" w:cs="David" w:hint="cs"/>
          <w:sz w:val="24"/>
          <w:szCs w:val="24"/>
          <w:rtl/>
        </w:rPr>
        <w:t xml:space="preserve">מלבד </w:t>
      </w:r>
      <w:proofErr w:type="spellStart"/>
      <w:r>
        <w:rPr>
          <w:rFonts w:ascii="David" w:hAnsi="David" w:cs="David" w:hint="cs"/>
          <w:sz w:val="24"/>
          <w:szCs w:val="24"/>
          <w:rtl/>
        </w:rPr>
        <w:t>ערכאותה</w:t>
      </w:r>
      <w:proofErr w:type="spellEnd"/>
      <w:r>
        <w:rPr>
          <w:rFonts w:ascii="David" w:hAnsi="David" w:cs="David" w:hint="cs"/>
          <w:sz w:val="24"/>
          <w:szCs w:val="24"/>
          <w:rtl/>
        </w:rPr>
        <w:t xml:space="preserve"> משמעת של כוחות הביטחון (ריתוק למחנה וכו') כל העונשים </w:t>
      </w:r>
      <w:proofErr w:type="spellStart"/>
      <w:r>
        <w:rPr>
          <w:rFonts w:ascii="David" w:hAnsi="David" w:cs="David" w:hint="cs"/>
          <w:sz w:val="24"/>
          <w:szCs w:val="24"/>
          <w:rtl/>
        </w:rPr>
        <w:t>בערכאותה</w:t>
      </w:r>
      <w:proofErr w:type="spellEnd"/>
      <w:r>
        <w:rPr>
          <w:rFonts w:ascii="David" w:hAnsi="David" w:cs="David" w:hint="cs"/>
          <w:sz w:val="24"/>
          <w:szCs w:val="24"/>
          <w:rtl/>
        </w:rPr>
        <w:t xml:space="preserve"> משמעת הם בעלי גוון ממוני. התוצאה היא ממונית (את המקצוע/קנס) למרות הכתם</w:t>
      </w:r>
    </w:p>
    <w:p w14:paraId="59A45EB1" w14:textId="77777777" w:rsidR="00AE2B6E" w:rsidRDefault="00AE2B6E" w:rsidP="005B32D7">
      <w:pPr>
        <w:pStyle w:val="a4"/>
        <w:numPr>
          <w:ilvl w:val="2"/>
          <w:numId w:val="11"/>
        </w:numPr>
        <w:spacing w:after="120" w:line="360" w:lineRule="auto"/>
        <w:ind w:left="-341"/>
        <w:contextualSpacing w:val="0"/>
        <w:jc w:val="both"/>
        <w:rPr>
          <w:rFonts w:ascii="David" w:hAnsi="David" w:cs="David"/>
          <w:sz w:val="24"/>
          <w:szCs w:val="24"/>
        </w:rPr>
      </w:pPr>
      <w:r>
        <w:rPr>
          <w:rFonts w:ascii="David" w:hAnsi="David" w:cs="David" w:hint="cs"/>
          <w:sz w:val="24"/>
          <w:szCs w:val="24"/>
          <w:rtl/>
        </w:rPr>
        <w:t xml:space="preserve">ברוב ערכאות המשמעת של בעלי מקצוע מוסדרים, קיים הסדר של פנייה לנשיא המדינה להקלה בעונש. יש פרופסיות שעדיין לא נכנסו לכך. </w:t>
      </w:r>
    </w:p>
    <w:p w14:paraId="11D19727" w14:textId="77777777" w:rsidR="00AE2B6E" w:rsidRDefault="00AE2B6E" w:rsidP="005B32D7">
      <w:pPr>
        <w:pStyle w:val="a4"/>
        <w:numPr>
          <w:ilvl w:val="2"/>
          <w:numId w:val="11"/>
        </w:numPr>
        <w:spacing w:after="120" w:line="360" w:lineRule="auto"/>
        <w:ind w:left="-341"/>
        <w:contextualSpacing w:val="0"/>
        <w:jc w:val="both"/>
        <w:rPr>
          <w:rFonts w:ascii="David" w:hAnsi="David" w:cs="David"/>
          <w:sz w:val="24"/>
          <w:szCs w:val="24"/>
        </w:rPr>
      </w:pPr>
      <w:r>
        <w:rPr>
          <w:rFonts w:ascii="David" w:hAnsi="David" w:cs="David" w:hint="cs"/>
          <w:sz w:val="24"/>
          <w:szCs w:val="24"/>
          <w:rtl/>
        </w:rPr>
        <w:t>כמעט בכל ערכאות משמעת קיים שוני מהותי בין זהות הקובל לבין זהותו של הגורם שאחראי לאשר את קיומו של משפט חוזר. רוב ערכאות המשמעת מפרידות בין הגורמים האלה. כך למשל אל שופטים: הקובל הוא שר המשפטים, והסמכות המאשרת משפט חוזר הוא נשים בית המשפט העליון. לעיתים רחוקות זהו אותו גורם: כמו רואי חשבון.</w:t>
      </w:r>
    </w:p>
    <w:p w14:paraId="30A06765" w14:textId="77777777" w:rsidR="00AE2B6E" w:rsidRDefault="00AE2B6E" w:rsidP="005B32D7">
      <w:pPr>
        <w:pStyle w:val="a4"/>
        <w:numPr>
          <w:ilvl w:val="2"/>
          <w:numId w:val="11"/>
        </w:numPr>
        <w:spacing w:after="120" w:line="360" w:lineRule="auto"/>
        <w:ind w:left="-341"/>
        <w:contextualSpacing w:val="0"/>
        <w:jc w:val="both"/>
        <w:rPr>
          <w:rFonts w:ascii="David" w:hAnsi="David" w:cs="David"/>
          <w:sz w:val="24"/>
          <w:szCs w:val="24"/>
        </w:rPr>
      </w:pPr>
      <w:r>
        <w:rPr>
          <w:rFonts w:ascii="David" w:hAnsi="David" w:cs="David" w:hint="cs"/>
          <w:sz w:val="24"/>
          <w:szCs w:val="24"/>
          <w:rtl/>
        </w:rPr>
        <w:t xml:space="preserve">ברוב גדול של הערכאות קיימת הפרדה מוחלטת בין ההליך המשמעתי לבין ההליך הפלילי. יש גם יוצאים מן הכלל, </w:t>
      </w:r>
      <w:proofErr w:type="spellStart"/>
      <w:r>
        <w:rPr>
          <w:rFonts w:ascii="David" w:hAnsi="David" w:cs="David" w:hint="cs"/>
          <w:sz w:val="24"/>
          <w:szCs w:val="24"/>
          <w:rtl/>
        </w:rPr>
        <w:t>כמ</w:t>
      </w:r>
      <w:proofErr w:type="spellEnd"/>
      <w:r>
        <w:rPr>
          <w:rFonts w:ascii="David" w:hAnsi="David" w:cs="David" w:hint="cs"/>
          <w:sz w:val="24"/>
          <w:szCs w:val="24"/>
          <w:rtl/>
        </w:rPr>
        <w:t xml:space="preserve"> ערכאה משמעתית של מיילדות. </w:t>
      </w:r>
    </w:p>
    <w:p w14:paraId="14AB5853" w14:textId="77777777" w:rsidR="00AE2B6E" w:rsidRDefault="00AB0806" w:rsidP="005B32D7">
      <w:pPr>
        <w:pStyle w:val="a4"/>
        <w:numPr>
          <w:ilvl w:val="2"/>
          <w:numId w:val="11"/>
        </w:numPr>
        <w:spacing w:after="120" w:line="360" w:lineRule="auto"/>
        <w:ind w:left="-341"/>
        <w:contextualSpacing w:val="0"/>
        <w:jc w:val="both"/>
        <w:rPr>
          <w:rFonts w:ascii="David" w:hAnsi="David" w:cs="David"/>
          <w:sz w:val="24"/>
          <w:szCs w:val="24"/>
        </w:rPr>
      </w:pPr>
      <w:r>
        <w:rPr>
          <w:rFonts w:ascii="David" w:hAnsi="David" w:cs="David" w:hint="cs"/>
          <w:sz w:val="24"/>
          <w:szCs w:val="24"/>
          <w:rtl/>
        </w:rPr>
        <w:t xml:space="preserve">הסדרת הזכות לבירור מחוץ למסגרת של הערכאה המשמעתית. לא תמיד, ודאי אחרי הרפורמה של לשכת עורכי הדין. </w:t>
      </w:r>
    </w:p>
    <w:p w14:paraId="0C681856" w14:textId="77777777" w:rsidR="00A44849" w:rsidRDefault="005B32D7" w:rsidP="00A44849">
      <w:pPr>
        <w:pStyle w:val="a4"/>
        <w:spacing w:after="120" w:line="360" w:lineRule="auto"/>
        <w:ind w:left="509"/>
        <w:jc w:val="both"/>
        <w:rPr>
          <w:rFonts w:ascii="David" w:hAnsi="David" w:cs="David"/>
          <w:sz w:val="24"/>
          <w:szCs w:val="24"/>
          <w:rtl/>
        </w:rPr>
      </w:pPr>
      <w:r>
        <w:rPr>
          <w:noProof/>
        </w:rPr>
        <w:drawing>
          <wp:anchor distT="0" distB="0" distL="114300" distR="114300" simplePos="0" relativeHeight="251661312" behindDoc="0" locked="0" layoutInCell="1" allowOverlap="1" wp14:anchorId="1D413E79" wp14:editId="6B065DFA">
            <wp:simplePos x="0" y="0"/>
            <wp:positionH relativeFrom="margin">
              <wp:align>left</wp:align>
            </wp:positionH>
            <wp:positionV relativeFrom="paragraph">
              <wp:posOffset>195760</wp:posOffset>
            </wp:positionV>
            <wp:extent cx="2343785" cy="1198880"/>
            <wp:effectExtent l="0" t="0" r="0" b="127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849" t="34616" r="53046" b="8791"/>
                    <a:stretch/>
                  </pic:blipFill>
                  <pic:spPr bwMode="auto">
                    <a:xfrm>
                      <a:off x="0" y="0"/>
                      <a:ext cx="2343785"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7A46DB" w14:textId="77777777" w:rsidR="00A44849" w:rsidRDefault="008534C4" w:rsidP="00DB6B5B">
      <w:pPr>
        <w:pStyle w:val="a4"/>
        <w:spacing w:after="120" w:line="360" w:lineRule="auto"/>
        <w:ind w:left="-483"/>
        <w:jc w:val="both"/>
        <w:rPr>
          <w:rFonts w:ascii="David" w:hAnsi="David" w:cs="David"/>
          <w:sz w:val="24"/>
          <w:szCs w:val="24"/>
          <w:rtl/>
        </w:rPr>
      </w:pPr>
      <w:r>
        <w:rPr>
          <w:rFonts w:ascii="David" w:hAnsi="David" w:cs="David" w:hint="cs"/>
          <w:sz w:val="24"/>
          <w:szCs w:val="24"/>
          <w:rtl/>
        </w:rPr>
        <w:t>שלושת פסקי הדין הראשונים: שלושת רמת ההוכחה הנדרשת.</w:t>
      </w:r>
    </w:p>
    <w:p w14:paraId="3DFCE818" w14:textId="77777777" w:rsidR="008534C4" w:rsidRDefault="008534C4" w:rsidP="00DB6B5B">
      <w:pPr>
        <w:pStyle w:val="a4"/>
        <w:spacing w:after="120" w:line="360" w:lineRule="auto"/>
        <w:ind w:left="-483"/>
        <w:jc w:val="both"/>
        <w:rPr>
          <w:rFonts w:ascii="David" w:hAnsi="David" w:cs="David"/>
          <w:sz w:val="24"/>
          <w:szCs w:val="24"/>
          <w:rtl/>
        </w:rPr>
      </w:pPr>
      <w:r>
        <w:rPr>
          <w:rFonts w:ascii="David" w:hAnsi="David" w:cs="David" w:hint="cs"/>
          <w:sz w:val="24"/>
          <w:szCs w:val="24"/>
          <w:rtl/>
        </w:rPr>
        <w:t xml:space="preserve">הדין המשמעתי של השופטים: 4 פסקי דין משמעתיים </w:t>
      </w:r>
      <w:r w:rsidR="001D3970">
        <w:rPr>
          <w:rFonts w:ascii="David" w:hAnsi="David" w:cs="David" w:hint="cs"/>
          <w:sz w:val="24"/>
          <w:szCs w:val="24"/>
          <w:rtl/>
        </w:rPr>
        <w:t>ש</w:t>
      </w:r>
      <w:r>
        <w:rPr>
          <w:rFonts w:ascii="David" w:hAnsi="David" w:cs="David" w:hint="cs"/>
          <w:sz w:val="24"/>
          <w:szCs w:val="24"/>
          <w:rtl/>
        </w:rPr>
        <w:t>פורסמו נגד שופטים (ארבל עד הילה כהן)</w:t>
      </w:r>
    </w:p>
    <w:p w14:paraId="2A60C4D3" w14:textId="77777777" w:rsidR="008534C4" w:rsidRDefault="008534C4" w:rsidP="00DB6B5B">
      <w:pPr>
        <w:pStyle w:val="a4"/>
        <w:spacing w:after="120" w:line="360" w:lineRule="auto"/>
        <w:ind w:left="-483"/>
        <w:jc w:val="both"/>
        <w:rPr>
          <w:rFonts w:ascii="David" w:hAnsi="David" w:cs="David"/>
          <w:sz w:val="24"/>
          <w:szCs w:val="24"/>
          <w:rtl/>
        </w:rPr>
      </w:pPr>
      <w:r>
        <w:rPr>
          <w:rFonts w:ascii="David" w:hAnsi="David" w:cs="David" w:hint="cs"/>
          <w:sz w:val="24"/>
          <w:szCs w:val="24"/>
          <w:rtl/>
        </w:rPr>
        <w:t>+ מאמר שמתמצת את פסקי הדין וגם מביא את המחשבות של המרצה על הילה כהן.</w:t>
      </w:r>
    </w:p>
    <w:p w14:paraId="5D6B9FE7" w14:textId="77777777" w:rsidR="00D27B70" w:rsidRPr="005B32D7" w:rsidRDefault="00D27B70" w:rsidP="006D04F4">
      <w:pPr>
        <w:pStyle w:val="a4"/>
        <w:spacing w:after="120" w:line="360" w:lineRule="auto"/>
        <w:ind w:left="-483"/>
        <w:contextualSpacing w:val="0"/>
        <w:jc w:val="both"/>
        <w:rPr>
          <w:rFonts w:ascii="David" w:hAnsi="David" w:cs="David"/>
          <w:b/>
          <w:bCs/>
          <w:color w:val="538135" w:themeColor="accent6" w:themeShade="BF"/>
          <w:sz w:val="24"/>
          <w:szCs w:val="24"/>
          <w:u w:val="single"/>
          <w:rtl/>
        </w:rPr>
      </w:pPr>
      <w:r w:rsidRPr="005B32D7">
        <w:rPr>
          <w:rFonts w:ascii="David" w:hAnsi="David" w:cs="David" w:hint="cs"/>
          <w:b/>
          <w:bCs/>
          <w:color w:val="538135" w:themeColor="accent6" w:themeShade="BF"/>
          <w:sz w:val="24"/>
          <w:szCs w:val="24"/>
          <w:u w:val="single"/>
          <w:rtl/>
        </w:rPr>
        <w:t>קריאה:</w:t>
      </w:r>
    </w:p>
    <w:p w14:paraId="04E2452D" w14:textId="77777777" w:rsidR="00D27B70" w:rsidRPr="00D27B70" w:rsidRDefault="00D27B70" w:rsidP="006D04F4">
      <w:pPr>
        <w:pStyle w:val="a4"/>
        <w:spacing w:after="120" w:line="360" w:lineRule="auto"/>
        <w:ind w:left="-483"/>
        <w:contextualSpacing w:val="0"/>
        <w:jc w:val="both"/>
        <w:rPr>
          <w:rFonts w:ascii="David" w:hAnsi="David" w:cs="David"/>
          <w:sz w:val="24"/>
          <w:szCs w:val="24"/>
          <w:u w:val="single"/>
          <w:rtl/>
        </w:rPr>
      </w:pPr>
      <w:r w:rsidRPr="00D27B70">
        <w:rPr>
          <w:rFonts w:ascii="David" w:hAnsi="David" w:cs="David" w:hint="cs"/>
          <w:sz w:val="24"/>
          <w:szCs w:val="24"/>
          <w:u w:val="single"/>
          <w:rtl/>
        </w:rPr>
        <w:t xml:space="preserve">רמת ההוכחה הנדרשת: </w:t>
      </w:r>
    </w:p>
    <w:p w14:paraId="7784842B" w14:textId="77777777" w:rsidR="00D27B70" w:rsidRDefault="00D27B70" w:rsidP="006D04F4">
      <w:pPr>
        <w:pStyle w:val="a4"/>
        <w:numPr>
          <w:ilvl w:val="0"/>
          <w:numId w:val="4"/>
        </w:numPr>
        <w:spacing w:after="120" w:line="360" w:lineRule="auto"/>
        <w:ind w:left="-199"/>
        <w:contextualSpacing w:val="0"/>
        <w:jc w:val="both"/>
        <w:rPr>
          <w:rFonts w:ascii="David" w:hAnsi="David" w:cs="David"/>
          <w:sz w:val="24"/>
          <w:szCs w:val="24"/>
        </w:rPr>
      </w:pPr>
      <w:proofErr w:type="spellStart"/>
      <w:r w:rsidRPr="00385470">
        <w:rPr>
          <w:rFonts w:ascii="David" w:hAnsi="David" w:cs="David" w:hint="cs"/>
          <w:b/>
          <w:bCs/>
          <w:sz w:val="24"/>
          <w:szCs w:val="24"/>
          <w:rtl/>
        </w:rPr>
        <w:t>עש"מ</w:t>
      </w:r>
      <w:proofErr w:type="spellEnd"/>
      <w:r w:rsidRPr="00385470">
        <w:rPr>
          <w:rFonts w:ascii="David" w:hAnsi="David" w:cs="David" w:hint="cs"/>
          <w:b/>
          <w:bCs/>
          <w:sz w:val="24"/>
          <w:szCs w:val="24"/>
          <w:rtl/>
        </w:rPr>
        <w:t xml:space="preserve"> </w:t>
      </w:r>
      <w:proofErr w:type="spellStart"/>
      <w:r w:rsidR="00E70C8A" w:rsidRPr="00385470">
        <w:rPr>
          <w:rFonts w:ascii="David" w:hAnsi="David" w:cs="David" w:hint="cs"/>
          <w:b/>
          <w:bCs/>
          <w:sz w:val="24"/>
          <w:szCs w:val="24"/>
          <w:rtl/>
        </w:rPr>
        <w:t>אזוט</w:t>
      </w:r>
      <w:proofErr w:type="spellEnd"/>
      <w:r w:rsidRPr="00385470">
        <w:rPr>
          <w:rFonts w:ascii="David" w:hAnsi="David" w:cs="David" w:hint="cs"/>
          <w:b/>
          <w:bCs/>
          <w:sz w:val="24"/>
          <w:szCs w:val="24"/>
          <w:rtl/>
        </w:rPr>
        <w:t xml:space="preserve"> נ' מדינת ישראל -</w:t>
      </w:r>
      <w:r>
        <w:rPr>
          <w:rFonts w:ascii="David" w:hAnsi="David" w:cs="David" w:hint="cs"/>
          <w:sz w:val="24"/>
          <w:szCs w:val="24"/>
          <w:rtl/>
        </w:rPr>
        <w:t xml:space="preserve"> </w:t>
      </w:r>
      <w:r w:rsidR="00385470" w:rsidRPr="00385470">
        <w:rPr>
          <w:rFonts w:ascii="David" w:hAnsi="David" w:cs="David" w:hint="cs"/>
          <w:b/>
          <w:bCs/>
          <w:sz w:val="24"/>
          <w:szCs w:val="24"/>
          <w:rtl/>
        </w:rPr>
        <w:t>עובדות:</w:t>
      </w:r>
      <w:r w:rsidR="00385470">
        <w:rPr>
          <w:rFonts w:ascii="David" w:hAnsi="David" w:cs="David" w:hint="cs"/>
          <w:sz w:val="24"/>
          <w:szCs w:val="24"/>
          <w:rtl/>
        </w:rPr>
        <w:t xml:space="preserve"> </w:t>
      </w:r>
      <w:r w:rsidR="00385470" w:rsidRPr="00385470">
        <w:rPr>
          <w:rFonts w:ascii="David" w:hAnsi="David" w:cs="David"/>
          <w:sz w:val="24"/>
          <w:szCs w:val="24"/>
          <w:rtl/>
        </w:rPr>
        <w:t>המערער, עובד מדינה, הורשע בבית הדין למשמעת של עובדי המדינה בסדרת עבירות משמעת. טענתו המרכזית בערעורו מתייחסת לרמת ההוכחה הנדרשת בדיון משמעתי, בעקבות קביעת בית הדין המשמעתי, כי זו זהה לרמה הנדרשת על-פי דיני הראיות המקובלים במשפט אזרחי רגיל.</w:t>
      </w:r>
      <w:r w:rsidR="00385470">
        <w:rPr>
          <w:rFonts w:ascii="David" w:hAnsi="David" w:cs="David" w:hint="cs"/>
          <w:sz w:val="24"/>
          <w:szCs w:val="24"/>
          <w:rtl/>
        </w:rPr>
        <w:t xml:space="preserve"> </w:t>
      </w:r>
      <w:r w:rsidR="00385470">
        <w:rPr>
          <w:rFonts w:ascii="David" w:hAnsi="David" w:cs="David" w:hint="cs"/>
          <w:b/>
          <w:bCs/>
          <w:sz w:val="24"/>
          <w:szCs w:val="24"/>
          <w:rtl/>
        </w:rPr>
        <w:t xml:space="preserve">פסיקת בית המשפט: </w:t>
      </w:r>
      <w:r w:rsidR="00385470">
        <w:rPr>
          <w:rFonts w:ascii="David" w:hAnsi="David" w:cs="David" w:hint="cs"/>
          <w:sz w:val="24"/>
          <w:szCs w:val="24"/>
          <w:rtl/>
        </w:rPr>
        <w:t xml:space="preserve">בית הדין אינו קשור לדיני הראיות, רק הוראה מפורשת בחוק המחילה על טריבונל מנהלי את דיני הראיות כולם או מקצתם עשויה לחייב את בית הדין לנהוג לפיהם. </w:t>
      </w:r>
      <w:r w:rsidR="00385470" w:rsidRPr="00385470">
        <w:rPr>
          <w:rFonts w:ascii="David" w:hAnsi="David" w:cs="David"/>
          <w:sz w:val="24"/>
          <w:szCs w:val="24"/>
          <w:rtl/>
        </w:rPr>
        <w:t>שחרורו של בית הדין למשמעת מכבלי דיני הראיות אסור לו שיביא לידי הרשעה על בסיס ראייתי רופף - הרשעה שעלולה לסתום את הגולל על הקריירה של עובד מדינה ועל אפשרויות העסקתו בעתיד</w:t>
      </w:r>
      <w:r w:rsidR="00385470" w:rsidRPr="00385470">
        <w:rPr>
          <w:rFonts w:ascii="David" w:hAnsi="David" w:cs="David" w:hint="cs"/>
          <w:sz w:val="24"/>
          <w:szCs w:val="24"/>
          <w:rtl/>
        </w:rPr>
        <w:t>. כאן הדרישה היא ש</w:t>
      </w:r>
      <w:r w:rsidR="00385470" w:rsidRPr="00385470">
        <w:rPr>
          <w:rFonts w:ascii="David" w:hAnsi="David" w:cs="David"/>
          <w:sz w:val="24"/>
          <w:szCs w:val="24"/>
          <w:rtl/>
        </w:rPr>
        <w:t xml:space="preserve"> תונח לפני בית הדין תשתית ראייתית העולה על הנדרש בהליך אזרחי, הגם שאיננה מגעת לכדי ראיה שמעבר לכל ספק סביר</w:t>
      </w:r>
      <w:r w:rsidR="00385470">
        <w:rPr>
          <w:rFonts w:ascii="David" w:hAnsi="David" w:cs="David" w:hint="cs"/>
          <w:sz w:val="24"/>
          <w:szCs w:val="24"/>
          <w:rtl/>
        </w:rPr>
        <w:t xml:space="preserve">. </w:t>
      </w:r>
    </w:p>
    <w:p w14:paraId="31CF67FF" w14:textId="77777777" w:rsidR="00385470" w:rsidRPr="00385470" w:rsidRDefault="00D27B70" w:rsidP="006D04F4">
      <w:pPr>
        <w:pStyle w:val="a4"/>
        <w:numPr>
          <w:ilvl w:val="0"/>
          <w:numId w:val="4"/>
        </w:numPr>
        <w:spacing w:after="120" w:line="360" w:lineRule="auto"/>
        <w:ind w:left="-199"/>
        <w:contextualSpacing w:val="0"/>
        <w:jc w:val="both"/>
        <w:rPr>
          <w:rFonts w:ascii="David" w:hAnsi="David" w:cs="David"/>
          <w:sz w:val="24"/>
          <w:szCs w:val="24"/>
          <w:rtl/>
        </w:rPr>
      </w:pPr>
      <w:proofErr w:type="spellStart"/>
      <w:r w:rsidRPr="00385470">
        <w:rPr>
          <w:rFonts w:ascii="David" w:hAnsi="David" w:cs="David" w:hint="cs"/>
          <w:b/>
          <w:bCs/>
          <w:sz w:val="24"/>
          <w:szCs w:val="24"/>
          <w:rtl/>
        </w:rPr>
        <w:lastRenderedPageBreak/>
        <w:t>עש"מ</w:t>
      </w:r>
      <w:proofErr w:type="spellEnd"/>
      <w:r w:rsidRPr="00385470">
        <w:rPr>
          <w:rFonts w:ascii="David" w:hAnsi="David" w:cs="David" w:hint="cs"/>
          <w:b/>
          <w:bCs/>
          <w:sz w:val="24"/>
          <w:szCs w:val="24"/>
          <w:rtl/>
        </w:rPr>
        <w:t xml:space="preserve"> בכרך נ' מדינת ישראל -</w:t>
      </w:r>
      <w:r>
        <w:rPr>
          <w:rFonts w:ascii="David" w:hAnsi="David" w:cs="David" w:hint="cs"/>
          <w:sz w:val="24"/>
          <w:szCs w:val="24"/>
          <w:rtl/>
        </w:rPr>
        <w:t xml:space="preserve"> </w:t>
      </w:r>
      <w:r w:rsidR="00385470" w:rsidRPr="00385470">
        <w:rPr>
          <w:rFonts w:ascii="David" w:hAnsi="David" w:cs="David" w:hint="cs"/>
          <w:b/>
          <w:bCs/>
          <w:sz w:val="24"/>
          <w:szCs w:val="24"/>
          <w:rtl/>
        </w:rPr>
        <w:t>עובדות:</w:t>
      </w:r>
      <w:r w:rsidR="00385470" w:rsidRPr="00385470">
        <w:rPr>
          <w:rFonts w:ascii="David" w:hAnsi="David" w:cs="David" w:hint="cs"/>
          <w:sz w:val="24"/>
          <w:szCs w:val="24"/>
          <w:rtl/>
        </w:rPr>
        <w:t xml:space="preserve"> </w:t>
      </w:r>
      <w:r w:rsidR="00385470" w:rsidRPr="00385470">
        <w:rPr>
          <w:rFonts w:ascii="David" w:hAnsi="David" w:cs="David"/>
          <w:sz w:val="24"/>
          <w:szCs w:val="24"/>
          <w:rtl/>
        </w:rPr>
        <w:t>המערער הורשע בבית הדין למשמעת של עובדי המדינה</w:t>
      </w:r>
      <w:r w:rsidR="00385470" w:rsidRPr="00385470">
        <w:rPr>
          <w:rFonts w:ascii="David" w:hAnsi="David" w:cs="David" w:hint="cs"/>
          <w:sz w:val="24"/>
          <w:szCs w:val="24"/>
          <w:rtl/>
        </w:rPr>
        <w:t xml:space="preserve"> על </w:t>
      </w:r>
      <w:r w:rsidR="00385470" w:rsidRPr="00385470">
        <w:rPr>
          <w:rFonts w:ascii="David" w:hAnsi="David" w:cs="David"/>
          <w:sz w:val="24"/>
          <w:szCs w:val="24"/>
          <w:rtl/>
        </w:rPr>
        <w:t xml:space="preserve"> נסיעות שנסע המערער אל מחוץ למקום עבודתו </w:t>
      </w:r>
      <w:r w:rsidR="00385470" w:rsidRPr="00385470">
        <w:rPr>
          <w:rFonts w:ascii="David" w:hAnsi="David" w:cs="David" w:hint="cs"/>
          <w:sz w:val="24"/>
          <w:szCs w:val="24"/>
          <w:rtl/>
        </w:rPr>
        <w:t>ש</w:t>
      </w:r>
      <w:r w:rsidR="00385470" w:rsidRPr="00385470">
        <w:rPr>
          <w:rFonts w:ascii="David" w:hAnsi="David" w:cs="David"/>
          <w:sz w:val="24"/>
          <w:szCs w:val="24"/>
          <w:rtl/>
        </w:rPr>
        <w:t>היו נסיעות לחופשה שהוסוו כנסיעות בענייני עבודה</w:t>
      </w:r>
      <w:r w:rsidR="00385470" w:rsidRPr="00385470">
        <w:rPr>
          <w:rFonts w:ascii="David" w:hAnsi="David" w:cs="David" w:hint="cs"/>
          <w:sz w:val="24"/>
          <w:szCs w:val="24"/>
          <w:rtl/>
        </w:rPr>
        <w:t xml:space="preserve"> ועל ש</w:t>
      </w:r>
      <w:r w:rsidR="00385470" w:rsidRPr="00385470">
        <w:rPr>
          <w:rFonts w:ascii="David" w:hAnsi="David" w:cs="David"/>
          <w:sz w:val="24"/>
          <w:szCs w:val="24"/>
          <w:rtl/>
        </w:rPr>
        <w:t>דיווח דיווחים כוזבים בעניין נסיעותיו וכי הוא לא הצליח להסביר סתירות שנתגלו בין רישומיו לבין טענותיו בדבר מהות נסיעותיו ופגישותיו. מכאן הערעור.</w:t>
      </w:r>
      <w:r w:rsidR="00385470">
        <w:rPr>
          <w:rFonts w:ascii="David" w:hAnsi="David" w:cs="David" w:hint="cs"/>
          <w:sz w:val="24"/>
          <w:szCs w:val="24"/>
          <w:rtl/>
        </w:rPr>
        <w:t xml:space="preserve"> </w:t>
      </w:r>
      <w:r w:rsidR="00385470" w:rsidRPr="004A50B3">
        <w:rPr>
          <w:rFonts w:ascii="David" w:hAnsi="David" w:cs="David" w:hint="cs"/>
          <w:b/>
          <w:bCs/>
          <w:sz w:val="24"/>
          <w:szCs w:val="24"/>
          <w:rtl/>
        </w:rPr>
        <w:t>פסיקת בית המשפט:</w:t>
      </w:r>
      <w:r w:rsidR="00385470">
        <w:rPr>
          <w:rFonts w:ascii="David" w:hAnsi="David" w:cs="David" w:hint="cs"/>
          <w:sz w:val="24"/>
          <w:szCs w:val="24"/>
          <w:rtl/>
        </w:rPr>
        <w:t xml:space="preserve"> </w:t>
      </w:r>
      <w:r w:rsidR="006D04F4">
        <w:rPr>
          <w:rFonts w:ascii="David" w:hAnsi="David" w:cs="David" w:hint="cs"/>
          <w:sz w:val="24"/>
          <w:szCs w:val="24"/>
          <w:rtl/>
        </w:rPr>
        <w:t xml:space="preserve">לפי תקנה 10 לתקנות שירות המדינה, </w:t>
      </w:r>
      <w:r w:rsidR="006D04F4" w:rsidRPr="006D04F4">
        <w:rPr>
          <w:rFonts w:ascii="David" w:hAnsi="David" w:cs="David"/>
          <w:sz w:val="24"/>
          <w:szCs w:val="24"/>
          <w:rtl/>
        </w:rPr>
        <w:t>אם הוגשה תובענה, רשאי הנאשם לעיין בכל זמן סביר בחומר שבכתב "שבדעת התובע להגישו כראיה". הכוונה במלים אלה אינה אך ורק למסמכים אשר בכוונת התביעה להגיש, אלא גם להודעות כהן רשומים דברי העדים, אשר בדעת התביעה להעידם בבית הדין</w:t>
      </w:r>
      <w:r w:rsidR="006D04F4" w:rsidRPr="006D04F4">
        <w:rPr>
          <w:rFonts w:ascii="David" w:hAnsi="David" w:cs="David" w:hint="cs"/>
          <w:sz w:val="24"/>
          <w:szCs w:val="24"/>
          <w:rtl/>
        </w:rPr>
        <w:t xml:space="preserve">. </w:t>
      </w:r>
      <w:r w:rsidR="006D04F4">
        <w:rPr>
          <w:rFonts w:ascii="David" w:hAnsi="David" w:cs="David" w:hint="cs"/>
          <w:sz w:val="24"/>
          <w:szCs w:val="24"/>
          <w:rtl/>
        </w:rPr>
        <w:t xml:space="preserve">שחרור בית הדין המשמעתי מתחולת דיני הראיות נועד כדי להסיר את הכבלים הפורמאליים המטילים סייגים ותנאים על קבלת ראיה מסוג זה או אחר. </w:t>
      </w:r>
      <w:r w:rsidR="005E35AD" w:rsidRPr="005E35AD">
        <w:rPr>
          <w:rFonts w:ascii="David" w:hAnsi="David" w:cs="David"/>
          <w:sz w:val="24"/>
          <w:szCs w:val="24"/>
          <w:rtl/>
        </w:rPr>
        <w:t>)</w:t>
      </w:r>
      <w:r w:rsidR="005E35AD" w:rsidRPr="005E35AD">
        <w:rPr>
          <w:rFonts w:ascii="David" w:hAnsi="David" w:cs="David"/>
          <w:sz w:val="24"/>
          <w:szCs w:val="24"/>
        </w:rPr>
        <w:t xml:space="preserve"> </w:t>
      </w:r>
      <w:r w:rsidR="005E35AD" w:rsidRPr="005E35AD">
        <w:rPr>
          <w:rFonts w:ascii="David" w:hAnsi="David" w:cs="David"/>
          <w:sz w:val="24"/>
          <w:szCs w:val="24"/>
          <w:rtl/>
        </w:rPr>
        <w:t>הדברים לא כוונו ליצירת מידת הוכחה נוספת בין זו הנוהגת במשפט הפלילי לבין זו הנוהגת במשפט האזרחי; די בשתי רמות ההוכחה הקיימות, והן:</w:t>
      </w:r>
      <w:r w:rsidR="009E35E6">
        <w:rPr>
          <w:rFonts w:ascii="David" w:hAnsi="David" w:cs="David" w:hint="cs"/>
          <w:sz w:val="24"/>
          <w:szCs w:val="24"/>
          <w:rtl/>
        </w:rPr>
        <w:t xml:space="preserve"> </w:t>
      </w:r>
      <w:r w:rsidR="005E35AD" w:rsidRPr="005E35AD">
        <w:rPr>
          <w:rFonts w:ascii="David" w:hAnsi="David" w:cs="David"/>
          <w:sz w:val="24"/>
          <w:szCs w:val="24"/>
          <w:rtl/>
        </w:rPr>
        <w:t>ב שכנוע מעבר לספק סביר, מחד גיסא, ומאזן ההסתברות</w:t>
      </w:r>
      <w:r w:rsidR="005E35AD" w:rsidRPr="005E35AD">
        <w:rPr>
          <w:rFonts w:ascii="David" w:hAnsi="David" w:cs="David"/>
          <w:sz w:val="24"/>
          <w:szCs w:val="24"/>
        </w:rPr>
        <w:t xml:space="preserve">, </w:t>
      </w:r>
      <w:r w:rsidR="005E35AD" w:rsidRPr="005E35AD">
        <w:rPr>
          <w:rFonts w:ascii="David" w:hAnsi="David" w:cs="David"/>
          <w:sz w:val="24"/>
          <w:szCs w:val="24"/>
          <w:rtl/>
        </w:rPr>
        <w:t xml:space="preserve">מאידך גיסא. דיני נפשות נחשבים לחמורים יותר בתוצאותיהם, ונדרשת מידה גבוהה יותר של הוכחה מאשר מאזן ההסתברות בלבד. הדין המשמעתי מצטרף מבחינה זו להליך הפלילי, כי זו משמעותו </w:t>
      </w:r>
      <w:proofErr w:type="spellStart"/>
      <w:r w:rsidR="005E35AD" w:rsidRPr="005E35AD">
        <w:rPr>
          <w:rFonts w:ascii="David" w:hAnsi="David" w:cs="David"/>
          <w:sz w:val="24"/>
          <w:szCs w:val="24"/>
          <w:rtl/>
        </w:rPr>
        <w:t>לאשורה</w:t>
      </w:r>
      <w:proofErr w:type="spellEnd"/>
      <w:r w:rsidR="005E35AD">
        <w:rPr>
          <w:rFonts w:ascii="David" w:hAnsi="David" w:cs="David" w:hint="cs"/>
          <w:sz w:val="24"/>
          <w:szCs w:val="24"/>
          <w:rtl/>
        </w:rPr>
        <w:t xml:space="preserve">. </w:t>
      </w:r>
      <w:r w:rsidR="005E35AD" w:rsidRPr="005E35AD">
        <w:rPr>
          <w:rFonts w:ascii="David" w:hAnsi="David" w:cs="David"/>
          <w:sz w:val="24"/>
          <w:szCs w:val="24"/>
          <w:rtl/>
        </w:rPr>
        <w:t>משנדחית, לצורך הדין המשמעתי, הרמה הנוהגת במשפט האזרחי כבלתי ישימה להוכחת עניינים של המשמעת בשירות הציבור, של היושר והאמון הנדרשים בו ושל המרמה המתגלית בו לא אחת, הרי יש לפנות להוכחה מעל לספק סביר ולאמצה לצורך העניין, כאשר כמות הראיות, שיש בה כדי לספק את המידה הדרושה האמורה, משתנה על-פי מהות הנושא</w:t>
      </w:r>
      <w:r w:rsidR="009E35E6">
        <w:rPr>
          <w:rFonts w:ascii="David" w:hAnsi="David" w:cs="David" w:hint="cs"/>
          <w:sz w:val="24"/>
          <w:szCs w:val="24"/>
          <w:rtl/>
        </w:rPr>
        <w:t xml:space="preserve">. </w:t>
      </w:r>
    </w:p>
    <w:p w14:paraId="7CD57D92" w14:textId="77777777" w:rsidR="00D27B70" w:rsidRDefault="00D27B70" w:rsidP="00D27B70">
      <w:pPr>
        <w:pStyle w:val="a4"/>
        <w:numPr>
          <w:ilvl w:val="0"/>
          <w:numId w:val="4"/>
        </w:numPr>
        <w:spacing w:after="120" w:line="360" w:lineRule="auto"/>
        <w:ind w:left="-199"/>
        <w:jc w:val="both"/>
        <w:rPr>
          <w:rFonts w:ascii="David" w:hAnsi="David" w:cs="David"/>
          <w:sz w:val="24"/>
          <w:szCs w:val="24"/>
        </w:rPr>
      </w:pPr>
      <w:proofErr w:type="spellStart"/>
      <w:r w:rsidRPr="00FD7D54">
        <w:rPr>
          <w:rFonts w:ascii="David" w:hAnsi="David" w:cs="David" w:hint="cs"/>
          <w:b/>
          <w:bCs/>
          <w:sz w:val="24"/>
          <w:szCs w:val="24"/>
          <w:rtl/>
        </w:rPr>
        <w:t>עש"מ</w:t>
      </w:r>
      <w:proofErr w:type="spellEnd"/>
      <w:r w:rsidRPr="00FD7D54">
        <w:rPr>
          <w:rFonts w:ascii="David" w:hAnsi="David" w:cs="David" w:hint="cs"/>
          <w:b/>
          <w:bCs/>
          <w:sz w:val="24"/>
          <w:szCs w:val="24"/>
          <w:rtl/>
        </w:rPr>
        <w:t xml:space="preserve"> </w:t>
      </w:r>
      <w:proofErr w:type="spellStart"/>
      <w:r w:rsidRPr="00FD7D54">
        <w:rPr>
          <w:rFonts w:ascii="David" w:hAnsi="David" w:cs="David" w:hint="cs"/>
          <w:b/>
          <w:bCs/>
          <w:sz w:val="24"/>
          <w:szCs w:val="24"/>
          <w:rtl/>
        </w:rPr>
        <w:t>גלאור</w:t>
      </w:r>
      <w:proofErr w:type="spellEnd"/>
      <w:r w:rsidRPr="00FD7D54">
        <w:rPr>
          <w:rFonts w:ascii="David" w:hAnsi="David" w:cs="David" w:hint="cs"/>
          <w:b/>
          <w:bCs/>
          <w:sz w:val="24"/>
          <w:szCs w:val="24"/>
          <w:rtl/>
        </w:rPr>
        <w:t xml:space="preserve"> נ' מדינת ישראל -</w:t>
      </w:r>
      <w:r w:rsidR="00FD7D54">
        <w:rPr>
          <w:rFonts w:ascii="David" w:hAnsi="David" w:cs="David" w:hint="cs"/>
          <w:b/>
          <w:bCs/>
          <w:sz w:val="24"/>
          <w:szCs w:val="24"/>
          <w:rtl/>
        </w:rPr>
        <w:t xml:space="preserve"> </w:t>
      </w:r>
      <w:r w:rsidR="00FD7D54" w:rsidRPr="00FD7D54">
        <w:rPr>
          <w:rFonts w:ascii="David" w:hAnsi="David" w:cs="David" w:hint="cs"/>
          <w:sz w:val="24"/>
          <w:szCs w:val="24"/>
          <w:rtl/>
        </w:rPr>
        <w:t>עדות שמיעה</w:t>
      </w:r>
      <w:r w:rsidRPr="00FD7D54">
        <w:rPr>
          <w:rFonts w:ascii="David" w:hAnsi="David" w:cs="David" w:hint="cs"/>
          <w:b/>
          <w:bCs/>
          <w:sz w:val="24"/>
          <w:szCs w:val="24"/>
          <w:rtl/>
        </w:rPr>
        <w:t xml:space="preserve"> </w:t>
      </w:r>
      <w:r w:rsidR="00FD7D54" w:rsidRPr="00FD7D54">
        <w:rPr>
          <w:rFonts w:ascii="David" w:hAnsi="David" w:cs="David" w:hint="cs"/>
          <w:b/>
          <w:bCs/>
          <w:sz w:val="24"/>
          <w:szCs w:val="24"/>
          <w:rtl/>
        </w:rPr>
        <w:t>עובדות:</w:t>
      </w:r>
      <w:r w:rsidR="00FD7D54">
        <w:rPr>
          <w:rFonts w:ascii="David" w:hAnsi="David" w:cs="David" w:hint="cs"/>
          <w:sz w:val="24"/>
          <w:szCs w:val="24"/>
          <w:rtl/>
        </w:rPr>
        <w:t xml:space="preserve"> </w:t>
      </w:r>
      <w:r w:rsidR="00FD7D54" w:rsidRPr="00FD7D54">
        <w:rPr>
          <w:rFonts w:ascii="David" w:hAnsi="David" w:cs="David"/>
          <w:sz w:val="24"/>
          <w:szCs w:val="24"/>
          <w:rtl/>
        </w:rPr>
        <w:t>המערער הורשע על-ידי בית-הדין למשמעת של עובדי המדינה בעבירות של התנהגות בלתי הולמת, שכללה צעקות, קללות והשמצות כלפי חברים לעבודה, לרבות הממונים עליו בעבודה; השלכת כלים ואי-קיום הסדר והנהלים. בית-הדין למשמעת גזר על המערער פיטורין לאלתר, אך ללא פסילה לעבודה בשירות המדינה, ובלי לפגוע בזכויות הפרישה שלו. הערעור נסב הן על ההרשעה והן על העונש.</w:t>
      </w:r>
      <w:r w:rsidR="00FD7D54">
        <w:rPr>
          <w:rFonts w:ascii="David" w:hAnsi="David" w:cs="David" w:hint="cs"/>
          <w:sz w:val="24"/>
          <w:szCs w:val="24"/>
          <w:rtl/>
        </w:rPr>
        <w:t xml:space="preserve"> </w:t>
      </w:r>
      <w:r w:rsidR="00FD7D54" w:rsidRPr="00FD7D54">
        <w:rPr>
          <w:rFonts w:ascii="David" w:hAnsi="David" w:cs="David" w:hint="cs"/>
          <w:b/>
          <w:bCs/>
          <w:sz w:val="24"/>
          <w:szCs w:val="24"/>
          <w:rtl/>
        </w:rPr>
        <w:t>פסיקת בית המשפט</w:t>
      </w:r>
      <w:r w:rsidR="00FD7D54">
        <w:rPr>
          <w:rFonts w:ascii="David" w:hAnsi="David" w:cs="David" w:hint="cs"/>
          <w:sz w:val="24"/>
          <w:szCs w:val="24"/>
          <w:rtl/>
        </w:rPr>
        <w:t xml:space="preserve">: בית הדין למשמעת רשאי לקבל גם דות שמיעה ולתת לה משקל ראוי בנסיבות המקרה. העובדה שמדובר בעדות שמיעה חשובה לעניין המשקל שלה אך לא לעניין קבילותה.  </w:t>
      </w:r>
      <w:r w:rsidR="00FD7D54" w:rsidRPr="00FD7D54">
        <w:rPr>
          <w:rFonts w:ascii="David" w:hAnsi="David" w:cs="David"/>
          <w:sz w:val="24"/>
          <w:szCs w:val="24"/>
          <w:rtl/>
        </w:rPr>
        <w:t>ספק אם השאלה של מידת ההוכחה הנדרשת בהליך משמעתי הוכרעה על-ידי בית-המשפט העליון באופן סופי. הטעם לספק אם אמנם נדרשת בהליך המשמעתי אותה מידת הוכחה הנדרשת בהליך הפלילי, כלומר הוכחה שמעבר לכל ספק סביר, נעוץ בהבדל המהותי שבין ההליך המשמעתי לבין ההליך הפלילי: מבחינת התכלית, מן הבחינה של סדרי הדין ודיני הראיות ומבחינות נוספות</w:t>
      </w:r>
      <w:r w:rsidR="001D3970">
        <w:rPr>
          <w:rFonts w:ascii="David" w:hAnsi="David" w:cs="David" w:hint="cs"/>
          <w:sz w:val="24"/>
          <w:szCs w:val="24"/>
          <w:rtl/>
        </w:rPr>
        <w:t>.</w:t>
      </w:r>
    </w:p>
    <w:p w14:paraId="253F455F" w14:textId="77777777" w:rsidR="005B32D7" w:rsidRDefault="005B32D7" w:rsidP="001D3970">
      <w:pPr>
        <w:pStyle w:val="a4"/>
        <w:spacing w:after="120" w:line="360" w:lineRule="auto"/>
        <w:ind w:left="-199"/>
        <w:jc w:val="both"/>
        <w:rPr>
          <w:rFonts w:ascii="David" w:hAnsi="David" w:cs="David"/>
          <w:sz w:val="24"/>
          <w:szCs w:val="24"/>
          <w:u w:val="single"/>
          <w:rtl/>
        </w:rPr>
      </w:pPr>
    </w:p>
    <w:p w14:paraId="075526C1" w14:textId="77777777" w:rsidR="001D3970" w:rsidRPr="001D3970" w:rsidRDefault="001D3970" w:rsidP="001D3970">
      <w:pPr>
        <w:pStyle w:val="a4"/>
        <w:spacing w:after="120" w:line="360" w:lineRule="auto"/>
        <w:ind w:left="-199"/>
        <w:jc w:val="both"/>
        <w:rPr>
          <w:rFonts w:ascii="David" w:hAnsi="David" w:cs="David"/>
          <w:sz w:val="24"/>
          <w:szCs w:val="24"/>
          <w:u w:val="single"/>
        </w:rPr>
      </w:pPr>
      <w:r w:rsidRPr="001D3970">
        <w:rPr>
          <w:rFonts w:ascii="David" w:hAnsi="David" w:cs="David" w:hint="cs"/>
          <w:sz w:val="24"/>
          <w:szCs w:val="24"/>
          <w:u w:val="single"/>
          <w:rtl/>
        </w:rPr>
        <w:t xml:space="preserve">פסקי דין משמעתיים שפורסמו נגד שופטים: </w:t>
      </w:r>
    </w:p>
    <w:p w14:paraId="68BC7A66" w14:textId="77777777" w:rsidR="001D3970" w:rsidRDefault="00626548" w:rsidP="00D27B70">
      <w:pPr>
        <w:pStyle w:val="a4"/>
        <w:numPr>
          <w:ilvl w:val="0"/>
          <w:numId w:val="4"/>
        </w:numPr>
        <w:spacing w:after="120" w:line="360" w:lineRule="auto"/>
        <w:ind w:left="-199"/>
        <w:jc w:val="both"/>
        <w:rPr>
          <w:rFonts w:ascii="David" w:hAnsi="David" w:cs="David"/>
          <w:sz w:val="24"/>
          <w:szCs w:val="24"/>
        </w:rPr>
      </w:pPr>
      <w:proofErr w:type="spellStart"/>
      <w:r w:rsidRPr="00626548">
        <w:rPr>
          <w:rFonts w:ascii="David" w:hAnsi="David" w:cs="David" w:hint="cs"/>
          <w:b/>
          <w:bCs/>
          <w:sz w:val="24"/>
          <w:szCs w:val="24"/>
          <w:rtl/>
        </w:rPr>
        <w:t>בד"מ</w:t>
      </w:r>
      <w:proofErr w:type="spellEnd"/>
      <w:r w:rsidRPr="00626548">
        <w:rPr>
          <w:rFonts w:ascii="David" w:hAnsi="David" w:cs="David" w:hint="cs"/>
          <w:b/>
          <w:bCs/>
          <w:sz w:val="24"/>
          <w:szCs w:val="24"/>
          <w:rtl/>
        </w:rPr>
        <w:t xml:space="preserve"> שר המשפטים נ' ארבל -</w:t>
      </w:r>
      <w:r>
        <w:rPr>
          <w:rFonts w:ascii="David" w:hAnsi="David" w:cs="David" w:hint="cs"/>
          <w:sz w:val="24"/>
          <w:szCs w:val="24"/>
          <w:rtl/>
        </w:rPr>
        <w:t xml:space="preserve"> </w:t>
      </w:r>
      <w:r w:rsidR="0070339A" w:rsidRPr="0070339A">
        <w:rPr>
          <w:rFonts w:ascii="David" w:hAnsi="David" w:cs="David" w:hint="cs"/>
          <w:b/>
          <w:bCs/>
          <w:sz w:val="24"/>
          <w:szCs w:val="24"/>
          <w:rtl/>
        </w:rPr>
        <w:t>עובדות:</w:t>
      </w:r>
      <w:r w:rsidR="0070339A">
        <w:rPr>
          <w:rFonts w:ascii="David" w:hAnsi="David" w:cs="David" w:hint="cs"/>
          <w:sz w:val="24"/>
          <w:szCs w:val="24"/>
          <w:rtl/>
        </w:rPr>
        <w:t xml:space="preserve"> </w:t>
      </w:r>
      <w:r>
        <w:rPr>
          <w:rFonts w:ascii="David" w:hAnsi="David" w:cs="David" w:hint="cs"/>
          <w:sz w:val="24"/>
          <w:szCs w:val="24"/>
          <w:rtl/>
        </w:rPr>
        <w:t xml:space="preserve">בית הדין המשמעתי לפי חוק בתי המשפט הרשיע את הנאשם לפי הודאתו, בהתנהגות שלא כהלכה במילוי תפקידו כשופט.  </w:t>
      </w:r>
      <w:r w:rsidRPr="0070339A">
        <w:rPr>
          <w:rFonts w:ascii="David" w:hAnsi="David" w:cs="David"/>
          <w:sz w:val="24"/>
          <w:szCs w:val="24"/>
          <w:rtl/>
        </w:rPr>
        <w:t>בין היתר, הודה הנאשם בביטול פסקי-דין שנתנו שופטים אחרים, בשינוי גזרי-דין לאחר היתנ</w:t>
      </w:r>
      <w:r w:rsidR="0070339A">
        <w:rPr>
          <w:rFonts w:ascii="David" w:hAnsi="David" w:cs="David" w:hint="cs"/>
          <w:sz w:val="24"/>
          <w:szCs w:val="24"/>
          <w:rtl/>
        </w:rPr>
        <w:t>ן</w:t>
      </w:r>
      <w:r w:rsidRPr="0070339A">
        <w:rPr>
          <w:rFonts w:ascii="David" w:hAnsi="David" w:cs="David"/>
          <w:sz w:val="24"/>
          <w:szCs w:val="24"/>
          <w:rtl/>
        </w:rPr>
        <w:t xml:space="preserve"> וברישום פרוטוקולים שלא שיקפו נכונה את המתרחש בבית המשפט. הנאשם ביקש לראות כנסיבה מקלה את העומס הרב של תיקים, הקבועים לשמיעה מדי יום ביומו בבית המשפט לתעבורה, שבו כיהן כשופט, עוד ביקש הנאשם, כי לא יפורסם פסק הדין שיינתן בעניינו.</w:t>
      </w:r>
      <w:r>
        <w:rPr>
          <w:rFonts w:ascii="David" w:hAnsi="David" w:cs="David" w:hint="cs"/>
          <w:sz w:val="24"/>
          <w:szCs w:val="24"/>
          <w:rtl/>
        </w:rPr>
        <w:t xml:space="preserve"> </w:t>
      </w:r>
      <w:r w:rsidRPr="0070339A">
        <w:rPr>
          <w:rFonts w:ascii="David" w:hAnsi="David" w:cs="David" w:hint="cs"/>
          <w:b/>
          <w:bCs/>
          <w:sz w:val="24"/>
          <w:szCs w:val="24"/>
          <w:rtl/>
        </w:rPr>
        <w:t>פסיקת בית המשפט:</w:t>
      </w:r>
      <w:r>
        <w:rPr>
          <w:rFonts w:ascii="David" w:hAnsi="David" w:cs="David" w:hint="cs"/>
          <w:sz w:val="24"/>
          <w:szCs w:val="24"/>
          <w:rtl/>
        </w:rPr>
        <w:t xml:space="preserve"> </w:t>
      </w:r>
      <w:r w:rsidR="0070339A" w:rsidRPr="0070339A">
        <w:rPr>
          <w:rFonts w:ascii="David" w:hAnsi="David" w:cs="David"/>
          <w:sz w:val="24"/>
          <w:szCs w:val="24"/>
          <w:rtl/>
        </w:rPr>
        <w:t xml:space="preserve">התנהגותו של הנאשם לוקה בפגמים קשים וחמורים </w:t>
      </w:r>
      <w:proofErr w:type="spellStart"/>
      <w:r w:rsidR="0070339A" w:rsidRPr="0070339A">
        <w:rPr>
          <w:rFonts w:ascii="David" w:hAnsi="David" w:cs="David"/>
          <w:sz w:val="24"/>
          <w:szCs w:val="24"/>
          <w:rtl/>
        </w:rPr>
        <w:t>מאוד:ב</w:t>
      </w:r>
      <w:proofErr w:type="spellEnd"/>
      <w:r w:rsidR="0070339A" w:rsidRPr="0070339A">
        <w:rPr>
          <w:rFonts w:ascii="David" w:hAnsi="David" w:cs="David"/>
          <w:sz w:val="24"/>
          <w:szCs w:val="24"/>
          <w:rtl/>
        </w:rPr>
        <w:t xml:space="preserve"> המעשים שבעטיים הורשע פגומים הם מבחינתו של כל בעל תפקיד במנהל תקין, ומכל שכן שחמורים וקשים הם, משנעשו על-ידי מי שממלא תפקיד שיפוטי </w:t>
      </w:r>
      <w:r w:rsidR="0070339A" w:rsidRPr="0070339A">
        <w:rPr>
          <w:rFonts w:ascii="David" w:hAnsi="David" w:cs="David" w:hint="cs"/>
          <w:sz w:val="24"/>
          <w:szCs w:val="24"/>
          <w:rtl/>
        </w:rPr>
        <w:t xml:space="preserve">. </w:t>
      </w:r>
      <w:r w:rsidR="0070339A" w:rsidRPr="0070339A">
        <w:rPr>
          <w:rFonts w:ascii="David" w:hAnsi="David" w:cs="David"/>
          <w:sz w:val="24"/>
          <w:szCs w:val="24"/>
          <w:rtl/>
        </w:rPr>
        <w:t xml:space="preserve">התנהגותו של הנאשם יש בה משום פגיעה חמורה וקשה באורח התנהגותו של שופט בישראל בעשותו במלאכת השפיטה, ופגעה ופוגעת </w:t>
      </w:r>
      <w:r w:rsidR="0070339A" w:rsidRPr="0070339A">
        <w:rPr>
          <w:rFonts w:ascii="David" w:hAnsi="David" w:cs="David"/>
          <w:sz w:val="24"/>
          <w:szCs w:val="24"/>
          <w:rtl/>
        </w:rPr>
        <w:lastRenderedPageBreak/>
        <w:t>היא קשות בדמותו של בית המשפט ובתדמיתה של המערכת השיפוטית</w:t>
      </w:r>
      <w:r w:rsidR="0070339A">
        <w:rPr>
          <w:rFonts w:ascii="David" w:hAnsi="David" w:cs="David" w:hint="cs"/>
          <w:sz w:val="24"/>
          <w:szCs w:val="24"/>
          <w:rtl/>
        </w:rPr>
        <w:t xml:space="preserve">. </w:t>
      </w:r>
      <w:r w:rsidR="0070339A" w:rsidRPr="0070339A">
        <w:rPr>
          <w:rFonts w:ascii="David" w:hAnsi="David" w:cs="David"/>
          <w:sz w:val="24"/>
          <w:szCs w:val="24"/>
          <w:rtl/>
        </w:rPr>
        <w:t>) משהורשע הנאשם בהתנהגות שלא כהלכה במילוי תפקידו, והתנהגות זו התבטאה במעשים, שחזרו ונשנו בזה אחר זה, דין הוא</w:t>
      </w:r>
      <w:r w:rsidR="0070339A" w:rsidRPr="0070339A">
        <w:rPr>
          <w:rFonts w:ascii="David" w:hAnsi="David" w:cs="David"/>
          <w:sz w:val="24"/>
          <w:szCs w:val="24"/>
        </w:rPr>
        <w:t xml:space="preserve">, </w:t>
      </w:r>
      <w:r w:rsidR="0070339A" w:rsidRPr="0070339A">
        <w:rPr>
          <w:rFonts w:ascii="David" w:hAnsi="David" w:cs="David"/>
          <w:sz w:val="24"/>
          <w:szCs w:val="24"/>
          <w:rtl/>
        </w:rPr>
        <w:t>שייגזר עליו אמצעי המשמעת החמור מבין האמצעים שבית הדין למשמעת מוסמך להשיתו, היינו, העברה מן הכהונה כשופט</w:t>
      </w:r>
      <w:r w:rsidR="008A6CD9">
        <w:rPr>
          <w:rFonts w:ascii="David" w:hAnsi="David" w:cs="David" w:hint="cs"/>
          <w:sz w:val="24"/>
          <w:szCs w:val="24"/>
          <w:rtl/>
        </w:rPr>
        <w:t xml:space="preserve">. </w:t>
      </w:r>
    </w:p>
    <w:p w14:paraId="21B0956A" w14:textId="77777777" w:rsidR="008A6CD9" w:rsidRDefault="00120DEE" w:rsidP="00D27B70">
      <w:pPr>
        <w:pStyle w:val="a4"/>
        <w:numPr>
          <w:ilvl w:val="0"/>
          <w:numId w:val="4"/>
        </w:numPr>
        <w:spacing w:after="120" w:line="360" w:lineRule="auto"/>
        <w:ind w:left="-199"/>
        <w:jc w:val="both"/>
        <w:rPr>
          <w:rFonts w:ascii="David" w:hAnsi="David" w:cs="David"/>
          <w:sz w:val="24"/>
          <w:szCs w:val="24"/>
        </w:rPr>
      </w:pPr>
      <w:r w:rsidRPr="00120DEE">
        <w:rPr>
          <w:rFonts w:ascii="David" w:hAnsi="David" w:cs="David" w:hint="cs"/>
          <w:b/>
          <w:bCs/>
          <w:sz w:val="24"/>
          <w:szCs w:val="24"/>
          <w:rtl/>
        </w:rPr>
        <w:t>שר המשפטים נ' השופט בן שחר חריפאי - עובדות:</w:t>
      </w:r>
      <w:r>
        <w:rPr>
          <w:rFonts w:ascii="David" w:hAnsi="David" w:cs="David" w:hint="cs"/>
          <w:sz w:val="24"/>
          <w:szCs w:val="24"/>
          <w:rtl/>
        </w:rPr>
        <w:t xml:space="preserve"> </w:t>
      </w:r>
      <w:r w:rsidRPr="00120DEE">
        <w:rPr>
          <w:rFonts w:ascii="David" w:hAnsi="David" w:cs="David"/>
          <w:sz w:val="24"/>
          <w:szCs w:val="24"/>
          <w:rtl/>
        </w:rPr>
        <w:t>הנאשם כיהן כשופט בבית המשפט לתעבורה. בין היתר, הודה הנאשם בקיום שיחה עם אביו של נהג שנשפט לפניו. אבי הנהג, שהיה ממכריו של הנאשם, התערב למען בנו וביקש לבטל את פסק הדין שנגזר על הנאשם. לאחר ביטול פסק הדין, התרשל הנשם בבדיקת רישיון הנהיגה של אותו נהג, דבר שגרם להמרת האישומים נגדו, כן הודה הנאשם בקבלת כרטיסי הזמנה למשחקי כדורסל מעורך-דין, שנהג להופיע רבות בבתי המשפט לתעבורה. הנאשם ביקש לראות כנסיבה מקילה את העומס הרב של תיקים הקבועים לשמיעה מדי יום ביומו בבית המשפט לתעבורה</w:t>
      </w:r>
      <w:r w:rsidRPr="00120DEE">
        <w:rPr>
          <w:rFonts w:ascii="David" w:hAnsi="David" w:cs="David" w:hint="cs"/>
          <w:sz w:val="24"/>
          <w:szCs w:val="24"/>
          <w:rtl/>
        </w:rPr>
        <w:t xml:space="preserve">. </w:t>
      </w:r>
      <w:r w:rsidRPr="00120DEE">
        <w:rPr>
          <w:rFonts w:ascii="David" w:hAnsi="David" w:cs="David" w:hint="cs"/>
          <w:b/>
          <w:bCs/>
          <w:sz w:val="24"/>
          <w:szCs w:val="24"/>
          <w:rtl/>
        </w:rPr>
        <w:t>פסיקת בית המשפט:</w:t>
      </w:r>
      <w:r w:rsidRPr="00120DEE">
        <w:rPr>
          <w:rFonts w:ascii="David" w:hAnsi="David" w:cs="David" w:hint="cs"/>
          <w:sz w:val="24"/>
          <w:szCs w:val="24"/>
          <w:rtl/>
        </w:rPr>
        <w:t xml:space="preserve"> </w:t>
      </w:r>
      <w:r w:rsidRPr="00120DEE">
        <w:rPr>
          <w:rFonts w:ascii="David" w:hAnsi="David" w:cs="David"/>
          <w:sz w:val="24"/>
          <w:szCs w:val="24"/>
          <w:rtl/>
        </w:rPr>
        <w:t xml:space="preserve">המעשים, שבהם הורשע הנאשם, אינם עולים בקנה אחד עם ההתנהגות, המצופה מאת שופט בישראל; מאת שופט נדרשות </w:t>
      </w:r>
      <w:proofErr w:type="spellStart"/>
      <w:r w:rsidRPr="00120DEE">
        <w:rPr>
          <w:rFonts w:ascii="David" w:hAnsi="David" w:cs="David"/>
          <w:sz w:val="24"/>
          <w:szCs w:val="24"/>
          <w:rtl/>
        </w:rPr>
        <w:t>עירנות</w:t>
      </w:r>
      <w:proofErr w:type="spellEnd"/>
      <w:r w:rsidRPr="00120DEE">
        <w:rPr>
          <w:rFonts w:ascii="David" w:hAnsi="David" w:cs="David"/>
          <w:sz w:val="24"/>
          <w:szCs w:val="24"/>
          <w:rtl/>
        </w:rPr>
        <w:t xml:space="preserve"> יתרה ובדיקה מדוקדקת של המסמכים, המובאים לפניו ושעל פיהם הוא דן את הדין</w:t>
      </w:r>
      <w:r w:rsidRPr="00120DEE">
        <w:rPr>
          <w:rFonts w:ascii="David" w:hAnsi="David" w:cs="David" w:hint="cs"/>
          <w:sz w:val="24"/>
          <w:szCs w:val="24"/>
          <w:rtl/>
        </w:rPr>
        <w:t xml:space="preserve">. </w:t>
      </w:r>
      <w:r w:rsidRPr="00120DEE">
        <w:rPr>
          <w:rFonts w:ascii="David" w:hAnsi="David" w:cs="David"/>
          <w:sz w:val="24"/>
          <w:szCs w:val="24"/>
          <w:rtl/>
        </w:rPr>
        <w:t xml:space="preserve">שופט מצווה לגזור על עצמו להימנע מכל </w:t>
      </w:r>
      <w:proofErr w:type="spellStart"/>
      <w:r w:rsidRPr="00120DEE">
        <w:rPr>
          <w:rFonts w:ascii="David" w:hAnsi="David" w:cs="David"/>
          <w:sz w:val="24"/>
          <w:szCs w:val="24"/>
          <w:rtl/>
        </w:rPr>
        <w:t>שיג</w:t>
      </w:r>
      <w:proofErr w:type="spellEnd"/>
      <w:r w:rsidRPr="00120DEE">
        <w:rPr>
          <w:rFonts w:ascii="David" w:hAnsi="David" w:cs="David"/>
          <w:sz w:val="24"/>
          <w:szCs w:val="24"/>
          <w:rtl/>
        </w:rPr>
        <w:t xml:space="preserve"> ושיח עם בעלי הדין או עם בעלי עניין אחרים בכל הקשור לנושא המשפטי התלוי ועומד לפניו, גם אם לעתים גזירה זו גזירה קשה היא, במיוחד לשופט שדעתו מעורבת עם הבריות</w:t>
      </w:r>
      <w:r w:rsidRPr="00120DEE">
        <w:rPr>
          <w:rFonts w:ascii="David" w:hAnsi="David" w:cs="David" w:hint="cs"/>
          <w:sz w:val="24"/>
          <w:szCs w:val="24"/>
          <w:rtl/>
        </w:rPr>
        <w:t xml:space="preserve">. </w:t>
      </w:r>
      <w:r w:rsidRPr="00120DEE">
        <w:rPr>
          <w:rFonts w:ascii="David" w:hAnsi="David" w:cs="David"/>
          <w:sz w:val="24"/>
          <w:szCs w:val="24"/>
          <w:rtl/>
        </w:rPr>
        <w:t xml:space="preserve">שופט מצווה להתרחק מכל מעשה ומכל שיחה שיכול שיביאו ללזות שפתיים ולחשדנותן של בריות, גם א אין לחשדנות זו בסיס עובדתי כלשהו. לזות שפתיים יש בה משום </w:t>
      </w:r>
      <w:proofErr w:type="spellStart"/>
      <w:r w:rsidRPr="00120DEE">
        <w:rPr>
          <w:rFonts w:ascii="David" w:hAnsi="David" w:cs="David"/>
          <w:sz w:val="24"/>
          <w:szCs w:val="24"/>
          <w:rtl/>
        </w:rPr>
        <w:t>זילותא</w:t>
      </w:r>
      <w:proofErr w:type="spellEnd"/>
      <w:r w:rsidRPr="00120DEE">
        <w:rPr>
          <w:rFonts w:ascii="David" w:hAnsi="David" w:cs="David"/>
          <w:sz w:val="24"/>
          <w:szCs w:val="24"/>
          <w:rtl/>
        </w:rPr>
        <w:t xml:space="preserve"> דבי-</w:t>
      </w:r>
      <w:proofErr w:type="spellStart"/>
      <w:r w:rsidRPr="00120DEE">
        <w:rPr>
          <w:rFonts w:ascii="David" w:hAnsi="David" w:cs="David"/>
          <w:sz w:val="24"/>
          <w:szCs w:val="24"/>
          <w:rtl/>
        </w:rPr>
        <w:t>דינא</w:t>
      </w:r>
      <w:proofErr w:type="spellEnd"/>
      <w:r w:rsidRPr="00120DEE">
        <w:rPr>
          <w:rFonts w:ascii="David" w:hAnsi="David" w:cs="David"/>
          <w:sz w:val="24"/>
          <w:szCs w:val="24"/>
          <w:rtl/>
        </w:rPr>
        <w:t>, והשופט מצווה על שמירת כבודה ואמינותה של מערכת השיפוט, שהוא נמנה עם חבריה</w:t>
      </w:r>
      <w:r w:rsidRPr="00120DEE">
        <w:rPr>
          <w:rFonts w:ascii="David" w:hAnsi="David" w:cs="David" w:hint="cs"/>
          <w:sz w:val="24"/>
          <w:szCs w:val="24"/>
          <w:rtl/>
        </w:rPr>
        <w:t xml:space="preserve">. </w:t>
      </w:r>
      <w:r w:rsidRPr="00120DEE">
        <w:rPr>
          <w:rFonts w:ascii="David" w:hAnsi="David" w:cs="David"/>
          <w:sz w:val="24"/>
          <w:szCs w:val="24"/>
          <w:rtl/>
        </w:rPr>
        <w:t>בפרסום פסק הדין בנסיבות דנן, יש כדי להביא לידיעת השופטים וכלל הציבור, מה הן מידות ההתנהגות הנדרשות מאת שופט בישראל, וכדי לתקן עוול שנגרם לנאשם כתוצאה מהפצת ידיעות ושמועות בציבור ובכלי התקשורת, שייחסו לו מעשים שמעולם לא נכשל בהם ולא הואשם בהם</w:t>
      </w:r>
      <w:r w:rsidR="00E93778">
        <w:rPr>
          <w:rFonts w:ascii="David" w:hAnsi="David" w:cs="David" w:hint="cs"/>
          <w:sz w:val="24"/>
          <w:szCs w:val="24"/>
          <w:rtl/>
        </w:rPr>
        <w:t>.</w:t>
      </w:r>
    </w:p>
    <w:p w14:paraId="0E60CEBD" w14:textId="77777777" w:rsidR="00E93778" w:rsidRDefault="00E93778" w:rsidP="00E93778">
      <w:pPr>
        <w:pStyle w:val="a4"/>
        <w:spacing w:after="120" w:line="360" w:lineRule="auto"/>
        <w:ind w:left="-199"/>
        <w:jc w:val="both"/>
        <w:rPr>
          <w:rFonts w:ascii="David" w:hAnsi="David" w:cs="David"/>
          <w:sz w:val="24"/>
          <w:szCs w:val="24"/>
        </w:rPr>
      </w:pPr>
    </w:p>
    <w:p w14:paraId="32E7EA39" w14:textId="77777777" w:rsidR="00E93778" w:rsidRDefault="00E93778" w:rsidP="00D27B70">
      <w:pPr>
        <w:pStyle w:val="a4"/>
        <w:numPr>
          <w:ilvl w:val="0"/>
          <w:numId w:val="4"/>
        </w:numPr>
        <w:spacing w:after="120" w:line="360" w:lineRule="auto"/>
        <w:ind w:left="-199"/>
        <w:jc w:val="both"/>
        <w:rPr>
          <w:rFonts w:ascii="David" w:hAnsi="David" w:cs="David"/>
          <w:sz w:val="24"/>
          <w:szCs w:val="24"/>
        </w:rPr>
      </w:pPr>
      <w:r w:rsidRPr="000110D7">
        <w:rPr>
          <w:rFonts w:ascii="David" w:hAnsi="David" w:cs="David" w:hint="cs"/>
          <w:b/>
          <w:bCs/>
          <w:sz w:val="24"/>
          <w:szCs w:val="24"/>
          <w:rtl/>
        </w:rPr>
        <w:t xml:space="preserve">פס"ד רונית </w:t>
      </w:r>
      <w:proofErr w:type="spellStart"/>
      <w:r w:rsidRPr="000110D7">
        <w:rPr>
          <w:rFonts w:ascii="David" w:hAnsi="David" w:cs="David" w:hint="cs"/>
          <w:b/>
          <w:bCs/>
          <w:sz w:val="24"/>
          <w:szCs w:val="24"/>
          <w:rtl/>
        </w:rPr>
        <w:t>פוזננסקי</w:t>
      </w:r>
      <w:proofErr w:type="spellEnd"/>
      <w:r w:rsidRPr="000110D7">
        <w:rPr>
          <w:rFonts w:ascii="David" w:hAnsi="David" w:cs="David" w:hint="cs"/>
          <w:b/>
          <w:bCs/>
          <w:sz w:val="24"/>
          <w:szCs w:val="24"/>
          <w:rtl/>
        </w:rPr>
        <w:t xml:space="preserve"> כץ</w:t>
      </w:r>
      <w:r>
        <w:rPr>
          <w:rFonts w:ascii="David" w:hAnsi="David" w:cs="David" w:hint="cs"/>
          <w:sz w:val="24"/>
          <w:szCs w:val="24"/>
          <w:rtl/>
        </w:rPr>
        <w:t xml:space="preserve"> - </w:t>
      </w:r>
      <w:r w:rsidR="000110D7" w:rsidRPr="000110D7">
        <w:rPr>
          <w:rFonts w:ascii="David" w:hAnsi="David" w:cs="David"/>
          <w:sz w:val="24"/>
          <w:szCs w:val="24"/>
          <w:rtl/>
        </w:rPr>
        <w:t xml:space="preserve">בג"ץ </w:t>
      </w:r>
      <w:r w:rsidR="000110D7" w:rsidRPr="000110D7">
        <w:rPr>
          <w:rFonts w:ascii="David" w:hAnsi="David" w:cs="David"/>
          <w:b/>
          <w:bCs/>
          <w:sz w:val="24"/>
          <w:szCs w:val="24"/>
          <w:rtl/>
        </w:rPr>
        <w:t>פסק ברוב דעות</w:t>
      </w:r>
      <w:r w:rsidR="000110D7" w:rsidRPr="000110D7">
        <w:rPr>
          <w:rFonts w:ascii="David" w:hAnsi="David" w:cs="David"/>
          <w:sz w:val="24"/>
          <w:szCs w:val="24"/>
          <w:rtl/>
        </w:rPr>
        <w:t xml:space="preserve"> (השופטים פוגלמן </w:t>
      </w:r>
      <w:proofErr w:type="spellStart"/>
      <w:r w:rsidR="000110D7" w:rsidRPr="000110D7">
        <w:rPr>
          <w:rFonts w:ascii="David" w:hAnsi="David" w:cs="David"/>
          <w:sz w:val="24"/>
          <w:szCs w:val="24"/>
          <w:rtl/>
        </w:rPr>
        <w:t>וסולברג</w:t>
      </w:r>
      <w:proofErr w:type="spellEnd"/>
      <w:r w:rsidR="000110D7" w:rsidRPr="000110D7">
        <w:rPr>
          <w:rFonts w:ascii="David" w:hAnsi="David" w:cs="David"/>
          <w:sz w:val="24"/>
          <w:szCs w:val="24"/>
          <w:rtl/>
        </w:rPr>
        <w:t>, נגד דעתה החולקת של השופטת ד' ברק-ארז), כי בית הדין המשמעתי לשופטים אינו מוסמך להורות על עונש מסוג השעיה; הוחלט ברוב דעות (השופטים סולברג וד' ברק-ארז, נגד דעתו החולקת של השופט פוגלמן) לבטל את גזר הדין ולקבוע כי אין להעביר את העותרת מכהונתה כשופטת. על העותרת יוטל עונש מסוג נזיפה, בשים לב לתקופת השעייתה הזמנית. כמו כן, ביהמ"ש רשם לפניו את התחייבויות העותרת ליציאה לחופשה ללא תשלום עד ליום 22.3.2019, הימנעות מדיון בהליכים פליליים למשך שנתיים והשבת השכר המופחת ששולם לה בתקופת ההשעיה.</w:t>
      </w:r>
    </w:p>
    <w:p w14:paraId="06116414" w14:textId="77777777" w:rsidR="007F61A0" w:rsidRPr="007F61A0" w:rsidRDefault="007F61A0" w:rsidP="007F61A0">
      <w:pPr>
        <w:pStyle w:val="a4"/>
        <w:rPr>
          <w:rFonts w:ascii="David" w:hAnsi="David" w:cs="David"/>
          <w:sz w:val="24"/>
          <w:szCs w:val="24"/>
          <w:rtl/>
        </w:rPr>
      </w:pPr>
    </w:p>
    <w:p w14:paraId="6438FECC" w14:textId="77777777" w:rsidR="007F61A0" w:rsidRDefault="007F61A0" w:rsidP="007F61A0">
      <w:pPr>
        <w:pStyle w:val="a4"/>
        <w:spacing w:after="120" w:line="360" w:lineRule="auto"/>
        <w:ind w:left="-199"/>
        <w:jc w:val="both"/>
        <w:rPr>
          <w:rFonts w:ascii="David" w:hAnsi="David" w:cs="David"/>
          <w:sz w:val="24"/>
          <w:szCs w:val="24"/>
          <w:rtl/>
        </w:rPr>
      </w:pPr>
      <w:r w:rsidRPr="005B32D7">
        <w:rPr>
          <w:rFonts w:ascii="David" w:hAnsi="David" w:cs="David"/>
          <w:b/>
          <w:bCs/>
          <w:sz w:val="24"/>
          <w:szCs w:val="24"/>
          <w:rtl/>
        </w:rPr>
        <w:t>רקע:</w:t>
      </w:r>
      <w:r w:rsidRPr="007F61A0">
        <w:rPr>
          <w:rFonts w:ascii="David" w:hAnsi="David" w:cs="David"/>
          <w:sz w:val="24"/>
          <w:szCs w:val="24"/>
          <w:rtl/>
        </w:rPr>
        <w:t xml:space="preserve"> העותרת שמונתה לכהונת שופטת בבימ"ש שלום בת"א, הועמדה לדין משמעתי בעקבות החלפת מסרוני </w:t>
      </w:r>
      <w:proofErr w:type="spellStart"/>
      <w:r w:rsidRPr="007F61A0">
        <w:rPr>
          <w:rFonts w:ascii="David" w:hAnsi="David" w:cs="David"/>
          <w:sz w:val="24"/>
          <w:szCs w:val="24"/>
          <w:rtl/>
        </w:rPr>
        <w:t>וואטסאפ</w:t>
      </w:r>
      <w:proofErr w:type="spellEnd"/>
      <w:r w:rsidRPr="007F61A0">
        <w:rPr>
          <w:rFonts w:ascii="David" w:hAnsi="David" w:cs="David"/>
          <w:sz w:val="24"/>
          <w:szCs w:val="24"/>
          <w:rtl/>
        </w:rPr>
        <w:t xml:space="preserve"> בינה לבין הפרקליט שטיפל בהליכי המעצר ב"תיק בזק" ו"תיק 4000". תחילה עסקו ההתכתבויות בעניינים לוגיסטיים כגון תיאום מועדים שבהם תוכל השופטת לחתום על צווים שנדרשו לגוף החוקר. ככל שנקף הזמן החלו ההתכתבויות עוטות אופי אישי ובלתי פורמלי, הגם שמבחינת תוכנן הוסיפו לעסוק בהליכי המעצר. העותרת והמשיבה הגיעו להסדר טיעון שלפיו העותרת תודה במיוחס לה, והמשיבה תעתור לעונש מסוג השעיה. בנתון להסכמה זו, הודתה העותרת בעובדות הקובלנה ובאשמה והורשעה בהתנהגות שאינה הולמת שופט ובהפרה של כללי האתיקה לשופטים. ביה"ד המשמעתי קבע כי התנהלותה של העותרת חרגה במידה משמעותית מן המצופה, הנדרש והמתחייב משופט מכהן. בית הדין קבע כי</w:t>
      </w:r>
      <w:r w:rsidR="00410AD6">
        <w:rPr>
          <w:rFonts w:ascii="David" w:hAnsi="David" w:cs="David" w:hint="cs"/>
          <w:sz w:val="24"/>
          <w:szCs w:val="24"/>
          <w:rtl/>
        </w:rPr>
        <w:t xml:space="preserve"> </w:t>
      </w:r>
      <w:r w:rsidRPr="007F61A0">
        <w:rPr>
          <w:rFonts w:ascii="David" w:hAnsi="David" w:cs="David"/>
          <w:sz w:val="24"/>
          <w:szCs w:val="24"/>
          <w:rtl/>
        </w:rPr>
        <w:t xml:space="preserve">הוא אינו מוסמך להורות על השעיית העותרת לתקופה </w:t>
      </w:r>
      <w:r w:rsidRPr="007F61A0">
        <w:rPr>
          <w:rFonts w:ascii="David" w:hAnsi="David" w:cs="David"/>
          <w:sz w:val="24"/>
          <w:szCs w:val="24"/>
          <w:rtl/>
        </w:rPr>
        <w:lastRenderedPageBreak/>
        <w:t>קצובה. בהינתן מסקנתו זו, נדרש בית הדין לאמצעי המשמעת ההולם בנסיבות העניין. נמצא כי שלושת אמצעי המשמעת הקלים המנויים בסעיפים 19(1)-(3) בחוק – הערה, התראה ונזיפה – אינם חמורים דיים ביחס לנסיבות המקרה. אמצעי המשמעת הבא בחומרתו – העברה למקום כהונה אחר, לא התבקש על ידי המשיבה, וגם רלוונטי בעיקר במקרים שבהם עבירת המשמעת קשורה למקום הכהונה, ולא כך בענייננו. בהמשך למסקנות אלו קבע ביה"ד כי אמצעי המשמעת הנותר, העברת העותרת מכהונתה לצמיתות, הוא אמצעי המשמעת המתאים בנסיבות העניין. מכאן העתירה.</w:t>
      </w:r>
    </w:p>
    <w:p w14:paraId="7993C667" w14:textId="77777777" w:rsidR="007F61A0" w:rsidRDefault="007F61A0" w:rsidP="007F61A0">
      <w:pPr>
        <w:pStyle w:val="a4"/>
        <w:spacing w:after="120" w:line="360" w:lineRule="auto"/>
        <w:ind w:left="-199"/>
        <w:jc w:val="both"/>
        <w:rPr>
          <w:rFonts w:ascii="David" w:hAnsi="David" w:cs="David"/>
          <w:sz w:val="24"/>
          <w:szCs w:val="24"/>
          <w:rtl/>
        </w:rPr>
      </w:pPr>
    </w:p>
    <w:p w14:paraId="352F45A5" w14:textId="77777777" w:rsidR="007F61A0" w:rsidRPr="007F61A0" w:rsidRDefault="007F61A0" w:rsidP="007F61A0">
      <w:pPr>
        <w:pStyle w:val="a4"/>
        <w:spacing w:after="120" w:line="360" w:lineRule="auto"/>
        <w:ind w:left="-199"/>
        <w:jc w:val="both"/>
        <w:rPr>
          <w:rFonts w:ascii="David" w:hAnsi="David" w:cs="David"/>
          <w:b/>
          <w:bCs/>
          <w:sz w:val="24"/>
          <w:szCs w:val="24"/>
        </w:rPr>
      </w:pPr>
      <w:r w:rsidRPr="007F61A0">
        <w:rPr>
          <w:rFonts w:ascii="David" w:hAnsi="David" w:cs="David"/>
          <w:sz w:val="24"/>
          <w:szCs w:val="24"/>
          <w:rtl/>
        </w:rPr>
        <w:t>במישור העקרוני נדרש בג"ץ לשאלת פרשנותו הנכונה של סעיף 19(5) לחוק בתי המשפט [נוסח משולב], התשמ"ד-1984 (להלן: חוק בתי המשפט) – האם בית הדין המשמעתי לשופטים מוסמך להטיל על שופט עונש של השעיה מתפקיד. במישור הפרטני יש להכריע בשאלת אמצעִי-המשמעת ההולם את מעשיה של העותרת.</w:t>
      </w:r>
      <w:r>
        <w:rPr>
          <w:rFonts w:ascii="David" w:hAnsi="David" w:cs="David" w:hint="cs"/>
          <w:sz w:val="24"/>
          <w:szCs w:val="24"/>
          <w:rtl/>
        </w:rPr>
        <w:t xml:space="preserve"> </w:t>
      </w:r>
      <w:r>
        <w:rPr>
          <w:rFonts w:ascii="David" w:hAnsi="David" w:cs="David" w:hint="cs"/>
          <w:b/>
          <w:bCs/>
          <w:sz w:val="24"/>
          <w:szCs w:val="24"/>
          <w:rtl/>
        </w:rPr>
        <w:t xml:space="preserve">במישור הסמכות, נקבע ברוב דעות שבית הדין המשמעתי לשופטים לא מוסמך להטיל אמצעי משמעת מסוג השעיה. </w:t>
      </w:r>
    </w:p>
    <w:p w14:paraId="718F97E4" w14:textId="77777777" w:rsidR="00E93778" w:rsidRPr="00E93778" w:rsidRDefault="00E93778" w:rsidP="00E93778">
      <w:pPr>
        <w:pStyle w:val="a4"/>
        <w:rPr>
          <w:rFonts w:ascii="David" w:hAnsi="David" w:cs="David"/>
          <w:sz w:val="24"/>
          <w:szCs w:val="24"/>
          <w:rtl/>
        </w:rPr>
      </w:pPr>
    </w:p>
    <w:p w14:paraId="2CC2F493" w14:textId="77777777" w:rsidR="00410AD6" w:rsidRPr="005B32D7" w:rsidRDefault="00410AD6" w:rsidP="00410AD6">
      <w:pPr>
        <w:pStyle w:val="a4"/>
        <w:spacing w:after="120" w:line="360" w:lineRule="auto"/>
        <w:ind w:left="-199"/>
        <w:jc w:val="both"/>
        <w:rPr>
          <w:rFonts w:ascii="David" w:hAnsi="David" w:cs="David"/>
          <w:b/>
          <w:bCs/>
          <w:sz w:val="24"/>
          <w:szCs w:val="24"/>
          <w:u w:val="single"/>
          <w:rtl/>
        </w:rPr>
      </w:pPr>
      <w:r w:rsidRPr="005B32D7">
        <w:rPr>
          <w:rFonts w:ascii="David" w:hAnsi="David" w:cs="David" w:hint="cs"/>
          <w:b/>
          <w:bCs/>
          <w:sz w:val="24"/>
          <w:szCs w:val="24"/>
          <w:u w:val="single"/>
          <w:rtl/>
        </w:rPr>
        <w:t xml:space="preserve">מאמר: </w:t>
      </w:r>
      <w:r w:rsidRPr="005B32D7">
        <w:rPr>
          <w:rFonts w:ascii="David" w:hAnsi="David" w:cs="David"/>
          <w:b/>
          <w:bCs/>
          <w:sz w:val="24"/>
          <w:szCs w:val="24"/>
          <w:u w:val="single"/>
          <w:rtl/>
        </w:rPr>
        <w:t>"שפיטה מתגוננת"</w:t>
      </w:r>
    </w:p>
    <w:p w14:paraId="4E2D70DC" w14:textId="77777777" w:rsidR="00410AD6" w:rsidRPr="00410AD6" w:rsidRDefault="00410AD6" w:rsidP="00410AD6">
      <w:pPr>
        <w:pStyle w:val="a4"/>
        <w:spacing w:after="120" w:line="360" w:lineRule="auto"/>
        <w:ind w:left="-199"/>
        <w:jc w:val="both"/>
        <w:rPr>
          <w:rFonts w:ascii="David" w:hAnsi="David" w:cs="David"/>
          <w:sz w:val="24"/>
          <w:szCs w:val="24"/>
          <w:rtl/>
        </w:rPr>
      </w:pPr>
      <w:r w:rsidRPr="00410AD6">
        <w:rPr>
          <w:rFonts w:ascii="David" w:hAnsi="David" w:cs="David"/>
          <w:sz w:val="24"/>
          <w:szCs w:val="24"/>
          <w:rtl/>
        </w:rPr>
        <w:t>ההתמודדות של בתי המשפט עם אמון הציבור. המאפיינים במחקר של קליין שמתייחסים לאמון הציבור:</w:t>
      </w:r>
    </w:p>
    <w:p w14:paraId="404F905F" w14:textId="77777777" w:rsidR="00410AD6" w:rsidRPr="00410AD6" w:rsidRDefault="00410AD6" w:rsidP="00410AD6">
      <w:pPr>
        <w:pStyle w:val="a4"/>
        <w:spacing w:after="120" w:line="360" w:lineRule="auto"/>
        <w:ind w:left="-199"/>
        <w:jc w:val="both"/>
        <w:rPr>
          <w:rFonts w:ascii="David" w:hAnsi="David" w:cs="David"/>
          <w:sz w:val="24"/>
          <w:szCs w:val="24"/>
          <w:rtl/>
        </w:rPr>
      </w:pPr>
      <w:r w:rsidRPr="00410AD6">
        <w:rPr>
          <w:rFonts w:ascii="David" w:hAnsi="David" w:cs="David"/>
          <w:sz w:val="24"/>
          <w:szCs w:val="24"/>
        </w:rPr>
        <w:t>ü</w:t>
      </w:r>
      <w:r w:rsidRPr="00410AD6">
        <w:rPr>
          <w:rFonts w:ascii="David" w:hAnsi="David" w:cs="David"/>
          <w:sz w:val="24"/>
          <w:szCs w:val="24"/>
          <w:rtl/>
        </w:rPr>
        <w:t xml:space="preserve">    יושרו של השופט.</w:t>
      </w:r>
    </w:p>
    <w:p w14:paraId="47626E4B" w14:textId="77777777" w:rsidR="00410AD6" w:rsidRPr="00410AD6" w:rsidRDefault="00410AD6" w:rsidP="00410AD6">
      <w:pPr>
        <w:pStyle w:val="a4"/>
        <w:spacing w:after="120" w:line="360" w:lineRule="auto"/>
        <w:ind w:left="-199"/>
        <w:jc w:val="both"/>
        <w:rPr>
          <w:rFonts w:ascii="David" w:hAnsi="David" w:cs="David"/>
          <w:sz w:val="24"/>
          <w:szCs w:val="24"/>
          <w:rtl/>
        </w:rPr>
      </w:pPr>
      <w:r w:rsidRPr="00410AD6">
        <w:rPr>
          <w:rFonts w:ascii="David" w:hAnsi="David" w:cs="David"/>
          <w:sz w:val="24"/>
          <w:szCs w:val="24"/>
        </w:rPr>
        <w:t>ü</w:t>
      </w:r>
      <w:r w:rsidRPr="00410AD6">
        <w:rPr>
          <w:rFonts w:ascii="David" w:hAnsi="David" w:cs="David"/>
          <w:sz w:val="24"/>
          <w:szCs w:val="24"/>
          <w:rtl/>
        </w:rPr>
        <w:t xml:space="preserve">    שוויון המתדיינים ללא קשר ללאום, דת ,מין או מוצא.</w:t>
      </w:r>
    </w:p>
    <w:p w14:paraId="262E0EA9" w14:textId="77777777" w:rsidR="00410AD6" w:rsidRPr="00410AD6" w:rsidRDefault="00410AD6" w:rsidP="00410AD6">
      <w:pPr>
        <w:pStyle w:val="a4"/>
        <w:spacing w:after="120" w:line="360" w:lineRule="auto"/>
        <w:ind w:left="-199"/>
        <w:jc w:val="both"/>
        <w:rPr>
          <w:rFonts w:ascii="David" w:hAnsi="David" w:cs="David"/>
          <w:sz w:val="24"/>
          <w:szCs w:val="24"/>
          <w:rtl/>
        </w:rPr>
      </w:pPr>
      <w:r w:rsidRPr="00410AD6">
        <w:rPr>
          <w:rFonts w:ascii="David" w:hAnsi="David" w:cs="David"/>
          <w:sz w:val="24"/>
          <w:szCs w:val="24"/>
        </w:rPr>
        <w:t>ü</w:t>
      </w:r>
      <w:r w:rsidRPr="00410AD6">
        <w:rPr>
          <w:rFonts w:ascii="David" w:hAnsi="David" w:cs="David"/>
          <w:sz w:val="24"/>
          <w:szCs w:val="24"/>
          <w:rtl/>
        </w:rPr>
        <w:t xml:space="preserve">    הקשבה פעילה לצדדים.</w:t>
      </w:r>
    </w:p>
    <w:p w14:paraId="4FF533F3" w14:textId="77777777" w:rsidR="00410AD6" w:rsidRPr="00410AD6" w:rsidRDefault="00410AD6" w:rsidP="00410AD6">
      <w:pPr>
        <w:pStyle w:val="a4"/>
        <w:spacing w:after="120" w:line="360" w:lineRule="auto"/>
        <w:ind w:left="-199"/>
        <w:jc w:val="both"/>
        <w:rPr>
          <w:rFonts w:ascii="David" w:hAnsi="David" w:cs="David"/>
          <w:sz w:val="24"/>
          <w:szCs w:val="24"/>
          <w:rtl/>
        </w:rPr>
      </w:pPr>
      <w:r w:rsidRPr="00410AD6">
        <w:rPr>
          <w:rFonts w:ascii="David" w:hAnsi="David" w:cs="David"/>
          <w:sz w:val="24"/>
          <w:szCs w:val="24"/>
        </w:rPr>
        <w:t>ü</w:t>
      </w:r>
      <w:r w:rsidRPr="00410AD6">
        <w:rPr>
          <w:rFonts w:ascii="David" w:hAnsi="David" w:cs="David"/>
          <w:sz w:val="24"/>
          <w:szCs w:val="24"/>
          <w:rtl/>
        </w:rPr>
        <w:t xml:space="preserve">    הסחבת, עינוי הדין – הרבה פעמים גם מי שזכה במשפט הוא מאבד את האמון בבתי המשפט בגלל אותה סחבת.</w:t>
      </w:r>
    </w:p>
    <w:p w14:paraId="0CD6C0DB" w14:textId="77777777" w:rsidR="00410AD6" w:rsidRDefault="00410AD6" w:rsidP="00410AD6">
      <w:pPr>
        <w:pStyle w:val="a4"/>
        <w:spacing w:after="120" w:line="360" w:lineRule="auto"/>
        <w:ind w:left="-199"/>
        <w:jc w:val="both"/>
        <w:rPr>
          <w:rFonts w:ascii="David" w:hAnsi="David" w:cs="David"/>
          <w:sz w:val="24"/>
          <w:szCs w:val="24"/>
          <w:rtl/>
        </w:rPr>
      </w:pPr>
      <w:r w:rsidRPr="00410AD6">
        <w:rPr>
          <w:rFonts w:ascii="David" w:hAnsi="David" w:cs="David"/>
          <w:sz w:val="24"/>
          <w:szCs w:val="24"/>
        </w:rPr>
        <w:t>ü</w:t>
      </w:r>
      <w:r w:rsidRPr="00410AD6">
        <w:rPr>
          <w:rFonts w:ascii="David" w:hAnsi="David" w:cs="David"/>
          <w:sz w:val="24"/>
          <w:szCs w:val="24"/>
          <w:rtl/>
        </w:rPr>
        <w:t xml:space="preserve">    אורח חיים צנוע מצד השופט – המתדיינים רוצים לראות שהשופטים הם צנועים ואין להם חיים ראוותניים.</w:t>
      </w:r>
    </w:p>
    <w:p w14:paraId="25B1414A" w14:textId="77777777" w:rsidR="00672802" w:rsidRPr="00410AD6" w:rsidRDefault="00672802" w:rsidP="00410AD6">
      <w:pPr>
        <w:pStyle w:val="a4"/>
        <w:spacing w:after="120" w:line="360" w:lineRule="auto"/>
        <w:ind w:left="-199"/>
        <w:jc w:val="both"/>
        <w:rPr>
          <w:rFonts w:ascii="David" w:hAnsi="David" w:cs="David"/>
          <w:sz w:val="24"/>
          <w:szCs w:val="24"/>
          <w:rtl/>
        </w:rPr>
      </w:pPr>
    </w:p>
    <w:p w14:paraId="1C228269" w14:textId="77777777" w:rsidR="00410AD6" w:rsidRPr="005B32D7" w:rsidRDefault="00410AD6" w:rsidP="005B32D7">
      <w:pPr>
        <w:pStyle w:val="a4"/>
        <w:spacing w:after="120" w:line="360" w:lineRule="auto"/>
        <w:ind w:left="-199"/>
        <w:jc w:val="both"/>
        <w:rPr>
          <w:rFonts w:ascii="David" w:hAnsi="David" w:cs="David"/>
          <w:sz w:val="24"/>
          <w:szCs w:val="24"/>
          <w:rtl/>
        </w:rPr>
      </w:pPr>
      <w:r w:rsidRPr="00410AD6">
        <w:rPr>
          <w:rFonts w:ascii="David" w:hAnsi="David" w:cs="David"/>
          <w:b/>
          <w:bCs/>
          <w:sz w:val="24"/>
          <w:szCs w:val="24"/>
          <w:rtl/>
        </w:rPr>
        <w:t>המונח "שפיטה מתגוננת" בדומה ל"רפואה מתגוננת"</w:t>
      </w:r>
      <w:r w:rsidRPr="00410AD6">
        <w:rPr>
          <w:rFonts w:ascii="David" w:hAnsi="David" w:cs="David"/>
          <w:sz w:val="24"/>
          <w:szCs w:val="24"/>
          <w:rtl/>
        </w:rPr>
        <w:t xml:space="preserve"> - נוצר מצב בלתי אפשרי שבו השופטים, כמו רופאים נזהרים מלבצע את תפקידם בדרך בה הם רואים לנכון בשל החשש מתביעה עתידית נגד פעולה זו. יתרה מזאת, הם מורים על בדיקות רפואיות או הליכים משפטיים שנחשבים למיותרים בעיניהם כשמטרתן העיקרית היא להימנע מן האפשרות של הסתבכות משפטית.</w:t>
      </w:r>
      <w:r w:rsidR="005B32D7">
        <w:rPr>
          <w:rFonts w:ascii="David" w:hAnsi="David" w:cs="David" w:hint="cs"/>
          <w:sz w:val="24"/>
          <w:szCs w:val="24"/>
          <w:rtl/>
        </w:rPr>
        <w:t xml:space="preserve"> </w:t>
      </w:r>
      <w:r w:rsidRPr="005B32D7">
        <w:rPr>
          <w:rFonts w:ascii="David" w:hAnsi="David" w:cs="David"/>
          <w:b/>
          <w:bCs/>
          <w:sz w:val="24"/>
          <w:szCs w:val="24"/>
          <w:rtl/>
        </w:rPr>
        <w:t xml:space="preserve">נציב תלונות הציבור על השופטים </w:t>
      </w:r>
      <w:r w:rsidR="00C43452" w:rsidRPr="005B32D7">
        <w:rPr>
          <w:rFonts w:ascii="David" w:hAnsi="David" w:cs="David" w:hint="cs"/>
          <w:b/>
          <w:bCs/>
          <w:sz w:val="24"/>
          <w:szCs w:val="24"/>
          <w:rtl/>
        </w:rPr>
        <w:t>-</w:t>
      </w:r>
      <w:r w:rsidRPr="005B32D7">
        <w:rPr>
          <w:rFonts w:ascii="David" w:hAnsi="David" w:cs="David"/>
          <w:sz w:val="24"/>
          <w:szCs w:val="24"/>
          <w:rtl/>
        </w:rPr>
        <w:t xml:space="preserve"> המוסד הזה קיים בהרבה מדינות והוא מיועד למנוע תופעות של שוחד שופטים – תופעה שלא קיימת בישראל.</w:t>
      </w:r>
      <w:r w:rsidR="005B32D7" w:rsidRPr="005B32D7">
        <w:rPr>
          <w:rFonts w:ascii="David" w:hAnsi="David" w:cs="David" w:hint="cs"/>
          <w:sz w:val="24"/>
          <w:szCs w:val="24"/>
          <w:rtl/>
        </w:rPr>
        <w:t xml:space="preserve"> </w:t>
      </w:r>
      <w:r w:rsidRPr="005B32D7">
        <w:rPr>
          <w:rFonts w:ascii="David" w:hAnsi="David" w:cs="David"/>
          <w:b/>
          <w:bCs/>
          <w:sz w:val="24"/>
          <w:szCs w:val="24"/>
          <w:rtl/>
        </w:rPr>
        <w:t xml:space="preserve">בישראל </w:t>
      </w:r>
      <w:r w:rsidRPr="005B32D7">
        <w:rPr>
          <w:rFonts w:ascii="David" w:hAnsi="David" w:cs="David" w:hint="cs"/>
          <w:b/>
          <w:bCs/>
          <w:sz w:val="24"/>
          <w:szCs w:val="24"/>
          <w:rtl/>
        </w:rPr>
        <w:t>-</w:t>
      </w:r>
      <w:r w:rsidRPr="005B32D7">
        <w:rPr>
          <w:rFonts w:ascii="David" w:hAnsi="David" w:cs="David"/>
          <w:sz w:val="24"/>
          <w:szCs w:val="24"/>
          <w:rtl/>
        </w:rPr>
        <w:t xml:space="preserve"> נכון להיום הנציב מפקח על הסחבת בתיקים. יש לציין כי ברוב המדינות בעולם מי שמטפל בסוגיית הסחבת היא הנהלת בתי המשפט שהיא גוף מפקח של משרד המשפטים. בשל העובדה שבארץ הנהלת בתי המשפט נכשלה בתפקידה זה, הנציב ממלא את הוואקום בתחום זה. כמו"כ, הנציב דן בעוד תחומים.</w:t>
      </w:r>
    </w:p>
    <w:p w14:paraId="72F1B767" w14:textId="77777777" w:rsidR="00410AD6" w:rsidRDefault="00410AD6" w:rsidP="00410AD6">
      <w:pPr>
        <w:pStyle w:val="a4"/>
        <w:spacing w:after="120" w:line="360" w:lineRule="auto"/>
        <w:ind w:left="-199"/>
        <w:jc w:val="both"/>
        <w:rPr>
          <w:rFonts w:ascii="David" w:hAnsi="David" w:cs="David"/>
          <w:sz w:val="24"/>
          <w:szCs w:val="24"/>
          <w:rtl/>
        </w:rPr>
      </w:pPr>
    </w:p>
    <w:p w14:paraId="3E15F2A3" w14:textId="77777777" w:rsidR="005B32D7" w:rsidRPr="00D27B70" w:rsidRDefault="005B32D7" w:rsidP="005B32D7">
      <w:pPr>
        <w:pStyle w:val="a4"/>
        <w:spacing w:after="120" w:line="360" w:lineRule="auto"/>
        <w:ind w:left="-483"/>
        <w:contextualSpacing w:val="0"/>
        <w:jc w:val="both"/>
        <w:rPr>
          <w:rFonts w:ascii="David" w:hAnsi="David" w:cs="David"/>
          <w:b/>
          <w:bCs/>
          <w:sz w:val="24"/>
          <w:szCs w:val="24"/>
          <w:u w:val="single"/>
          <w:rtl/>
        </w:rPr>
      </w:pPr>
      <w:r w:rsidRPr="00D27B70">
        <w:rPr>
          <w:rFonts w:ascii="David" w:hAnsi="David" w:cs="David" w:hint="cs"/>
          <w:b/>
          <w:bCs/>
          <w:sz w:val="24"/>
          <w:szCs w:val="24"/>
          <w:u w:val="single"/>
          <w:rtl/>
        </w:rPr>
        <w:t>שיעור 5, 22.11.2020</w:t>
      </w:r>
    </w:p>
    <w:p w14:paraId="6B0A39BE" w14:textId="77777777" w:rsidR="00410AD6" w:rsidRPr="00410AD6" w:rsidRDefault="00410AD6" w:rsidP="00410AD6">
      <w:pPr>
        <w:pStyle w:val="a4"/>
        <w:spacing w:after="120" w:line="360" w:lineRule="auto"/>
        <w:ind w:left="-199"/>
        <w:jc w:val="both"/>
        <w:rPr>
          <w:rFonts w:ascii="David" w:hAnsi="David" w:cs="David"/>
          <w:sz w:val="24"/>
          <w:szCs w:val="24"/>
          <w:rtl/>
        </w:rPr>
      </w:pPr>
      <w:r w:rsidRPr="00410AD6">
        <w:rPr>
          <w:rFonts w:ascii="David" w:hAnsi="David" w:cs="David"/>
          <w:b/>
          <w:bCs/>
          <w:sz w:val="24"/>
          <w:szCs w:val="24"/>
          <w:rtl/>
        </w:rPr>
        <w:t>פס"ד משמעתיים של שופטים:</w:t>
      </w:r>
      <w:r w:rsidRPr="00410AD6">
        <w:rPr>
          <w:rFonts w:ascii="David" w:hAnsi="David" w:cs="David"/>
          <w:sz w:val="24"/>
          <w:szCs w:val="24"/>
          <w:rtl/>
        </w:rPr>
        <w:t xml:space="preserve"> בן יצחק ארבל, בן שחר חריפאי , הילה כהן</w:t>
      </w:r>
    </w:p>
    <w:p w14:paraId="025628C3" w14:textId="77777777" w:rsidR="00410AD6" w:rsidRPr="00410AD6" w:rsidRDefault="00410AD6" w:rsidP="00410AD6">
      <w:pPr>
        <w:pStyle w:val="a4"/>
        <w:spacing w:after="120" w:line="360" w:lineRule="auto"/>
        <w:ind w:left="-199"/>
        <w:jc w:val="both"/>
        <w:rPr>
          <w:rFonts w:ascii="David" w:hAnsi="David" w:cs="David"/>
          <w:sz w:val="24"/>
          <w:szCs w:val="24"/>
          <w:rtl/>
        </w:rPr>
      </w:pPr>
      <w:r w:rsidRPr="00C43452">
        <w:rPr>
          <w:rFonts w:ascii="David" w:hAnsi="David" w:cs="David"/>
          <w:b/>
          <w:bCs/>
          <w:sz w:val="24"/>
          <w:szCs w:val="24"/>
          <w:rtl/>
        </w:rPr>
        <w:t xml:space="preserve">פס"ד בן יצחק ארבל </w:t>
      </w:r>
      <w:r w:rsidRPr="00C43452">
        <w:rPr>
          <w:rFonts w:ascii="David" w:hAnsi="David" w:cs="David" w:hint="cs"/>
          <w:b/>
          <w:bCs/>
          <w:sz w:val="24"/>
          <w:szCs w:val="24"/>
          <w:rtl/>
        </w:rPr>
        <w:t>-</w:t>
      </w:r>
      <w:r>
        <w:rPr>
          <w:rFonts w:ascii="David" w:hAnsi="David" w:cs="David" w:hint="cs"/>
          <w:sz w:val="24"/>
          <w:szCs w:val="24"/>
          <w:rtl/>
        </w:rPr>
        <w:t xml:space="preserve"> </w:t>
      </w:r>
      <w:r w:rsidRPr="00410AD6">
        <w:rPr>
          <w:rFonts w:ascii="David" w:hAnsi="David" w:cs="David"/>
          <w:sz w:val="24"/>
          <w:szCs w:val="24"/>
          <w:rtl/>
        </w:rPr>
        <w:t xml:space="preserve"> שופט תעבורה שנטען כי שינה פרוטוקולים.</w:t>
      </w:r>
    </w:p>
    <w:p w14:paraId="3E666255" w14:textId="77777777" w:rsidR="00410AD6" w:rsidRPr="00410AD6" w:rsidRDefault="00410AD6" w:rsidP="00410AD6">
      <w:pPr>
        <w:pStyle w:val="a4"/>
        <w:spacing w:after="120" w:line="360" w:lineRule="auto"/>
        <w:ind w:left="-199"/>
        <w:jc w:val="both"/>
        <w:rPr>
          <w:rFonts w:ascii="David" w:hAnsi="David" w:cs="David"/>
          <w:sz w:val="24"/>
          <w:szCs w:val="24"/>
          <w:rtl/>
        </w:rPr>
      </w:pPr>
      <w:r w:rsidRPr="00C43452">
        <w:rPr>
          <w:rFonts w:ascii="David" w:hAnsi="David" w:cs="David"/>
          <w:b/>
          <w:bCs/>
          <w:sz w:val="24"/>
          <w:szCs w:val="24"/>
          <w:rtl/>
        </w:rPr>
        <w:t xml:space="preserve">פס"ד בן שחר חריפאי </w:t>
      </w:r>
      <w:r w:rsidR="00C43452" w:rsidRPr="00C43452">
        <w:rPr>
          <w:rFonts w:ascii="David" w:hAnsi="David" w:cs="David" w:hint="cs"/>
          <w:b/>
          <w:bCs/>
          <w:sz w:val="24"/>
          <w:szCs w:val="24"/>
          <w:rtl/>
        </w:rPr>
        <w:t>-</w:t>
      </w:r>
      <w:r w:rsidRPr="00410AD6">
        <w:rPr>
          <w:rFonts w:ascii="David" w:hAnsi="David" w:cs="David"/>
          <w:sz w:val="24"/>
          <w:szCs w:val="24"/>
          <w:rtl/>
        </w:rPr>
        <w:t xml:space="preserve"> שופט תעבורה שנטען כי קיבל כרטיסים למשחק מצד אחד המתדיינים תמורת הכרעה מסוימת במשפט.</w:t>
      </w:r>
    </w:p>
    <w:p w14:paraId="78D73823" w14:textId="77777777" w:rsidR="00410AD6" w:rsidRPr="00410AD6" w:rsidRDefault="00410AD6" w:rsidP="00410AD6">
      <w:pPr>
        <w:pStyle w:val="a4"/>
        <w:spacing w:after="120" w:line="360" w:lineRule="auto"/>
        <w:ind w:left="-199"/>
        <w:jc w:val="both"/>
        <w:rPr>
          <w:rFonts w:ascii="David" w:hAnsi="David" w:cs="David"/>
          <w:sz w:val="24"/>
          <w:szCs w:val="24"/>
          <w:rtl/>
        </w:rPr>
      </w:pPr>
      <w:r w:rsidRPr="00C43452">
        <w:rPr>
          <w:rFonts w:ascii="David" w:hAnsi="David" w:cs="David"/>
          <w:b/>
          <w:bCs/>
          <w:sz w:val="24"/>
          <w:szCs w:val="24"/>
          <w:rtl/>
        </w:rPr>
        <w:lastRenderedPageBreak/>
        <w:t xml:space="preserve">פס"ד הילה כהן </w:t>
      </w:r>
      <w:r w:rsidR="00C43452" w:rsidRPr="00C43452">
        <w:rPr>
          <w:rFonts w:ascii="David" w:hAnsi="David" w:cs="David" w:hint="cs"/>
          <w:b/>
          <w:bCs/>
          <w:sz w:val="24"/>
          <w:szCs w:val="24"/>
          <w:rtl/>
        </w:rPr>
        <w:t>-</w:t>
      </w:r>
      <w:r w:rsidRPr="00410AD6">
        <w:rPr>
          <w:rFonts w:ascii="David" w:hAnsi="David" w:cs="David"/>
          <w:sz w:val="24"/>
          <w:szCs w:val="24"/>
          <w:rtl/>
        </w:rPr>
        <w:t xml:space="preserve"> שופטת תעבורה בבימ"ש לעניינים מקומיים בחיפה שנטען לגביה כי ערכה פרוטוקולים בניגוד למה שהתרחש בבית המשפט. בגזר הדין המשמעתי שלה היא לא נזרקה ממע' המשפט אלא רק הועברה למחוז אחר. שרת המשפטים (ציפי לבני) שלא הייתה מרוצה מהתוצאה הזו יזמה הליך מנהלי להדחת השופטת כהן. העוול שנעשה פה הוא גדול – מצד אחד אותה שרת משפטים היא זו שיזמה את ההליך המשמעתי שתוצאתו לא מצאה חן בעיניה ומצד שני היא יוזמת הליך מנהלי שנועד להדיח את כהן!</w:t>
      </w:r>
    </w:p>
    <w:p w14:paraId="73917EB6" w14:textId="77777777" w:rsidR="00410AD6" w:rsidRPr="00410AD6" w:rsidRDefault="00410AD6" w:rsidP="00410AD6">
      <w:pPr>
        <w:pStyle w:val="a4"/>
        <w:spacing w:after="120" w:line="360" w:lineRule="auto"/>
        <w:ind w:left="-199"/>
        <w:jc w:val="both"/>
        <w:rPr>
          <w:rFonts w:ascii="David" w:hAnsi="David" w:cs="David"/>
          <w:sz w:val="24"/>
          <w:szCs w:val="24"/>
          <w:rtl/>
        </w:rPr>
      </w:pPr>
      <w:r w:rsidRPr="00410AD6">
        <w:rPr>
          <w:rFonts w:ascii="David" w:hAnsi="David" w:cs="David"/>
          <w:sz w:val="24"/>
          <w:szCs w:val="24"/>
          <w:rtl/>
        </w:rPr>
        <w:t>המשותף לפס"ד אלו היא טענת השופטים על העומס הרב בבתי משפט – כל יום נערמים בבתי המשפט עשרות תיקים. התשובה של בית הדין הייתה ששופט שלא יכול להתמודד עם העומס , שיתפטר מתפקידו!</w:t>
      </w:r>
    </w:p>
    <w:p w14:paraId="2FB710D1" w14:textId="77777777" w:rsidR="00C43452" w:rsidRDefault="00410AD6" w:rsidP="00410AD6">
      <w:pPr>
        <w:pStyle w:val="a4"/>
        <w:spacing w:after="120" w:line="360" w:lineRule="auto"/>
        <w:ind w:left="-199"/>
        <w:jc w:val="both"/>
        <w:rPr>
          <w:rFonts w:ascii="David" w:hAnsi="David" w:cs="David"/>
          <w:sz w:val="24"/>
          <w:szCs w:val="24"/>
          <w:rtl/>
        </w:rPr>
      </w:pPr>
      <w:r w:rsidRPr="00410AD6">
        <w:rPr>
          <w:rFonts w:ascii="David" w:hAnsi="David" w:cs="David"/>
          <w:sz w:val="24"/>
          <w:szCs w:val="24"/>
          <w:rtl/>
        </w:rPr>
        <w:t>הייתה ביקורת גדולה כנגד העובדה שדווקא פס"ד אלו פורסמו והטענה הייתה שבגלל שמדובר בערכאות שוליים ובשופטי תעבורה הם פורסמו</w:t>
      </w:r>
      <w:r w:rsidR="00C43452">
        <w:rPr>
          <w:rFonts w:ascii="David" w:hAnsi="David" w:cs="David" w:hint="cs"/>
          <w:sz w:val="24"/>
          <w:szCs w:val="24"/>
          <w:rtl/>
        </w:rPr>
        <w:t>.</w:t>
      </w:r>
    </w:p>
    <w:p w14:paraId="1D0CEFC7" w14:textId="77777777" w:rsidR="00E93778" w:rsidRPr="005B32D7" w:rsidRDefault="00E93778" w:rsidP="005B32D7">
      <w:pPr>
        <w:pStyle w:val="a4"/>
        <w:spacing w:after="120" w:line="360" w:lineRule="auto"/>
        <w:ind w:left="-199"/>
        <w:jc w:val="both"/>
        <w:rPr>
          <w:rFonts w:ascii="David" w:hAnsi="David" w:cs="David"/>
          <w:b/>
          <w:bCs/>
          <w:sz w:val="24"/>
          <w:szCs w:val="24"/>
          <w:u w:val="single"/>
          <w:rtl/>
        </w:rPr>
      </w:pPr>
      <w:r>
        <w:rPr>
          <w:rFonts w:ascii="David" w:hAnsi="David" w:cs="David"/>
          <w:sz w:val="24"/>
          <w:szCs w:val="24"/>
          <w:rtl/>
        </w:rPr>
        <w:br/>
      </w:r>
      <w:r w:rsidR="00672802" w:rsidRPr="00672802">
        <w:rPr>
          <w:rFonts w:ascii="David" w:hAnsi="David" w:cs="David" w:hint="cs"/>
          <w:b/>
          <w:bCs/>
          <w:sz w:val="24"/>
          <w:szCs w:val="24"/>
          <w:u w:val="single"/>
          <w:rtl/>
        </w:rPr>
        <w:t xml:space="preserve">שיעור 6, 15.11.2020 </w:t>
      </w:r>
      <w:r w:rsidR="005B32D7">
        <w:rPr>
          <w:rFonts w:ascii="David" w:hAnsi="David" w:cs="David" w:hint="cs"/>
          <w:b/>
          <w:bCs/>
          <w:sz w:val="24"/>
          <w:szCs w:val="24"/>
          <w:u w:val="single"/>
          <w:rtl/>
        </w:rPr>
        <w:t xml:space="preserve"> - </w:t>
      </w:r>
      <w:r w:rsidR="00672802" w:rsidRPr="005B32D7">
        <w:rPr>
          <w:rFonts w:ascii="David" w:hAnsi="David" w:cs="David" w:hint="cs"/>
          <w:sz w:val="24"/>
          <w:szCs w:val="24"/>
          <w:rtl/>
        </w:rPr>
        <w:t>לא היה שיעור</w:t>
      </w:r>
    </w:p>
    <w:p w14:paraId="14577492" w14:textId="77777777" w:rsidR="00672802" w:rsidRDefault="00672802" w:rsidP="00410AD6">
      <w:pPr>
        <w:pStyle w:val="a4"/>
        <w:spacing w:after="120" w:line="360" w:lineRule="auto"/>
        <w:ind w:left="-199"/>
        <w:jc w:val="both"/>
        <w:rPr>
          <w:rFonts w:ascii="David" w:hAnsi="David" w:cs="David"/>
          <w:b/>
          <w:bCs/>
          <w:sz w:val="24"/>
          <w:szCs w:val="24"/>
          <w:u w:val="single"/>
          <w:rtl/>
        </w:rPr>
      </w:pPr>
      <w:r w:rsidRPr="00672802">
        <w:rPr>
          <w:rFonts w:ascii="David" w:hAnsi="David" w:cs="David" w:hint="cs"/>
          <w:b/>
          <w:bCs/>
          <w:sz w:val="24"/>
          <w:szCs w:val="24"/>
          <w:u w:val="single"/>
          <w:rtl/>
        </w:rPr>
        <w:t>שיעור 7, 22.11.2020</w:t>
      </w:r>
      <w:r w:rsidR="00EC64C3">
        <w:rPr>
          <w:rFonts w:ascii="David" w:hAnsi="David" w:cs="David" w:hint="cs"/>
          <w:b/>
          <w:bCs/>
          <w:sz w:val="24"/>
          <w:szCs w:val="24"/>
          <w:u w:val="single"/>
          <w:rtl/>
        </w:rPr>
        <w:t>, השלמה מ</w:t>
      </w:r>
      <w:r w:rsidR="005B32D7">
        <w:rPr>
          <w:rFonts w:ascii="David" w:hAnsi="David" w:cs="David" w:hint="cs"/>
          <w:b/>
          <w:bCs/>
          <w:sz w:val="24"/>
          <w:szCs w:val="24"/>
          <w:u w:val="single"/>
          <w:rtl/>
        </w:rPr>
        <w:t xml:space="preserve">דניאל </w:t>
      </w:r>
      <w:r w:rsidR="00EC64C3">
        <w:rPr>
          <w:rFonts w:ascii="David" w:hAnsi="David" w:cs="David" w:hint="cs"/>
          <w:b/>
          <w:bCs/>
          <w:sz w:val="24"/>
          <w:szCs w:val="24"/>
          <w:u w:val="single"/>
          <w:rtl/>
        </w:rPr>
        <w:t>שריקי</w:t>
      </w:r>
    </w:p>
    <w:p w14:paraId="7A1FBF41" w14:textId="77777777" w:rsidR="00EC64C3" w:rsidRPr="00562A33" w:rsidRDefault="00EC64C3" w:rsidP="00EC64C3">
      <w:pPr>
        <w:spacing w:after="0" w:line="360" w:lineRule="auto"/>
        <w:jc w:val="center"/>
        <w:rPr>
          <w:rFonts w:ascii="David" w:hAnsi="David" w:cs="David"/>
          <w:sz w:val="24"/>
          <w:szCs w:val="24"/>
          <w:rtl/>
        </w:rPr>
      </w:pPr>
      <w:r w:rsidRPr="00562A33">
        <w:rPr>
          <w:rFonts w:ascii="David" w:hAnsi="David" w:cs="David"/>
          <w:b/>
          <w:bCs/>
          <w:sz w:val="24"/>
          <w:szCs w:val="24"/>
          <w:u w:val="single"/>
          <w:rtl/>
        </w:rPr>
        <w:t xml:space="preserve">דרגת </w:t>
      </w:r>
      <w:r w:rsidRPr="00562A33">
        <w:rPr>
          <w:rFonts w:ascii="David" w:hAnsi="David" w:cs="David" w:hint="cs"/>
          <w:b/>
          <w:bCs/>
          <w:sz w:val="24"/>
          <w:szCs w:val="24"/>
          <w:u w:val="single"/>
          <w:rtl/>
        </w:rPr>
        <w:t>ה</w:t>
      </w:r>
      <w:r w:rsidRPr="00562A33">
        <w:rPr>
          <w:rFonts w:ascii="David" w:hAnsi="David" w:cs="David"/>
          <w:b/>
          <w:bCs/>
          <w:sz w:val="24"/>
          <w:szCs w:val="24"/>
          <w:u w:val="single"/>
          <w:rtl/>
        </w:rPr>
        <w:t xml:space="preserve">הוכחה </w:t>
      </w:r>
      <w:r w:rsidRPr="00562A33">
        <w:rPr>
          <w:rFonts w:ascii="David" w:hAnsi="David" w:cs="David" w:hint="cs"/>
          <w:b/>
          <w:bCs/>
          <w:sz w:val="24"/>
          <w:szCs w:val="24"/>
          <w:u w:val="single"/>
          <w:rtl/>
        </w:rPr>
        <w:t>ה</w:t>
      </w:r>
      <w:r w:rsidRPr="00562A33">
        <w:rPr>
          <w:rFonts w:ascii="David" w:hAnsi="David" w:cs="David"/>
          <w:b/>
          <w:bCs/>
          <w:sz w:val="24"/>
          <w:szCs w:val="24"/>
          <w:u w:val="single"/>
          <w:rtl/>
        </w:rPr>
        <w:t>נדרשת בהליך משמעתי</w:t>
      </w:r>
    </w:p>
    <w:p w14:paraId="2EF925FD" w14:textId="77777777" w:rsidR="00EC64C3" w:rsidRPr="00562A33" w:rsidRDefault="00EC64C3" w:rsidP="00E31C0C">
      <w:pPr>
        <w:spacing w:after="0" w:line="360" w:lineRule="auto"/>
        <w:ind w:left="-341"/>
        <w:jc w:val="both"/>
        <w:rPr>
          <w:rFonts w:ascii="David" w:hAnsi="David" w:cs="David"/>
          <w:sz w:val="24"/>
          <w:szCs w:val="24"/>
          <w:u w:val="single"/>
          <w:rtl/>
        </w:rPr>
      </w:pPr>
      <w:r w:rsidRPr="00562A33">
        <w:rPr>
          <w:rFonts w:ascii="David" w:hAnsi="David" w:cs="David" w:hint="cs"/>
          <w:sz w:val="24"/>
          <w:szCs w:val="24"/>
          <w:u w:val="single"/>
          <w:rtl/>
        </w:rPr>
        <w:t>האם דרגת ההוכחה הנדרשת בהליכים משמעתיים תהיה נמוכה/גבוהה יותר מהדרגה הנדרשת בהליכים פליליים?</w:t>
      </w:r>
    </w:p>
    <w:p w14:paraId="27331AAD" w14:textId="77777777" w:rsidR="00EC64C3" w:rsidRPr="00562A33" w:rsidRDefault="00EC64C3" w:rsidP="00E31C0C">
      <w:pPr>
        <w:spacing w:after="0" w:line="360" w:lineRule="auto"/>
        <w:ind w:left="-341"/>
        <w:rPr>
          <w:rFonts w:ascii="David" w:hAnsi="David" w:cs="David"/>
          <w:sz w:val="24"/>
          <w:szCs w:val="24"/>
          <w:u w:val="single"/>
          <w:rtl/>
        </w:rPr>
      </w:pPr>
      <w:r w:rsidRPr="00562A33">
        <w:rPr>
          <w:rFonts w:ascii="David" w:hAnsi="David" w:cs="David" w:hint="cs"/>
          <w:sz w:val="24"/>
          <w:szCs w:val="24"/>
          <w:u w:val="single"/>
          <w:rtl/>
        </w:rPr>
        <w:t>נבחן 3 פסקי דין שדנו בנושא:</w:t>
      </w:r>
    </w:p>
    <w:p w14:paraId="6E93286D" w14:textId="77777777" w:rsidR="00EC64C3" w:rsidRPr="00562A33" w:rsidRDefault="00EC64C3" w:rsidP="00E31C0C">
      <w:pPr>
        <w:pStyle w:val="a4"/>
        <w:numPr>
          <w:ilvl w:val="3"/>
          <w:numId w:val="12"/>
        </w:numPr>
        <w:spacing w:after="0" w:line="360" w:lineRule="auto"/>
        <w:ind w:left="-199" w:hanging="280"/>
        <w:contextualSpacing w:val="0"/>
        <w:jc w:val="both"/>
        <w:rPr>
          <w:rFonts w:ascii="David" w:hAnsi="David" w:cs="David"/>
          <w:sz w:val="24"/>
          <w:szCs w:val="24"/>
        </w:rPr>
      </w:pPr>
      <w:proofErr w:type="spellStart"/>
      <w:r w:rsidRPr="00562A33">
        <w:rPr>
          <w:rFonts w:ascii="David" w:hAnsi="David" w:cs="David"/>
          <w:sz w:val="24"/>
          <w:szCs w:val="24"/>
          <w:highlight w:val="green"/>
          <w:rtl/>
        </w:rPr>
        <w:t>עש"מ</w:t>
      </w:r>
      <w:proofErr w:type="spellEnd"/>
      <w:r w:rsidRPr="00562A33">
        <w:rPr>
          <w:rFonts w:ascii="David" w:hAnsi="David" w:cs="David"/>
          <w:sz w:val="24"/>
          <w:szCs w:val="24"/>
          <w:highlight w:val="green"/>
          <w:rtl/>
        </w:rPr>
        <w:t xml:space="preserve"> 3/88 </w:t>
      </w:r>
      <w:proofErr w:type="spellStart"/>
      <w:r w:rsidRPr="00562A33">
        <w:rPr>
          <w:rFonts w:ascii="David" w:hAnsi="David" w:cs="David"/>
          <w:sz w:val="24"/>
          <w:szCs w:val="24"/>
          <w:highlight w:val="green"/>
          <w:rtl/>
        </w:rPr>
        <w:t>אזוט</w:t>
      </w:r>
      <w:proofErr w:type="spellEnd"/>
      <w:r w:rsidRPr="00562A33">
        <w:rPr>
          <w:rFonts w:ascii="David" w:hAnsi="David" w:cs="David"/>
          <w:sz w:val="24"/>
          <w:szCs w:val="24"/>
          <w:highlight w:val="green"/>
          <w:rtl/>
        </w:rPr>
        <w:t xml:space="preserve"> נ' מדינת ישראל</w:t>
      </w:r>
      <w:r w:rsidRPr="00562A33">
        <w:rPr>
          <w:rFonts w:ascii="David" w:hAnsi="David" w:cs="David"/>
          <w:sz w:val="24"/>
          <w:szCs w:val="24"/>
          <w:rtl/>
        </w:rPr>
        <w:t xml:space="preserve"> עסק בעובד מדינה שהורשע בבית דין למשמעת של עובדי המדינה בסדרת עבירות משמעת. טענתו</w:t>
      </w:r>
      <w:r w:rsidRPr="00562A33">
        <w:rPr>
          <w:rFonts w:ascii="David" w:hAnsi="David" w:cs="David" w:hint="cs"/>
          <w:sz w:val="24"/>
          <w:szCs w:val="24"/>
          <w:rtl/>
        </w:rPr>
        <w:t xml:space="preserve"> </w:t>
      </w:r>
      <w:r w:rsidRPr="00562A33">
        <w:rPr>
          <w:rFonts w:ascii="David" w:hAnsi="David" w:cs="David"/>
          <w:sz w:val="24"/>
          <w:szCs w:val="24"/>
          <w:rtl/>
        </w:rPr>
        <w:t>המרכזית בערעור מתייחסת לרמת ההוכחה הנדרשת בדיון משמעתי, בעקבות קביעת בית הדין המשמעתי, כי זו זהה לרמה הנדרשת על פי דיני הראיות המקובלים במשפט אזרחי רגיל.</w:t>
      </w:r>
    </w:p>
    <w:p w14:paraId="1E82C5AD" w14:textId="77777777" w:rsidR="00EC64C3" w:rsidRPr="00562A33" w:rsidRDefault="00EC64C3" w:rsidP="00E31C0C">
      <w:pPr>
        <w:pStyle w:val="a4"/>
        <w:spacing w:after="0" w:line="360" w:lineRule="auto"/>
        <w:ind w:left="-199"/>
        <w:jc w:val="both"/>
        <w:rPr>
          <w:rFonts w:ascii="David" w:hAnsi="David" w:cs="David"/>
          <w:sz w:val="24"/>
          <w:szCs w:val="24"/>
          <w:rtl/>
        </w:rPr>
      </w:pPr>
      <w:r w:rsidRPr="00562A33">
        <w:rPr>
          <w:rFonts w:ascii="David" w:hAnsi="David" w:cs="David"/>
          <w:b/>
          <w:bCs/>
          <w:sz w:val="24"/>
          <w:szCs w:val="24"/>
          <w:rtl/>
        </w:rPr>
        <w:t>השופט דב לוין</w:t>
      </w:r>
      <w:r w:rsidRPr="00562A33">
        <w:rPr>
          <w:rFonts w:ascii="David" w:hAnsi="David" w:cs="David"/>
          <w:sz w:val="24"/>
          <w:szCs w:val="24"/>
          <w:rtl/>
        </w:rPr>
        <w:t xml:space="preserve"> קבע כי בית דין משמעתי חופשי לנהוג לפי מיטב שיפוטו ולסטות מדיני הראיות וכי </w:t>
      </w:r>
      <w:r w:rsidRPr="00562A33">
        <w:rPr>
          <w:rFonts w:ascii="David" w:hAnsi="David" w:cs="David"/>
          <w:sz w:val="24"/>
          <w:szCs w:val="24"/>
          <w:highlight w:val="yellow"/>
          <w:rtl/>
        </w:rPr>
        <w:t>התשתית הראייתית הדרושה לצורך הוכחת אשמה בבית דין משמעתי עולה על הנדרש בהליך אזרחי, אך גם איננה מגעת לכדי ראייה שמעבר לכל ספק סביר</w:t>
      </w:r>
      <w:r w:rsidRPr="00562A33">
        <w:rPr>
          <w:rFonts w:ascii="David" w:hAnsi="David" w:cs="David"/>
          <w:sz w:val="24"/>
          <w:szCs w:val="24"/>
          <w:rtl/>
        </w:rPr>
        <w:t xml:space="preserve">. </w:t>
      </w:r>
    </w:p>
    <w:p w14:paraId="19E63CDD" w14:textId="77777777" w:rsidR="00EC64C3" w:rsidRPr="00562A33" w:rsidRDefault="00EC64C3" w:rsidP="00E31C0C">
      <w:pPr>
        <w:pStyle w:val="NormalWeb"/>
        <w:numPr>
          <w:ilvl w:val="0"/>
          <w:numId w:val="13"/>
        </w:numPr>
        <w:bidi/>
        <w:spacing w:before="0" w:beforeAutospacing="0" w:after="0" w:afterAutospacing="0" w:line="360" w:lineRule="auto"/>
        <w:ind w:left="-199" w:hanging="283"/>
        <w:jc w:val="both"/>
        <w:rPr>
          <w:rFonts w:ascii="David" w:hAnsi="David" w:cs="David"/>
          <w:rtl/>
        </w:rPr>
      </w:pPr>
      <w:r w:rsidRPr="00562A33">
        <w:rPr>
          <w:rFonts w:ascii="David" w:hAnsi="David" w:cs="David" w:hint="cs"/>
          <w:b/>
          <w:bCs/>
          <w:rtl/>
        </w:rPr>
        <w:t xml:space="preserve">מידת הוכחה אמצעית (75%) </w:t>
      </w:r>
      <w:r w:rsidRPr="00562A33">
        <w:rPr>
          <w:rFonts w:ascii="David" w:hAnsi="David" w:cs="David" w:hint="cs"/>
          <w:rtl/>
        </w:rPr>
        <w:t>- בין מאזן הסתברויות (51%- הליך אזרחי) לבין מעל לספק סביר (97%-הליך פלילי).</w:t>
      </w:r>
    </w:p>
    <w:p w14:paraId="30B9BAE9" w14:textId="77777777" w:rsidR="00EC64C3" w:rsidRPr="00562A33" w:rsidRDefault="00EC64C3" w:rsidP="00EC64C3">
      <w:pPr>
        <w:pStyle w:val="NormalWeb"/>
        <w:bidi/>
        <w:spacing w:before="0" w:beforeAutospacing="0" w:after="0" w:afterAutospacing="0" w:line="360" w:lineRule="auto"/>
        <w:jc w:val="both"/>
        <w:rPr>
          <w:rFonts w:ascii="David" w:hAnsi="David" w:cs="David"/>
          <w:rtl/>
        </w:rPr>
      </w:pPr>
    </w:p>
    <w:p w14:paraId="60444134" w14:textId="77777777" w:rsidR="00EC64C3" w:rsidRPr="00562A33" w:rsidRDefault="00EC64C3" w:rsidP="00E31C0C">
      <w:pPr>
        <w:pStyle w:val="a4"/>
        <w:numPr>
          <w:ilvl w:val="3"/>
          <w:numId w:val="12"/>
        </w:numPr>
        <w:spacing w:after="0" w:line="360" w:lineRule="auto"/>
        <w:ind w:left="-199" w:hanging="280"/>
        <w:contextualSpacing w:val="0"/>
        <w:jc w:val="both"/>
        <w:rPr>
          <w:rFonts w:ascii="David" w:hAnsi="David" w:cs="David"/>
          <w:sz w:val="24"/>
          <w:szCs w:val="24"/>
        </w:rPr>
      </w:pPr>
      <w:proofErr w:type="spellStart"/>
      <w:r w:rsidRPr="00562A33">
        <w:rPr>
          <w:rFonts w:ascii="David" w:hAnsi="David" w:cs="David"/>
          <w:sz w:val="24"/>
          <w:szCs w:val="24"/>
          <w:highlight w:val="green"/>
          <w:rtl/>
        </w:rPr>
        <w:t>עש"מ</w:t>
      </w:r>
      <w:proofErr w:type="spellEnd"/>
      <w:r w:rsidRPr="00562A33">
        <w:rPr>
          <w:rFonts w:ascii="David" w:hAnsi="David" w:cs="David"/>
          <w:sz w:val="24"/>
          <w:szCs w:val="24"/>
          <w:highlight w:val="green"/>
          <w:rtl/>
        </w:rPr>
        <w:t xml:space="preserve"> 3725/91 בכרך נ' מדינת ישראל</w:t>
      </w:r>
      <w:r w:rsidRPr="00562A33">
        <w:rPr>
          <w:rFonts w:ascii="David" w:hAnsi="David" w:cs="David"/>
          <w:sz w:val="24"/>
          <w:szCs w:val="24"/>
          <w:rtl/>
        </w:rPr>
        <w:t xml:space="preserve"> עסק בעובד שהורשע בבית הדין למשמעת של עובדי המדינה בעבירות שונות, לאחר שנסיעות לחופשה שביצע הוסוו כנסיעות בענייני עבודה. לטענת המערער, המדינה לא גילתה לסנגוריה את חומר החקירה וכי ע"פ חומר הראיות שהובא לפני בית הדין למשמעת, לא הוכח כלל האישום בו הורשע.</w:t>
      </w:r>
    </w:p>
    <w:p w14:paraId="35864973" w14:textId="77777777" w:rsidR="00EC64C3" w:rsidRPr="00562A33" w:rsidRDefault="00EC64C3" w:rsidP="00E31C0C">
      <w:pPr>
        <w:pStyle w:val="a4"/>
        <w:spacing w:after="0" w:line="360" w:lineRule="auto"/>
        <w:ind w:left="-199"/>
        <w:jc w:val="both"/>
        <w:rPr>
          <w:rFonts w:ascii="David" w:hAnsi="David" w:cs="David"/>
          <w:sz w:val="24"/>
          <w:szCs w:val="24"/>
          <w:rtl/>
        </w:rPr>
      </w:pPr>
      <w:r w:rsidRPr="00562A33">
        <w:rPr>
          <w:rFonts w:ascii="David" w:hAnsi="David" w:cs="David"/>
          <w:b/>
          <w:bCs/>
          <w:sz w:val="24"/>
          <w:szCs w:val="24"/>
          <w:rtl/>
        </w:rPr>
        <w:t xml:space="preserve">השופט שמגר </w:t>
      </w:r>
      <w:r w:rsidRPr="00562A33">
        <w:rPr>
          <w:rFonts w:ascii="David" w:hAnsi="David" w:cs="David"/>
          <w:sz w:val="24"/>
          <w:szCs w:val="24"/>
          <w:rtl/>
        </w:rPr>
        <w:t xml:space="preserve">קבע כי </w:t>
      </w:r>
      <w:r w:rsidRPr="00562A33">
        <w:rPr>
          <w:rFonts w:ascii="David" w:hAnsi="David" w:cs="David"/>
          <w:sz w:val="24"/>
          <w:szCs w:val="24"/>
          <w:highlight w:val="yellow"/>
          <w:rtl/>
        </w:rPr>
        <w:t>אין מקום ליצור מידת הוכחה נוספת בין זו הנוהגת במשפט הפלילי לבין זו הנוהגת במשפט האזרחי</w:t>
      </w:r>
      <w:r w:rsidRPr="00562A33">
        <w:rPr>
          <w:rFonts w:ascii="David" w:hAnsi="David" w:cs="David"/>
          <w:sz w:val="24"/>
          <w:szCs w:val="24"/>
          <w:rtl/>
        </w:rPr>
        <w:t xml:space="preserve">. לדידו, </w:t>
      </w:r>
      <w:r w:rsidRPr="00562A33">
        <w:rPr>
          <w:rFonts w:ascii="David" w:hAnsi="David" w:cs="David"/>
          <w:sz w:val="24"/>
          <w:szCs w:val="24"/>
          <w:highlight w:val="yellow"/>
          <w:rtl/>
        </w:rPr>
        <w:t>לצורך הדין המשמעתי, יש לפנות להוכחה מעל לספק סביר</w:t>
      </w:r>
      <w:r w:rsidRPr="00562A33">
        <w:rPr>
          <w:rFonts w:ascii="David" w:hAnsi="David" w:cs="David"/>
          <w:sz w:val="24"/>
          <w:szCs w:val="24"/>
          <w:rtl/>
        </w:rPr>
        <w:t xml:space="preserve"> ולאמצה לצורך העניין, כאשר כמות הראיות, שיש בה כדי לספק את המידה הדרושה האמורה, משתנה על פי מהות הנושא. </w:t>
      </w:r>
    </w:p>
    <w:p w14:paraId="7BBC8748" w14:textId="77777777" w:rsidR="00EC64C3" w:rsidRPr="00562A33" w:rsidRDefault="00EC64C3" w:rsidP="00E31C0C">
      <w:pPr>
        <w:pStyle w:val="NormalWeb"/>
        <w:numPr>
          <w:ilvl w:val="0"/>
          <w:numId w:val="13"/>
        </w:numPr>
        <w:bidi/>
        <w:spacing w:before="0" w:beforeAutospacing="0" w:after="0" w:afterAutospacing="0" w:line="360" w:lineRule="auto"/>
        <w:ind w:left="84" w:hanging="283"/>
        <w:jc w:val="both"/>
        <w:rPr>
          <w:rFonts w:ascii="David" w:hAnsi="David" w:cs="David"/>
          <w:rtl/>
        </w:rPr>
      </w:pPr>
      <w:r w:rsidRPr="00562A33">
        <w:rPr>
          <w:rFonts w:ascii="David" w:hAnsi="David" w:cs="David" w:hint="cs"/>
          <w:b/>
          <w:bCs/>
          <w:rtl/>
        </w:rPr>
        <w:t>מידת הוכחה כמו בהליך הפלילי - מעל לספק סביר (97%)</w:t>
      </w:r>
      <w:r w:rsidRPr="00562A33">
        <w:rPr>
          <w:rFonts w:ascii="David" w:hAnsi="David" w:cs="David" w:hint="cs"/>
          <w:rtl/>
        </w:rPr>
        <w:t>.</w:t>
      </w:r>
    </w:p>
    <w:p w14:paraId="0A9ED271" w14:textId="77777777" w:rsidR="00EC64C3" w:rsidRPr="00562A33" w:rsidRDefault="00EC64C3" w:rsidP="00EC64C3">
      <w:pPr>
        <w:pStyle w:val="NormalWeb"/>
        <w:bidi/>
        <w:spacing w:before="0" w:beforeAutospacing="0" w:after="0" w:afterAutospacing="0" w:line="360" w:lineRule="auto"/>
        <w:jc w:val="both"/>
        <w:rPr>
          <w:rFonts w:ascii="David" w:hAnsi="David" w:cs="David"/>
          <w:rtl/>
        </w:rPr>
      </w:pPr>
    </w:p>
    <w:p w14:paraId="09FBE124" w14:textId="77777777" w:rsidR="00621B96" w:rsidRPr="00621B96" w:rsidRDefault="00621B96" w:rsidP="00E31C0C">
      <w:pPr>
        <w:pStyle w:val="a4"/>
        <w:numPr>
          <w:ilvl w:val="3"/>
          <w:numId w:val="12"/>
        </w:numPr>
        <w:spacing w:after="0" w:line="360" w:lineRule="auto"/>
        <w:ind w:left="-199" w:hanging="280"/>
        <w:contextualSpacing w:val="0"/>
        <w:jc w:val="both"/>
        <w:rPr>
          <w:rFonts w:ascii="David" w:hAnsi="David" w:cs="David"/>
          <w:sz w:val="24"/>
          <w:szCs w:val="24"/>
        </w:rPr>
      </w:pPr>
    </w:p>
    <w:p w14:paraId="1EF8DC60" w14:textId="77777777" w:rsidR="00621B96" w:rsidRPr="00621B96" w:rsidRDefault="00621B96" w:rsidP="00621B96">
      <w:pPr>
        <w:pStyle w:val="a4"/>
        <w:spacing w:after="0" w:line="360" w:lineRule="auto"/>
        <w:ind w:left="-199"/>
        <w:contextualSpacing w:val="0"/>
        <w:jc w:val="both"/>
        <w:rPr>
          <w:rFonts w:ascii="David" w:hAnsi="David" w:cs="David"/>
          <w:sz w:val="24"/>
          <w:szCs w:val="24"/>
        </w:rPr>
      </w:pPr>
    </w:p>
    <w:p w14:paraId="4C2B0E7D" w14:textId="77777777" w:rsidR="00EC64C3" w:rsidRPr="00562A33" w:rsidRDefault="00EC64C3" w:rsidP="00344F84">
      <w:pPr>
        <w:pStyle w:val="a4"/>
        <w:numPr>
          <w:ilvl w:val="3"/>
          <w:numId w:val="12"/>
        </w:numPr>
        <w:spacing w:after="0" w:line="360" w:lineRule="auto"/>
        <w:ind w:left="-199" w:hanging="280"/>
        <w:contextualSpacing w:val="0"/>
        <w:jc w:val="both"/>
        <w:rPr>
          <w:rFonts w:ascii="David" w:hAnsi="David" w:cs="David"/>
          <w:sz w:val="24"/>
          <w:szCs w:val="24"/>
        </w:rPr>
      </w:pPr>
      <w:proofErr w:type="spellStart"/>
      <w:r w:rsidRPr="00562A33">
        <w:rPr>
          <w:rFonts w:ascii="David" w:hAnsi="David" w:cs="David"/>
          <w:sz w:val="24"/>
          <w:szCs w:val="24"/>
          <w:highlight w:val="green"/>
          <w:rtl/>
        </w:rPr>
        <w:t>עש"מ</w:t>
      </w:r>
      <w:proofErr w:type="spellEnd"/>
      <w:r w:rsidRPr="00562A33">
        <w:rPr>
          <w:rFonts w:ascii="David" w:hAnsi="David" w:cs="David"/>
          <w:sz w:val="24"/>
          <w:szCs w:val="24"/>
          <w:highlight w:val="green"/>
          <w:rtl/>
        </w:rPr>
        <w:t xml:space="preserve"> 5550/98 </w:t>
      </w:r>
      <w:proofErr w:type="spellStart"/>
      <w:r w:rsidRPr="00562A33">
        <w:rPr>
          <w:rFonts w:ascii="David" w:hAnsi="David" w:cs="David"/>
          <w:sz w:val="24"/>
          <w:szCs w:val="24"/>
          <w:highlight w:val="green"/>
          <w:rtl/>
        </w:rPr>
        <w:t>גלאור</w:t>
      </w:r>
      <w:proofErr w:type="spellEnd"/>
      <w:r w:rsidRPr="00562A33">
        <w:rPr>
          <w:rFonts w:ascii="David" w:hAnsi="David" w:cs="David"/>
          <w:sz w:val="24"/>
          <w:szCs w:val="24"/>
          <w:highlight w:val="green"/>
          <w:rtl/>
        </w:rPr>
        <w:t xml:space="preserve"> נ' מדינת ישראל</w:t>
      </w:r>
      <w:r w:rsidRPr="00562A33">
        <w:rPr>
          <w:rFonts w:ascii="David" w:hAnsi="David" w:cs="David"/>
          <w:sz w:val="24"/>
          <w:szCs w:val="24"/>
          <w:rtl/>
        </w:rPr>
        <w:t xml:space="preserve"> עסק בעובד שהורשע ע"י בית הדין למשמעת של עובדי המדינה בעבירות של התנהגות בלתי-הולמת, שכללה צעקות, קללות והשמצות כלפי חברים לעבודה, לרבות הממונים עליו, השלכת כלים ואי-קיום הסדר והנהלים. הערעור נסב הן על ההרשעה ועל העונש.</w:t>
      </w:r>
    </w:p>
    <w:p w14:paraId="2AD7B36B" w14:textId="77777777" w:rsidR="005B32D7" w:rsidRPr="00562A33" w:rsidRDefault="00EC64C3" w:rsidP="00344F84">
      <w:pPr>
        <w:pStyle w:val="a4"/>
        <w:numPr>
          <w:ilvl w:val="3"/>
          <w:numId w:val="12"/>
        </w:numPr>
        <w:spacing w:after="0" w:line="360" w:lineRule="auto"/>
        <w:ind w:left="-199" w:hanging="280"/>
        <w:contextualSpacing w:val="0"/>
        <w:jc w:val="both"/>
        <w:rPr>
          <w:rFonts w:ascii="David" w:hAnsi="David" w:cs="David"/>
          <w:sz w:val="24"/>
          <w:szCs w:val="24"/>
          <w:highlight w:val="yellow"/>
          <w:rtl/>
        </w:rPr>
      </w:pPr>
      <w:r w:rsidRPr="00562A33">
        <w:rPr>
          <w:rFonts w:ascii="David" w:hAnsi="David" w:cs="David"/>
          <w:b/>
          <w:bCs/>
          <w:sz w:val="24"/>
          <w:szCs w:val="24"/>
          <w:rtl/>
        </w:rPr>
        <w:t>השופט זמיר</w:t>
      </w:r>
      <w:r w:rsidRPr="00562A33">
        <w:rPr>
          <w:rFonts w:ascii="David" w:hAnsi="David" w:cs="David"/>
          <w:sz w:val="24"/>
          <w:szCs w:val="24"/>
          <w:rtl/>
        </w:rPr>
        <w:t xml:space="preserve"> הסביר כי </w:t>
      </w:r>
      <w:r w:rsidRPr="00562A33">
        <w:rPr>
          <w:rFonts w:ascii="David" w:hAnsi="David" w:cs="David"/>
          <w:sz w:val="24"/>
          <w:szCs w:val="24"/>
          <w:highlight w:val="yellow"/>
          <w:rtl/>
        </w:rPr>
        <w:t>ספק אם השאלה של מידת ההוכחה הנדרשת בהליך משמעתי הוכרעה ע"י בית המשפט העליון באופן סופי</w:t>
      </w:r>
      <w:r w:rsidRPr="00562A33">
        <w:rPr>
          <w:rFonts w:ascii="David" w:hAnsi="David" w:cs="David"/>
          <w:sz w:val="24"/>
          <w:szCs w:val="24"/>
          <w:rtl/>
        </w:rPr>
        <w:t xml:space="preserve">. לדידו, </w:t>
      </w:r>
      <w:r w:rsidRPr="00562A33">
        <w:rPr>
          <w:rFonts w:ascii="David" w:hAnsi="David" w:cs="David"/>
          <w:sz w:val="24"/>
          <w:szCs w:val="24"/>
          <w:highlight w:val="yellow"/>
          <w:rtl/>
        </w:rPr>
        <w:t xml:space="preserve">צריך להבין את הבסיס לאישום, את העבירות בהן דנים נגד הנאשם וחומרתן לצורך </w:t>
      </w:r>
    </w:p>
    <w:tbl>
      <w:tblPr>
        <w:tblpPr w:leftFromText="180" w:rightFromText="180" w:vertAnchor="page" w:horzAnchor="margin" w:tblpXSpec="center" w:tblpY="1466"/>
        <w:bidiVisual/>
        <w:tblW w:w="9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428"/>
        <w:gridCol w:w="1559"/>
        <w:gridCol w:w="1418"/>
        <w:gridCol w:w="1559"/>
        <w:gridCol w:w="1834"/>
      </w:tblGrid>
      <w:tr w:rsidR="005B32D7" w:rsidRPr="00562A33" w14:paraId="41269A46" w14:textId="77777777" w:rsidTr="005B32D7">
        <w:trPr>
          <w:trHeight w:val="683"/>
        </w:trPr>
        <w:tc>
          <w:tcPr>
            <w:tcW w:w="1560" w:type="dxa"/>
            <w:shd w:val="clear" w:color="auto" w:fill="1F3864" w:themeFill="accent1" w:themeFillShade="80"/>
            <w:vAlign w:val="center"/>
          </w:tcPr>
          <w:p w14:paraId="300AD9D4" w14:textId="77777777" w:rsidR="005B32D7" w:rsidRPr="00562A33" w:rsidRDefault="005B32D7" w:rsidP="005B32D7">
            <w:pPr>
              <w:spacing w:after="0" w:line="240" w:lineRule="auto"/>
              <w:jc w:val="center"/>
              <w:rPr>
                <w:rFonts w:ascii="David" w:hAnsi="David" w:cs="David"/>
                <w:b/>
                <w:bCs/>
                <w:sz w:val="24"/>
                <w:szCs w:val="24"/>
                <w:rtl/>
              </w:rPr>
            </w:pPr>
            <w:r w:rsidRPr="00562A33">
              <w:rPr>
                <w:rFonts w:ascii="David" w:hAnsi="David" w:cs="David"/>
                <w:b/>
                <w:bCs/>
                <w:sz w:val="24"/>
                <w:szCs w:val="24"/>
                <w:rtl/>
              </w:rPr>
              <w:t>בעלי תפקידים שיפוטיים</w:t>
            </w:r>
          </w:p>
        </w:tc>
        <w:tc>
          <w:tcPr>
            <w:tcW w:w="1428" w:type="dxa"/>
            <w:shd w:val="clear" w:color="auto" w:fill="1F3864" w:themeFill="accent1" w:themeFillShade="80"/>
            <w:vAlign w:val="center"/>
          </w:tcPr>
          <w:p w14:paraId="2B535835" w14:textId="77777777" w:rsidR="005B32D7" w:rsidRPr="00562A33" w:rsidRDefault="005B32D7" w:rsidP="005B32D7">
            <w:pPr>
              <w:spacing w:after="0" w:line="240" w:lineRule="auto"/>
              <w:jc w:val="center"/>
              <w:rPr>
                <w:rFonts w:ascii="David" w:hAnsi="David" w:cs="David"/>
                <w:b/>
                <w:bCs/>
                <w:sz w:val="24"/>
                <w:szCs w:val="24"/>
                <w:rtl/>
              </w:rPr>
            </w:pPr>
            <w:r w:rsidRPr="00562A33">
              <w:rPr>
                <w:rFonts w:ascii="David" w:hAnsi="David" w:cs="David"/>
                <w:b/>
                <w:bCs/>
                <w:sz w:val="24"/>
                <w:szCs w:val="24"/>
                <w:rtl/>
              </w:rPr>
              <w:t>כוחות ביטחון והנתונים למרותם</w:t>
            </w:r>
          </w:p>
        </w:tc>
        <w:tc>
          <w:tcPr>
            <w:tcW w:w="1559" w:type="dxa"/>
            <w:shd w:val="clear" w:color="auto" w:fill="1F3864" w:themeFill="accent1" w:themeFillShade="80"/>
            <w:vAlign w:val="center"/>
          </w:tcPr>
          <w:p w14:paraId="376BB9F4" w14:textId="77777777" w:rsidR="005B32D7" w:rsidRPr="00562A33" w:rsidRDefault="005B32D7" w:rsidP="005B32D7">
            <w:pPr>
              <w:spacing w:after="0" w:line="240" w:lineRule="auto"/>
              <w:jc w:val="center"/>
              <w:rPr>
                <w:rFonts w:ascii="David" w:hAnsi="David" w:cs="David"/>
                <w:b/>
                <w:bCs/>
                <w:sz w:val="24"/>
                <w:szCs w:val="24"/>
                <w:rtl/>
              </w:rPr>
            </w:pPr>
            <w:r w:rsidRPr="00562A33">
              <w:rPr>
                <w:rFonts w:ascii="David" w:hAnsi="David" w:cs="David"/>
                <w:b/>
                <w:bCs/>
                <w:sz w:val="24"/>
                <w:szCs w:val="24"/>
                <w:rtl/>
              </w:rPr>
              <w:t>מקצועות קשורים לשירות בריאות לציבור</w:t>
            </w:r>
          </w:p>
        </w:tc>
        <w:tc>
          <w:tcPr>
            <w:tcW w:w="1418" w:type="dxa"/>
            <w:shd w:val="clear" w:color="auto" w:fill="1F3864" w:themeFill="accent1" w:themeFillShade="80"/>
            <w:vAlign w:val="center"/>
          </w:tcPr>
          <w:p w14:paraId="3AC9912B" w14:textId="77777777" w:rsidR="005B32D7" w:rsidRPr="00562A33" w:rsidRDefault="005B32D7" w:rsidP="005B32D7">
            <w:pPr>
              <w:spacing w:after="0" w:line="240" w:lineRule="auto"/>
              <w:jc w:val="center"/>
              <w:rPr>
                <w:rFonts w:ascii="David" w:hAnsi="David" w:cs="David"/>
                <w:b/>
                <w:bCs/>
                <w:sz w:val="24"/>
                <w:szCs w:val="24"/>
                <w:rtl/>
              </w:rPr>
            </w:pPr>
            <w:r w:rsidRPr="00562A33">
              <w:rPr>
                <w:rFonts w:ascii="David" w:hAnsi="David" w:cs="David"/>
                <w:b/>
                <w:bCs/>
                <w:sz w:val="24"/>
                <w:szCs w:val="24"/>
                <w:rtl/>
              </w:rPr>
              <w:t>מקצועות עזר לעולם המשפט</w:t>
            </w:r>
          </w:p>
        </w:tc>
        <w:tc>
          <w:tcPr>
            <w:tcW w:w="1559" w:type="dxa"/>
            <w:shd w:val="clear" w:color="auto" w:fill="1F3864" w:themeFill="accent1" w:themeFillShade="80"/>
            <w:vAlign w:val="center"/>
          </w:tcPr>
          <w:p w14:paraId="61D2FC0E" w14:textId="77777777" w:rsidR="005B32D7" w:rsidRPr="00562A33" w:rsidRDefault="005B32D7" w:rsidP="005B32D7">
            <w:pPr>
              <w:spacing w:after="0" w:line="240" w:lineRule="auto"/>
              <w:jc w:val="center"/>
              <w:rPr>
                <w:rFonts w:ascii="David" w:hAnsi="David" w:cs="David"/>
                <w:b/>
                <w:bCs/>
                <w:sz w:val="24"/>
                <w:szCs w:val="24"/>
                <w:rtl/>
              </w:rPr>
            </w:pPr>
            <w:r w:rsidRPr="00562A33">
              <w:rPr>
                <w:rFonts w:ascii="David" w:hAnsi="David" w:cs="David"/>
                <w:b/>
                <w:bCs/>
                <w:sz w:val="24"/>
                <w:szCs w:val="24"/>
                <w:rtl/>
              </w:rPr>
              <w:t>עובדי ציבור</w:t>
            </w:r>
          </w:p>
        </w:tc>
        <w:tc>
          <w:tcPr>
            <w:tcW w:w="1834" w:type="dxa"/>
            <w:shd w:val="clear" w:color="auto" w:fill="1F3864" w:themeFill="accent1" w:themeFillShade="80"/>
            <w:vAlign w:val="center"/>
          </w:tcPr>
          <w:p w14:paraId="761C9254" w14:textId="77777777" w:rsidR="005B32D7" w:rsidRPr="00562A33" w:rsidRDefault="005B32D7" w:rsidP="005B32D7">
            <w:pPr>
              <w:spacing w:after="0" w:line="240" w:lineRule="auto"/>
              <w:jc w:val="center"/>
              <w:rPr>
                <w:rFonts w:ascii="David" w:hAnsi="David" w:cs="David"/>
                <w:b/>
                <w:bCs/>
                <w:sz w:val="24"/>
                <w:szCs w:val="24"/>
                <w:rtl/>
              </w:rPr>
            </w:pPr>
            <w:r w:rsidRPr="00562A33">
              <w:rPr>
                <w:rFonts w:ascii="David" w:hAnsi="David" w:cs="David"/>
                <w:b/>
                <w:bCs/>
                <w:sz w:val="24"/>
                <w:szCs w:val="24"/>
                <w:rtl/>
              </w:rPr>
              <w:t>בעלי מקצועות המשרתים את הציבור</w:t>
            </w:r>
          </w:p>
        </w:tc>
      </w:tr>
      <w:tr w:rsidR="005B32D7" w:rsidRPr="00562A33" w14:paraId="34B95CB2" w14:textId="77777777" w:rsidTr="005B32D7">
        <w:trPr>
          <w:trHeight w:val="576"/>
        </w:trPr>
        <w:tc>
          <w:tcPr>
            <w:tcW w:w="1560" w:type="dxa"/>
            <w:vAlign w:val="center"/>
          </w:tcPr>
          <w:p w14:paraId="00F94FB7"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דיינים</w:t>
            </w:r>
          </w:p>
        </w:tc>
        <w:tc>
          <w:tcPr>
            <w:tcW w:w="1428" w:type="dxa"/>
            <w:vAlign w:val="center"/>
          </w:tcPr>
          <w:p w14:paraId="7773E29D"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חיילים</w:t>
            </w:r>
          </w:p>
        </w:tc>
        <w:tc>
          <w:tcPr>
            <w:tcW w:w="1559" w:type="dxa"/>
            <w:vAlign w:val="center"/>
          </w:tcPr>
          <w:p w14:paraId="33C997A6"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רופאים</w:t>
            </w:r>
          </w:p>
        </w:tc>
        <w:tc>
          <w:tcPr>
            <w:tcW w:w="1418" w:type="dxa"/>
            <w:vAlign w:val="center"/>
          </w:tcPr>
          <w:p w14:paraId="57CB8F00"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עורכי דין</w:t>
            </w:r>
          </w:p>
        </w:tc>
        <w:tc>
          <w:tcPr>
            <w:tcW w:w="1559" w:type="dxa"/>
            <w:vAlign w:val="center"/>
          </w:tcPr>
          <w:p w14:paraId="3739C8B8"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עובדי מדינה</w:t>
            </w:r>
          </w:p>
        </w:tc>
        <w:tc>
          <w:tcPr>
            <w:tcW w:w="1834" w:type="dxa"/>
            <w:vAlign w:val="center"/>
          </w:tcPr>
          <w:p w14:paraId="3ED60CE4"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מהנדסים / אדריכלים</w:t>
            </w:r>
          </w:p>
        </w:tc>
      </w:tr>
      <w:tr w:rsidR="005B32D7" w:rsidRPr="00562A33" w14:paraId="103B1383" w14:textId="77777777" w:rsidTr="005B32D7">
        <w:trPr>
          <w:trHeight w:val="540"/>
        </w:trPr>
        <w:tc>
          <w:tcPr>
            <w:tcW w:w="1560" w:type="dxa"/>
            <w:vAlign w:val="center"/>
          </w:tcPr>
          <w:p w14:paraId="4625F8A6"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קאדים</w:t>
            </w:r>
          </w:p>
        </w:tc>
        <w:tc>
          <w:tcPr>
            <w:tcW w:w="1428" w:type="dxa"/>
            <w:vAlign w:val="center"/>
          </w:tcPr>
          <w:p w14:paraId="39C0C5EE"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סוהרים</w:t>
            </w:r>
          </w:p>
        </w:tc>
        <w:tc>
          <w:tcPr>
            <w:tcW w:w="1559" w:type="dxa"/>
            <w:vAlign w:val="center"/>
          </w:tcPr>
          <w:p w14:paraId="33761C32"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רוקחים</w:t>
            </w:r>
          </w:p>
        </w:tc>
        <w:tc>
          <w:tcPr>
            <w:tcW w:w="1418" w:type="dxa"/>
            <w:vAlign w:val="center"/>
          </w:tcPr>
          <w:p w14:paraId="552470BF"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נוטריונים</w:t>
            </w:r>
          </w:p>
        </w:tc>
        <w:tc>
          <w:tcPr>
            <w:tcW w:w="1559" w:type="dxa"/>
            <w:vAlign w:val="center"/>
          </w:tcPr>
          <w:p w14:paraId="72062D45"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עובדי רשויות מקומיות</w:t>
            </w:r>
          </w:p>
        </w:tc>
        <w:tc>
          <w:tcPr>
            <w:tcW w:w="1834" w:type="dxa"/>
            <w:vAlign w:val="center"/>
          </w:tcPr>
          <w:p w14:paraId="7203A0C1"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חוקרים פרטיים</w:t>
            </w:r>
          </w:p>
        </w:tc>
      </w:tr>
      <w:tr w:rsidR="005B32D7" w:rsidRPr="00562A33" w14:paraId="2A0DA7B2" w14:textId="77777777" w:rsidTr="005B32D7">
        <w:trPr>
          <w:trHeight w:val="348"/>
        </w:trPr>
        <w:tc>
          <w:tcPr>
            <w:tcW w:w="1560" w:type="dxa"/>
            <w:vAlign w:val="center"/>
          </w:tcPr>
          <w:p w14:paraId="456844C2"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שופטים</w:t>
            </w:r>
          </w:p>
        </w:tc>
        <w:tc>
          <w:tcPr>
            <w:tcW w:w="1428" w:type="dxa"/>
            <w:vAlign w:val="center"/>
          </w:tcPr>
          <w:p w14:paraId="4C229AD8"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שוטרים</w:t>
            </w:r>
          </w:p>
        </w:tc>
        <w:tc>
          <w:tcPr>
            <w:tcW w:w="1559" w:type="dxa"/>
            <w:vAlign w:val="center"/>
          </w:tcPr>
          <w:p w14:paraId="669B3E89"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מיילדות</w:t>
            </w:r>
          </w:p>
        </w:tc>
        <w:tc>
          <w:tcPr>
            <w:tcW w:w="1418" w:type="dxa"/>
            <w:vAlign w:val="center"/>
          </w:tcPr>
          <w:p w14:paraId="6CBB0773"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טוענים רבניים</w:t>
            </w:r>
          </w:p>
        </w:tc>
        <w:tc>
          <w:tcPr>
            <w:tcW w:w="1559" w:type="dxa"/>
            <w:vAlign w:val="center"/>
          </w:tcPr>
          <w:p w14:paraId="5E19C661"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רבנים עירוניים</w:t>
            </w:r>
          </w:p>
        </w:tc>
        <w:tc>
          <w:tcPr>
            <w:tcW w:w="1834" w:type="dxa"/>
            <w:vAlign w:val="center"/>
          </w:tcPr>
          <w:p w14:paraId="1DDC5DF8"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סוכני מכס</w:t>
            </w:r>
          </w:p>
        </w:tc>
      </w:tr>
      <w:tr w:rsidR="005B32D7" w:rsidRPr="00562A33" w14:paraId="1461073B" w14:textId="77777777" w:rsidTr="005B32D7">
        <w:trPr>
          <w:trHeight w:val="565"/>
        </w:trPr>
        <w:tc>
          <w:tcPr>
            <w:tcW w:w="1560" w:type="dxa"/>
            <w:vAlign w:val="center"/>
          </w:tcPr>
          <w:p w14:paraId="68E71EC5"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קאדים מעדר (דרוזים)</w:t>
            </w:r>
          </w:p>
        </w:tc>
        <w:tc>
          <w:tcPr>
            <w:tcW w:w="1428" w:type="dxa"/>
            <w:vAlign w:val="center"/>
          </w:tcPr>
          <w:p w14:paraId="059453DF"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שומרי הכנסת</w:t>
            </w:r>
          </w:p>
        </w:tc>
        <w:tc>
          <w:tcPr>
            <w:tcW w:w="1559" w:type="dxa"/>
            <w:vAlign w:val="center"/>
          </w:tcPr>
          <w:p w14:paraId="26623F7F"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פסיכולוגים</w:t>
            </w:r>
          </w:p>
        </w:tc>
        <w:tc>
          <w:tcPr>
            <w:tcW w:w="1418" w:type="dxa"/>
            <w:vAlign w:val="center"/>
          </w:tcPr>
          <w:p w14:paraId="222AA86E"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טוענים שרעיים</w:t>
            </w:r>
          </w:p>
        </w:tc>
        <w:tc>
          <w:tcPr>
            <w:tcW w:w="1559" w:type="dxa"/>
            <w:vAlign w:val="center"/>
          </w:tcPr>
          <w:p w14:paraId="598C4DC4"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עובדי הרשות השנייה</w:t>
            </w:r>
          </w:p>
        </w:tc>
        <w:tc>
          <w:tcPr>
            <w:tcW w:w="1834" w:type="dxa"/>
            <w:vAlign w:val="center"/>
          </w:tcPr>
          <w:p w14:paraId="76902ED1"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רואי חשבון</w:t>
            </w:r>
          </w:p>
        </w:tc>
      </w:tr>
      <w:tr w:rsidR="005B32D7" w:rsidRPr="00562A33" w14:paraId="4740AC31" w14:textId="77777777" w:rsidTr="005B32D7">
        <w:trPr>
          <w:trHeight w:val="559"/>
        </w:trPr>
        <w:tc>
          <w:tcPr>
            <w:tcW w:w="1560" w:type="dxa"/>
            <w:vAlign w:val="center"/>
          </w:tcPr>
          <w:p w14:paraId="695F2D49"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שופטים צבאיים</w:t>
            </w:r>
          </w:p>
        </w:tc>
        <w:tc>
          <w:tcPr>
            <w:tcW w:w="1428" w:type="dxa"/>
            <w:vAlign w:val="center"/>
          </w:tcPr>
          <w:p w14:paraId="035934F9"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אסירים</w:t>
            </w:r>
          </w:p>
        </w:tc>
        <w:tc>
          <w:tcPr>
            <w:tcW w:w="1559" w:type="dxa"/>
            <w:vAlign w:val="center"/>
          </w:tcPr>
          <w:p w14:paraId="1051D3B5"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עוסקים בתחום הבריאות</w:t>
            </w:r>
          </w:p>
        </w:tc>
        <w:tc>
          <w:tcPr>
            <w:tcW w:w="1418" w:type="dxa"/>
            <w:vAlign w:val="center"/>
          </w:tcPr>
          <w:p w14:paraId="2E33706A"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מטפלי בקשות (מאכרים מסודרים)</w:t>
            </w:r>
          </w:p>
        </w:tc>
        <w:tc>
          <w:tcPr>
            <w:tcW w:w="1559" w:type="dxa"/>
            <w:vAlign w:val="center"/>
          </w:tcPr>
          <w:p w14:paraId="066C6C0D"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עובדי הרשות להגנת עדים</w:t>
            </w:r>
          </w:p>
        </w:tc>
        <w:tc>
          <w:tcPr>
            <w:tcW w:w="1834" w:type="dxa"/>
            <w:vAlign w:val="center"/>
          </w:tcPr>
          <w:p w14:paraId="0879E486"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יועצי מס</w:t>
            </w:r>
          </w:p>
        </w:tc>
      </w:tr>
      <w:tr w:rsidR="005B32D7" w:rsidRPr="00562A33" w14:paraId="642082A3" w14:textId="77777777" w:rsidTr="005B32D7">
        <w:trPr>
          <w:trHeight w:val="553"/>
        </w:trPr>
        <w:tc>
          <w:tcPr>
            <w:tcW w:w="1560" w:type="dxa"/>
            <w:vAlign w:val="center"/>
          </w:tcPr>
          <w:p w14:paraId="171AA088" w14:textId="77777777" w:rsidR="005B32D7" w:rsidRPr="00562A33" w:rsidRDefault="005B32D7" w:rsidP="005B32D7">
            <w:pPr>
              <w:spacing w:after="0" w:line="240" w:lineRule="auto"/>
              <w:jc w:val="center"/>
              <w:rPr>
                <w:rFonts w:ascii="David" w:hAnsi="David" w:cs="David"/>
                <w:sz w:val="24"/>
                <w:szCs w:val="24"/>
                <w:rtl/>
              </w:rPr>
            </w:pPr>
          </w:p>
        </w:tc>
        <w:tc>
          <w:tcPr>
            <w:tcW w:w="1428" w:type="dxa"/>
            <w:vAlign w:val="center"/>
          </w:tcPr>
          <w:p w14:paraId="738D34E1"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אסירים צבאיים</w:t>
            </w:r>
          </w:p>
        </w:tc>
        <w:tc>
          <w:tcPr>
            <w:tcW w:w="1559" w:type="dxa"/>
            <w:vAlign w:val="center"/>
          </w:tcPr>
          <w:p w14:paraId="0B3293C7"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רופאי שיניים</w:t>
            </w:r>
          </w:p>
        </w:tc>
        <w:tc>
          <w:tcPr>
            <w:tcW w:w="1418" w:type="dxa"/>
            <w:vAlign w:val="center"/>
          </w:tcPr>
          <w:p w14:paraId="2E5BEC78" w14:textId="77777777" w:rsidR="005B32D7" w:rsidRPr="00562A33" w:rsidRDefault="005B32D7" w:rsidP="005B32D7">
            <w:pPr>
              <w:spacing w:after="0" w:line="240" w:lineRule="auto"/>
              <w:jc w:val="center"/>
              <w:rPr>
                <w:rFonts w:ascii="David" w:hAnsi="David" w:cs="David"/>
                <w:sz w:val="24"/>
                <w:szCs w:val="24"/>
                <w:rtl/>
              </w:rPr>
            </w:pPr>
          </w:p>
        </w:tc>
        <w:tc>
          <w:tcPr>
            <w:tcW w:w="1559" w:type="dxa"/>
            <w:vAlign w:val="center"/>
          </w:tcPr>
          <w:p w14:paraId="178B93C2"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עובדי הרשות לשיקום האסיר</w:t>
            </w:r>
          </w:p>
        </w:tc>
        <w:tc>
          <w:tcPr>
            <w:tcW w:w="1834" w:type="dxa"/>
            <w:vAlign w:val="center"/>
          </w:tcPr>
          <w:p w14:paraId="60B03CFC"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מתווכים</w:t>
            </w:r>
          </w:p>
        </w:tc>
      </w:tr>
      <w:tr w:rsidR="005B32D7" w:rsidRPr="00562A33" w14:paraId="6D4102C3" w14:textId="77777777" w:rsidTr="005B32D7">
        <w:trPr>
          <w:trHeight w:val="683"/>
        </w:trPr>
        <w:tc>
          <w:tcPr>
            <w:tcW w:w="1560" w:type="dxa"/>
            <w:vAlign w:val="center"/>
          </w:tcPr>
          <w:p w14:paraId="4E40810E" w14:textId="77777777" w:rsidR="005B32D7" w:rsidRPr="00562A33" w:rsidRDefault="005B32D7" w:rsidP="005B32D7">
            <w:pPr>
              <w:spacing w:after="0" w:line="240" w:lineRule="auto"/>
              <w:jc w:val="center"/>
              <w:rPr>
                <w:rFonts w:ascii="David" w:hAnsi="David" w:cs="David"/>
                <w:sz w:val="24"/>
                <w:szCs w:val="24"/>
                <w:rtl/>
              </w:rPr>
            </w:pPr>
          </w:p>
        </w:tc>
        <w:tc>
          <w:tcPr>
            <w:tcW w:w="1428" w:type="dxa"/>
            <w:vAlign w:val="center"/>
          </w:tcPr>
          <w:p w14:paraId="1BA3C7C3"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מתנדבי משמר אזרחי</w:t>
            </w:r>
          </w:p>
        </w:tc>
        <w:tc>
          <w:tcPr>
            <w:tcW w:w="1559" w:type="dxa"/>
            <w:vAlign w:val="center"/>
          </w:tcPr>
          <w:p w14:paraId="753336DD"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רופאים וטרינריים</w:t>
            </w:r>
          </w:p>
        </w:tc>
        <w:tc>
          <w:tcPr>
            <w:tcW w:w="1418" w:type="dxa"/>
            <w:vAlign w:val="center"/>
          </w:tcPr>
          <w:p w14:paraId="48CCB0E0" w14:textId="77777777" w:rsidR="005B32D7" w:rsidRPr="00562A33" w:rsidRDefault="005B32D7" w:rsidP="005B32D7">
            <w:pPr>
              <w:spacing w:after="0" w:line="240" w:lineRule="auto"/>
              <w:jc w:val="center"/>
              <w:rPr>
                <w:rFonts w:ascii="David" w:hAnsi="David" w:cs="David"/>
                <w:sz w:val="24"/>
                <w:szCs w:val="24"/>
                <w:rtl/>
              </w:rPr>
            </w:pPr>
          </w:p>
        </w:tc>
        <w:tc>
          <w:tcPr>
            <w:tcW w:w="1559" w:type="dxa"/>
            <w:vAlign w:val="center"/>
          </w:tcPr>
          <w:p w14:paraId="6FAA4D20"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עובדי הרשות הארצית לכבאות והצלה</w:t>
            </w:r>
          </w:p>
        </w:tc>
        <w:tc>
          <w:tcPr>
            <w:tcW w:w="1834" w:type="dxa"/>
            <w:vAlign w:val="center"/>
          </w:tcPr>
          <w:p w14:paraId="735DB6F6"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עובדים סוציאליים</w:t>
            </w:r>
          </w:p>
        </w:tc>
      </w:tr>
      <w:tr w:rsidR="005B32D7" w:rsidRPr="00562A33" w14:paraId="7C2FE1A1" w14:textId="77777777" w:rsidTr="005B32D7">
        <w:trPr>
          <w:trHeight w:val="1128"/>
        </w:trPr>
        <w:tc>
          <w:tcPr>
            <w:tcW w:w="1560" w:type="dxa"/>
            <w:vAlign w:val="center"/>
          </w:tcPr>
          <w:p w14:paraId="7213D55E" w14:textId="77777777" w:rsidR="005B32D7" w:rsidRPr="00562A33" w:rsidRDefault="005B32D7" w:rsidP="005B32D7">
            <w:pPr>
              <w:spacing w:after="0" w:line="240" w:lineRule="auto"/>
              <w:jc w:val="center"/>
              <w:rPr>
                <w:rFonts w:ascii="David" w:hAnsi="David" w:cs="David"/>
                <w:sz w:val="24"/>
                <w:szCs w:val="24"/>
                <w:rtl/>
              </w:rPr>
            </w:pPr>
          </w:p>
        </w:tc>
        <w:tc>
          <w:tcPr>
            <w:tcW w:w="1428" w:type="dxa"/>
            <w:vAlign w:val="center"/>
          </w:tcPr>
          <w:p w14:paraId="7DED71F4" w14:textId="77777777" w:rsidR="005B32D7" w:rsidRPr="00562A33" w:rsidRDefault="005B32D7" w:rsidP="005B32D7">
            <w:pPr>
              <w:spacing w:after="0" w:line="240" w:lineRule="auto"/>
              <w:jc w:val="center"/>
              <w:rPr>
                <w:rFonts w:ascii="David" w:hAnsi="David" w:cs="David"/>
                <w:sz w:val="24"/>
                <w:szCs w:val="24"/>
                <w:rtl/>
              </w:rPr>
            </w:pPr>
          </w:p>
        </w:tc>
        <w:tc>
          <w:tcPr>
            <w:tcW w:w="1559" w:type="dxa"/>
            <w:vAlign w:val="center"/>
          </w:tcPr>
          <w:p w14:paraId="193992C2" w14:textId="77777777" w:rsidR="005B32D7" w:rsidRPr="00562A33" w:rsidRDefault="005B32D7" w:rsidP="005B32D7">
            <w:pPr>
              <w:spacing w:after="0" w:line="240" w:lineRule="auto"/>
              <w:jc w:val="center"/>
              <w:rPr>
                <w:rFonts w:ascii="David" w:hAnsi="David" w:cs="David"/>
                <w:sz w:val="24"/>
                <w:szCs w:val="24"/>
                <w:rtl/>
              </w:rPr>
            </w:pPr>
            <w:proofErr w:type="spellStart"/>
            <w:r w:rsidRPr="00562A33">
              <w:rPr>
                <w:rFonts w:ascii="David" w:hAnsi="David" w:cs="David" w:hint="cs"/>
                <w:sz w:val="24"/>
                <w:szCs w:val="24"/>
                <w:rtl/>
              </w:rPr>
              <w:t>סטאז'רים</w:t>
            </w:r>
            <w:proofErr w:type="spellEnd"/>
            <w:r w:rsidRPr="00562A33">
              <w:rPr>
                <w:rFonts w:ascii="David" w:hAnsi="David" w:cs="David"/>
                <w:sz w:val="24"/>
                <w:szCs w:val="24"/>
                <w:rtl/>
              </w:rPr>
              <w:t xml:space="preserve"> לרפואה</w:t>
            </w:r>
          </w:p>
        </w:tc>
        <w:tc>
          <w:tcPr>
            <w:tcW w:w="1418" w:type="dxa"/>
            <w:vAlign w:val="center"/>
          </w:tcPr>
          <w:p w14:paraId="50BFCC5B" w14:textId="77777777" w:rsidR="005B32D7" w:rsidRPr="00562A33" w:rsidRDefault="005B32D7" w:rsidP="005B32D7">
            <w:pPr>
              <w:spacing w:after="0" w:line="240" w:lineRule="auto"/>
              <w:jc w:val="center"/>
              <w:rPr>
                <w:rFonts w:ascii="David" w:hAnsi="David" w:cs="David"/>
                <w:sz w:val="24"/>
                <w:szCs w:val="24"/>
                <w:rtl/>
              </w:rPr>
            </w:pPr>
          </w:p>
        </w:tc>
        <w:tc>
          <w:tcPr>
            <w:tcW w:w="1559" w:type="dxa"/>
            <w:vAlign w:val="center"/>
          </w:tcPr>
          <w:p w14:paraId="690F9B85" w14:textId="77777777" w:rsidR="005B32D7" w:rsidRPr="00562A33" w:rsidRDefault="005B32D7" w:rsidP="005B32D7">
            <w:pPr>
              <w:spacing w:after="0" w:line="240" w:lineRule="auto"/>
              <w:jc w:val="center"/>
              <w:rPr>
                <w:rFonts w:ascii="David" w:hAnsi="David" w:cs="David"/>
                <w:sz w:val="24"/>
                <w:szCs w:val="24"/>
              </w:rPr>
            </w:pPr>
            <w:r w:rsidRPr="00562A33">
              <w:rPr>
                <w:rFonts w:ascii="David" w:hAnsi="David" w:cs="David"/>
                <w:sz w:val="24"/>
                <w:szCs w:val="24"/>
                <w:rtl/>
              </w:rPr>
              <w:t>עובדי חברת הדואר (נתונים לדין משמעתי כמו עובדי ציבור אף שזו כבר לא חברה ממשלתית)</w:t>
            </w:r>
          </w:p>
        </w:tc>
        <w:tc>
          <w:tcPr>
            <w:tcW w:w="1834" w:type="dxa"/>
            <w:vAlign w:val="center"/>
          </w:tcPr>
          <w:p w14:paraId="16CE1CB4"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שמאי מקרקעין</w:t>
            </w:r>
          </w:p>
        </w:tc>
      </w:tr>
      <w:tr w:rsidR="005B32D7" w:rsidRPr="00562A33" w14:paraId="6159C486" w14:textId="77777777" w:rsidTr="005B32D7">
        <w:trPr>
          <w:trHeight w:val="683"/>
        </w:trPr>
        <w:tc>
          <w:tcPr>
            <w:tcW w:w="1560" w:type="dxa"/>
            <w:vAlign w:val="center"/>
          </w:tcPr>
          <w:p w14:paraId="53EFDF30" w14:textId="77777777" w:rsidR="005B32D7" w:rsidRPr="00562A33" w:rsidRDefault="005B32D7" w:rsidP="005B32D7">
            <w:pPr>
              <w:spacing w:after="0" w:line="240" w:lineRule="auto"/>
              <w:jc w:val="center"/>
              <w:rPr>
                <w:rFonts w:ascii="David" w:hAnsi="David" w:cs="David"/>
                <w:sz w:val="24"/>
                <w:szCs w:val="24"/>
                <w:rtl/>
              </w:rPr>
            </w:pPr>
          </w:p>
        </w:tc>
        <w:tc>
          <w:tcPr>
            <w:tcW w:w="1428" w:type="dxa"/>
            <w:vAlign w:val="center"/>
          </w:tcPr>
          <w:p w14:paraId="34521E76" w14:textId="77777777" w:rsidR="005B32D7" w:rsidRPr="00562A33" w:rsidRDefault="005B32D7" w:rsidP="005B32D7">
            <w:pPr>
              <w:spacing w:after="0" w:line="240" w:lineRule="auto"/>
              <w:jc w:val="center"/>
              <w:rPr>
                <w:rFonts w:ascii="David" w:hAnsi="David" w:cs="David"/>
                <w:sz w:val="24"/>
                <w:szCs w:val="24"/>
                <w:rtl/>
              </w:rPr>
            </w:pPr>
          </w:p>
        </w:tc>
        <w:tc>
          <w:tcPr>
            <w:tcW w:w="1559" w:type="dxa"/>
            <w:vAlign w:val="center"/>
          </w:tcPr>
          <w:p w14:paraId="4D676F88" w14:textId="77777777" w:rsidR="005B32D7" w:rsidRPr="00562A33" w:rsidRDefault="005B32D7" w:rsidP="005B32D7">
            <w:pPr>
              <w:spacing w:after="0" w:line="240" w:lineRule="auto"/>
              <w:jc w:val="center"/>
              <w:rPr>
                <w:rFonts w:ascii="David" w:hAnsi="David" w:cs="David"/>
                <w:sz w:val="24"/>
                <w:szCs w:val="24"/>
                <w:rtl/>
              </w:rPr>
            </w:pPr>
          </w:p>
        </w:tc>
        <w:tc>
          <w:tcPr>
            <w:tcW w:w="1418" w:type="dxa"/>
            <w:vAlign w:val="center"/>
          </w:tcPr>
          <w:p w14:paraId="142E8602" w14:textId="77777777" w:rsidR="005B32D7" w:rsidRPr="00562A33" w:rsidRDefault="005B32D7" w:rsidP="005B32D7">
            <w:pPr>
              <w:spacing w:after="0" w:line="240" w:lineRule="auto"/>
              <w:jc w:val="center"/>
              <w:rPr>
                <w:rFonts w:ascii="David" w:hAnsi="David" w:cs="David"/>
                <w:sz w:val="24"/>
                <w:szCs w:val="24"/>
                <w:rtl/>
              </w:rPr>
            </w:pPr>
          </w:p>
        </w:tc>
        <w:tc>
          <w:tcPr>
            <w:tcW w:w="1559" w:type="dxa"/>
            <w:vAlign w:val="center"/>
          </w:tcPr>
          <w:p w14:paraId="57D7A6C9" w14:textId="77777777" w:rsidR="005B32D7" w:rsidRPr="00562A33" w:rsidRDefault="005B32D7" w:rsidP="005B32D7">
            <w:pPr>
              <w:spacing w:after="0" w:line="240" w:lineRule="auto"/>
              <w:jc w:val="center"/>
              <w:rPr>
                <w:rFonts w:ascii="David" w:hAnsi="David" w:cs="David"/>
                <w:sz w:val="24"/>
                <w:szCs w:val="24"/>
                <w:rtl/>
              </w:rPr>
            </w:pPr>
          </w:p>
        </w:tc>
        <w:tc>
          <w:tcPr>
            <w:tcW w:w="1834" w:type="dxa"/>
            <w:vAlign w:val="center"/>
          </w:tcPr>
          <w:p w14:paraId="07263F5F" w14:textId="77777777" w:rsidR="005B32D7" w:rsidRPr="00562A33" w:rsidRDefault="005B32D7" w:rsidP="005B32D7">
            <w:pPr>
              <w:spacing w:after="0" w:line="240" w:lineRule="auto"/>
              <w:jc w:val="center"/>
              <w:rPr>
                <w:rFonts w:ascii="David" w:hAnsi="David" w:cs="David"/>
                <w:sz w:val="24"/>
                <w:szCs w:val="24"/>
                <w:rtl/>
              </w:rPr>
            </w:pPr>
            <w:r w:rsidRPr="00562A33">
              <w:rPr>
                <w:rFonts w:ascii="David" w:hAnsi="David" w:cs="David"/>
                <w:sz w:val="24"/>
                <w:szCs w:val="24"/>
                <w:rtl/>
              </w:rPr>
              <w:t>יועצי השקעות ומנהלי תיקי השקעות</w:t>
            </w:r>
          </w:p>
        </w:tc>
      </w:tr>
    </w:tbl>
    <w:p w14:paraId="4BD53E8B" w14:textId="77777777" w:rsidR="005B32D7" w:rsidRPr="00562A33" w:rsidRDefault="005B32D7" w:rsidP="005B32D7">
      <w:pPr>
        <w:pStyle w:val="a4"/>
        <w:spacing w:after="0" w:line="360" w:lineRule="auto"/>
        <w:ind w:left="-199"/>
        <w:contextualSpacing w:val="0"/>
        <w:jc w:val="both"/>
        <w:rPr>
          <w:rFonts w:ascii="David" w:hAnsi="David" w:cs="David"/>
          <w:sz w:val="24"/>
          <w:szCs w:val="24"/>
        </w:rPr>
      </w:pPr>
    </w:p>
    <w:p w14:paraId="4ECD299F" w14:textId="77777777" w:rsidR="00EC64C3" w:rsidRPr="00562A33" w:rsidRDefault="00EC64C3" w:rsidP="00E31C0C">
      <w:pPr>
        <w:pStyle w:val="a4"/>
        <w:numPr>
          <w:ilvl w:val="3"/>
          <w:numId w:val="12"/>
        </w:numPr>
        <w:spacing w:after="0" w:line="360" w:lineRule="auto"/>
        <w:ind w:left="-199" w:hanging="280"/>
        <w:contextualSpacing w:val="0"/>
        <w:jc w:val="both"/>
        <w:rPr>
          <w:rFonts w:ascii="David" w:hAnsi="David" w:cs="David"/>
          <w:sz w:val="24"/>
          <w:szCs w:val="24"/>
          <w:rtl/>
        </w:rPr>
      </w:pPr>
      <w:r w:rsidRPr="00562A33">
        <w:rPr>
          <w:rFonts w:ascii="David" w:hAnsi="David" w:cs="David"/>
          <w:sz w:val="24"/>
          <w:szCs w:val="24"/>
          <w:highlight w:val="yellow"/>
          <w:rtl/>
        </w:rPr>
        <w:t>הכרעה בדבר רמת ההוכחה הנדרשת</w:t>
      </w:r>
      <w:r w:rsidRPr="00562A33">
        <w:rPr>
          <w:rFonts w:ascii="David" w:hAnsi="David" w:cs="David"/>
          <w:sz w:val="24"/>
          <w:szCs w:val="24"/>
          <w:rtl/>
        </w:rPr>
        <w:t xml:space="preserve">. </w:t>
      </w:r>
      <w:r w:rsidRPr="00562A33">
        <w:rPr>
          <w:rFonts w:ascii="David" w:hAnsi="David" w:cs="David" w:hint="cs"/>
          <w:sz w:val="24"/>
          <w:szCs w:val="24"/>
          <w:rtl/>
        </w:rPr>
        <w:t>ניתן לומר כי ככל שהעבירה חמורה יותר כך דרגת ההוכחה הנדרשת תהיה גבוהה יותר (</w:t>
      </w:r>
      <w:proofErr w:type="spellStart"/>
      <w:r w:rsidRPr="00562A33">
        <w:rPr>
          <w:rFonts w:ascii="David" w:hAnsi="David" w:cs="David" w:hint="cs"/>
          <w:sz w:val="24"/>
          <w:szCs w:val="24"/>
          <w:rtl/>
        </w:rPr>
        <w:t>השו</w:t>
      </w:r>
      <w:proofErr w:type="spellEnd"/>
      <w:r w:rsidRPr="00562A33">
        <w:rPr>
          <w:rFonts w:ascii="David" w:hAnsi="David" w:cs="David" w:hint="cs"/>
          <w:sz w:val="24"/>
          <w:szCs w:val="24"/>
          <w:rtl/>
        </w:rPr>
        <w:t>' זמיר לא אומר זאת מפורשות אך זוהי הפרשנות המקובלת).</w:t>
      </w:r>
    </w:p>
    <w:p w14:paraId="2FC28B69" w14:textId="77777777" w:rsidR="00EC64C3" w:rsidRPr="00562A33" w:rsidRDefault="00EC64C3" w:rsidP="00E31C0C">
      <w:pPr>
        <w:pStyle w:val="NormalWeb"/>
        <w:numPr>
          <w:ilvl w:val="0"/>
          <w:numId w:val="13"/>
        </w:numPr>
        <w:bidi/>
        <w:spacing w:before="0" w:beforeAutospacing="0" w:after="0" w:afterAutospacing="0" w:line="360" w:lineRule="auto"/>
        <w:ind w:left="84" w:hanging="283"/>
        <w:jc w:val="both"/>
        <w:rPr>
          <w:rFonts w:ascii="David" w:hAnsi="David" w:cs="David"/>
        </w:rPr>
      </w:pPr>
      <w:r w:rsidRPr="00562A33">
        <w:rPr>
          <w:rFonts w:ascii="David" w:hAnsi="David" w:cs="David" w:hint="cs"/>
          <w:b/>
          <w:bCs/>
          <w:rtl/>
        </w:rPr>
        <w:t>אין הכרעה לגבי מידת ההוכחה הנדרשת</w:t>
      </w:r>
      <w:r w:rsidRPr="00562A33">
        <w:rPr>
          <w:rFonts w:ascii="David" w:hAnsi="David" w:cs="David" w:hint="cs"/>
          <w:rtl/>
        </w:rPr>
        <w:t xml:space="preserve"> </w:t>
      </w:r>
      <w:r w:rsidRPr="00562A33">
        <w:rPr>
          <w:rFonts w:ascii="David" w:hAnsi="David" w:cs="David"/>
          <w:rtl/>
        </w:rPr>
        <w:t>–</w:t>
      </w:r>
      <w:r w:rsidRPr="00562A33">
        <w:rPr>
          <w:rFonts w:ascii="David" w:hAnsi="David" w:cs="David" w:hint="cs"/>
          <w:rtl/>
        </w:rPr>
        <w:t xml:space="preserve"> הדבר משתנה ותלוי בנסיבות העבירה וחומרתן.</w:t>
      </w:r>
    </w:p>
    <w:p w14:paraId="556AFC08" w14:textId="77777777" w:rsidR="00EC64C3" w:rsidRPr="00562A33" w:rsidRDefault="00EC64C3" w:rsidP="00EC64C3">
      <w:pPr>
        <w:pStyle w:val="NormalWeb"/>
        <w:bidi/>
        <w:spacing w:before="0" w:beforeAutospacing="0" w:after="0" w:afterAutospacing="0" w:line="360" w:lineRule="auto"/>
        <w:jc w:val="both"/>
        <w:rPr>
          <w:rFonts w:ascii="David" w:hAnsi="David" w:cs="David"/>
          <w:rtl/>
        </w:rPr>
      </w:pPr>
    </w:p>
    <w:p w14:paraId="0453A44A" w14:textId="77777777" w:rsidR="00EC64C3" w:rsidRPr="00562A33" w:rsidRDefault="00EC64C3" w:rsidP="00E31C0C">
      <w:pPr>
        <w:pStyle w:val="NormalWeb"/>
        <w:bidi/>
        <w:spacing w:before="0" w:beforeAutospacing="0" w:after="0" w:afterAutospacing="0" w:line="360" w:lineRule="auto"/>
        <w:ind w:left="-625"/>
        <w:jc w:val="both"/>
        <w:rPr>
          <w:rFonts w:ascii="David" w:hAnsi="David" w:cs="David"/>
          <w:rtl/>
        </w:rPr>
      </w:pPr>
      <w:r w:rsidRPr="00562A33">
        <w:rPr>
          <w:rFonts w:ascii="David" w:hAnsi="David" w:cs="David" w:hint="cs"/>
          <w:rtl/>
        </w:rPr>
        <w:t xml:space="preserve">באופן עקרוני, בתפיסה המשפטית כאשר ההלכה המאוחרת נפסקה הרבה אחרי ההלכה המוקדמת </w:t>
      </w:r>
      <w:r w:rsidRPr="00562A33">
        <w:rPr>
          <w:rFonts w:ascii="David" w:hAnsi="David" w:cs="David"/>
          <w:rtl/>
        </w:rPr>
        <w:t>–</w:t>
      </w:r>
      <w:r w:rsidRPr="00562A33">
        <w:rPr>
          <w:rFonts w:ascii="David" w:hAnsi="David" w:cs="David" w:hint="cs"/>
          <w:rtl/>
        </w:rPr>
        <w:t xml:space="preserve"> יש עניין ללכת על פיה. אך במקרים הללו, הפסיקות נתנו בהפרשי שנים קרובים ולכן הפסיקה המאוחרת של פס"ד בכרך ופס"ד </w:t>
      </w:r>
      <w:proofErr w:type="spellStart"/>
      <w:r w:rsidRPr="00562A33">
        <w:rPr>
          <w:rFonts w:ascii="David" w:hAnsi="David" w:cs="David" w:hint="cs"/>
          <w:rtl/>
        </w:rPr>
        <w:t>גלאור</w:t>
      </w:r>
      <w:proofErr w:type="spellEnd"/>
      <w:r w:rsidRPr="00562A33">
        <w:rPr>
          <w:rFonts w:ascii="David" w:hAnsi="David" w:cs="David" w:hint="cs"/>
          <w:rtl/>
        </w:rPr>
        <w:t xml:space="preserve"> לא גוברת על הפסיקה הקודמת שבפס"ד </w:t>
      </w:r>
      <w:proofErr w:type="spellStart"/>
      <w:r w:rsidRPr="00562A33">
        <w:rPr>
          <w:rFonts w:ascii="David" w:hAnsi="David" w:cs="David" w:hint="cs"/>
          <w:rtl/>
        </w:rPr>
        <w:t>אזוט</w:t>
      </w:r>
      <w:proofErr w:type="spellEnd"/>
      <w:r w:rsidRPr="00562A33">
        <w:rPr>
          <w:rFonts w:ascii="David" w:hAnsi="David" w:cs="David" w:hint="cs"/>
          <w:rtl/>
        </w:rPr>
        <w:t>.</w:t>
      </w:r>
    </w:p>
    <w:p w14:paraId="17D25525" w14:textId="77777777" w:rsidR="00EC64C3" w:rsidRPr="00562A33" w:rsidRDefault="00EC64C3" w:rsidP="00E31C0C">
      <w:pPr>
        <w:pStyle w:val="NormalWeb"/>
        <w:bidi/>
        <w:spacing w:before="0" w:beforeAutospacing="0" w:after="0" w:afterAutospacing="0" w:line="360" w:lineRule="auto"/>
        <w:ind w:left="-625"/>
        <w:jc w:val="both"/>
        <w:rPr>
          <w:rFonts w:ascii="David" w:hAnsi="David" w:cs="David"/>
        </w:rPr>
      </w:pPr>
    </w:p>
    <w:p w14:paraId="7B1930FF" w14:textId="77777777" w:rsidR="00EC64C3" w:rsidRPr="00562A33" w:rsidRDefault="00EC64C3" w:rsidP="00E31C0C">
      <w:pPr>
        <w:spacing w:after="0" w:line="360" w:lineRule="auto"/>
        <w:ind w:left="-625"/>
        <w:jc w:val="both"/>
        <w:rPr>
          <w:rFonts w:ascii="David" w:hAnsi="David" w:cs="David"/>
          <w:sz w:val="24"/>
          <w:szCs w:val="24"/>
          <w:rtl/>
        </w:rPr>
      </w:pPr>
      <w:r w:rsidRPr="00562A33">
        <w:rPr>
          <w:rFonts w:ascii="David" w:hAnsi="David" w:cs="David"/>
          <w:sz w:val="24"/>
          <w:szCs w:val="24"/>
          <w:rtl/>
        </w:rPr>
        <w:lastRenderedPageBreak/>
        <w:t xml:space="preserve">מדובר בשלושת פסקי הדין הבסיסיים שכל ערכאת משמעת מתייחסת אליהם. </w:t>
      </w:r>
      <w:r w:rsidRPr="00562A33">
        <w:rPr>
          <w:rFonts w:ascii="David" w:hAnsi="David" w:cs="David"/>
          <w:sz w:val="24"/>
          <w:szCs w:val="24"/>
          <w:highlight w:val="yellow"/>
          <w:rtl/>
        </w:rPr>
        <w:t>כיוון ואין הלכה מחייבת, כל ערכאה משמעתית בוחרת באחת הדרכים.</w:t>
      </w:r>
      <w:r w:rsidRPr="00562A33">
        <w:rPr>
          <w:rFonts w:ascii="David" w:hAnsi="David" w:cs="David"/>
          <w:sz w:val="24"/>
          <w:szCs w:val="24"/>
          <w:rtl/>
        </w:rPr>
        <w:t xml:space="preserve"> </w:t>
      </w:r>
      <w:r w:rsidRPr="00562A33">
        <w:rPr>
          <w:rFonts w:ascii="David" w:hAnsi="David" w:cs="David"/>
          <w:sz w:val="24"/>
          <w:szCs w:val="24"/>
          <w:highlight w:val="yellow"/>
          <w:rtl/>
        </w:rPr>
        <w:t xml:space="preserve">לדעת המרצה, </w:t>
      </w:r>
      <w:r w:rsidRPr="00562A33">
        <w:rPr>
          <w:rFonts w:ascii="David" w:hAnsi="David" w:cs="David"/>
          <w:b/>
          <w:bCs/>
          <w:sz w:val="24"/>
          <w:szCs w:val="24"/>
          <w:highlight w:val="yellow"/>
          <w:rtl/>
        </w:rPr>
        <w:t xml:space="preserve">הגישה הנכונה היא זו של השופט לוין בפס"ד </w:t>
      </w:r>
      <w:proofErr w:type="spellStart"/>
      <w:r w:rsidRPr="00562A33">
        <w:rPr>
          <w:rFonts w:ascii="David" w:hAnsi="David" w:cs="David"/>
          <w:b/>
          <w:bCs/>
          <w:sz w:val="24"/>
          <w:szCs w:val="24"/>
          <w:highlight w:val="yellow"/>
          <w:rtl/>
        </w:rPr>
        <w:t>אזוט</w:t>
      </w:r>
      <w:proofErr w:type="spellEnd"/>
      <w:r w:rsidRPr="00562A33">
        <w:rPr>
          <w:rFonts w:ascii="David" w:hAnsi="David" w:cs="David"/>
          <w:sz w:val="24"/>
          <w:szCs w:val="24"/>
          <w:rtl/>
        </w:rPr>
        <w:t xml:space="preserve">. אין ספק כי בשביל לפגוע בפרנסה של אדם, לקחת את רישיונו לעסוק במקצוע או לשלול זכויות פנסיוניות שלו, דרושה הוכחה מעבר למאזן הסתברויות. דבר זה לא היה בטוח </w:t>
      </w:r>
      <w:r w:rsidRPr="00562A33">
        <w:rPr>
          <w:rFonts w:ascii="David" w:hAnsi="David" w:cs="David"/>
          <w:sz w:val="24"/>
          <w:szCs w:val="24"/>
          <w:highlight w:val="green"/>
          <w:rtl/>
        </w:rPr>
        <w:t xml:space="preserve">בבג"צ </w:t>
      </w:r>
      <w:proofErr w:type="spellStart"/>
      <w:r w:rsidRPr="00562A33">
        <w:rPr>
          <w:rFonts w:ascii="David" w:hAnsi="David" w:cs="David"/>
          <w:sz w:val="24"/>
          <w:szCs w:val="24"/>
          <w:highlight w:val="green"/>
          <w:rtl/>
        </w:rPr>
        <w:t>צימוקין</w:t>
      </w:r>
      <w:proofErr w:type="spellEnd"/>
      <w:r w:rsidRPr="00562A33">
        <w:rPr>
          <w:rFonts w:ascii="David" w:hAnsi="David" w:cs="David" w:hint="cs"/>
          <w:sz w:val="24"/>
          <w:szCs w:val="24"/>
          <w:rtl/>
        </w:rPr>
        <w:t>-</w:t>
      </w:r>
      <w:r w:rsidRPr="00562A33">
        <w:rPr>
          <w:rFonts w:ascii="David" w:hAnsi="David" w:cs="David"/>
          <w:sz w:val="24"/>
          <w:szCs w:val="24"/>
          <w:rtl/>
        </w:rPr>
        <w:t xml:space="preserve"> שם ייתכן והיו מרשיעים לפי מאזן הסתברויות. יחד עם זאת, הדרישה של </w:t>
      </w:r>
      <w:r w:rsidRPr="00562A33">
        <w:rPr>
          <w:rFonts w:ascii="David" w:hAnsi="David" w:cs="David"/>
          <w:sz w:val="24"/>
          <w:szCs w:val="24"/>
          <w:highlight w:val="green"/>
          <w:rtl/>
        </w:rPr>
        <w:t>השופט שמגר ב</w:t>
      </w:r>
      <w:r w:rsidRPr="00562A33">
        <w:rPr>
          <w:rFonts w:ascii="David" w:hAnsi="David" w:cs="David"/>
          <w:b/>
          <w:bCs/>
          <w:sz w:val="24"/>
          <w:szCs w:val="24"/>
          <w:highlight w:val="green"/>
          <w:rtl/>
        </w:rPr>
        <w:t>פס"ד בכרך</w:t>
      </w:r>
      <w:r w:rsidRPr="00562A33">
        <w:rPr>
          <w:rFonts w:ascii="David" w:hAnsi="David" w:cs="David"/>
          <w:sz w:val="24"/>
          <w:szCs w:val="24"/>
          <w:rtl/>
        </w:rPr>
        <w:t xml:space="preserve"> להוכחה מעבר לכל ספק סביר כאשר אין לקובל המשמעתי את אותם הכלים שיש לתביעה הפלילית זו דרישה מוגזמת לחלוטין. </w:t>
      </w:r>
    </w:p>
    <w:p w14:paraId="1079AE8F" w14:textId="77777777" w:rsidR="00EC64C3" w:rsidRPr="00562A33" w:rsidRDefault="00EC64C3" w:rsidP="00E31C0C">
      <w:pPr>
        <w:spacing w:after="0" w:line="360" w:lineRule="auto"/>
        <w:ind w:left="-625"/>
        <w:jc w:val="both"/>
        <w:rPr>
          <w:rFonts w:ascii="David" w:hAnsi="David" w:cs="David"/>
          <w:sz w:val="24"/>
          <w:szCs w:val="24"/>
          <w:rtl/>
        </w:rPr>
      </w:pPr>
      <w:r w:rsidRPr="00562A33">
        <w:rPr>
          <w:rFonts w:ascii="David" w:hAnsi="David" w:cs="David"/>
          <w:sz w:val="24"/>
          <w:szCs w:val="24"/>
          <w:rtl/>
        </w:rPr>
        <w:t>ייתכן והפסיקה של שמגר שמציב רמת הוכחה גבוהה כל כך נובעת מכך שמדובר היה בפס"ד של עובד מדינה (וזה היה המקרה בשלושת פסקי הדין הללו). זו גם הסיבה ש</w:t>
      </w:r>
      <w:r w:rsidRPr="00562A33">
        <w:rPr>
          <w:rFonts w:ascii="David" w:hAnsi="David" w:cs="David"/>
          <w:sz w:val="24"/>
          <w:szCs w:val="24"/>
          <w:highlight w:val="yellow"/>
          <w:rtl/>
        </w:rPr>
        <w:t xml:space="preserve">בתי דין משמעתיים של לשכת עורכי הדין הולכים לפי </w:t>
      </w:r>
      <w:r w:rsidRPr="00562A33">
        <w:rPr>
          <w:rFonts w:ascii="David" w:hAnsi="David" w:cs="David"/>
          <w:b/>
          <w:bCs/>
          <w:sz w:val="24"/>
          <w:szCs w:val="24"/>
          <w:highlight w:val="green"/>
          <w:rtl/>
        </w:rPr>
        <w:t>פס"ד בכרך</w:t>
      </w:r>
      <w:r w:rsidRPr="00562A33">
        <w:rPr>
          <w:rFonts w:ascii="David" w:hAnsi="David" w:cs="David"/>
          <w:sz w:val="24"/>
          <w:szCs w:val="24"/>
          <w:rtl/>
        </w:rPr>
        <w:t xml:space="preserve">. </w:t>
      </w:r>
    </w:p>
    <w:p w14:paraId="272A6A9C" w14:textId="77777777" w:rsidR="005B32D7" w:rsidRPr="00562A33" w:rsidRDefault="005B32D7" w:rsidP="00EC64C3">
      <w:pPr>
        <w:spacing w:after="0" w:line="360" w:lineRule="auto"/>
        <w:ind w:left="-341" w:firstLine="283"/>
        <w:jc w:val="center"/>
        <w:rPr>
          <w:rFonts w:ascii="David" w:hAnsi="David" w:cs="David"/>
          <w:b/>
          <w:bCs/>
          <w:sz w:val="24"/>
          <w:szCs w:val="24"/>
          <w:u w:val="single"/>
          <w:rtl/>
        </w:rPr>
      </w:pPr>
    </w:p>
    <w:p w14:paraId="2148A12A" w14:textId="77777777" w:rsidR="005B32D7" w:rsidRPr="00562A33" w:rsidRDefault="005B32D7" w:rsidP="00EC64C3">
      <w:pPr>
        <w:spacing w:after="0" w:line="360" w:lineRule="auto"/>
        <w:ind w:left="-341" w:firstLine="283"/>
        <w:jc w:val="center"/>
        <w:rPr>
          <w:rFonts w:ascii="David" w:hAnsi="David" w:cs="David"/>
          <w:b/>
          <w:bCs/>
          <w:sz w:val="24"/>
          <w:szCs w:val="24"/>
          <w:u w:val="single"/>
          <w:rtl/>
        </w:rPr>
      </w:pPr>
    </w:p>
    <w:p w14:paraId="7A5B8E76" w14:textId="77777777" w:rsidR="005B32D7" w:rsidRPr="00562A33" w:rsidRDefault="005B32D7" w:rsidP="00EC64C3">
      <w:pPr>
        <w:spacing w:after="0" w:line="360" w:lineRule="auto"/>
        <w:ind w:left="-341" w:firstLine="283"/>
        <w:jc w:val="center"/>
        <w:rPr>
          <w:rFonts w:ascii="David" w:hAnsi="David" w:cs="David"/>
          <w:b/>
          <w:bCs/>
          <w:sz w:val="24"/>
          <w:szCs w:val="24"/>
          <w:u w:val="single"/>
          <w:rtl/>
        </w:rPr>
      </w:pPr>
    </w:p>
    <w:p w14:paraId="25754CA4" w14:textId="77777777" w:rsidR="00EC64C3" w:rsidRPr="00562A33" w:rsidRDefault="00EC64C3" w:rsidP="005B32D7">
      <w:pPr>
        <w:spacing w:after="0" w:line="360" w:lineRule="auto"/>
        <w:ind w:left="-908" w:firstLine="283"/>
        <w:jc w:val="center"/>
        <w:rPr>
          <w:rFonts w:ascii="David" w:hAnsi="David" w:cs="David"/>
          <w:b/>
          <w:bCs/>
          <w:sz w:val="24"/>
          <w:szCs w:val="24"/>
          <w:u w:val="single"/>
          <w:rtl/>
        </w:rPr>
      </w:pPr>
      <w:r w:rsidRPr="00562A33">
        <w:rPr>
          <w:rFonts w:ascii="David" w:hAnsi="David" w:cs="David"/>
          <w:b/>
          <w:bCs/>
          <w:sz w:val="24"/>
          <w:szCs w:val="24"/>
          <w:u w:val="single"/>
          <w:rtl/>
        </w:rPr>
        <w:t xml:space="preserve">תתי </w:t>
      </w:r>
      <w:r w:rsidRPr="00562A33">
        <w:rPr>
          <w:rFonts w:ascii="David" w:hAnsi="David" w:cs="David" w:hint="cs"/>
          <w:b/>
          <w:bCs/>
          <w:sz w:val="24"/>
          <w:szCs w:val="24"/>
          <w:u w:val="single"/>
          <w:rtl/>
        </w:rPr>
        <w:t>ה</w:t>
      </w:r>
      <w:r w:rsidRPr="00562A33">
        <w:rPr>
          <w:rFonts w:ascii="David" w:hAnsi="David" w:cs="David"/>
          <w:b/>
          <w:bCs/>
          <w:sz w:val="24"/>
          <w:szCs w:val="24"/>
          <w:u w:val="single"/>
          <w:rtl/>
        </w:rPr>
        <w:t xml:space="preserve">קבוצות של ערכאות </w:t>
      </w:r>
      <w:r w:rsidRPr="00562A33">
        <w:rPr>
          <w:rFonts w:ascii="David" w:hAnsi="David" w:cs="David" w:hint="cs"/>
          <w:b/>
          <w:bCs/>
          <w:sz w:val="24"/>
          <w:szCs w:val="24"/>
          <w:u w:val="single"/>
          <w:rtl/>
        </w:rPr>
        <w:t>המשמעת</w:t>
      </w:r>
    </w:p>
    <w:p w14:paraId="2009E827" w14:textId="77777777" w:rsidR="00EC64C3" w:rsidRPr="00562A33" w:rsidRDefault="00EC64C3" w:rsidP="00E31C0C">
      <w:pPr>
        <w:spacing w:after="0" w:line="360" w:lineRule="auto"/>
        <w:ind w:left="-908"/>
        <w:rPr>
          <w:rFonts w:ascii="David" w:hAnsi="David" w:cs="David"/>
          <w:sz w:val="24"/>
          <w:szCs w:val="24"/>
          <w:rtl/>
        </w:rPr>
      </w:pPr>
      <w:r w:rsidRPr="00562A33">
        <w:rPr>
          <w:rFonts w:ascii="David" w:hAnsi="David" w:cs="David"/>
          <w:sz w:val="24"/>
          <w:szCs w:val="24"/>
          <w:rtl/>
        </w:rPr>
        <w:t>עד עכשיו דיברנו על 2 קבוצות גדולות – עובדי ציבור ומקצועות חופשיים. נחלק את הקבוצה לשישה תתי קבוצות ולא רק מבחינה אידיאולוגית אלא יש לכל קבוצה רציונל שונה. גם בהקמת הרציונל המשמעתי ולבסוף הפרוצדורה.</w:t>
      </w:r>
    </w:p>
    <w:p w14:paraId="371BD8F7" w14:textId="77777777" w:rsidR="00EC64C3" w:rsidRPr="00562A33" w:rsidRDefault="00EC64C3" w:rsidP="00EC64C3">
      <w:pPr>
        <w:spacing w:after="0" w:line="360" w:lineRule="auto"/>
        <w:jc w:val="both"/>
        <w:rPr>
          <w:rFonts w:ascii="David" w:hAnsi="David" w:cs="David"/>
          <w:sz w:val="24"/>
          <w:szCs w:val="24"/>
          <w:rtl/>
        </w:rPr>
      </w:pPr>
    </w:p>
    <w:p w14:paraId="425F496E" w14:textId="77777777" w:rsidR="00EC64C3" w:rsidRPr="00562A33" w:rsidRDefault="00EC64C3" w:rsidP="00E31C0C">
      <w:pPr>
        <w:spacing w:after="0" w:line="360" w:lineRule="auto"/>
        <w:ind w:left="-908"/>
        <w:jc w:val="both"/>
        <w:rPr>
          <w:rFonts w:ascii="David" w:hAnsi="David" w:cs="David"/>
          <w:sz w:val="24"/>
          <w:szCs w:val="24"/>
          <w:rtl/>
        </w:rPr>
      </w:pPr>
      <w:r w:rsidRPr="00562A33">
        <w:rPr>
          <w:rFonts w:ascii="David" w:hAnsi="David" w:cs="David"/>
          <w:sz w:val="24"/>
          <w:szCs w:val="24"/>
          <w:rtl/>
        </w:rPr>
        <w:t xml:space="preserve">כיום יש כ-1,800 מבקרים פנימיים, והרי בכל גוף ציבורי או חברה מסחרית שנסחרת בבורסה יש מבקר פנימי, והם רוצים הכרה כפרופסיה מקצועית והקמה של בתי דין משמעתיים. המתנגדים הגדולים לכך הם רואי חשבון שטוענים שהמבקרים הם חלק מרואי החשבון. לכן, יש כיום מאבק בין איגוד המבקרים הפנימיים לבין לשכת רואי החשבון. </w:t>
      </w:r>
    </w:p>
    <w:p w14:paraId="5C90E8A9" w14:textId="77777777" w:rsidR="00E31C0C" w:rsidRPr="00562A33" w:rsidRDefault="00E31C0C" w:rsidP="00E31C0C">
      <w:pPr>
        <w:spacing w:after="0" w:line="360" w:lineRule="auto"/>
        <w:ind w:left="-908"/>
        <w:jc w:val="both"/>
        <w:rPr>
          <w:rFonts w:ascii="David" w:hAnsi="David" w:cs="David"/>
          <w:sz w:val="24"/>
          <w:szCs w:val="24"/>
          <w:rtl/>
        </w:rPr>
      </w:pPr>
    </w:p>
    <w:p w14:paraId="3E3A8438" w14:textId="77777777" w:rsidR="00EC64C3" w:rsidRPr="00562A33" w:rsidRDefault="00EC64C3" w:rsidP="00E31C0C">
      <w:pPr>
        <w:spacing w:after="0" w:line="360" w:lineRule="auto"/>
        <w:ind w:left="-908"/>
        <w:jc w:val="both"/>
        <w:rPr>
          <w:rFonts w:ascii="David" w:hAnsi="David" w:cs="David"/>
          <w:sz w:val="24"/>
          <w:szCs w:val="24"/>
        </w:rPr>
      </w:pPr>
      <w:r w:rsidRPr="00562A33">
        <w:rPr>
          <w:rFonts w:ascii="David" w:hAnsi="David" w:cs="David"/>
          <w:b/>
          <w:bCs/>
          <w:sz w:val="24"/>
          <w:szCs w:val="24"/>
          <w:u w:val="single"/>
          <w:rtl/>
        </w:rPr>
        <w:t>הרציונל של בעלי התפקידים השיפוטיים</w:t>
      </w:r>
      <w:r w:rsidRPr="00562A33">
        <w:rPr>
          <w:rFonts w:ascii="David" w:hAnsi="David" w:cs="David" w:hint="cs"/>
          <w:sz w:val="24"/>
          <w:szCs w:val="24"/>
          <w:rtl/>
        </w:rPr>
        <w:t xml:space="preserve"> -</w:t>
      </w:r>
      <w:r w:rsidRPr="00562A33">
        <w:rPr>
          <w:rFonts w:ascii="David" w:hAnsi="David" w:cs="David"/>
          <w:sz w:val="24"/>
          <w:szCs w:val="24"/>
          <w:rtl/>
        </w:rPr>
        <w:t xml:space="preserve"> </w:t>
      </w:r>
      <w:r w:rsidRPr="00562A33">
        <w:rPr>
          <w:rFonts w:ascii="David" w:hAnsi="David" w:cs="David"/>
          <w:sz w:val="24"/>
          <w:szCs w:val="24"/>
          <w:highlight w:val="yellow"/>
          <w:rtl/>
        </w:rPr>
        <w:t>לבעלי תפקידים שיפוטיים מגבלות שאינן קיימות בקבוצות אחרות</w:t>
      </w:r>
      <w:r w:rsidRPr="00562A33">
        <w:rPr>
          <w:rFonts w:ascii="David" w:hAnsi="David" w:cs="David" w:hint="cs"/>
          <w:sz w:val="24"/>
          <w:szCs w:val="24"/>
          <w:rtl/>
        </w:rPr>
        <w:t>:</w:t>
      </w:r>
    </w:p>
    <w:p w14:paraId="65EF369A" w14:textId="77777777" w:rsidR="00EC64C3" w:rsidRPr="00562A33" w:rsidRDefault="00EC64C3" w:rsidP="00E31C0C">
      <w:pPr>
        <w:numPr>
          <w:ilvl w:val="0"/>
          <w:numId w:val="14"/>
        </w:numPr>
        <w:spacing w:after="0" w:line="360" w:lineRule="auto"/>
        <w:ind w:left="-625" w:hanging="280"/>
        <w:jc w:val="both"/>
        <w:rPr>
          <w:rFonts w:ascii="David" w:hAnsi="David" w:cs="David"/>
          <w:sz w:val="24"/>
          <w:szCs w:val="24"/>
        </w:rPr>
      </w:pPr>
      <w:r w:rsidRPr="00562A33">
        <w:rPr>
          <w:rFonts w:ascii="David" w:hAnsi="David" w:cs="David"/>
          <w:sz w:val="24"/>
          <w:szCs w:val="24"/>
          <w:rtl/>
        </w:rPr>
        <w:t xml:space="preserve">אסור להם לגלות מה נטייתם הפוליטית. הדבר חשוב כדי להגביר את האמון של הציבור במערכת המשפט. תיוג פוליטי של בעל תפקיד שיפוטי יכול לפגוע באמון הציבור. </w:t>
      </w:r>
      <w:r w:rsidRPr="00562A33">
        <w:rPr>
          <w:rFonts w:ascii="David" w:hAnsi="David" w:cs="David"/>
          <w:sz w:val="24"/>
          <w:szCs w:val="24"/>
          <w:u w:val="single"/>
          <w:rtl/>
        </w:rPr>
        <w:t>לדוגמא</w:t>
      </w:r>
      <w:r w:rsidRPr="00562A33">
        <w:rPr>
          <w:rFonts w:ascii="David" w:hAnsi="David" w:cs="David"/>
          <w:sz w:val="24"/>
          <w:szCs w:val="24"/>
          <w:rtl/>
        </w:rPr>
        <w:t xml:space="preserve">: אדם יוכל לטעון שהשופט פסק כנגדו כי הוא מחזיק בדעה פוליטית שונה. </w:t>
      </w:r>
    </w:p>
    <w:p w14:paraId="250E9F1E" w14:textId="77777777" w:rsidR="00EC64C3" w:rsidRPr="00562A33" w:rsidRDefault="00EC64C3" w:rsidP="00E31C0C">
      <w:pPr>
        <w:numPr>
          <w:ilvl w:val="0"/>
          <w:numId w:val="14"/>
        </w:numPr>
        <w:spacing w:after="0" w:line="360" w:lineRule="auto"/>
        <w:ind w:left="-625" w:hanging="280"/>
        <w:jc w:val="both"/>
        <w:rPr>
          <w:rFonts w:ascii="David" w:hAnsi="David" w:cs="David"/>
          <w:sz w:val="24"/>
          <w:szCs w:val="24"/>
        </w:rPr>
      </w:pPr>
      <w:r w:rsidRPr="00562A33">
        <w:rPr>
          <w:rFonts w:ascii="David" w:hAnsi="David" w:cs="David"/>
          <w:sz w:val="24"/>
          <w:szCs w:val="24"/>
          <w:rtl/>
        </w:rPr>
        <w:t xml:space="preserve">אסור לשופט לאפשר אסיפה פוליטית או חוג בית אצלו בבית (אפילו אם אשתו היא המארחת). </w:t>
      </w:r>
    </w:p>
    <w:p w14:paraId="3CFB0E53" w14:textId="77777777" w:rsidR="00EC64C3" w:rsidRPr="00562A33" w:rsidRDefault="00EC64C3" w:rsidP="00E31C0C">
      <w:pPr>
        <w:numPr>
          <w:ilvl w:val="0"/>
          <w:numId w:val="14"/>
        </w:numPr>
        <w:spacing w:after="0" w:line="360" w:lineRule="auto"/>
        <w:ind w:left="-625" w:hanging="280"/>
        <w:jc w:val="both"/>
        <w:rPr>
          <w:rFonts w:ascii="David" w:hAnsi="David" w:cs="David"/>
          <w:sz w:val="24"/>
          <w:szCs w:val="24"/>
        </w:rPr>
      </w:pPr>
      <w:r w:rsidRPr="00562A33">
        <w:rPr>
          <w:rFonts w:ascii="David" w:hAnsi="David" w:cs="David"/>
          <w:sz w:val="24"/>
          <w:szCs w:val="24"/>
          <w:rtl/>
        </w:rPr>
        <w:t xml:space="preserve">אסור לשופט להתראיין באמצעי התקשורת. </w:t>
      </w:r>
    </w:p>
    <w:p w14:paraId="06616A7C" w14:textId="77777777" w:rsidR="00EC64C3" w:rsidRPr="00562A33" w:rsidRDefault="00EC64C3" w:rsidP="00E31C0C">
      <w:pPr>
        <w:numPr>
          <w:ilvl w:val="0"/>
          <w:numId w:val="14"/>
        </w:numPr>
        <w:spacing w:after="0" w:line="360" w:lineRule="auto"/>
        <w:ind w:left="-625" w:hanging="280"/>
        <w:jc w:val="both"/>
        <w:rPr>
          <w:rFonts w:ascii="David" w:hAnsi="David" w:cs="David"/>
          <w:sz w:val="24"/>
          <w:szCs w:val="24"/>
        </w:rPr>
      </w:pPr>
      <w:r w:rsidRPr="00562A33">
        <w:rPr>
          <w:rFonts w:ascii="David" w:hAnsi="David" w:cs="David"/>
          <w:sz w:val="24"/>
          <w:szCs w:val="24"/>
          <w:rtl/>
        </w:rPr>
        <w:t xml:space="preserve">אסר לשופט להיות בקשר עסקי ישיר או אחר עם מתדיין.  </w:t>
      </w:r>
    </w:p>
    <w:p w14:paraId="623ED2D7" w14:textId="77777777" w:rsidR="00EC64C3" w:rsidRPr="00562A33" w:rsidRDefault="00EC64C3" w:rsidP="00E31C0C">
      <w:pPr>
        <w:numPr>
          <w:ilvl w:val="0"/>
          <w:numId w:val="14"/>
        </w:numPr>
        <w:spacing w:after="0" w:line="360" w:lineRule="auto"/>
        <w:ind w:left="-625" w:hanging="280"/>
        <w:jc w:val="both"/>
        <w:rPr>
          <w:rFonts w:ascii="David" w:hAnsi="David" w:cs="David"/>
          <w:sz w:val="24"/>
          <w:szCs w:val="24"/>
        </w:rPr>
      </w:pPr>
      <w:r w:rsidRPr="00562A33">
        <w:rPr>
          <w:rFonts w:ascii="David" w:hAnsi="David" w:cs="David"/>
          <w:sz w:val="24"/>
          <w:szCs w:val="24"/>
          <w:rtl/>
        </w:rPr>
        <w:t xml:space="preserve">אסור שלשופט תהיה נגיעה אישית ישירה או עקיפה למתדיין או לתיק.  </w:t>
      </w:r>
    </w:p>
    <w:p w14:paraId="1F2B5A00" w14:textId="77777777" w:rsidR="00EC64C3" w:rsidRPr="00562A33" w:rsidRDefault="00EC64C3" w:rsidP="00E31C0C">
      <w:pPr>
        <w:numPr>
          <w:ilvl w:val="0"/>
          <w:numId w:val="14"/>
        </w:numPr>
        <w:spacing w:after="0" w:line="360" w:lineRule="auto"/>
        <w:ind w:left="-625" w:hanging="280"/>
        <w:jc w:val="both"/>
        <w:rPr>
          <w:rFonts w:ascii="David" w:hAnsi="David" w:cs="David"/>
          <w:sz w:val="24"/>
          <w:szCs w:val="24"/>
          <w:rtl/>
        </w:rPr>
      </w:pPr>
      <w:r w:rsidRPr="00562A33">
        <w:rPr>
          <w:rFonts w:ascii="David" w:hAnsi="David" w:cs="David"/>
          <w:sz w:val="24"/>
          <w:szCs w:val="24"/>
          <w:rtl/>
        </w:rPr>
        <w:t>אסור לשופט לעסוק בעיסוק נוסף או לקבל הכנסה נוספת, אלא אם הוא מקבל אישור מנשיא בית המשפט העליון ושר המשפטים. בפועל, כל שופט שמרצה מקבל אישור מנשיא בית המשפט בו הוא מכהן ומנהל בית המשפט, בנוסף לאישורים לעיל. חלק מן השיקולים שנשקלים הם האם ראוי שאותו שופט יעסוק בכך, האם אין לו פיגורים בשל כך.</w:t>
      </w:r>
    </w:p>
    <w:p w14:paraId="5D2867F2" w14:textId="77777777" w:rsidR="00EC64C3" w:rsidRPr="00562A33" w:rsidRDefault="00EC64C3" w:rsidP="00E31C0C">
      <w:pPr>
        <w:spacing w:after="0" w:line="360" w:lineRule="auto"/>
        <w:ind w:left="-766"/>
        <w:jc w:val="both"/>
        <w:rPr>
          <w:rFonts w:ascii="David" w:hAnsi="David" w:cs="David"/>
          <w:sz w:val="24"/>
          <w:szCs w:val="24"/>
          <w:rtl/>
        </w:rPr>
      </w:pPr>
      <w:r w:rsidRPr="00562A33">
        <w:rPr>
          <w:rFonts w:ascii="David" w:hAnsi="David" w:cs="David" w:hint="cs"/>
          <w:b/>
          <w:bCs/>
          <w:sz w:val="24"/>
          <w:szCs w:val="24"/>
          <w:u w:val="single"/>
          <w:rtl/>
        </w:rPr>
        <w:t xml:space="preserve">מטרת </w:t>
      </w:r>
      <w:r w:rsidRPr="00562A33">
        <w:rPr>
          <w:rFonts w:ascii="David" w:hAnsi="David" w:cs="David"/>
          <w:b/>
          <w:bCs/>
          <w:sz w:val="24"/>
          <w:szCs w:val="24"/>
          <w:u w:val="single"/>
          <w:rtl/>
        </w:rPr>
        <w:t>המגבלות הללו</w:t>
      </w:r>
      <w:r w:rsidRPr="00562A33">
        <w:rPr>
          <w:rFonts w:ascii="David" w:hAnsi="David" w:cs="David" w:hint="cs"/>
          <w:sz w:val="24"/>
          <w:szCs w:val="24"/>
          <w:rtl/>
        </w:rPr>
        <w:t>-</w:t>
      </w:r>
      <w:r w:rsidRPr="00562A33">
        <w:rPr>
          <w:rFonts w:ascii="David" w:hAnsi="David" w:cs="David" w:hint="cs"/>
          <w:b/>
          <w:bCs/>
          <w:sz w:val="24"/>
          <w:szCs w:val="24"/>
          <w:rtl/>
        </w:rPr>
        <w:t xml:space="preserve"> </w:t>
      </w:r>
      <w:r w:rsidRPr="00562A33">
        <w:rPr>
          <w:rFonts w:ascii="David" w:hAnsi="David" w:cs="David"/>
          <w:sz w:val="24"/>
          <w:szCs w:val="24"/>
          <w:highlight w:val="yellow"/>
          <w:rtl/>
        </w:rPr>
        <w:t>לשמור על ניקיון כפיים של הממונים על קיום ההליכים המשפטיים, לצורך שמירת אמון הציבור וכתוצאה מכך, קיום שלטון החוק.</w:t>
      </w:r>
    </w:p>
    <w:p w14:paraId="7228A6B9" w14:textId="77777777" w:rsidR="00EC64C3" w:rsidRPr="00562A33" w:rsidRDefault="00EC64C3" w:rsidP="00E31C0C">
      <w:pPr>
        <w:spacing w:after="0" w:line="360" w:lineRule="auto"/>
        <w:ind w:left="-766"/>
        <w:jc w:val="both"/>
        <w:rPr>
          <w:rFonts w:ascii="David" w:hAnsi="David" w:cs="David"/>
          <w:sz w:val="24"/>
          <w:szCs w:val="24"/>
          <w:rtl/>
        </w:rPr>
      </w:pPr>
      <w:r w:rsidRPr="00562A33">
        <w:rPr>
          <w:rFonts w:ascii="David" w:hAnsi="David" w:cs="David"/>
          <w:sz w:val="24"/>
          <w:szCs w:val="24"/>
          <w:rtl/>
        </w:rPr>
        <w:lastRenderedPageBreak/>
        <w:t xml:space="preserve">כתוצאה מהירידה באמון הציבור במערכת המשפט נוסדו שני מנגנונים – נציב תלונות הציבור על שופטים ומשובים על שופטים. מנגנונים אלו היו אמורים להוביל לעלייה של אמון הציבור, אולם התוצאה הייתה הפוכה. הסיבה הייתה </w:t>
      </w:r>
      <w:r w:rsidRPr="00562A33">
        <w:rPr>
          <w:rFonts w:ascii="David" w:hAnsi="David" w:cs="David"/>
          <w:sz w:val="24"/>
          <w:szCs w:val="24"/>
          <w:highlight w:val="yellow"/>
          <w:rtl/>
        </w:rPr>
        <w:t>היווצרות של שפיטה מתגוננת – לפעול בצורה ה"בטוחה", כדי להימנע מביקורת מטעם הנציב</w:t>
      </w:r>
      <w:r w:rsidRPr="00562A33">
        <w:rPr>
          <w:rFonts w:ascii="David" w:hAnsi="David" w:cs="David"/>
          <w:sz w:val="24"/>
          <w:szCs w:val="24"/>
          <w:rtl/>
        </w:rPr>
        <w:t xml:space="preserve">. כלומר, שופטים מקבלים החלטות שהם לא בטוחים שהן נכונות, אך הן ההחלטות "הבטוחות" יותר (כמו רופאים ששולחים נבדקים להרבה בדיקות כדי להימנע מהסתבכות משפטית). לדעת המרצה, משוב זה דבר טוב אך הוא סבור כי המשוב צריך להינתן ע"י המתדיינים ולא ע"י עורכי-הדין, ולכוון לנקודות החשובות במערכת המשפט. </w:t>
      </w:r>
    </w:p>
    <w:p w14:paraId="1C90F20F" w14:textId="77777777" w:rsidR="00EC64C3" w:rsidRPr="00562A33" w:rsidRDefault="00EC64C3" w:rsidP="00EC64C3">
      <w:pPr>
        <w:spacing w:after="0" w:line="360" w:lineRule="auto"/>
        <w:jc w:val="center"/>
        <w:rPr>
          <w:rFonts w:ascii="David" w:hAnsi="David" w:cs="David"/>
          <w:sz w:val="24"/>
          <w:szCs w:val="24"/>
          <w:u w:val="single"/>
          <w:rtl/>
        </w:rPr>
      </w:pPr>
      <w:proofErr w:type="spellStart"/>
      <w:r w:rsidRPr="00562A33">
        <w:rPr>
          <w:rFonts w:ascii="David" w:hAnsi="David" w:cs="David"/>
          <w:b/>
          <w:bCs/>
          <w:sz w:val="24"/>
          <w:szCs w:val="24"/>
          <w:u w:val="single"/>
          <w:rtl/>
        </w:rPr>
        <w:t>רציונאל</w:t>
      </w:r>
      <w:proofErr w:type="spellEnd"/>
      <w:r w:rsidRPr="00562A33">
        <w:rPr>
          <w:rFonts w:ascii="David" w:hAnsi="David" w:cs="David"/>
          <w:b/>
          <w:bCs/>
          <w:sz w:val="24"/>
          <w:szCs w:val="24"/>
          <w:u w:val="single"/>
          <w:rtl/>
        </w:rPr>
        <w:t xml:space="preserve"> תתי </w:t>
      </w:r>
      <w:r w:rsidRPr="00562A33">
        <w:rPr>
          <w:rFonts w:ascii="David" w:hAnsi="David" w:cs="David" w:hint="cs"/>
          <w:b/>
          <w:bCs/>
          <w:sz w:val="24"/>
          <w:szCs w:val="24"/>
          <w:u w:val="single"/>
          <w:rtl/>
        </w:rPr>
        <w:t>ה</w:t>
      </w:r>
      <w:r w:rsidRPr="00562A33">
        <w:rPr>
          <w:rFonts w:ascii="David" w:hAnsi="David" w:cs="David"/>
          <w:b/>
          <w:bCs/>
          <w:sz w:val="24"/>
          <w:szCs w:val="24"/>
          <w:u w:val="single"/>
          <w:rtl/>
        </w:rPr>
        <w:t xml:space="preserve">קבוצות של ערכאות </w:t>
      </w:r>
      <w:r w:rsidRPr="00562A33">
        <w:rPr>
          <w:rFonts w:ascii="David" w:hAnsi="David" w:cs="David" w:hint="cs"/>
          <w:b/>
          <w:bCs/>
          <w:sz w:val="24"/>
          <w:szCs w:val="24"/>
          <w:u w:val="single"/>
          <w:rtl/>
        </w:rPr>
        <w:t>המשמעת</w:t>
      </w:r>
      <w:r w:rsidRPr="00562A33">
        <w:rPr>
          <w:rFonts w:ascii="David" w:hAnsi="David" w:cs="David"/>
          <w:b/>
          <w:bCs/>
          <w:sz w:val="24"/>
          <w:szCs w:val="24"/>
          <w:u w:val="single"/>
          <w:rtl/>
        </w:rPr>
        <w:t xml:space="preserve"> </w:t>
      </w:r>
    </w:p>
    <w:p w14:paraId="7FA2DDD2" w14:textId="77777777" w:rsidR="00EC64C3" w:rsidRPr="00562A33" w:rsidRDefault="00EC64C3" w:rsidP="00E31C0C">
      <w:pPr>
        <w:spacing w:after="0" w:line="360" w:lineRule="auto"/>
        <w:ind w:left="-766"/>
        <w:jc w:val="both"/>
        <w:rPr>
          <w:rFonts w:ascii="David" w:hAnsi="David" w:cs="David"/>
          <w:sz w:val="24"/>
          <w:szCs w:val="24"/>
          <w:u w:val="single"/>
          <w:rtl/>
        </w:rPr>
      </w:pPr>
      <w:r w:rsidRPr="00562A33">
        <w:rPr>
          <w:rFonts w:ascii="David" w:hAnsi="David" w:cs="David"/>
          <w:sz w:val="24"/>
          <w:szCs w:val="24"/>
          <w:u w:val="single"/>
          <w:rtl/>
        </w:rPr>
        <w:t>הרציונל של כוחות הביטחון</w:t>
      </w:r>
      <w:r w:rsidRPr="00562A33">
        <w:rPr>
          <w:rFonts w:ascii="David" w:hAnsi="David" w:cs="David"/>
          <w:sz w:val="24"/>
          <w:szCs w:val="24"/>
          <w:rtl/>
        </w:rPr>
        <w:t>:</w:t>
      </w:r>
      <w:r w:rsidRPr="00562A33">
        <w:rPr>
          <w:rFonts w:ascii="David" w:hAnsi="David" w:cs="David"/>
          <w:sz w:val="24"/>
          <w:szCs w:val="24"/>
          <w:u w:val="single"/>
          <w:rtl/>
        </w:rPr>
        <w:t xml:space="preserve"> </w:t>
      </w:r>
    </w:p>
    <w:p w14:paraId="2624C038" w14:textId="77777777" w:rsidR="00EC64C3" w:rsidRPr="00562A33" w:rsidRDefault="00EC64C3" w:rsidP="00E31C0C">
      <w:pPr>
        <w:numPr>
          <w:ilvl w:val="0"/>
          <w:numId w:val="15"/>
        </w:numPr>
        <w:spacing w:after="0" w:line="360" w:lineRule="auto"/>
        <w:ind w:left="-483" w:hanging="280"/>
        <w:jc w:val="both"/>
        <w:rPr>
          <w:rFonts w:ascii="David" w:hAnsi="David" w:cs="David"/>
          <w:sz w:val="24"/>
          <w:szCs w:val="24"/>
        </w:rPr>
      </w:pPr>
      <w:r w:rsidRPr="00562A33">
        <w:rPr>
          <w:rFonts w:ascii="David" w:hAnsi="David" w:cs="David"/>
          <w:b/>
          <w:bCs/>
          <w:sz w:val="24"/>
          <w:szCs w:val="24"/>
          <w:rtl/>
        </w:rPr>
        <w:t xml:space="preserve">אצל כוחות הביטחון אנחנו מחפשים </w:t>
      </w:r>
      <w:r w:rsidRPr="00562A33">
        <w:rPr>
          <w:rFonts w:ascii="David" w:hAnsi="David" w:cs="David"/>
          <w:b/>
          <w:bCs/>
          <w:sz w:val="24"/>
          <w:szCs w:val="24"/>
          <w:highlight w:val="yellow"/>
          <w:rtl/>
        </w:rPr>
        <w:t>סדר ומשמעת</w:t>
      </w:r>
      <w:r w:rsidRPr="00562A33">
        <w:rPr>
          <w:rFonts w:ascii="David" w:hAnsi="David" w:cs="David"/>
          <w:sz w:val="24"/>
          <w:szCs w:val="24"/>
          <w:rtl/>
        </w:rPr>
        <w:t xml:space="preserve">. </w:t>
      </w:r>
    </w:p>
    <w:p w14:paraId="6AEEF2CB" w14:textId="77777777" w:rsidR="00EC64C3" w:rsidRPr="00562A33" w:rsidRDefault="00EC64C3" w:rsidP="00E31C0C">
      <w:pPr>
        <w:numPr>
          <w:ilvl w:val="0"/>
          <w:numId w:val="15"/>
        </w:numPr>
        <w:spacing w:after="0" w:line="360" w:lineRule="auto"/>
        <w:ind w:left="-483" w:hanging="280"/>
        <w:jc w:val="both"/>
        <w:rPr>
          <w:rFonts w:ascii="David" w:hAnsi="David" w:cs="David"/>
          <w:sz w:val="24"/>
          <w:szCs w:val="24"/>
        </w:rPr>
      </w:pPr>
      <w:r w:rsidRPr="00562A33">
        <w:rPr>
          <w:rFonts w:ascii="David" w:hAnsi="David" w:cs="David"/>
          <w:b/>
          <w:bCs/>
          <w:sz w:val="24"/>
          <w:szCs w:val="24"/>
          <w:rtl/>
        </w:rPr>
        <w:t>עקרונות מדינה דמוקרטית</w:t>
      </w:r>
      <w:r w:rsidRPr="00562A33">
        <w:rPr>
          <w:rFonts w:ascii="David" w:hAnsi="David" w:cs="David"/>
          <w:sz w:val="24"/>
          <w:szCs w:val="24"/>
          <w:rtl/>
        </w:rPr>
        <w:t xml:space="preserve"> – אנחנו רוצים שיהיו כוחות ביטחון חזקים במיוחד במציאות של ישראל, אבל אנחנו רוצים ש</w:t>
      </w:r>
      <w:r w:rsidRPr="00562A33">
        <w:rPr>
          <w:rFonts w:ascii="David" w:hAnsi="David" w:cs="David"/>
          <w:sz w:val="24"/>
          <w:szCs w:val="24"/>
          <w:highlight w:val="yellow"/>
          <w:rtl/>
        </w:rPr>
        <w:t>כוחות הביטחון יבינו שהם באים לשמור על הציבור ולא להנהיג את הציבור</w:t>
      </w:r>
      <w:r w:rsidRPr="00562A33">
        <w:rPr>
          <w:rFonts w:ascii="David" w:hAnsi="David" w:cs="David"/>
          <w:sz w:val="24"/>
          <w:szCs w:val="24"/>
          <w:rtl/>
        </w:rPr>
        <w:t xml:space="preserve">. לכן, יש הכפפה של רשויות הביטחון לגורמים המדיניים ויש איסור של גורמי ביטחון לעסוק בפוליטיקה.  </w:t>
      </w:r>
    </w:p>
    <w:p w14:paraId="6BE53667" w14:textId="77777777" w:rsidR="00E31C0C" w:rsidRPr="00562A33" w:rsidRDefault="00E31C0C" w:rsidP="00E31C0C">
      <w:pPr>
        <w:spacing w:after="0" w:line="360" w:lineRule="auto"/>
        <w:ind w:left="-766"/>
        <w:jc w:val="both"/>
        <w:rPr>
          <w:rFonts w:ascii="David" w:hAnsi="David" w:cs="David"/>
          <w:sz w:val="24"/>
          <w:szCs w:val="24"/>
          <w:u w:val="single"/>
          <w:rtl/>
        </w:rPr>
      </w:pPr>
    </w:p>
    <w:p w14:paraId="5364F38B" w14:textId="77777777" w:rsidR="00EC64C3" w:rsidRPr="00562A33" w:rsidRDefault="00EC64C3" w:rsidP="00E31C0C">
      <w:pPr>
        <w:spacing w:after="0" w:line="360" w:lineRule="auto"/>
        <w:ind w:left="-766"/>
        <w:jc w:val="both"/>
        <w:rPr>
          <w:rFonts w:ascii="David" w:hAnsi="David" w:cs="David"/>
          <w:sz w:val="24"/>
          <w:szCs w:val="24"/>
          <w:u w:val="single"/>
          <w:rtl/>
        </w:rPr>
      </w:pPr>
      <w:r w:rsidRPr="00562A33">
        <w:rPr>
          <w:rFonts w:ascii="David" w:hAnsi="David" w:cs="David"/>
          <w:sz w:val="24"/>
          <w:szCs w:val="24"/>
          <w:u w:val="single"/>
          <w:rtl/>
        </w:rPr>
        <w:t>הרציונל של שירות בריאות לציבור</w:t>
      </w:r>
      <w:r w:rsidRPr="00562A33">
        <w:rPr>
          <w:rFonts w:ascii="David" w:hAnsi="David" w:cs="David"/>
          <w:sz w:val="24"/>
          <w:szCs w:val="24"/>
          <w:rtl/>
        </w:rPr>
        <w:t>:</w:t>
      </w:r>
      <w:r w:rsidRPr="00562A33">
        <w:rPr>
          <w:rFonts w:ascii="David" w:hAnsi="David" w:cs="David"/>
          <w:sz w:val="24"/>
          <w:szCs w:val="24"/>
          <w:u w:val="single"/>
          <w:rtl/>
        </w:rPr>
        <w:t xml:space="preserve"> </w:t>
      </w:r>
    </w:p>
    <w:p w14:paraId="62E00B83" w14:textId="77777777" w:rsidR="00EC64C3" w:rsidRPr="00562A33" w:rsidRDefault="00EC64C3" w:rsidP="00E31C0C">
      <w:pPr>
        <w:numPr>
          <w:ilvl w:val="0"/>
          <w:numId w:val="15"/>
        </w:numPr>
        <w:spacing w:after="0" w:line="360" w:lineRule="auto"/>
        <w:ind w:left="-483" w:hanging="280"/>
        <w:jc w:val="both"/>
        <w:rPr>
          <w:rFonts w:ascii="David" w:hAnsi="David" w:cs="David"/>
          <w:sz w:val="24"/>
          <w:szCs w:val="24"/>
        </w:rPr>
      </w:pPr>
      <w:proofErr w:type="spellStart"/>
      <w:r w:rsidRPr="00562A33">
        <w:rPr>
          <w:rFonts w:ascii="David" w:hAnsi="David" w:cs="David"/>
          <w:b/>
          <w:bCs/>
          <w:sz w:val="24"/>
          <w:szCs w:val="24"/>
          <w:highlight w:val="yellow"/>
          <w:rtl/>
        </w:rPr>
        <w:t>הרציונאל</w:t>
      </w:r>
      <w:proofErr w:type="spellEnd"/>
      <w:r w:rsidRPr="00562A33">
        <w:rPr>
          <w:rFonts w:ascii="David" w:hAnsi="David" w:cs="David"/>
          <w:b/>
          <w:bCs/>
          <w:sz w:val="24"/>
          <w:szCs w:val="24"/>
          <w:highlight w:val="yellow"/>
          <w:rtl/>
        </w:rPr>
        <w:t xml:space="preserve"> פה הוא פיקוח נפש</w:t>
      </w:r>
      <w:r w:rsidRPr="00562A33">
        <w:rPr>
          <w:rFonts w:ascii="David" w:hAnsi="David" w:cs="David"/>
          <w:sz w:val="24"/>
          <w:szCs w:val="24"/>
          <w:rtl/>
        </w:rPr>
        <w:t xml:space="preserve"> שיש בעיסוק הזה. טעות של רופא יכולה להביא לתוצאה טרגית מאוד. יש ספירה שאומרת שמי שנזקק לשירותי רפואה הוא מאוד חלש. הפער בין מקבל השירות לבין נותן השירות הוא מאוד גבוה, ולכן יש חשיבות גדולה לעמידה בסטנדרטים, לשמירה על סודיות, לשמירה על חוק זכויות החולה ולתת מידע מפורט בקשר לטיפול. </w:t>
      </w:r>
    </w:p>
    <w:p w14:paraId="48268FA2" w14:textId="77777777" w:rsidR="00EC64C3" w:rsidRPr="00562A33" w:rsidRDefault="00EC64C3" w:rsidP="00E31C0C">
      <w:pPr>
        <w:numPr>
          <w:ilvl w:val="0"/>
          <w:numId w:val="15"/>
        </w:numPr>
        <w:spacing w:after="0" w:line="360" w:lineRule="auto"/>
        <w:ind w:left="-483" w:hanging="280"/>
        <w:jc w:val="both"/>
        <w:rPr>
          <w:rFonts w:ascii="David" w:hAnsi="David" w:cs="David"/>
          <w:sz w:val="24"/>
          <w:szCs w:val="24"/>
        </w:rPr>
      </w:pPr>
      <w:r w:rsidRPr="00562A33">
        <w:rPr>
          <w:rFonts w:ascii="David" w:hAnsi="David" w:cs="David"/>
          <w:b/>
          <w:bCs/>
          <w:sz w:val="24"/>
          <w:szCs w:val="24"/>
          <w:rtl/>
        </w:rPr>
        <w:t xml:space="preserve">יש </w:t>
      </w:r>
      <w:r w:rsidRPr="00562A33">
        <w:rPr>
          <w:rFonts w:ascii="David" w:hAnsi="David" w:cs="David"/>
          <w:b/>
          <w:bCs/>
          <w:sz w:val="24"/>
          <w:szCs w:val="24"/>
          <w:highlight w:val="yellow"/>
          <w:rtl/>
        </w:rPr>
        <w:t>חשיבות גדולה למקצועיות</w:t>
      </w:r>
      <w:r w:rsidRPr="00562A33">
        <w:rPr>
          <w:rFonts w:ascii="David" w:hAnsi="David" w:cs="David"/>
          <w:sz w:val="24"/>
          <w:szCs w:val="24"/>
          <w:rtl/>
        </w:rPr>
        <w:t xml:space="preserve"> של העובדים במקצועות האלו. </w:t>
      </w:r>
    </w:p>
    <w:p w14:paraId="0A611B0A" w14:textId="77777777" w:rsidR="00EC64C3" w:rsidRPr="00562A33" w:rsidRDefault="00EC64C3" w:rsidP="00E31C0C">
      <w:pPr>
        <w:numPr>
          <w:ilvl w:val="0"/>
          <w:numId w:val="15"/>
        </w:numPr>
        <w:spacing w:after="0" w:line="360" w:lineRule="auto"/>
        <w:ind w:left="-483" w:hanging="280"/>
        <w:jc w:val="both"/>
        <w:rPr>
          <w:rFonts w:ascii="David" w:hAnsi="David" w:cs="David"/>
          <w:sz w:val="24"/>
          <w:szCs w:val="24"/>
        </w:rPr>
      </w:pPr>
      <w:r w:rsidRPr="00562A33">
        <w:rPr>
          <w:rFonts w:ascii="David" w:hAnsi="David" w:cs="David"/>
          <w:b/>
          <w:bCs/>
          <w:sz w:val="24"/>
          <w:szCs w:val="24"/>
          <w:rtl/>
        </w:rPr>
        <w:t xml:space="preserve">יש </w:t>
      </w:r>
      <w:r w:rsidRPr="00562A33">
        <w:rPr>
          <w:rFonts w:ascii="David" w:hAnsi="David" w:cs="David"/>
          <w:b/>
          <w:bCs/>
          <w:sz w:val="24"/>
          <w:szCs w:val="24"/>
          <w:highlight w:val="yellow"/>
          <w:rtl/>
        </w:rPr>
        <w:t>חשיבות לאובייקטיביות</w:t>
      </w:r>
      <w:r w:rsidRPr="00562A33">
        <w:rPr>
          <w:rFonts w:ascii="David" w:hAnsi="David" w:cs="David"/>
          <w:sz w:val="24"/>
          <w:szCs w:val="24"/>
          <w:highlight w:val="yellow"/>
          <w:rtl/>
        </w:rPr>
        <w:t xml:space="preserve"> במתן טיפול</w:t>
      </w:r>
      <w:r w:rsidRPr="00562A33">
        <w:rPr>
          <w:rFonts w:ascii="David" w:hAnsi="David" w:cs="David"/>
          <w:sz w:val="24"/>
          <w:szCs w:val="24"/>
          <w:rtl/>
        </w:rPr>
        <w:t xml:space="preserve"> ומכאן החשיבות להימנעות מיחסים מיניים בין מטפל למטופל. </w:t>
      </w:r>
    </w:p>
    <w:p w14:paraId="4A56F24C" w14:textId="77777777" w:rsidR="00EC64C3" w:rsidRPr="00562A33" w:rsidRDefault="00EC64C3" w:rsidP="00E31C0C">
      <w:pPr>
        <w:numPr>
          <w:ilvl w:val="0"/>
          <w:numId w:val="15"/>
        </w:numPr>
        <w:spacing w:after="0" w:line="360" w:lineRule="auto"/>
        <w:ind w:left="-483" w:hanging="280"/>
        <w:jc w:val="both"/>
        <w:rPr>
          <w:rFonts w:ascii="David" w:hAnsi="David" w:cs="David"/>
          <w:sz w:val="24"/>
          <w:szCs w:val="24"/>
        </w:rPr>
      </w:pPr>
      <w:r w:rsidRPr="00562A33">
        <w:rPr>
          <w:rFonts w:ascii="David" w:hAnsi="David" w:cs="David"/>
          <w:sz w:val="24"/>
          <w:szCs w:val="24"/>
          <w:highlight w:val="yellow"/>
          <w:rtl/>
        </w:rPr>
        <w:t>כל הנושא של קדושת החיים והפקדת חייך בידי מישהו מקצועי לא קיים כמעט ברפואה הלא קונבנציונאלית</w:t>
      </w:r>
      <w:r w:rsidRPr="00562A33">
        <w:rPr>
          <w:rFonts w:ascii="David" w:hAnsi="David" w:cs="David"/>
          <w:sz w:val="24"/>
          <w:szCs w:val="24"/>
          <w:rtl/>
        </w:rPr>
        <w:t xml:space="preserve">. עם זאת, זה אבסורד שמי שהולך לטיפול רפואי לא קונבנציונאלי (לדוגמא: דיקור סיני) אינו זכאי שיישמרו כל החובות הללו. הדבר יכול לנבוע מכך שהעוסקים במקצוע לא רוצים שיחולו עליהם החובות מהרפואה הקונבנציונאלית. אבל המציאות היא שדווקא </w:t>
      </w:r>
      <w:r w:rsidRPr="00562A33">
        <w:rPr>
          <w:rFonts w:ascii="David" w:hAnsi="David" w:cs="David"/>
          <w:sz w:val="24"/>
          <w:szCs w:val="24"/>
          <w:highlight w:val="yellow"/>
          <w:rtl/>
        </w:rPr>
        <w:t>הרופאים הקונבנציונאליים לא מוכנים להכניס את אותם האנשים העוסקים ברפואה לא קונבנציונאלית לגדרי הפרופסיה</w:t>
      </w:r>
      <w:r w:rsidRPr="00562A33">
        <w:rPr>
          <w:rFonts w:ascii="David" w:hAnsi="David" w:cs="David"/>
          <w:sz w:val="24"/>
          <w:szCs w:val="24"/>
          <w:rtl/>
        </w:rPr>
        <w:t xml:space="preserve">. הדבר מביא לכך שיש אנשים שמעניקים שירותים רפואיים ואין להם שום חובה לשמור על סודיות המטופלים שלהם והם אינם חייבים להעניק להם מידע מפורט לפני הענקת הטיפול.        </w:t>
      </w:r>
    </w:p>
    <w:p w14:paraId="049A3923" w14:textId="77777777" w:rsidR="00EC64C3" w:rsidRPr="00562A33" w:rsidRDefault="00EC64C3" w:rsidP="00EC64C3">
      <w:pPr>
        <w:spacing w:after="0" w:line="360" w:lineRule="auto"/>
        <w:jc w:val="both"/>
        <w:rPr>
          <w:rFonts w:ascii="David" w:hAnsi="David" w:cs="David"/>
          <w:sz w:val="24"/>
          <w:szCs w:val="24"/>
          <w:rtl/>
        </w:rPr>
      </w:pPr>
    </w:p>
    <w:p w14:paraId="2B8E99EE" w14:textId="77777777" w:rsidR="00EC64C3" w:rsidRPr="00562A33" w:rsidRDefault="00EC64C3" w:rsidP="00E31C0C">
      <w:pPr>
        <w:spacing w:after="0" w:line="360" w:lineRule="auto"/>
        <w:ind w:left="-625"/>
        <w:jc w:val="both"/>
        <w:rPr>
          <w:rFonts w:ascii="David" w:hAnsi="David" w:cs="David"/>
          <w:sz w:val="24"/>
          <w:szCs w:val="24"/>
          <w:u w:val="single"/>
          <w:rtl/>
        </w:rPr>
      </w:pPr>
      <w:r w:rsidRPr="00562A33">
        <w:rPr>
          <w:rFonts w:ascii="David" w:hAnsi="David" w:cs="David"/>
          <w:sz w:val="24"/>
          <w:szCs w:val="24"/>
          <w:u w:val="single"/>
          <w:rtl/>
        </w:rPr>
        <w:t>הרציונל של מקצועות עזר לעולם המשפט</w:t>
      </w:r>
      <w:r w:rsidRPr="00562A33">
        <w:rPr>
          <w:rFonts w:ascii="David" w:hAnsi="David" w:cs="David"/>
          <w:sz w:val="24"/>
          <w:szCs w:val="24"/>
          <w:rtl/>
        </w:rPr>
        <w:t>:</w:t>
      </w:r>
      <w:r w:rsidRPr="00562A33">
        <w:rPr>
          <w:rFonts w:ascii="David" w:hAnsi="David" w:cs="David"/>
          <w:sz w:val="24"/>
          <w:szCs w:val="24"/>
          <w:u w:val="single"/>
          <w:rtl/>
        </w:rPr>
        <w:t xml:space="preserve"> </w:t>
      </w:r>
    </w:p>
    <w:p w14:paraId="18B40B5E" w14:textId="77777777" w:rsidR="00EC64C3" w:rsidRPr="00562A33" w:rsidRDefault="00EC64C3" w:rsidP="00E31C0C">
      <w:pPr>
        <w:numPr>
          <w:ilvl w:val="0"/>
          <w:numId w:val="15"/>
        </w:numPr>
        <w:spacing w:after="0" w:line="360" w:lineRule="auto"/>
        <w:ind w:left="-625" w:hanging="280"/>
        <w:jc w:val="both"/>
        <w:rPr>
          <w:rFonts w:ascii="David" w:hAnsi="David" w:cs="David"/>
          <w:sz w:val="24"/>
          <w:szCs w:val="24"/>
        </w:rPr>
      </w:pPr>
      <w:r w:rsidRPr="00562A33">
        <w:rPr>
          <w:rFonts w:ascii="David" w:hAnsi="David" w:cs="David"/>
          <w:b/>
          <w:bCs/>
          <w:sz w:val="24"/>
          <w:szCs w:val="24"/>
          <w:highlight w:val="yellow"/>
          <w:rtl/>
        </w:rPr>
        <w:t>חלק מאמון הציבור במערכת המשפט הוא פועל יוצא של הפעילות של אותם מקצועות עזר לעולם המשפט</w:t>
      </w:r>
      <w:r w:rsidRPr="00562A33">
        <w:rPr>
          <w:rFonts w:ascii="David" w:hAnsi="David" w:cs="David"/>
          <w:sz w:val="24"/>
          <w:szCs w:val="24"/>
          <w:rtl/>
        </w:rPr>
        <w:t xml:space="preserve">. בעלי המקצועות הללו מתווכים בין הציבור לבין השופט. הם מתרגמים למילות משפטיות את הנרטיב של הלקוח. אם לא יהיה רף התנהגות גבוה לאותם בעלי מקצועות, אמון הציבור במערכת המשפט ייפגע, ואמון הציבור במערכת המשפט הוא נדבך חיוני בקיום שלטון החוק. </w:t>
      </w:r>
    </w:p>
    <w:p w14:paraId="4E24C8B3" w14:textId="77777777" w:rsidR="00EC64C3" w:rsidRPr="00562A33" w:rsidRDefault="00EC64C3" w:rsidP="00E31C0C">
      <w:pPr>
        <w:numPr>
          <w:ilvl w:val="0"/>
          <w:numId w:val="15"/>
        </w:numPr>
        <w:spacing w:after="0" w:line="360" w:lineRule="auto"/>
        <w:ind w:left="-625" w:hanging="280"/>
        <w:jc w:val="both"/>
        <w:rPr>
          <w:rFonts w:ascii="David" w:hAnsi="David" w:cs="David"/>
          <w:sz w:val="24"/>
          <w:szCs w:val="24"/>
        </w:rPr>
      </w:pPr>
      <w:r w:rsidRPr="00562A33">
        <w:rPr>
          <w:rFonts w:ascii="David" w:hAnsi="David" w:cs="David"/>
          <w:sz w:val="24"/>
          <w:szCs w:val="24"/>
          <w:rtl/>
        </w:rPr>
        <w:t>תת-הקבוצה הזאת מאוד ייחודית שכן היא חלק מתוך מערכת ש</w:t>
      </w:r>
      <w:r w:rsidRPr="00562A33">
        <w:rPr>
          <w:rFonts w:ascii="David" w:hAnsi="David" w:cs="David"/>
          <w:sz w:val="24"/>
          <w:szCs w:val="24"/>
          <w:highlight w:val="yellow"/>
          <w:rtl/>
        </w:rPr>
        <w:t>אם ייפגע האמון בה ייפגע שלטון החוק</w:t>
      </w:r>
      <w:r w:rsidRPr="00562A33">
        <w:rPr>
          <w:rFonts w:ascii="David" w:hAnsi="David" w:cs="David"/>
          <w:sz w:val="24"/>
          <w:szCs w:val="24"/>
          <w:rtl/>
        </w:rPr>
        <w:t xml:space="preserve">. </w:t>
      </w:r>
    </w:p>
    <w:p w14:paraId="743453AA" w14:textId="77777777" w:rsidR="00EC64C3" w:rsidRPr="00562A33" w:rsidRDefault="00EC64C3" w:rsidP="00E31C0C">
      <w:pPr>
        <w:numPr>
          <w:ilvl w:val="0"/>
          <w:numId w:val="15"/>
        </w:numPr>
        <w:spacing w:after="0" w:line="360" w:lineRule="auto"/>
        <w:ind w:left="-625" w:hanging="280"/>
        <w:jc w:val="both"/>
        <w:rPr>
          <w:rFonts w:ascii="David" w:hAnsi="David" w:cs="David"/>
          <w:sz w:val="24"/>
          <w:szCs w:val="24"/>
          <w:rtl/>
        </w:rPr>
      </w:pPr>
      <w:r w:rsidRPr="00562A33">
        <w:rPr>
          <w:rFonts w:ascii="David" w:hAnsi="David" w:cs="David"/>
          <w:sz w:val="24"/>
          <w:szCs w:val="24"/>
          <w:u w:val="single"/>
          <w:rtl/>
        </w:rPr>
        <w:t>רשלנות עו"ד</w:t>
      </w:r>
      <w:r w:rsidRPr="00562A33">
        <w:rPr>
          <w:rFonts w:ascii="David" w:hAnsi="David" w:cs="David"/>
          <w:sz w:val="24"/>
          <w:szCs w:val="24"/>
          <w:rtl/>
        </w:rPr>
        <w:t xml:space="preserve"> –  </w:t>
      </w:r>
      <w:proofErr w:type="spellStart"/>
      <w:r w:rsidRPr="00562A33">
        <w:rPr>
          <w:rFonts w:ascii="David" w:hAnsi="David" w:cs="David"/>
          <w:sz w:val="24"/>
          <w:szCs w:val="24"/>
          <w:highlight w:val="green"/>
          <w:rtl/>
        </w:rPr>
        <w:t>בד"מ</w:t>
      </w:r>
      <w:proofErr w:type="spellEnd"/>
      <w:r w:rsidRPr="00562A33">
        <w:rPr>
          <w:rFonts w:ascii="David" w:hAnsi="David" w:cs="David"/>
          <w:sz w:val="24"/>
          <w:szCs w:val="24"/>
          <w:highlight w:val="green"/>
          <w:rtl/>
        </w:rPr>
        <w:t xml:space="preserve"> 32/11</w:t>
      </w:r>
      <w:r w:rsidRPr="00562A33">
        <w:rPr>
          <w:rFonts w:ascii="David" w:hAnsi="David" w:cs="David"/>
          <w:sz w:val="24"/>
          <w:szCs w:val="24"/>
        </w:rPr>
        <w:t xml:space="preserve"> </w:t>
      </w:r>
      <w:r w:rsidRPr="00562A33">
        <w:rPr>
          <w:rFonts w:ascii="David" w:hAnsi="David" w:cs="David"/>
          <w:sz w:val="24"/>
          <w:szCs w:val="24"/>
          <w:rtl/>
        </w:rPr>
        <w:t xml:space="preserve">– פסק הדין מסביר מתי ניתן לפנות לבית דין משמעתי עקב רשלנות מקצועית של עו"ד. טעות בשיקול דעת זו לא עבירת משמעת. </w:t>
      </w:r>
      <w:r w:rsidRPr="00562A33">
        <w:rPr>
          <w:rFonts w:ascii="David" w:hAnsi="David" w:cs="David"/>
          <w:b/>
          <w:bCs/>
          <w:sz w:val="24"/>
          <w:szCs w:val="24"/>
          <w:highlight w:val="yellow"/>
          <w:rtl/>
        </w:rPr>
        <w:t>רק אם מדובר במחדלים שמעידים על זלזול או רשלנות מצד עו"ד הדבר מהווה עבירת משמעת</w:t>
      </w:r>
      <w:r w:rsidRPr="00562A33">
        <w:rPr>
          <w:rFonts w:ascii="David" w:hAnsi="David" w:cs="David"/>
          <w:sz w:val="24"/>
          <w:szCs w:val="24"/>
          <w:highlight w:val="yellow"/>
          <w:rtl/>
        </w:rPr>
        <w:t>.</w:t>
      </w:r>
      <w:r w:rsidRPr="00562A33">
        <w:rPr>
          <w:rFonts w:ascii="David" w:hAnsi="David" w:cs="David"/>
          <w:sz w:val="24"/>
          <w:szCs w:val="24"/>
          <w:rtl/>
        </w:rPr>
        <w:t xml:space="preserve"> במקרה שלפנינו, עו"ד לא התייצב לדיון ו/או הגיש תצהיר בזמן / </w:t>
      </w:r>
      <w:r w:rsidRPr="00562A33">
        <w:rPr>
          <w:rFonts w:ascii="David" w:hAnsi="David" w:cs="David"/>
          <w:sz w:val="24"/>
          <w:szCs w:val="24"/>
          <w:rtl/>
        </w:rPr>
        <w:lastRenderedPageBreak/>
        <w:t xml:space="preserve">בקשה לארכת מועד, ולכן הורשע בדין משמעתי ונגזרה עליה השעיה של 4 חודשים, השעיה על-תנאי של 3 חודשים וקנס בגובה 2,500 ₪. </w:t>
      </w:r>
    </w:p>
    <w:p w14:paraId="167A9C64" w14:textId="77777777" w:rsidR="00EC64C3" w:rsidRPr="00562A33" w:rsidRDefault="00EC64C3" w:rsidP="00E31C0C">
      <w:pPr>
        <w:spacing w:after="0" w:line="360" w:lineRule="auto"/>
        <w:ind w:left="-766"/>
        <w:jc w:val="both"/>
        <w:rPr>
          <w:rFonts w:ascii="David" w:hAnsi="David" w:cs="David"/>
          <w:sz w:val="24"/>
          <w:szCs w:val="24"/>
          <w:rtl/>
        </w:rPr>
      </w:pPr>
      <w:r w:rsidRPr="00562A33">
        <w:rPr>
          <w:rFonts w:ascii="David" w:hAnsi="David" w:cs="David"/>
          <w:sz w:val="24"/>
          <w:szCs w:val="24"/>
          <w:u w:val="single"/>
          <w:rtl/>
        </w:rPr>
        <w:t>הרציונל של עובדי הציבור</w:t>
      </w:r>
      <w:r w:rsidRPr="00562A33">
        <w:rPr>
          <w:rFonts w:ascii="David" w:hAnsi="David" w:cs="David"/>
          <w:sz w:val="24"/>
          <w:szCs w:val="24"/>
          <w:rtl/>
        </w:rPr>
        <w:t xml:space="preserve">: </w:t>
      </w:r>
    </w:p>
    <w:p w14:paraId="78CE7713" w14:textId="77777777" w:rsidR="00EC64C3" w:rsidRPr="00562A33" w:rsidRDefault="00EC64C3" w:rsidP="00E31C0C">
      <w:pPr>
        <w:numPr>
          <w:ilvl w:val="0"/>
          <w:numId w:val="15"/>
        </w:numPr>
        <w:spacing w:after="0" w:line="360" w:lineRule="auto"/>
        <w:ind w:left="-483" w:hanging="280"/>
        <w:jc w:val="both"/>
        <w:rPr>
          <w:rFonts w:ascii="David" w:hAnsi="David" w:cs="David"/>
          <w:sz w:val="24"/>
          <w:szCs w:val="24"/>
        </w:rPr>
      </w:pPr>
      <w:r w:rsidRPr="00562A33">
        <w:rPr>
          <w:rFonts w:ascii="David" w:hAnsi="David" w:cs="David"/>
          <w:sz w:val="24"/>
          <w:szCs w:val="24"/>
          <w:rtl/>
        </w:rPr>
        <w:t xml:space="preserve">הנדבכים החשובים הם </w:t>
      </w:r>
      <w:r w:rsidRPr="00562A33">
        <w:rPr>
          <w:rFonts w:ascii="David" w:hAnsi="David" w:cs="David"/>
          <w:b/>
          <w:bCs/>
          <w:sz w:val="24"/>
          <w:szCs w:val="24"/>
          <w:highlight w:val="yellow"/>
          <w:rtl/>
        </w:rPr>
        <w:t>הידיעה שהשירות שהאזרח מקבל מאותם עובדי ציבור הוא שירות שלא נגוע בפגיעה בטוהר המידות ובמנהל התקין וכן השמירה על תדמית השירות הציבורי כלפי הציבור</w:t>
      </w:r>
      <w:r w:rsidRPr="00562A33">
        <w:rPr>
          <w:rFonts w:ascii="David" w:hAnsi="David" w:cs="David"/>
          <w:sz w:val="24"/>
          <w:szCs w:val="24"/>
          <w:rtl/>
        </w:rPr>
        <w:t xml:space="preserve">. </w:t>
      </w:r>
      <w:r w:rsidRPr="00562A33">
        <w:rPr>
          <w:rFonts w:ascii="David" w:hAnsi="David" w:cs="David"/>
          <w:sz w:val="24"/>
          <w:szCs w:val="24"/>
          <w:u w:val="single"/>
          <w:rtl/>
        </w:rPr>
        <w:t>לדוגמא</w:t>
      </w:r>
      <w:r w:rsidRPr="00562A33">
        <w:rPr>
          <w:rFonts w:ascii="David" w:hAnsi="David" w:cs="David"/>
          <w:sz w:val="24"/>
          <w:szCs w:val="24"/>
          <w:rtl/>
        </w:rPr>
        <w:t xml:space="preserve">: חוק המתנות – אנחנו לא רוצים שעובדי ציבור יקבלו מתנות על שירות שהם נותנים. השירות שהם נותנים לציבור צריך להיות שירות שוויוני אשר אינו קשור במתנה, טובת הנאה או אפליה בין קבוצות שונות באוכלוסייה.  </w:t>
      </w:r>
    </w:p>
    <w:p w14:paraId="23BB106F" w14:textId="77777777" w:rsidR="00EC64C3" w:rsidRPr="00562A33" w:rsidRDefault="00EC64C3" w:rsidP="00E31C0C">
      <w:pPr>
        <w:numPr>
          <w:ilvl w:val="0"/>
          <w:numId w:val="15"/>
        </w:numPr>
        <w:spacing w:after="0" w:line="360" w:lineRule="auto"/>
        <w:ind w:left="-483" w:hanging="280"/>
        <w:jc w:val="both"/>
        <w:rPr>
          <w:rFonts w:ascii="David" w:hAnsi="David" w:cs="David"/>
          <w:sz w:val="24"/>
          <w:szCs w:val="24"/>
        </w:rPr>
      </w:pPr>
      <w:r w:rsidRPr="00562A33">
        <w:rPr>
          <w:rFonts w:ascii="David" w:hAnsi="David" w:cs="David"/>
          <w:sz w:val="24"/>
          <w:szCs w:val="24"/>
          <w:rtl/>
        </w:rPr>
        <w:t xml:space="preserve">נוכל לוודא זאת רק תוך </w:t>
      </w:r>
      <w:r w:rsidRPr="00562A33">
        <w:rPr>
          <w:rFonts w:ascii="David" w:hAnsi="David" w:cs="David"/>
          <w:sz w:val="24"/>
          <w:szCs w:val="24"/>
          <w:highlight w:val="yellow"/>
          <w:rtl/>
        </w:rPr>
        <w:t>מניעת שימוש לרעה בתפקיד או ניצול שלילי של הסמכויות שהוענקו להם</w:t>
      </w:r>
      <w:r w:rsidRPr="00562A33">
        <w:rPr>
          <w:rFonts w:ascii="David" w:hAnsi="David" w:cs="David"/>
          <w:sz w:val="24"/>
          <w:szCs w:val="24"/>
          <w:rtl/>
        </w:rPr>
        <w:t xml:space="preserve">. עיקר כוח האדם והתקציב וכן ההחלטות שמשפיעות על הציבור מצויות בידי הרשות המבצעת, ולכן עלינו לדאוג שהשירות הציבורי יהיה נקי ושוויוני, ואת זה משיגים ע"י הדין המשמעתי. </w:t>
      </w:r>
    </w:p>
    <w:p w14:paraId="5A7247F7" w14:textId="77777777" w:rsidR="00EC64C3" w:rsidRPr="00562A33" w:rsidRDefault="00EC64C3" w:rsidP="00E31C0C">
      <w:pPr>
        <w:numPr>
          <w:ilvl w:val="0"/>
          <w:numId w:val="15"/>
        </w:numPr>
        <w:spacing w:after="0" w:line="360" w:lineRule="auto"/>
        <w:ind w:left="-483" w:hanging="280"/>
        <w:jc w:val="both"/>
        <w:rPr>
          <w:rFonts w:ascii="David" w:hAnsi="David" w:cs="David"/>
          <w:sz w:val="24"/>
          <w:szCs w:val="24"/>
        </w:rPr>
      </w:pPr>
      <w:r w:rsidRPr="00562A33">
        <w:rPr>
          <w:rFonts w:ascii="David" w:hAnsi="David" w:cs="David"/>
          <w:sz w:val="24"/>
          <w:szCs w:val="24"/>
          <w:rtl/>
        </w:rPr>
        <w:t xml:space="preserve">החלק החשוב ביותר של דיני המשמעת של עובדי הציבור במובן הצר הוא </w:t>
      </w:r>
      <w:r w:rsidRPr="00562A33">
        <w:rPr>
          <w:rFonts w:ascii="David" w:hAnsi="David" w:cs="David"/>
          <w:b/>
          <w:bCs/>
          <w:sz w:val="24"/>
          <w:szCs w:val="24"/>
          <w:highlight w:val="yellow"/>
          <w:rtl/>
        </w:rPr>
        <w:t>לשמור על הניהול התקין, על אמון הציבור, על טוהר המידות, על שמה הטוב של הרשות, על תדמיתה ומראיתה</w:t>
      </w:r>
      <w:r w:rsidRPr="00562A33">
        <w:rPr>
          <w:rFonts w:ascii="David" w:hAnsi="David" w:cs="David"/>
          <w:b/>
          <w:bCs/>
          <w:sz w:val="24"/>
          <w:szCs w:val="24"/>
          <w:rtl/>
        </w:rPr>
        <w:t xml:space="preserve">.  </w:t>
      </w:r>
    </w:p>
    <w:p w14:paraId="6D3FC02B" w14:textId="77777777" w:rsidR="00EC64C3" w:rsidRPr="00562A33" w:rsidRDefault="00EC64C3" w:rsidP="00EC64C3">
      <w:pPr>
        <w:spacing w:after="0" w:line="360" w:lineRule="auto"/>
        <w:jc w:val="both"/>
        <w:rPr>
          <w:rFonts w:ascii="David" w:hAnsi="David" w:cs="David"/>
          <w:sz w:val="24"/>
          <w:szCs w:val="24"/>
          <w:rtl/>
        </w:rPr>
      </w:pPr>
    </w:p>
    <w:p w14:paraId="41BC31F9" w14:textId="77777777" w:rsidR="00EC64C3" w:rsidRPr="00562A33" w:rsidRDefault="00EC64C3" w:rsidP="00E31C0C">
      <w:pPr>
        <w:spacing w:after="0" w:line="360" w:lineRule="auto"/>
        <w:ind w:left="-766"/>
        <w:jc w:val="both"/>
        <w:rPr>
          <w:rFonts w:ascii="David" w:hAnsi="David" w:cs="David"/>
          <w:sz w:val="24"/>
          <w:szCs w:val="24"/>
        </w:rPr>
      </w:pPr>
      <w:proofErr w:type="spellStart"/>
      <w:r w:rsidRPr="00562A33">
        <w:rPr>
          <w:rFonts w:ascii="David" w:hAnsi="David" w:cs="David"/>
          <w:sz w:val="24"/>
          <w:szCs w:val="24"/>
          <w:u w:val="single"/>
          <w:rtl/>
        </w:rPr>
        <w:t>הרציונאל</w:t>
      </w:r>
      <w:proofErr w:type="spellEnd"/>
      <w:r w:rsidRPr="00562A33">
        <w:rPr>
          <w:rFonts w:ascii="David" w:hAnsi="David" w:cs="David"/>
          <w:sz w:val="24"/>
          <w:szCs w:val="24"/>
          <w:u w:val="single"/>
          <w:rtl/>
        </w:rPr>
        <w:t xml:space="preserve"> של בעלי מקצועות שונים המשרתים את הציבור</w:t>
      </w:r>
      <w:r w:rsidRPr="00562A33">
        <w:rPr>
          <w:rFonts w:ascii="David" w:hAnsi="David" w:cs="David"/>
          <w:sz w:val="24"/>
          <w:szCs w:val="24"/>
          <w:rtl/>
        </w:rPr>
        <w:t xml:space="preserve">: </w:t>
      </w:r>
    </w:p>
    <w:p w14:paraId="6BD5FD23" w14:textId="77777777" w:rsidR="00EC64C3" w:rsidRPr="00562A33" w:rsidRDefault="00EC64C3" w:rsidP="00E31C0C">
      <w:pPr>
        <w:numPr>
          <w:ilvl w:val="0"/>
          <w:numId w:val="15"/>
        </w:numPr>
        <w:spacing w:after="0" w:line="360" w:lineRule="auto"/>
        <w:ind w:left="-483" w:hanging="280"/>
        <w:jc w:val="both"/>
        <w:rPr>
          <w:rFonts w:ascii="David" w:hAnsi="David" w:cs="David"/>
          <w:sz w:val="24"/>
          <w:szCs w:val="24"/>
        </w:rPr>
      </w:pPr>
      <w:r w:rsidRPr="00562A33">
        <w:rPr>
          <w:rFonts w:ascii="David" w:hAnsi="David" w:cs="David"/>
          <w:sz w:val="24"/>
          <w:szCs w:val="24"/>
          <w:rtl/>
        </w:rPr>
        <w:t xml:space="preserve">בקבוצה הזו אנחנו עושים עסקה בין החברה לבין הפרופסיה. </w:t>
      </w:r>
      <w:r w:rsidRPr="00562A33">
        <w:rPr>
          <w:rFonts w:ascii="David" w:hAnsi="David" w:cs="David"/>
          <w:b/>
          <w:bCs/>
          <w:sz w:val="24"/>
          <w:szCs w:val="24"/>
          <w:highlight w:val="yellow"/>
          <w:rtl/>
        </w:rPr>
        <w:t>החברה מכירה בייחודיות של המקצועות הללו</w:t>
      </w:r>
      <w:r w:rsidRPr="00562A33">
        <w:rPr>
          <w:rFonts w:ascii="David" w:hAnsi="David" w:cs="David"/>
          <w:sz w:val="24"/>
          <w:szCs w:val="24"/>
          <w:highlight w:val="yellow"/>
          <w:rtl/>
        </w:rPr>
        <w:t>. היא מכירה בעובדה שלא כל אחד יכול לעסוק בתחום הזה</w:t>
      </w:r>
      <w:r w:rsidRPr="00562A33">
        <w:rPr>
          <w:rFonts w:ascii="David" w:hAnsi="David" w:cs="David"/>
          <w:sz w:val="24"/>
          <w:szCs w:val="24"/>
          <w:rtl/>
        </w:rPr>
        <w:t xml:space="preserve">, אלא הוא צריך לקבל רישיון לשם כך. לרוב, הרישיון ניתן רק אחרי עמידה בקריטריונים לא פשוטים של מבחנים והתמחות (לימוד מעשי). אבל אחרי שזוכים לקבלת המקצוע, </w:t>
      </w:r>
      <w:r w:rsidRPr="00562A33">
        <w:rPr>
          <w:rFonts w:ascii="David" w:hAnsi="David" w:cs="David"/>
          <w:b/>
          <w:bCs/>
          <w:sz w:val="24"/>
          <w:szCs w:val="24"/>
          <w:highlight w:val="yellow"/>
          <w:rtl/>
        </w:rPr>
        <w:t>החברה דורשת מאותם אנשים רף התנהגות גבוה</w:t>
      </w:r>
      <w:r w:rsidRPr="00562A33">
        <w:rPr>
          <w:rFonts w:ascii="David" w:hAnsi="David" w:cs="David"/>
          <w:sz w:val="24"/>
          <w:szCs w:val="24"/>
          <w:rtl/>
        </w:rPr>
        <w:t xml:space="preserve">, הקובע שמי שמפר את אותם כללים לא יוכל לעסוק במקצוע יותר ולא יהיה חלק מן הפרופסיה. לדוגמא: פעם לא היה צורך ברישיון כדי להיות חוקר פרטי. מה שקרה זה שאותם אנשים פגעו בחוק האזנת סתר, חוק הפרטיות וחוק לשון הרע, וכתגובה החברה דרשה להסדיר את המקצוע הזה. כך יש כללי אתיקה שקובעים שאסור לחוקר פרטי להתחזות לאחר (כמו שוטר). מותר לתת לאובייקט לחשוב לבד מי אתה, אבל אסור להתחזות. לאותו אדם גם אסור לבצע האזנת סתר לשני אנשים אחרים. הוא יכול להקליט רק שיחה שהוא שותף לה.  </w:t>
      </w:r>
    </w:p>
    <w:p w14:paraId="0B5D2633" w14:textId="77777777" w:rsidR="00EC64C3" w:rsidRPr="00562A33" w:rsidRDefault="00EC64C3" w:rsidP="00E31C0C">
      <w:pPr>
        <w:pStyle w:val="10"/>
        <w:spacing w:line="360" w:lineRule="auto"/>
        <w:ind w:left="-483"/>
        <w:rPr>
          <w:rFonts w:ascii="David" w:hAnsi="David" w:cs="David"/>
          <w:sz w:val="24"/>
          <w:szCs w:val="24"/>
          <w:u w:val="single"/>
          <w:shd w:val="clear" w:color="auto" w:fill="FF66FF"/>
          <w:rtl/>
        </w:rPr>
      </w:pPr>
    </w:p>
    <w:p w14:paraId="0F8F1705" w14:textId="77777777" w:rsidR="00EC64C3" w:rsidRPr="00562A33" w:rsidRDefault="00EC64C3" w:rsidP="00E01976">
      <w:pPr>
        <w:spacing w:after="120" w:line="360" w:lineRule="auto"/>
        <w:ind w:left="-482"/>
        <w:jc w:val="both"/>
        <w:rPr>
          <w:rFonts w:ascii="Arial" w:hAnsi="Arial" w:cs="David"/>
          <w:sz w:val="24"/>
          <w:szCs w:val="24"/>
          <w:rtl/>
        </w:rPr>
      </w:pPr>
      <w:r w:rsidRPr="00562A33">
        <w:rPr>
          <w:rFonts w:ascii="Arial" w:hAnsi="Arial" w:cs="David" w:hint="cs"/>
          <w:sz w:val="24"/>
          <w:szCs w:val="24"/>
          <w:highlight w:val="green"/>
          <w:rtl/>
        </w:rPr>
        <w:t>בת"א 24189-09-10 י.ד. נ' דן חברה לתחבורה ציבורית בע"מ</w:t>
      </w:r>
      <w:r w:rsidRPr="00562A33">
        <w:rPr>
          <w:rFonts w:ascii="Arial" w:hAnsi="Arial" w:cs="David" w:hint="cs"/>
          <w:sz w:val="24"/>
          <w:szCs w:val="24"/>
          <w:rtl/>
        </w:rPr>
        <w:t xml:space="preserve"> </w:t>
      </w:r>
      <w:r w:rsidRPr="00562A33">
        <w:rPr>
          <w:rFonts w:ascii="Arial" w:hAnsi="Arial" w:cs="David"/>
          <w:sz w:val="24"/>
          <w:szCs w:val="24"/>
          <w:rtl/>
        </w:rPr>
        <w:t>–</w:t>
      </w:r>
      <w:r w:rsidRPr="00562A33">
        <w:rPr>
          <w:rFonts w:ascii="Arial" w:hAnsi="Arial" w:cs="David" w:hint="cs"/>
          <w:sz w:val="24"/>
          <w:szCs w:val="24"/>
          <w:rtl/>
        </w:rPr>
        <w:t xml:space="preserve"> </w:t>
      </w:r>
      <w:r w:rsidRPr="00562A33">
        <w:rPr>
          <w:rFonts w:ascii="Arial" w:hAnsi="Arial" w:cs="David"/>
          <w:sz w:val="24"/>
          <w:szCs w:val="24"/>
          <w:rtl/>
        </w:rPr>
        <w:t xml:space="preserve">מדובר בסדרן שעבד בחברת תחבורה ולא החזיר לגברת את הכרטיס שנתנה לו. הוא נתבע על הפרת אמון ולא ניתן לו בתביעה להתייעץ עם עורך דין ולהביא עדים. </w:t>
      </w:r>
      <w:proofErr w:type="spellStart"/>
      <w:r w:rsidRPr="00562A33">
        <w:rPr>
          <w:rFonts w:ascii="Arial" w:hAnsi="Arial" w:cs="David" w:hint="cs"/>
          <w:sz w:val="24"/>
          <w:szCs w:val="24"/>
          <w:rtl/>
        </w:rPr>
        <w:t>השו</w:t>
      </w:r>
      <w:proofErr w:type="spellEnd"/>
      <w:r w:rsidRPr="00562A33">
        <w:rPr>
          <w:rFonts w:ascii="Arial" w:hAnsi="Arial" w:cs="David" w:hint="cs"/>
          <w:sz w:val="24"/>
          <w:szCs w:val="24"/>
          <w:rtl/>
        </w:rPr>
        <w:t xml:space="preserve">' שי משה מזרחי קבע כי הנתבעת הפרה את חוברת הזהירות כלפי התובע כששללה ממנו זכות לייצוג על ידי עורך הדין בהליכים משמעתיים. מזרחי אמר כי </w:t>
      </w:r>
      <w:r w:rsidRPr="00562A33">
        <w:rPr>
          <w:rFonts w:ascii="Arial" w:hAnsi="Arial" w:cs="David"/>
          <w:sz w:val="24"/>
          <w:szCs w:val="24"/>
          <w:rtl/>
        </w:rPr>
        <w:t>זה לא דין טבעי ולכן פסל את כל מה שפסקו ופיצויים = בתיק נזיקין נפסקו פיצויים על הליך לא הוגן. [</w:t>
      </w:r>
      <w:proofErr w:type="spellStart"/>
      <w:r w:rsidRPr="00562A33">
        <w:rPr>
          <w:rFonts w:ascii="Arial" w:hAnsi="Arial" w:cs="David"/>
          <w:sz w:val="24"/>
          <w:szCs w:val="24"/>
          <w:rtl/>
        </w:rPr>
        <w:t>הפס"ד</w:t>
      </w:r>
      <w:proofErr w:type="spellEnd"/>
      <w:r w:rsidRPr="00562A33">
        <w:rPr>
          <w:rFonts w:ascii="Arial" w:hAnsi="Arial" w:cs="David"/>
          <w:sz w:val="24"/>
          <w:szCs w:val="24"/>
          <w:rtl/>
        </w:rPr>
        <w:t xml:space="preserve"> מביא אספקט חדשני</w:t>
      </w:r>
      <w:r w:rsidRPr="00562A33">
        <w:rPr>
          <w:rFonts w:ascii="Arial" w:hAnsi="Arial" w:cs="David" w:hint="cs"/>
          <w:sz w:val="24"/>
          <w:szCs w:val="24"/>
          <w:rtl/>
        </w:rPr>
        <w:t>].</w:t>
      </w:r>
    </w:p>
    <w:p w14:paraId="7F72DFE6" w14:textId="77777777" w:rsidR="00EC64C3" w:rsidRPr="00562A33" w:rsidRDefault="00EC64C3" w:rsidP="00E01976">
      <w:pPr>
        <w:pStyle w:val="a4"/>
        <w:numPr>
          <w:ilvl w:val="0"/>
          <w:numId w:val="13"/>
        </w:numPr>
        <w:spacing w:after="120" w:line="360" w:lineRule="auto"/>
        <w:ind w:left="-482" w:hanging="281"/>
        <w:contextualSpacing w:val="0"/>
        <w:jc w:val="both"/>
        <w:rPr>
          <w:rFonts w:ascii="Arial" w:hAnsi="Arial" w:cs="David"/>
          <w:sz w:val="24"/>
          <w:szCs w:val="24"/>
        </w:rPr>
      </w:pPr>
      <w:r w:rsidRPr="00562A33">
        <w:rPr>
          <w:rFonts w:ascii="Arial" w:hAnsi="Arial" w:cs="David" w:hint="cs"/>
          <w:sz w:val="24"/>
          <w:szCs w:val="24"/>
          <w:rtl/>
        </w:rPr>
        <w:t>בעובדי תחבורה מדובר על דין הסכמי ולא סטטוטורי ואז מדובר בקל וחומר.</w:t>
      </w:r>
    </w:p>
    <w:p w14:paraId="75046686" w14:textId="77777777" w:rsidR="00EC64C3" w:rsidRPr="00103C05" w:rsidRDefault="00103C05" w:rsidP="00E01976">
      <w:pPr>
        <w:pStyle w:val="a4"/>
        <w:spacing w:after="120" w:line="360" w:lineRule="auto"/>
        <w:ind w:left="-199"/>
        <w:contextualSpacing w:val="0"/>
        <w:jc w:val="center"/>
        <w:rPr>
          <w:rFonts w:ascii="Arial" w:hAnsi="Arial" w:cs="David"/>
          <w:rtl/>
        </w:rPr>
      </w:pPr>
      <w:r w:rsidRPr="002A2668">
        <w:rPr>
          <w:rFonts w:ascii="David" w:hAnsi="David" w:cs="David" w:hint="cs"/>
          <w:b/>
          <w:bCs/>
          <w:color w:val="FFC000" w:themeColor="accent4"/>
          <w:sz w:val="24"/>
          <w:szCs w:val="24"/>
          <w:u w:val="single"/>
          <w:rtl/>
        </w:rPr>
        <w:t xml:space="preserve">נושא 5 לסילבוס: הליכים משמעתיים מיוחדים:  </w:t>
      </w:r>
      <w:r w:rsidR="00EC64C3" w:rsidRPr="002A2668">
        <w:rPr>
          <w:rFonts w:ascii="David" w:hAnsi="David" w:cs="David"/>
          <w:b/>
          <w:bCs/>
          <w:color w:val="FFC000" w:themeColor="accent4"/>
          <w:sz w:val="24"/>
          <w:szCs w:val="24"/>
          <w:u w:val="single"/>
          <w:rtl/>
        </w:rPr>
        <w:t>פסקי דין משמעתיים של שופטים</w:t>
      </w:r>
    </w:p>
    <w:p w14:paraId="44DE1924" w14:textId="77777777" w:rsidR="00EC64C3" w:rsidRPr="006D6679" w:rsidRDefault="00EC64C3" w:rsidP="00E01976">
      <w:pPr>
        <w:spacing w:after="120" w:line="360" w:lineRule="auto"/>
        <w:ind w:left="-766"/>
        <w:jc w:val="both"/>
        <w:rPr>
          <w:rFonts w:ascii="David" w:hAnsi="David" w:cs="David"/>
          <w:u w:val="single"/>
          <w:rtl/>
        </w:rPr>
      </w:pPr>
      <w:r w:rsidRPr="006D6679">
        <w:rPr>
          <w:rFonts w:ascii="David" w:hAnsi="David" w:cs="David"/>
          <w:rtl/>
        </w:rPr>
        <w:t>פעמים רבות, עבירות אתיות מצד שופטים נסגרות ללא הליך משמעתי. עד היום התנהלו כ-20 הליכים נגד שופטים.</w:t>
      </w:r>
      <w:r w:rsidRPr="006D6679">
        <w:rPr>
          <w:rFonts w:ascii="David" w:hAnsi="David" w:cs="David"/>
          <w:u w:val="single"/>
          <w:rtl/>
        </w:rPr>
        <w:t xml:space="preserve"> </w:t>
      </w:r>
    </w:p>
    <w:p w14:paraId="17775AAA" w14:textId="77777777" w:rsidR="00EC64C3" w:rsidRPr="006D6679" w:rsidRDefault="00EC64C3" w:rsidP="00E01976">
      <w:pPr>
        <w:spacing w:after="120" w:line="360" w:lineRule="auto"/>
        <w:ind w:left="-766"/>
        <w:jc w:val="both"/>
        <w:rPr>
          <w:rFonts w:ascii="David" w:hAnsi="David" w:cs="David"/>
        </w:rPr>
      </w:pPr>
      <w:r w:rsidRPr="006D6679">
        <w:rPr>
          <w:rFonts w:ascii="David" w:hAnsi="David" w:cs="David"/>
          <w:u w:val="single"/>
          <w:rtl/>
        </w:rPr>
        <w:t>פסקי הדין המשמעתיים של שופטים היחידים שפורסמו מאז קום המדינה</w:t>
      </w:r>
      <w:r w:rsidRPr="006D6679">
        <w:rPr>
          <w:rFonts w:ascii="David" w:hAnsi="David" w:cs="David"/>
          <w:rtl/>
        </w:rPr>
        <w:t xml:space="preserve">: </w:t>
      </w:r>
    </w:p>
    <w:p w14:paraId="58DDE467" w14:textId="77777777" w:rsidR="00EC64C3" w:rsidRPr="006D6679" w:rsidRDefault="00EC64C3" w:rsidP="00E01976">
      <w:pPr>
        <w:numPr>
          <w:ilvl w:val="0"/>
          <w:numId w:val="16"/>
        </w:numPr>
        <w:spacing w:after="120" w:line="360" w:lineRule="auto"/>
        <w:ind w:left="-766" w:hanging="280"/>
        <w:jc w:val="both"/>
        <w:rPr>
          <w:rFonts w:ascii="David" w:hAnsi="David" w:cs="David"/>
        </w:rPr>
      </w:pPr>
      <w:r w:rsidRPr="006D6679">
        <w:rPr>
          <w:rFonts w:ascii="David" w:hAnsi="David" w:cs="David"/>
          <w:b/>
          <w:bCs/>
          <w:rtl/>
        </w:rPr>
        <w:t>פסק הדין המשמעתי בעניינו של השופט יצחק ארבל</w:t>
      </w:r>
      <w:r w:rsidRPr="006D6679">
        <w:rPr>
          <w:rFonts w:ascii="David" w:hAnsi="David" w:cs="David"/>
          <w:rtl/>
        </w:rPr>
        <w:t xml:space="preserve"> – שופט תעבורה שנטען כי שינה פרוטוקולים. </w:t>
      </w:r>
      <w:r>
        <w:rPr>
          <w:rFonts w:ascii="Arial" w:hAnsi="Arial" w:cs="David" w:hint="cs"/>
          <w:rtl/>
        </w:rPr>
        <w:t>עקב עומס בעבודה הוא ניסה לקצר תהליכים ולכן שינה פרוטוקולים להאצת הדיונים. הוא ביקש להתחשב בכך שיש עומס בבתי המשפט וקשה לשמוע תיקים כל יום. פגעו לו בקצבת הפנסיה וקבעו שיקבל רק 35% (במקום 50%).</w:t>
      </w:r>
    </w:p>
    <w:p w14:paraId="5390298B" w14:textId="77777777" w:rsidR="00EC64C3" w:rsidRPr="006D6679" w:rsidRDefault="00EC64C3" w:rsidP="00E01976">
      <w:pPr>
        <w:numPr>
          <w:ilvl w:val="0"/>
          <w:numId w:val="16"/>
        </w:numPr>
        <w:spacing w:after="120" w:line="360" w:lineRule="auto"/>
        <w:ind w:left="-766" w:hanging="280"/>
        <w:jc w:val="both"/>
        <w:rPr>
          <w:rFonts w:ascii="David" w:hAnsi="David" w:cs="David"/>
        </w:rPr>
      </w:pPr>
      <w:r w:rsidRPr="006D6679">
        <w:rPr>
          <w:rFonts w:ascii="David" w:hAnsi="David" w:cs="David"/>
          <w:b/>
          <w:bCs/>
          <w:rtl/>
        </w:rPr>
        <w:lastRenderedPageBreak/>
        <w:t>פסק הדין המשמעתי בעניינו של השופט בן שחר חריפאי</w:t>
      </w:r>
      <w:r w:rsidRPr="006D6679">
        <w:rPr>
          <w:rFonts w:ascii="David" w:hAnsi="David" w:cs="David"/>
          <w:rtl/>
        </w:rPr>
        <w:t xml:space="preserve"> – שופט תעבורה שנטען כי קיבל כרטיסים למשחק</w:t>
      </w:r>
      <w:r>
        <w:rPr>
          <w:rFonts w:ascii="David" w:hAnsi="David" w:cs="David" w:hint="cs"/>
          <w:rtl/>
        </w:rPr>
        <w:t xml:space="preserve"> משמעון מזרחי (ההוא של הכדורסל) בנוסף הוא הטה הליך שיפוטי ושינה תוצאה לאחר שדיבר עם האבא של הנאשם</w:t>
      </w:r>
      <w:r w:rsidRPr="006D6679">
        <w:rPr>
          <w:rFonts w:ascii="David" w:hAnsi="David" w:cs="David"/>
          <w:rtl/>
        </w:rPr>
        <w:t xml:space="preserve">. העונש שהוטל עליו הוא העברה מתפקיד. </w:t>
      </w:r>
    </w:p>
    <w:p w14:paraId="5C96A970" w14:textId="77777777" w:rsidR="00EC64C3" w:rsidRDefault="00EC64C3" w:rsidP="00E01976">
      <w:pPr>
        <w:numPr>
          <w:ilvl w:val="0"/>
          <w:numId w:val="16"/>
        </w:numPr>
        <w:spacing w:after="120" w:line="360" w:lineRule="auto"/>
        <w:ind w:left="-766" w:hanging="280"/>
        <w:jc w:val="both"/>
        <w:rPr>
          <w:rFonts w:ascii="David" w:hAnsi="David" w:cs="David"/>
        </w:rPr>
      </w:pPr>
      <w:r w:rsidRPr="006D6679">
        <w:rPr>
          <w:rFonts w:ascii="David" w:hAnsi="David" w:cs="David"/>
          <w:b/>
          <w:bCs/>
          <w:rtl/>
        </w:rPr>
        <w:t>פסק הדין המשמעתי בעניינה של הילה כהן</w:t>
      </w:r>
      <w:r w:rsidRPr="006D6679">
        <w:rPr>
          <w:rFonts w:ascii="David" w:hAnsi="David" w:cs="David"/>
          <w:rtl/>
        </w:rPr>
        <w:t xml:space="preserve"> – </w:t>
      </w:r>
      <w:r w:rsidRPr="00EA5153">
        <w:rPr>
          <w:rFonts w:ascii="David" w:hAnsi="David" w:cs="David"/>
          <w:rtl/>
        </w:rPr>
        <w:t>שופטת בבית המשפט לעניינים מקומיים בחיפה</w:t>
      </w:r>
      <w:r>
        <w:rPr>
          <w:rFonts w:ascii="David" w:hAnsi="David" w:cs="David" w:hint="cs"/>
          <w:rtl/>
        </w:rPr>
        <w:t xml:space="preserve"> </w:t>
      </w:r>
      <w:r w:rsidRPr="006D6679">
        <w:rPr>
          <w:rFonts w:ascii="David" w:hAnsi="David" w:cs="David"/>
          <w:rtl/>
        </w:rPr>
        <w:t xml:space="preserve">שנטען כי ערכה פרוטוקולים בניגוד למה שהתרחש בבית המשפט. בגזר הדין נקבע כי היא תועבר למחוז אחר וקיבלה נזיפה חמורה. שרת המשפטים לא כיבדה את פסק הדין המשמעתי ופתחה בהליך מנהלי להדחת השופטת, כיו"ר הוועדה למינוי שופטים. ועדה זו יכולה להדיח שופטים ברוב של 7 שופטים, וההדחה צלחה. </w:t>
      </w:r>
    </w:p>
    <w:p w14:paraId="1AEF15C4" w14:textId="77777777" w:rsidR="00EC64C3" w:rsidRPr="00170646" w:rsidRDefault="00EC64C3" w:rsidP="00E01976">
      <w:pPr>
        <w:numPr>
          <w:ilvl w:val="0"/>
          <w:numId w:val="16"/>
        </w:numPr>
        <w:spacing w:after="120" w:line="360" w:lineRule="auto"/>
        <w:ind w:left="-625" w:hanging="280"/>
        <w:jc w:val="both"/>
        <w:rPr>
          <w:rFonts w:ascii="David" w:hAnsi="David" w:cs="David"/>
          <w:b/>
          <w:bCs/>
        </w:rPr>
      </w:pPr>
      <w:r w:rsidRPr="00170646">
        <w:rPr>
          <w:rFonts w:ascii="David" w:hAnsi="David" w:cs="David" w:hint="cs"/>
          <w:b/>
          <w:bCs/>
          <w:rtl/>
        </w:rPr>
        <w:t xml:space="preserve">פסק הדין המשמעתי בעניין רונית </w:t>
      </w:r>
      <w:proofErr w:type="spellStart"/>
      <w:r w:rsidRPr="00170646">
        <w:rPr>
          <w:rFonts w:ascii="David" w:hAnsi="David" w:cs="David" w:hint="cs"/>
          <w:b/>
          <w:bCs/>
          <w:rtl/>
        </w:rPr>
        <w:t>פוזננסקי</w:t>
      </w:r>
      <w:proofErr w:type="spellEnd"/>
      <w:r w:rsidRPr="00170646">
        <w:rPr>
          <w:rFonts w:ascii="David" w:hAnsi="David" w:cs="David" w:hint="cs"/>
          <w:b/>
          <w:bCs/>
          <w:rtl/>
        </w:rPr>
        <w:t xml:space="preserve">- </w:t>
      </w:r>
      <w:r w:rsidRPr="00170646">
        <w:rPr>
          <w:rFonts w:ascii="David" w:hAnsi="David" w:cs="David" w:hint="cs"/>
          <w:rtl/>
        </w:rPr>
        <w:t>פרשת סמסים בתיק 4000 עם  נציג לניירות ערך</w:t>
      </w:r>
      <w:r>
        <w:rPr>
          <w:rFonts w:ascii="David" w:hAnsi="David" w:cs="David" w:hint="cs"/>
          <w:rtl/>
        </w:rPr>
        <w:t>- עו"ד שביט</w:t>
      </w:r>
      <w:r w:rsidRPr="00170646">
        <w:rPr>
          <w:rFonts w:ascii="David" w:hAnsi="David" w:cs="David" w:hint="cs"/>
          <w:rtl/>
        </w:rPr>
        <w:t xml:space="preserve">. </w:t>
      </w:r>
      <w:r>
        <w:rPr>
          <w:rFonts w:ascii="David" w:hAnsi="David" w:cs="David" w:hint="cs"/>
          <w:rtl/>
        </w:rPr>
        <w:t xml:space="preserve">למרות שבקובלנה רצו להשעות אותה לשנתיים(היה הסדר טיעון בין הקובלת-שרת המשפטים לבין רונית- הוסכם השעיה לשנתיים), </w:t>
      </w:r>
      <w:r w:rsidRPr="00170646">
        <w:rPr>
          <w:rFonts w:ascii="David" w:hAnsi="David" w:cs="David"/>
          <w:rtl/>
        </w:rPr>
        <w:t>בית הדין</w:t>
      </w:r>
      <w:r>
        <w:rPr>
          <w:rFonts w:ascii="David" w:hAnsi="David" w:cs="David" w:hint="cs"/>
          <w:rtl/>
        </w:rPr>
        <w:t xml:space="preserve"> המשמעתי</w:t>
      </w:r>
      <w:r w:rsidRPr="00170646">
        <w:rPr>
          <w:rFonts w:ascii="David" w:hAnsi="David" w:cs="David"/>
          <w:rtl/>
        </w:rPr>
        <w:t xml:space="preserve"> הדיח אותה מכס השיפוט, בנימוק כי אינו מוסמך להורות על השעיה</w:t>
      </w:r>
      <w:r>
        <w:rPr>
          <w:rFonts w:ascii="David" w:hAnsi="David" w:cs="David" w:hint="cs"/>
          <w:rtl/>
        </w:rPr>
        <w:t>(ובעצם הלך נגד הסדר הטיעון)</w:t>
      </w:r>
      <w:r w:rsidRPr="00170646">
        <w:rPr>
          <w:rFonts w:ascii="David" w:hAnsi="David" w:cs="David"/>
        </w:rPr>
        <w:t>.</w:t>
      </w:r>
      <w:r w:rsidRPr="00170646">
        <w:rPr>
          <w:rFonts w:ascii="David" w:hAnsi="David" w:cs="David" w:hint="cs"/>
          <w:rtl/>
        </w:rPr>
        <w:t xml:space="preserve"> </w:t>
      </w:r>
      <w:r>
        <w:rPr>
          <w:rFonts w:ascii="David" w:hAnsi="David" w:cs="David" w:hint="cs"/>
          <w:rtl/>
        </w:rPr>
        <w:t xml:space="preserve"> </w:t>
      </w:r>
      <w:r w:rsidRPr="00170646">
        <w:rPr>
          <w:rFonts w:ascii="David" w:hAnsi="David" w:cs="David"/>
          <w:rtl/>
        </w:rPr>
        <w:t>השופטת עתרה לבג"ץ</w:t>
      </w:r>
      <w:r>
        <w:rPr>
          <w:rFonts w:ascii="David" w:hAnsi="David" w:cs="David" w:hint="cs"/>
          <w:rtl/>
        </w:rPr>
        <w:t>(בג"ץ היה חייב לתת את הטון- בפועל בית הדין הלך נגד הסדר הטיעון)</w:t>
      </w:r>
      <w:r w:rsidRPr="00170646">
        <w:rPr>
          <w:rFonts w:ascii="David" w:hAnsi="David" w:cs="David"/>
          <w:rtl/>
        </w:rPr>
        <w:t>, שרת המשפטים לא התנגדה להשעיה, ושופטי העליון ביטלו את הדחתה. השופטת ננזפה והוסכם כי תסיים את השעייתה במרץ 2019. עו"ד שחם שביט הודיע לאחרונה כי הוא עוזב את הרשות לניירות ערך</w:t>
      </w:r>
      <w:r>
        <w:rPr>
          <w:rFonts w:ascii="David" w:hAnsi="David" w:cs="David" w:hint="cs"/>
          <w:b/>
          <w:bCs/>
          <w:rtl/>
        </w:rPr>
        <w:t xml:space="preserve">. </w:t>
      </w:r>
      <w:r>
        <w:rPr>
          <w:rFonts w:ascii="David" w:hAnsi="David" w:cs="David" w:hint="cs"/>
          <w:b/>
          <w:bCs/>
          <w:u w:val="single"/>
          <w:rtl/>
        </w:rPr>
        <w:t>מדובר במקרה חריג ביותר בו בג"צ סותר פסיקת דין משמעתי</w:t>
      </w:r>
      <w:r>
        <w:rPr>
          <w:rFonts w:ascii="David" w:hAnsi="David" w:cs="David" w:hint="cs"/>
          <w:b/>
          <w:bCs/>
          <w:rtl/>
        </w:rPr>
        <w:t>.</w:t>
      </w:r>
    </w:p>
    <w:p w14:paraId="6122BF24" w14:textId="77777777" w:rsidR="00EC64C3" w:rsidRPr="0015678A" w:rsidRDefault="00EC64C3" w:rsidP="00EC64C3">
      <w:pPr>
        <w:spacing w:after="0" w:line="360" w:lineRule="auto"/>
        <w:jc w:val="both"/>
        <w:rPr>
          <w:rFonts w:ascii="David" w:hAnsi="David" w:cs="David"/>
        </w:rPr>
      </w:pPr>
    </w:p>
    <w:p w14:paraId="0D0BB819" w14:textId="77777777" w:rsidR="00EC64C3" w:rsidRPr="00562A33" w:rsidRDefault="00EC64C3" w:rsidP="00E31C0C">
      <w:pPr>
        <w:spacing w:after="0" w:line="360" w:lineRule="auto"/>
        <w:ind w:left="-625"/>
        <w:jc w:val="both"/>
        <w:rPr>
          <w:rFonts w:ascii="David" w:hAnsi="David" w:cs="David"/>
          <w:b/>
          <w:bCs/>
          <w:sz w:val="24"/>
          <w:szCs w:val="24"/>
          <w:rtl/>
        </w:rPr>
      </w:pPr>
      <w:r w:rsidRPr="00562A33">
        <w:rPr>
          <w:rFonts w:ascii="David" w:hAnsi="David" w:cs="David"/>
          <w:sz w:val="24"/>
          <w:szCs w:val="24"/>
          <w:highlight w:val="yellow"/>
          <w:rtl/>
        </w:rPr>
        <w:t>המשותף לפס"ד אלו היא טענת השופטים על העומס הרב בבתי המשפט</w:t>
      </w:r>
      <w:r w:rsidRPr="00562A33">
        <w:rPr>
          <w:rFonts w:ascii="David" w:hAnsi="David" w:cs="David"/>
          <w:sz w:val="24"/>
          <w:szCs w:val="24"/>
          <w:rtl/>
        </w:rPr>
        <w:t xml:space="preserve">, והתשובה של בתי הדין המשמעתיים היא ששופט שלא יכול להתמודד עם העומס שיתפטר מתפקידו. בכל אופן, </w:t>
      </w:r>
      <w:r w:rsidRPr="00562A33">
        <w:rPr>
          <w:rFonts w:ascii="David" w:hAnsi="David" w:cs="David"/>
          <w:sz w:val="24"/>
          <w:szCs w:val="24"/>
          <w:highlight w:val="yellow"/>
          <w:rtl/>
        </w:rPr>
        <w:t>עומס עבודה אינו מהווה עילה לפגיעה בהליכים התקינים של ניהול המשפט</w:t>
      </w:r>
      <w:r w:rsidRPr="00562A33">
        <w:rPr>
          <w:rFonts w:ascii="David" w:hAnsi="David" w:cs="David"/>
          <w:sz w:val="24"/>
          <w:szCs w:val="24"/>
          <w:rtl/>
        </w:rPr>
        <w:t>. הייתה ביקורת גדולה כנגד העובדה שדווקא פסקי דין אלו פורסמו, והטענה הייתה שדווקא בגלל שמדובר בערכאות שוליים ובשופטי תעבורה הם פורסמו.</w:t>
      </w:r>
    </w:p>
    <w:p w14:paraId="15A25FC4" w14:textId="77777777" w:rsidR="00EC64C3" w:rsidRPr="00562A33" w:rsidRDefault="00EC64C3" w:rsidP="00EC64C3">
      <w:pPr>
        <w:spacing w:after="0" w:line="360" w:lineRule="auto"/>
        <w:jc w:val="both"/>
        <w:rPr>
          <w:rFonts w:ascii="David" w:hAnsi="David" w:cs="David"/>
          <w:b/>
          <w:bCs/>
          <w:sz w:val="24"/>
          <w:szCs w:val="24"/>
          <w:rtl/>
        </w:rPr>
      </w:pPr>
    </w:p>
    <w:p w14:paraId="11409D06" w14:textId="77777777" w:rsidR="00EC64C3" w:rsidRPr="00562A33" w:rsidRDefault="00EC64C3" w:rsidP="00E31C0C">
      <w:pPr>
        <w:spacing w:after="0" w:line="360" w:lineRule="auto"/>
        <w:ind w:left="-625"/>
        <w:jc w:val="both"/>
        <w:rPr>
          <w:rFonts w:ascii="Arial" w:hAnsi="Arial" w:cs="David"/>
          <w:sz w:val="24"/>
          <w:szCs w:val="24"/>
          <w:u w:val="single"/>
          <w:rtl/>
        </w:rPr>
      </w:pPr>
      <w:r w:rsidRPr="00562A33">
        <w:rPr>
          <w:rFonts w:ascii="Arial" w:hAnsi="Arial" w:cs="David" w:hint="cs"/>
          <w:sz w:val="24"/>
          <w:szCs w:val="24"/>
          <w:rtl/>
        </w:rPr>
        <w:t>ברירת המחדל בפסקי דין נגד שופטים היא לא לפרסם אותם.</w:t>
      </w:r>
    </w:p>
    <w:p w14:paraId="76D4B935" w14:textId="77777777" w:rsidR="00EC64C3" w:rsidRPr="00562A33" w:rsidRDefault="00EC64C3" w:rsidP="00E31C0C">
      <w:pPr>
        <w:spacing w:after="0" w:line="360" w:lineRule="auto"/>
        <w:ind w:left="-625"/>
        <w:jc w:val="both"/>
        <w:rPr>
          <w:rFonts w:ascii="Arial" w:hAnsi="Arial" w:cs="David"/>
          <w:sz w:val="24"/>
          <w:szCs w:val="24"/>
          <w:u w:val="single"/>
          <w:rtl/>
        </w:rPr>
      </w:pPr>
      <w:r w:rsidRPr="00562A33">
        <w:rPr>
          <w:rFonts w:ascii="Arial" w:hAnsi="Arial" w:cs="David" w:hint="cs"/>
          <w:sz w:val="24"/>
          <w:szCs w:val="24"/>
          <w:u w:val="single"/>
          <w:rtl/>
        </w:rPr>
        <w:t>מדוע ביהמ"ש בחר לפרסם פס"ד זה למרות זאת?</w:t>
      </w:r>
    </w:p>
    <w:p w14:paraId="59D211C6" w14:textId="77777777" w:rsidR="00EC64C3" w:rsidRPr="00562A33" w:rsidRDefault="00EC64C3" w:rsidP="00E31C0C">
      <w:pPr>
        <w:numPr>
          <w:ilvl w:val="0"/>
          <w:numId w:val="19"/>
        </w:numPr>
        <w:spacing w:after="0" w:line="360" w:lineRule="auto"/>
        <w:ind w:left="-341" w:hanging="284"/>
        <w:jc w:val="both"/>
        <w:rPr>
          <w:rFonts w:ascii="Arial" w:hAnsi="Arial" w:cs="David"/>
          <w:sz w:val="24"/>
          <w:szCs w:val="24"/>
        </w:rPr>
      </w:pPr>
      <w:r w:rsidRPr="00562A33">
        <w:rPr>
          <w:rFonts w:ascii="Arial" w:hAnsi="Arial" w:cs="David" w:hint="cs"/>
          <w:sz w:val="24"/>
          <w:szCs w:val="24"/>
          <w:rtl/>
        </w:rPr>
        <w:t>כדי שהציבור לא יחשוב שהשופטים הנידונים עשו עבירות חמורות יותר ממה שעשו.</w:t>
      </w:r>
    </w:p>
    <w:p w14:paraId="6B00CBF1" w14:textId="77777777" w:rsidR="00EC64C3" w:rsidRPr="00562A33" w:rsidRDefault="00EC64C3" w:rsidP="00E31C0C">
      <w:pPr>
        <w:numPr>
          <w:ilvl w:val="0"/>
          <w:numId w:val="19"/>
        </w:numPr>
        <w:spacing w:after="0" w:line="360" w:lineRule="auto"/>
        <w:ind w:left="-341" w:hanging="284"/>
        <w:jc w:val="both"/>
        <w:rPr>
          <w:rFonts w:ascii="Arial" w:hAnsi="Arial" w:cs="David"/>
          <w:sz w:val="24"/>
          <w:szCs w:val="24"/>
        </w:rPr>
      </w:pPr>
      <w:r w:rsidRPr="00562A33">
        <w:rPr>
          <w:rFonts w:ascii="Arial" w:hAnsi="Arial" w:cs="David" w:hint="cs"/>
          <w:sz w:val="24"/>
          <w:szCs w:val="24"/>
          <w:rtl/>
        </w:rPr>
        <w:t>העלאת אמון הציבור.</w:t>
      </w:r>
    </w:p>
    <w:p w14:paraId="189CD5CA" w14:textId="77777777" w:rsidR="00EC64C3" w:rsidRPr="00562A33" w:rsidRDefault="00EC64C3" w:rsidP="00E31C0C">
      <w:pPr>
        <w:numPr>
          <w:ilvl w:val="0"/>
          <w:numId w:val="19"/>
        </w:numPr>
        <w:spacing w:after="0" w:line="360" w:lineRule="auto"/>
        <w:ind w:left="-341" w:hanging="284"/>
        <w:jc w:val="both"/>
        <w:rPr>
          <w:rFonts w:ascii="Arial" w:hAnsi="Arial" w:cs="David"/>
          <w:sz w:val="24"/>
          <w:szCs w:val="24"/>
        </w:rPr>
      </w:pPr>
      <w:r w:rsidRPr="00562A33">
        <w:rPr>
          <w:rFonts w:ascii="Arial" w:hAnsi="Arial" w:cs="David" w:hint="cs"/>
          <w:sz w:val="24"/>
          <w:szCs w:val="24"/>
          <w:rtl/>
        </w:rPr>
        <w:t>אמירה לעו"ד המועמדים לשיפוט- ההליך הפרוצדוראלי הוא חשוב והכרחי, ואם אדם לא יכול לעמוד בעומס וכמות התיקים-שלא יבוא מלכתחילה לשיפוט.</w:t>
      </w:r>
    </w:p>
    <w:p w14:paraId="53C255F6" w14:textId="77777777" w:rsidR="00562A33" w:rsidRPr="00562A33" w:rsidRDefault="00562A33" w:rsidP="00E31C0C">
      <w:pPr>
        <w:spacing w:after="0" w:line="360" w:lineRule="auto"/>
        <w:ind w:left="-483"/>
        <w:jc w:val="both"/>
        <w:rPr>
          <w:rFonts w:ascii="David" w:hAnsi="David" w:cs="David"/>
          <w:sz w:val="24"/>
          <w:szCs w:val="24"/>
          <w:u w:val="single"/>
          <w:rtl/>
        </w:rPr>
      </w:pPr>
    </w:p>
    <w:p w14:paraId="24FB701F" w14:textId="77777777" w:rsidR="00EC64C3" w:rsidRPr="00562A33" w:rsidRDefault="00EC64C3" w:rsidP="00E31C0C">
      <w:pPr>
        <w:spacing w:after="0" w:line="360" w:lineRule="auto"/>
        <w:ind w:left="-483"/>
        <w:jc w:val="both"/>
        <w:rPr>
          <w:rFonts w:ascii="David" w:hAnsi="David" w:cs="David"/>
          <w:sz w:val="24"/>
          <w:szCs w:val="24"/>
          <w:rtl/>
        </w:rPr>
      </w:pPr>
      <w:r w:rsidRPr="00562A33">
        <w:rPr>
          <w:rFonts w:ascii="David" w:hAnsi="David" w:cs="David"/>
          <w:sz w:val="24"/>
          <w:szCs w:val="24"/>
          <w:u w:val="single"/>
          <w:rtl/>
        </w:rPr>
        <w:t>יש שתי דרכים להדחת שופט</w:t>
      </w:r>
      <w:r w:rsidRPr="00562A33">
        <w:rPr>
          <w:rFonts w:ascii="David" w:hAnsi="David" w:cs="David" w:hint="cs"/>
          <w:sz w:val="24"/>
          <w:szCs w:val="24"/>
          <w:u w:val="single"/>
          <w:rtl/>
        </w:rPr>
        <w:t>-</w:t>
      </w:r>
    </w:p>
    <w:p w14:paraId="5D091E8A" w14:textId="77777777" w:rsidR="00EC64C3" w:rsidRPr="00562A33" w:rsidRDefault="00EC64C3" w:rsidP="00E31C0C">
      <w:pPr>
        <w:pStyle w:val="a4"/>
        <w:numPr>
          <w:ilvl w:val="0"/>
          <w:numId w:val="17"/>
        </w:numPr>
        <w:spacing w:after="0" w:line="360" w:lineRule="auto"/>
        <w:ind w:left="-483" w:hanging="280"/>
        <w:contextualSpacing w:val="0"/>
        <w:jc w:val="both"/>
        <w:rPr>
          <w:rFonts w:ascii="David" w:hAnsi="David" w:cs="David"/>
          <w:sz w:val="24"/>
          <w:szCs w:val="24"/>
        </w:rPr>
      </w:pPr>
      <w:r w:rsidRPr="00562A33">
        <w:rPr>
          <w:rFonts w:ascii="David" w:hAnsi="David" w:cs="David"/>
          <w:b/>
          <w:bCs/>
          <w:sz w:val="24"/>
          <w:szCs w:val="24"/>
          <w:rtl/>
        </w:rPr>
        <w:t>הליך משמעתי</w:t>
      </w:r>
      <w:r w:rsidRPr="00562A33">
        <w:rPr>
          <w:rFonts w:ascii="David" w:hAnsi="David" w:cs="David"/>
          <w:sz w:val="24"/>
          <w:szCs w:val="24"/>
          <w:rtl/>
        </w:rPr>
        <w:t xml:space="preserve"> מסודר דרך בית דין משמעתי.  </w:t>
      </w:r>
    </w:p>
    <w:p w14:paraId="41E586B3" w14:textId="77777777" w:rsidR="00EC64C3" w:rsidRPr="00562A33" w:rsidRDefault="00EC64C3" w:rsidP="00E31C0C">
      <w:pPr>
        <w:numPr>
          <w:ilvl w:val="0"/>
          <w:numId w:val="17"/>
        </w:numPr>
        <w:spacing w:after="0" w:line="360" w:lineRule="auto"/>
        <w:ind w:left="-483" w:hanging="280"/>
        <w:jc w:val="both"/>
        <w:rPr>
          <w:rFonts w:ascii="David" w:hAnsi="David" w:cs="David"/>
          <w:sz w:val="24"/>
          <w:szCs w:val="24"/>
        </w:rPr>
      </w:pPr>
      <w:r w:rsidRPr="00562A33">
        <w:rPr>
          <w:rFonts w:ascii="David" w:hAnsi="David" w:cs="David"/>
          <w:b/>
          <w:bCs/>
          <w:sz w:val="24"/>
          <w:szCs w:val="24"/>
          <w:rtl/>
        </w:rPr>
        <w:t>הדחה מנהלית</w:t>
      </w:r>
      <w:r w:rsidRPr="00562A33">
        <w:rPr>
          <w:rFonts w:ascii="David" w:hAnsi="David" w:cs="David"/>
          <w:sz w:val="24"/>
          <w:szCs w:val="24"/>
          <w:rtl/>
        </w:rPr>
        <w:t xml:space="preserve"> – אם 7 מתוך 9 חברי הוועדה לבחירת שופטים מחליטים להדיח שופט. זה קצת בעייתי ששר המשפטים שיש לו אופציה לבחור באחד מן המסלולים ואינו מרוצה מהתוצאה באחד מהם ישתמש גם בהליך השני. במקרה של הילה כהן, שרת המשפטים פתחה בהליך משמעתי ולא הייתה מרוצה מתוצאתו, ולכן פנתה לדרך השנייה של הדחה מנהלית. לדעת המרצה, על שר המשפטים לבחור רק בהליך אחד ולהשלים עם התוצאה שלו.</w:t>
      </w:r>
    </w:p>
    <w:p w14:paraId="1D6D5074" w14:textId="77777777" w:rsidR="00EC64C3" w:rsidRPr="00562A33" w:rsidRDefault="00EC64C3" w:rsidP="00EC64C3">
      <w:pPr>
        <w:spacing w:after="0" w:line="360" w:lineRule="auto"/>
        <w:jc w:val="both"/>
        <w:rPr>
          <w:rFonts w:ascii="David" w:hAnsi="David" w:cs="David"/>
          <w:b/>
          <w:bCs/>
          <w:sz w:val="24"/>
          <w:szCs w:val="24"/>
          <w:rtl/>
        </w:rPr>
      </w:pPr>
    </w:p>
    <w:p w14:paraId="05B43A4D" w14:textId="77777777" w:rsidR="00EC64C3" w:rsidRPr="00562A33" w:rsidRDefault="00EC64C3" w:rsidP="00E31C0C">
      <w:pPr>
        <w:spacing w:after="0" w:line="360" w:lineRule="auto"/>
        <w:ind w:left="-625"/>
        <w:jc w:val="both"/>
        <w:rPr>
          <w:rFonts w:ascii="David" w:hAnsi="David" w:cs="David"/>
          <w:sz w:val="24"/>
          <w:szCs w:val="24"/>
          <w:rtl/>
        </w:rPr>
      </w:pPr>
      <w:r w:rsidRPr="00562A33">
        <w:rPr>
          <w:rFonts w:ascii="David" w:hAnsi="David" w:cs="David"/>
          <w:sz w:val="24"/>
          <w:szCs w:val="24"/>
          <w:u w:val="single"/>
          <w:rtl/>
        </w:rPr>
        <w:t>ממה נובע אמון הציבור במערכת המשפט?</w:t>
      </w:r>
    </w:p>
    <w:p w14:paraId="6E2D4C60" w14:textId="77777777" w:rsidR="00EC64C3" w:rsidRPr="00562A33" w:rsidRDefault="00EC64C3" w:rsidP="00E31C0C">
      <w:pPr>
        <w:spacing w:after="0" w:line="360" w:lineRule="auto"/>
        <w:ind w:left="-625"/>
        <w:jc w:val="both"/>
        <w:rPr>
          <w:rFonts w:ascii="David" w:hAnsi="David" w:cs="David"/>
          <w:sz w:val="24"/>
          <w:szCs w:val="24"/>
          <w:rtl/>
        </w:rPr>
      </w:pPr>
      <w:r w:rsidRPr="00562A33">
        <w:rPr>
          <w:rFonts w:ascii="David" w:hAnsi="David" w:cs="David"/>
          <w:sz w:val="24"/>
          <w:szCs w:val="24"/>
          <w:rtl/>
        </w:rPr>
        <w:t xml:space="preserve">מחקרים רבים שבוצעו מצאו שיש </w:t>
      </w:r>
      <w:r w:rsidRPr="00562A33">
        <w:rPr>
          <w:rFonts w:ascii="David" w:hAnsi="David" w:cs="David"/>
          <w:sz w:val="24"/>
          <w:szCs w:val="24"/>
          <w:highlight w:val="yellow"/>
          <w:rtl/>
        </w:rPr>
        <w:t>5 נקודות עיקריות המשפיעות על אמון הציבור במערכת המשפט</w:t>
      </w:r>
      <w:r w:rsidRPr="00562A33">
        <w:rPr>
          <w:rFonts w:ascii="David" w:hAnsi="David" w:cs="David"/>
          <w:sz w:val="24"/>
          <w:szCs w:val="24"/>
          <w:rtl/>
        </w:rPr>
        <w:t xml:space="preserve">: </w:t>
      </w:r>
    </w:p>
    <w:p w14:paraId="5AD7E5C0" w14:textId="77777777" w:rsidR="00EC64C3" w:rsidRPr="00562A33" w:rsidRDefault="00EC64C3" w:rsidP="00E31C0C">
      <w:pPr>
        <w:pStyle w:val="a4"/>
        <w:numPr>
          <w:ilvl w:val="0"/>
          <w:numId w:val="18"/>
        </w:numPr>
        <w:spacing w:after="0" w:line="360" w:lineRule="auto"/>
        <w:ind w:left="-483" w:hanging="280"/>
        <w:contextualSpacing w:val="0"/>
        <w:jc w:val="both"/>
        <w:rPr>
          <w:rFonts w:ascii="David" w:hAnsi="David" w:cs="David"/>
          <w:sz w:val="24"/>
          <w:szCs w:val="24"/>
        </w:rPr>
      </w:pPr>
      <w:r w:rsidRPr="00562A33">
        <w:rPr>
          <w:rFonts w:ascii="David" w:hAnsi="David" w:cs="David"/>
          <w:b/>
          <w:bCs/>
          <w:sz w:val="24"/>
          <w:szCs w:val="24"/>
          <w:rtl/>
        </w:rPr>
        <w:t>היושר האישי של השופט</w:t>
      </w:r>
      <w:r w:rsidRPr="00562A33">
        <w:rPr>
          <w:rFonts w:ascii="David" w:hAnsi="David" w:cs="David"/>
          <w:sz w:val="24"/>
          <w:szCs w:val="24"/>
          <w:rtl/>
        </w:rPr>
        <w:t xml:space="preserve">. </w:t>
      </w:r>
    </w:p>
    <w:p w14:paraId="2795DFBA" w14:textId="77777777" w:rsidR="00EC64C3" w:rsidRPr="00562A33" w:rsidRDefault="00EC64C3" w:rsidP="00E31C0C">
      <w:pPr>
        <w:pStyle w:val="a4"/>
        <w:numPr>
          <w:ilvl w:val="0"/>
          <w:numId w:val="18"/>
        </w:numPr>
        <w:spacing w:after="0" w:line="360" w:lineRule="auto"/>
        <w:ind w:left="-483" w:hanging="280"/>
        <w:contextualSpacing w:val="0"/>
        <w:jc w:val="both"/>
        <w:rPr>
          <w:rFonts w:ascii="David" w:hAnsi="David" w:cs="David"/>
          <w:sz w:val="24"/>
          <w:szCs w:val="24"/>
        </w:rPr>
      </w:pPr>
      <w:r w:rsidRPr="00562A33">
        <w:rPr>
          <w:rFonts w:ascii="David" w:hAnsi="David" w:cs="David"/>
          <w:b/>
          <w:bCs/>
          <w:sz w:val="24"/>
          <w:szCs w:val="24"/>
          <w:rtl/>
        </w:rPr>
        <w:lastRenderedPageBreak/>
        <w:t>שוויון המתדיינים ללא קשר ללאום, דת, מין ומוצא</w:t>
      </w:r>
      <w:r w:rsidRPr="00562A33">
        <w:rPr>
          <w:rFonts w:ascii="David" w:hAnsi="David" w:cs="David"/>
          <w:sz w:val="24"/>
          <w:szCs w:val="24"/>
          <w:rtl/>
        </w:rPr>
        <w:t xml:space="preserve"> – עם זאת, לא רק המופלים לרעה מרגישים שאין שוויון, אלא לפעמים דווקא המופלים לטובה עשויים להרגיש כך (כך הרגישו הלבנים בדרום אפריקה).  </w:t>
      </w:r>
    </w:p>
    <w:p w14:paraId="3BB4A867" w14:textId="77777777" w:rsidR="00EC64C3" w:rsidRPr="00562A33" w:rsidRDefault="00EC64C3" w:rsidP="00E31C0C">
      <w:pPr>
        <w:pStyle w:val="a4"/>
        <w:numPr>
          <w:ilvl w:val="0"/>
          <w:numId w:val="18"/>
        </w:numPr>
        <w:spacing w:after="0" w:line="360" w:lineRule="auto"/>
        <w:ind w:left="-483" w:hanging="280"/>
        <w:contextualSpacing w:val="0"/>
        <w:jc w:val="both"/>
        <w:rPr>
          <w:rFonts w:ascii="David" w:hAnsi="David" w:cs="David"/>
          <w:sz w:val="24"/>
          <w:szCs w:val="24"/>
        </w:rPr>
      </w:pPr>
      <w:r w:rsidRPr="00562A33">
        <w:rPr>
          <w:rFonts w:ascii="David" w:hAnsi="David" w:cs="David"/>
          <w:b/>
          <w:bCs/>
          <w:sz w:val="24"/>
          <w:szCs w:val="24"/>
          <w:rtl/>
        </w:rPr>
        <w:t>הקשבה לצדדים</w:t>
      </w:r>
      <w:r w:rsidRPr="00562A33">
        <w:rPr>
          <w:rFonts w:ascii="David" w:hAnsi="David" w:cs="David"/>
          <w:sz w:val="24"/>
          <w:szCs w:val="24"/>
          <w:rtl/>
        </w:rPr>
        <w:t xml:space="preserve"> – צד יכול להשלים עם פסק דין שניתן כנגדו, ובלבד שהוא הרגיש שהשופט הקשיב לו. הדבר הכי גרוע הוא שאדם יוצא עם תוצאה לא טובה ואומר: "אם רק השופט היה מקשיב לי, התוצאה הייתה שונה". </w:t>
      </w:r>
    </w:p>
    <w:p w14:paraId="1CAD5C59" w14:textId="77777777" w:rsidR="00EC64C3" w:rsidRPr="00562A33" w:rsidRDefault="00EC64C3" w:rsidP="00E31C0C">
      <w:pPr>
        <w:pStyle w:val="a4"/>
        <w:numPr>
          <w:ilvl w:val="0"/>
          <w:numId w:val="18"/>
        </w:numPr>
        <w:spacing w:after="0" w:line="360" w:lineRule="auto"/>
        <w:ind w:left="-483" w:hanging="280"/>
        <w:contextualSpacing w:val="0"/>
        <w:jc w:val="both"/>
        <w:rPr>
          <w:rFonts w:ascii="David" w:hAnsi="David" w:cs="David"/>
          <w:sz w:val="24"/>
          <w:szCs w:val="24"/>
        </w:rPr>
      </w:pPr>
      <w:r w:rsidRPr="00562A33">
        <w:rPr>
          <w:rFonts w:ascii="David" w:hAnsi="David" w:cs="David"/>
          <w:b/>
          <w:bCs/>
          <w:sz w:val="24"/>
          <w:szCs w:val="24"/>
          <w:rtl/>
        </w:rPr>
        <w:t>סחבת / עינוי דין</w:t>
      </w:r>
      <w:r w:rsidRPr="00562A33">
        <w:rPr>
          <w:rFonts w:ascii="David" w:hAnsi="David" w:cs="David"/>
          <w:sz w:val="24"/>
          <w:szCs w:val="24"/>
          <w:rtl/>
        </w:rPr>
        <w:t xml:space="preserve"> – לפעמים גם מי שזוכה במשפט מאבד את האמון במערכת בגלל סחבת שמביאה לכך שפסק הדין ניתן לאחר שנים רבות. לפיכך, לפעמים עדיף לפסוק בצורה מהירה יותר וקצת פחות טובה. </w:t>
      </w:r>
    </w:p>
    <w:p w14:paraId="41BC8F82" w14:textId="77777777" w:rsidR="00EC64C3" w:rsidRPr="00562A33" w:rsidRDefault="00EC64C3" w:rsidP="00E31C0C">
      <w:pPr>
        <w:pStyle w:val="a4"/>
        <w:spacing w:after="120" w:line="360" w:lineRule="auto"/>
        <w:ind w:left="-483"/>
        <w:jc w:val="both"/>
        <w:rPr>
          <w:rFonts w:ascii="David" w:hAnsi="David" w:cs="David"/>
          <w:b/>
          <w:bCs/>
          <w:sz w:val="28"/>
          <w:szCs w:val="28"/>
          <w:u w:val="single"/>
          <w:rtl/>
        </w:rPr>
      </w:pPr>
      <w:r w:rsidRPr="00562A33">
        <w:rPr>
          <w:rFonts w:ascii="David" w:hAnsi="David" w:cs="David"/>
          <w:b/>
          <w:bCs/>
          <w:sz w:val="24"/>
          <w:szCs w:val="24"/>
          <w:rtl/>
        </w:rPr>
        <w:t>אורח חיים צנוע מצד השופט</w:t>
      </w:r>
      <w:r w:rsidRPr="00562A33">
        <w:rPr>
          <w:rFonts w:ascii="David" w:hAnsi="David" w:cs="David"/>
          <w:sz w:val="24"/>
          <w:szCs w:val="24"/>
          <w:rtl/>
        </w:rPr>
        <w:t xml:space="preserve"> – הציבור מחפש שופטים שיודעים איך להתנהל בציבור ולהיות בעלי אורח חיים לא בזבזני</w:t>
      </w:r>
    </w:p>
    <w:p w14:paraId="79DA4B82" w14:textId="77777777" w:rsidR="00EC64C3" w:rsidRDefault="00EC64C3" w:rsidP="00EC64C3">
      <w:pPr>
        <w:pStyle w:val="a4"/>
        <w:spacing w:after="120" w:line="360" w:lineRule="auto"/>
        <w:ind w:left="-199"/>
        <w:jc w:val="both"/>
        <w:rPr>
          <w:rFonts w:ascii="David" w:hAnsi="David" w:cs="David"/>
          <w:b/>
          <w:bCs/>
          <w:sz w:val="24"/>
          <w:szCs w:val="24"/>
          <w:u w:val="single"/>
          <w:rtl/>
        </w:rPr>
      </w:pPr>
    </w:p>
    <w:p w14:paraId="468FBFE6" w14:textId="77777777" w:rsidR="00E36FA3" w:rsidRDefault="00E36FA3" w:rsidP="005B32D7">
      <w:pPr>
        <w:pStyle w:val="a4"/>
        <w:spacing w:after="120" w:line="360" w:lineRule="auto"/>
        <w:ind w:left="-766"/>
        <w:jc w:val="both"/>
        <w:rPr>
          <w:rFonts w:ascii="David" w:hAnsi="David" w:cs="David"/>
          <w:b/>
          <w:bCs/>
          <w:sz w:val="24"/>
          <w:szCs w:val="24"/>
          <w:u w:val="single"/>
          <w:rtl/>
        </w:rPr>
      </w:pPr>
      <w:r>
        <w:rPr>
          <w:rFonts w:ascii="David" w:hAnsi="David" w:cs="David" w:hint="cs"/>
          <w:b/>
          <w:bCs/>
          <w:sz w:val="24"/>
          <w:szCs w:val="24"/>
          <w:u w:val="single"/>
          <w:rtl/>
        </w:rPr>
        <w:t>שיעור 8, 29.11.2020</w:t>
      </w:r>
    </w:p>
    <w:p w14:paraId="13C1B632" w14:textId="77777777" w:rsidR="00500504" w:rsidRDefault="00500504" w:rsidP="00EB6631">
      <w:pPr>
        <w:pStyle w:val="a4"/>
        <w:spacing w:after="120" w:line="360" w:lineRule="auto"/>
        <w:ind w:left="-483"/>
        <w:contextualSpacing w:val="0"/>
        <w:jc w:val="center"/>
        <w:rPr>
          <w:rFonts w:ascii="David" w:hAnsi="David" w:cs="David"/>
          <w:b/>
          <w:bCs/>
          <w:sz w:val="24"/>
          <w:szCs w:val="24"/>
          <w:u w:val="single"/>
          <w:rtl/>
        </w:rPr>
      </w:pPr>
      <w:r>
        <w:rPr>
          <w:rFonts w:ascii="David" w:hAnsi="David" w:cs="David" w:hint="cs"/>
          <w:b/>
          <w:bCs/>
          <w:sz w:val="24"/>
          <w:szCs w:val="24"/>
          <w:u w:val="single"/>
          <w:rtl/>
        </w:rPr>
        <w:t>חזרה על השיעור הקודם</w:t>
      </w:r>
    </w:p>
    <w:p w14:paraId="09775543" w14:textId="77777777" w:rsidR="00500504" w:rsidRPr="00712D6D" w:rsidRDefault="00500504" w:rsidP="005B32D7">
      <w:pPr>
        <w:pStyle w:val="a4"/>
        <w:numPr>
          <w:ilvl w:val="0"/>
          <w:numId w:val="22"/>
        </w:numPr>
        <w:spacing w:after="120" w:line="360" w:lineRule="auto"/>
        <w:ind w:left="-483"/>
        <w:contextualSpacing w:val="0"/>
        <w:jc w:val="both"/>
        <w:rPr>
          <w:rFonts w:ascii="David" w:hAnsi="David" w:cs="David"/>
          <w:sz w:val="24"/>
          <w:szCs w:val="24"/>
        </w:rPr>
      </w:pPr>
      <w:r>
        <w:rPr>
          <w:rFonts w:ascii="David" w:hAnsi="David" w:cs="David" w:hint="cs"/>
          <w:b/>
          <w:bCs/>
          <w:sz w:val="24"/>
          <w:szCs w:val="24"/>
          <w:rtl/>
        </w:rPr>
        <w:t xml:space="preserve">נושא 1: </w:t>
      </w:r>
      <w:r w:rsidRPr="009E57D9">
        <w:rPr>
          <w:rFonts w:ascii="David" w:hAnsi="David" w:cs="David" w:hint="cs"/>
          <w:b/>
          <w:bCs/>
          <w:sz w:val="24"/>
          <w:szCs w:val="24"/>
          <w:rtl/>
        </w:rPr>
        <w:t>דרגת ההוכחה הנדרשת לצורך הרשעה בערכאות המשמעת</w:t>
      </w:r>
      <w:r w:rsidRPr="00712D6D">
        <w:rPr>
          <w:rFonts w:ascii="David" w:hAnsi="David" w:cs="David" w:hint="cs"/>
          <w:sz w:val="24"/>
          <w:szCs w:val="24"/>
          <w:rtl/>
        </w:rPr>
        <w:t>. ה</w:t>
      </w:r>
      <w:r>
        <w:rPr>
          <w:rFonts w:ascii="David" w:hAnsi="David" w:cs="David" w:hint="cs"/>
          <w:sz w:val="24"/>
          <w:szCs w:val="24"/>
          <w:rtl/>
        </w:rPr>
        <w:t>ו</w:t>
      </w:r>
      <w:r w:rsidRPr="00712D6D">
        <w:rPr>
          <w:rFonts w:ascii="David" w:hAnsi="David" w:cs="David" w:hint="cs"/>
          <w:sz w:val="24"/>
          <w:szCs w:val="24"/>
          <w:rtl/>
        </w:rPr>
        <w:t xml:space="preserve">ויכוח נולד משלושה פסקי דין שונים, שבשלושתם ביתה משפט העליון ישב כערכאת ערערו על ביתה דין המשמעתי של עובדי מדינה, אבל בכולם ישב דן יחיד, כך שלא נקבע תקדים מחייב. כל שופט אמר את דעתו ולא תמיד יכולים לקבוע שבמצבים כאלה המאוחר יותר גובר על המוקדם יותר. </w:t>
      </w:r>
    </w:p>
    <w:p w14:paraId="420EAE8D" w14:textId="77777777" w:rsidR="00500504" w:rsidRPr="00712D6D" w:rsidRDefault="00500504" w:rsidP="005B32D7">
      <w:pPr>
        <w:pStyle w:val="a4"/>
        <w:numPr>
          <w:ilvl w:val="1"/>
          <w:numId w:val="22"/>
        </w:numPr>
        <w:spacing w:after="120" w:line="360" w:lineRule="auto"/>
        <w:ind w:left="-58"/>
        <w:contextualSpacing w:val="0"/>
        <w:jc w:val="both"/>
        <w:rPr>
          <w:rFonts w:ascii="David" w:hAnsi="David" w:cs="David"/>
          <w:sz w:val="24"/>
          <w:szCs w:val="24"/>
        </w:rPr>
      </w:pPr>
      <w:r w:rsidRPr="00712D6D">
        <w:rPr>
          <w:rFonts w:ascii="David" w:hAnsi="David" w:cs="David" w:hint="cs"/>
          <w:b/>
          <w:bCs/>
          <w:sz w:val="24"/>
          <w:szCs w:val="24"/>
          <w:rtl/>
        </w:rPr>
        <w:t>עזות נ' מדינת ישראל -</w:t>
      </w:r>
      <w:r w:rsidRPr="00712D6D">
        <w:rPr>
          <w:rFonts w:ascii="David" w:hAnsi="David" w:cs="David" w:hint="cs"/>
          <w:sz w:val="24"/>
          <w:szCs w:val="24"/>
          <w:rtl/>
        </w:rPr>
        <w:t xml:space="preserve"> השופט דב לוין, שם הוא קבע שלצורך הרשעה בהליך משמעתי, צריך להניח תשתית משמעתית שעולה על </w:t>
      </w:r>
      <w:proofErr w:type="spellStart"/>
      <w:r w:rsidRPr="00712D6D">
        <w:rPr>
          <w:rFonts w:ascii="David" w:hAnsi="David" w:cs="David" w:hint="cs"/>
          <w:sz w:val="24"/>
          <w:szCs w:val="24"/>
          <w:rtl/>
        </w:rPr>
        <w:t>הדיןהאזרחי</w:t>
      </w:r>
      <w:proofErr w:type="spellEnd"/>
      <w:r w:rsidRPr="00712D6D">
        <w:rPr>
          <w:rFonts w:ascii="David" w:hAnsi="David" w:cs="David" w:hint="cs"/>
          <w:sz w:val="24"/>
          <w:szCs w:val="24"/>
          <w:rtl/>
        </w:rPr>
        <w:t xml:space="preserve">, אך פחות מהליך פלילי. משהו בין לבין, כי לא מדובר בהליך פלילי ששם כתם של קלון על החברה ושולל את חירותו, אבל זה גם לא הליך אזרחי רגיל שאפשר להסתפק במאזן ההסתברויות. </w:t>
      </w:r>
      <w:r>
        <w:rPr>
          <w:rFonts w:ascii="David" w:hAnsi="David" w:cs="David" w:hint="cs"/>
          <w:sz w:val="24"/>
          <w:szCs w:val="24"/>
          <w:rtl/>
        </w:rPr>
        <w:t xml:space="preserve">לכן דב לוין לא נצמד להליך הפלילי או האזרחי, אלא מחפש משה באמצע. </w:t>
      </w:r>
    </w:p>
    <w:p w14:paraId="484B2E70" w14:textId="77777777" w:rsidR="00500504" w:rsidRPr="00500504" w:rsidRDefault="00500504" w:rsidP="005B32D7">
      <w:pPr>
        <w:pStyle w:val="a4"/>
        <w:numPr>
          <w:ilvl w:val="1"/>
          <w:numId w:val="22"/>
        </w:numPr>
        <w:spacing w:after="120" w:line="360" w:lineRule="auto"/>
        <w:ind w:left="-58"/>
        <w:contextualSpacing w:val="0"/>
        <w:jc w:val="both"/>
        <w:rPr>
          <w:rFonts w:ascii="David" w:hAnsi="David" w:cs="David"/>
          <w:sz w:val="24"/>
          <w:szCs w:val="24"/>
        </w:rPr>
      </w:pPr>
      <w:r w:rsidRPr="00500504">
        <w:rPr>
          <w:rFonts w:ascii="David" w:hAnsi="David" w:cs="David" w:hint="cs"/>
          <w:b/>
          <w:bCs/>
          <w:sz w:val="24"/>
          <w:szCs w:val="24"/>
          <w:rtl/>
        </w:rPr>
        <w:t xml:space="preserve">בכרך נ' מדינת ישראל - </w:t>
      </w:r>
      <w:r w:rsidRPr="00500504">
        <w:rPr>
          <w:rFonts w:ascii="David" w:hAnsi="David" w:cs="David" w:hint="cs"/>
          <w:sz w:val="24"/>
          <w:szCs w:val="24"/>
          <w:rtl/>
        </w:rPr>
        <w:t xml:space="preserve">הנשיא שמגר כדן יחיד, שאומר שדרגת ההוכחה של הדין המשמעתית צריכה להיות זהה לזו של הדין המשמעתי. הוא לא מחפש ליצור יש מאין דרגת הוכחה שלישית. כיוון שההליכים המשמעתיים דומים מאוד להליכים הפליליים, הוא מפעיל דרגה אחת </w:t>
      </w:r>
      <w:proofErr w:type="spellStart"/>
      <w:r w:rsidRPr="00500504">
        <w:rPr>
          <w:rFonts w:ascii="David" w:hAnsi="David" w:cs="David" w:hint="cs"/>
          <w:sz w:val="24"/>
          <w:szCs w:val="24"/>
          <w:rtl/>
        </w:rPr>
        <w:t>זההה</w:t>
      </w:r>
      <w:proofErr w:type="spellEnd"/>
      <w:r w:rsidRPr="00500504">
        <w:rPr>
          <w:rFonts w:ascii="David" w:hAnsi="David" w:cs="David" w:hint="cs"/>
          <w:sz w:val="24"/>
          <w:szCs w:val="24"/>
          <w:rtl/>
        </w:rPr>
        <w:t xml:space="preserve"> לדרגה הפלילית. </w:t>
      </w:r>
    </w:p>
    <w:p w14:paraId="07416904" w14:textId="77777777" w:rsidR="00500504" w:rsidRPr="00EB6631" w:rsidRDefault="00500504" w:rsidP="005B32D7">
      <w:pPr>
        <w:pStyle w:val="a4"/>
        <w:numPr>
          <w:ilvl w:val="1"/>
          <w:numId w:val="22"/>
        </w:numPr>
        <w:spacing w:after="120" w:line="360" w:lineRule="auto"/>
        <w:ind w:left="-58"/>
        <w:contextualSpacing w:val="0"/>
        <w:jc w:val="both"/>
        <w:rPr>
          <w:rFonts w:ascii="David" w:hAnsi="David" w:cs="David"/>
          <w:sz w:val="24"/>
          <w:szCs w:val="24"/>
        </w:rPr>
      </w:pPr>
      <w:proofErr w:type="spellStart"/>
      <w:r w:rsidRPr="00500504">
        <w:rPr>
          <w:rFonts w:ascii="David" w:hAnsi="David" w:cs="David" w:hint="cs"/>
          <w:b/>
          <w:bCs/>
          <w:sz w:val="24"/>
          <w:szCs w:val="24"/>
          <w:rtl/>
        </w:rPr>
        <w:t>גלאור</w:t>
      </w:r>
      <w:proofErr w:type="spellEnd"/>
      <w:r w:rsidRPr="00500504">
        <w:rPr>
          <w:rFonts w:ascii="David" w:hAnsi="David" w:cs="David" w:hint="cs"/>
          <w:b/>
          <w:bCs/>
          <w:sz w:val="24"/>
          <w:szCs w:val="24"/>
          <w:rtl/>
        </w:rPr>
        <w:t xml:space="preserve"> נ' מדינת ישראל - </w:t>
      </w:r>
      <w:r w:rsidRPr="00500504">
        <w:rPr>
          <w:rFonts w:ascii="David" w:hAnsi="David" w:cs="David" w:hint="cs"/>
          <w:sz w:val="24"/>
          <w:szCs w:val="24"/>
          <w:rtl/>
        </w:rPr>
        <w:t xml:space="preserve">כמה שנים לאחר מכן, השופט זמיר </w:t>
      </w:r>
      <w:proofErr w:type="spellStart"/>
      <w:r w:rsidRPr="00500504">
        <w:rPr>
          <w:rFonts w:ascii="David" w:hAnsi="David" w:cs="David" w:hint="cs"/>
          <w:sz w:val="24"/>
          <w:szCs w:val="24"/>
          <w:rtl/>
        </w:rPr>
        <w:t>בגלאור</w:t>
      </w:r>
      <w:proofErr w:type="spellEnd"/>
      <w:r w:rsidRPr="00500504">
        <w:rPr>
          <w:rFonts w:ascii="David" w:hAnsi="David" w:cs="David" w:hint="cs"/>
          <w:sz w:val="24"/>
          <w:szCs w:val="24"/>
          <w:rtl/>
        </w:rPr>
        <w:t xml:space="preserve"> אומר חד משמעית שטרם הוכרעה רמת ההוכחה הנדרשת, ואומר שזה תלוי בסוג האשמה. לפי המרצה: אם האשמה היא חמורה, נבקש דרגת הוכחה נדרשת מאוד גבוהה. לטעם המרצה המסקנה הזו איננה הכרחית, כי פעמים רבות ייתכנו מעשים חמורים מאוד בדין המשמעתי, </w:t>
      </w:r>
      <w:proofErr w:type="spellStart"/>
      <w:r w:rsidRPr="00500504">
        <w:rPr>
          <w:rFonts w:ascii="David" w:hAnsi="David" w:cs="David" w:hint="cs"/>
          <w:sz w:val="24"/>
          <w:szCs w:val="24"/>
          <w:rtl/>
        </w:rPr>
        <w:t>ודווא</w:t>
      </w:r>
      <w:proofErr w:type="spellEnd"/>
      <w:r w:rsidRPr="00500504">
        <w:rPr>
          <w:rFonts w:ascii="David" w:hAnsi="David" w:cs="David" w:hint="cs"/>
          <w:sz w:val="24"/>
          <w:szCs w:val="24"/>
          <w:rtl/>
        </w:rPr>
        <w:t xml:space="preserve"> בהם לא תידרש דרגת הוכחה מעבר לספק סביר, כמו בפלילי, אלא דרגת הוכחה פחותה כי אם משווים זאת להליך הפלילי - צריך להשאיר למקבל ההחלטה את שיקול הדעת האם להגיש קובלנה משמעתית או כתב אישום פלילי בעבירות משמעת שהן גם עבירות פליליות: כמו הטרדה מינית. </w:t>
      </w:r>
      <w:r w:rsidR="00EB6631" w:rsidRPr="00EB6631">
        <w:rPr>
          <w:rFonts w:ascii="David" w:hAnsi="David" w:cs="David" w:hint="cs"/>
          <w:sz w:val="24"/>
          <w:szCs w:val="24"/>
          <w:rtl/>
        </w:rPr>
        <w:t xml:space="preserve">לכן לפי המרצה הרמה יכולה להיות פחותה. </w:t>
      </w:r>
    </w:p>
    <w:p w14:paraId="73666843" w14:textId="77777777" w:rsidR="00500504" w:rsidRPr="009F1BD6" w:rsidRDefault="00500504" w:rsidP="005B32D7">
      <w:pPr>
        <w:pStyle w:val="a4"/>
        <w:spacing w:after="120" w:line="360" w:lineRule="auto"/>
        <w:ind w:left="-58"/>
        <w:contextualSpacing w:val="0"/>
        <w:jc w:val="both"/>
        <w:rPr>
          <w:rFonts w:ascii="David" w:hAnsi="David" w:cs="David"/>
          <w:sz w:val="24"/>
          <w:szCs w:val="24"/>
          <w:rtl/>
        </w:rPr>
      </w:pPr>
      <w:r w:rsidRPr="009F1BD6">
        <w:rPr>
          <w:rFonts w:ascii="David" w:hAnsi="David" w:cs="David" w:hint="cs"/>
          <w:sz w:val="24"/>
          <w:szCs w:val="24"/>
          <w:rtl/>
        </w:rPr>
        <w:t xml:space="preserve">שלושה פסקי דין שאף אחד מהם לא שולל או סותר את קודמו, אלא כל אחד אמר את דעתו בצורה פשוטה והשאיר מבוכה רבה להרבה ערכאות משמעת. </w:t>
      </w:r>
    </w:p>
    <w:p w14:paraId="3ABAB9D1" w14:textId="77777777" w:rsidR="00500504" w:rsidRDefault="00500504" w:rsidP="005B32D7">
      <w:pPr>
        <w:pStyle w:val="a4"/>
        <w:spacing w:after="120" w:line="360" w:lineRule="auto"/>
        <w:ind w:left="-58"/>
        <w:contextualSpacing w:val="0"/>
        <w:jc w:val="both"/>
        <w:rPr>
          <w:rFonts w:ascii="David" w:hAnsi="David" w:cs="David"/>
          <w:b/>
          <w:bCs/>
          <w:sz w:val="24"/>
          <w:szCs w:val="24"/>
          <w:u w:val="single"/>
          <w:rtl/>
        </w:rPr>
      </w:pPr>
    </w:p>
    <w:p w14:paraId="28775AEC" w14:textId="77777777" w:rsidR="00562A33" w:rsidRDefault="00562A33" w:rsidP="005B32D7">
      <w:pPr>
        <w:pStyle w:val="a4"/>
        <w:spacing w:after="120" w:line="360" w:lineRule="auto"/>
        <w:ind w:left="-58"/>
        <w:contextualSpacing w:val="0"/>
        <w:jc w:val="both"/>
        <w:rPr>
          <w:rFonts w:ascii="David" w:hAnsi="David" w:cs="David"/>
          <w:b/>
          <w:bCs/>
          <w:sz w:val="24"/>
          <w:szCs w:val="24"/>
          <w:u w:val="single"/>
          <w:rtl/>
        </w:rPr>
      </w:pPr>
    </w:p>
    <w:p w14:paraId="05E7DAF7" w14:textId="77777777" w:rsidR="00500504" w:rsidRDefault="00500504" w:rsidP="005B32D7">
      <w:pPr>
        <w:pStyle w:val="a4"/>
        <w:numPr>
          <w:ilvl w:val="0"/>
          <w:numId w:val="22"/>
        </w:numPr>
        <w:spacing w:after="120" w:line="360" w:lineRule="auto"/>
        <w:ind w:left="-483" w:hanging="357"/>
        <w:contextualSpacing w:val="0"/>
        <w:jc w:val="both"/>
        <w:rPr>
          <w:rFonts w:ascii="David" w:hAnsi="David" w:cs="David"/>
          <w:b/>
          <w:bCs/>
          <w:sz w:val="24"/>
          <w:szCs w:val="24"/>
          <w:u w:val="single"/>
        </w:rPr>
      </w:pPr>
      <w:r>
        <w:rPr>
          <w:rFonts w:ascii="David" w:hAnsi="David" w:cs="David" w:hint="cs"/>
          <w:b/>
          <w:bCs/>
          <w:sz w:val="24"/>
          <w:szCs w:val="24"/>
          <w:u w:val="single"/>
          <w:rtl/>
        </w:rPr>
        <w:lastRenderedPageBreak/>
        <w:t>נושא 2: תתי קבוצות של ערכאות משמעתיות בארץ:</w:t>
      </w:r>
      <w:r w:rsidR="009F1BD6">
        <w:rPr>
          <w:rFonts w:ascii="David" w:hAnsi="David" w:cs="David" w:hint="cs"/>
          <w:b/>
          <w:bCs/>
          <w:sz w:val="24"/>
          <w:szCs w:val="24"/>
          <w:u w:val="single"/>
          <w:rtl/>
        </w:rPr>
        <w:t xml:space="preserve"> חילקנו את כל ערכאות המשמעת ל-6 קבוצות."</w:t>
      </w:r>
    </w:p>
    <w:p w14:paraId="2AC7F74B" w14:textId="77777777" w:rsidR="009F1BD6" w:rsidRPr="00741E74" w:rsidRDefault="009F1BD6" w:rsidP="005B32D7">
      <w:pPr>
        <w:pStyle w:val="a4"/>
        <w:numPr>
          <w:ilvl w:val="1"/>
          <w:numId w:val="22"/>
        </w:numPr>
        <w:spacing w:after="120" w:line="360" w:lineRule="auto"/>
        <w:ind w:left="-199" w:hanging="357"/>
        <w:contextualSpacing w:val="0"/>
        <w:jc w:val="both"/>
        <w:rPr>
          <w:rFonts w:ascii="David" w:hAnsi="David" w:cs="David"/>
          <w:b/>
          <w:bCs/>
          <w:sz w:val="24"/>
          <w:szCs w:val="24"/>
        </w:rPr>
      </w:pPr>
      <w:r w:rsidRPr="00741E74">
        <w:rPr>
          <w:rFonts w:ascii="David" w:hAnsi="David" w:cs="David" w:hint="cs"/>
          <w:b/>
          <w:bCs/>
          <w:sz w:val="24"/>
          <w:szCs w:val="24"/>
          <w:rtl/>
        </w:rPr>
        <w:t xml:space="preserve">בעלי תפקידים שיפוטיים - </w:t>
      </w:r>
      <w:r w:rsidRPr="00741E74">
        <w:rPr>
          <w:rFonts w:ascii="David" w:hAnsi="David" w:cs="David" w:hint="cs"/>
          <w:sz w:val="24"/>
          <w:szCs w:val="24"/>
          <w:rtl/>
        </w:rPr>
        <w:t xml:space="preserve">הרציונל שעומד </w:t>
      </w:r>
      <w:proofErr w:type="spellStart"/>
      <w:r w:rsidRPr="00741E74">
        <w:rPr>
          <w:rFonts w:ascii="David" w:hAnsi="David" w:cs="David" w:hint="cs"/>
          <w:sz w:val="24"/>
          <w:szCs w:val="24"/>
          <w:rtl/>
        </w:rPr>
        <w:t>מאחרוי</w:t>
      </w:r>
      <w:proofErr w:type="spellEnd"/>
      <w:r w:rsidRPr="00741E74">
        <w:rPr>
          <w:rFonts w:ascii="David" w:hAnsi="David" w:cs="David" w:hint="cs"/>
          <w:sz w:val="24"/>
          <w:szCs w:val="24"/>
          <w:rtl/>
        </w:rPr>
        <w:t xml:space="preserve"> ערכאות אלה הן שמירה על אמון הציבור במערכת המשפט בכללותה. כללי אתיקה שלא חלה על קבוצות אחרות. </w:t>
      </w:r>
      <w:r w:rsidR="00471427" w:rsidRPr="00741E74">
        <w:rPr>
          <w:rFonts w:ascii="David" w:hAnsi="David" w:cs="David" w:hint="cs"/>
          <w:sz w:val="24"/>
          <w:szCs w:val="24"/>
          <w:rtl/>
        </w:rPr>
        <w:t xml:space="preserve"> איסור אתי שנובע מקוטב שונה (שמירה על אמון הצ9יבור) שחל גם על דרגים גבוהים בכוחות הביטחון (שם הסיבה היא שהצבא לא יביע עמדות פוליטיות</w:t>
      </w:r>
    </w:p>
    <w:p w14:paraId="5466CF9D" w14:textId="77777777" w:rsidR="009F1BD6" w:rsidRPr="00741E74" w:rsidRDefault="009F1BD6" w:rsidP="005B32D7">
      <w:pPr>
        <w:pStyle w:val="a4"/>
        <w:numPr>
          <w:ilvl w:val="1"/>
          <w:numId w:val="22"/>
        </w:numPr>
        <w:spacing w:after="120" w:line="360" w:lineRule="auto"/>
        <w:ind w:left="-199" w:hanging="357"/>
        <w:contextualSpacing w:val="0"/>
        <w:jc w:val="both"/>
        <w:rPr>
          <w:rFonts w:ascii="David" w:hAnsi="David" w:cs="David"/>
          <w:b/>
          <w:bCs/>
          <w:sz w:val="24"/>
          <w:szCs w:val="24"/>
        </w:rPr>
      </w:pPr>
      <w:r w:rsidRPr="00741E74">
        <w:rPr>
          <w:rFonts w:ascii="David" w:hAnsi="David" w:cs="David" w:hint="cs"/>
          <w:b/>
          <w:bCs/>
          <w:sz w:val="24"/>
          <w:szCs w:val="24"/>
          <w:rtl/>
        </w:rPr>
        <w:t xml:space="preserve">כוחות הביטחון, והנתונים למרותם - </w:t>
      </w:r>
      <w:r w:rsidR="00741E74" w:rsidRPr="00741E74">
        <w:rPr>
          <w:rFonts w:ascii="David" w:hAnsi="David" w:cs="David" w:hint="cs"/>
          <w:sz w:val="24"/>
          <w:szCs w:val="24"/>
          <w:rtl/>
        </w:rPr>
        <w:t>הליכי משמעת נובעים מסדר ומשמעת - מערכות שלא יכולות לתפקד ללא סדר ומשמעת. חלק מהסיפור הוא משמעת במובן הכי פשוט של המילה, לכן זו הקבוצה היחידה שם יש עונשים ששוללים חירות (לא באותה דרגה של ענישה פלילית). חלק מהכללים באים לכוון את כוחות הביטחון שהם כפופים למארג של הממשלה שיהיו ללא אינטרס אישי.</w:t>
      </w:r>
      <w:r w:rsidR="00741E74">
        <w:rPr>
          <w:rFonts w:ascii="David" w:hAnsi="David" w:cs="David" w:hint="cs"/>
          <w:b/>
          <w:bCs/>
          <w:sz w:val="24"/>
          <w:szCs w:val="24"/>
          <w:rtl/>
        </w:rPr>
        <w:t xml:space="preserve"> </w:t>
      </w:r>
    </w:p>
    <w:p w14:paraId="07378BF0" w14:textId="77777777" w:rsidR="00471427" w:rsidRPr="00741E74" w:rsidRDefault="00471427" w:rsidP="005B32D7">
      <w:pPr>
        <w:pStyle w:val="a4"/>
        <w:numPr>
          <w:ilvl w:val="1"/>
          <w:numId w:val="22"/>
        </w:numPr>
        <w:spacing w:after="120" w:line="360" w:lineRule="auto"/>
        <w:ind w:left="-199" w:hanging="357"/>
        <w:contextualSpacing w:val="0"/>
        <w:jc w:val="both"/>
        <w:rPr>
          <w:rFonts w:ascii="David" w:hAnsi="David" w:cs="David"/>
          <w:b/>
          <w:bCs/>
          <w:sz w:val="24"/>
          <w:szCs w:val="24"/>
        </w:rPr>
      </w:pPr>
      <w:r w:rsidRPr="00741E74">
        <w:rPr>
          <w:rFonts w:ascii="David" w:hAnsi="David" w:cs="David" w:hint="cs"/>
          <w:b/>
          <w:bCs/>
          <w:sz w:val="24"/>
          <w:szCs w:val="24"/>
          <w:rtl/>
        </w:rPr>
        <w:t>מקצועות הקשורים במתן שירותי בריאות הציבור</w:t>
      </w:r>
      <w:r w:rsidR="00741E74">
        <w:rPr>
          <w:rFonts w:ascii="David" w:hAnsi="David" w:cs="David" w:hint="cs"/>
          <w:b/>
          <w:bCs/>
          <w:sz w:val="24"/>
          <w:szCs w:val="24"/>
          <w:rtl/>
        </w:rPr>
        <w:t xml:space="preserve"> - </w:t>
      </w:r>
      <w:r w:rsidR="008152CD">
        <w:rPr>
          <w:rFonts w:ascii="David" w:hAnsi="David" w:cs="David" w:hint="cs"/>
          <w:sz w:val="24"/>
          <w:szCs w:val="24"/>
          <w:rtl/>
        </w:rPr>
        <w:t xml:space="preserve">אדם שעוסק בבריאותו של הציבור דורש רמת התנהגות גבוהה יותר. לא יכולים לעשות מה שרוצים. כחברה רוצים שרק אנשים ראויים לכך לתת בהם את האמון, שיוכלו להרדים אנשים, לתקוף אותם למעשה. כי אנחנו סומכים עליהם. המחיר - רף התנהגות גבוה וערכאות משמעתיות שלוקחות </w:t>
      </w:r>
      <w:proofErr w:type="spellStart"/>
      <w:r w:rsidR="008152CD">
        <w:rPr>
          <w:rFonts w:ascii="David" w:hAnsi="David" w:cs="David" w:hint="cs"/>
          <w:sz w:val="24"/>
          <w:szCs w:val="24"/>
          <w:rtl/>
        </w:rPr>
        <w:t>רשיון</w:t>
      </w:r>
      <w:proofErr w:type="spellEnd"/>
      <w:r w:rsidR="008152CD">
        <w:rPr>
          <w:rFonts w:ascii="David" w:hAnsi="David" w:cs="David" w:hint="cs"/>
          <w:sz w:val="24"/>
          <w:szCs w:val="24"/>
          <w:rtl/>
        </w:rPr>
        <w:t xml:space="preserve"> לעסוק במקצוע רפואי אם עברת את הרף הזה (סודיות פרטיות החולה, שמירת חומרים מסוכנים, סמים מסוכנים). </w:t>
      </w:r>
      <w:r w:rsidR="00910CB7" w:rsidRPr="00910CB7">
        <w:rPr>
          <w:rFonts w:ascii="David" w:hAnsi="David" w:cs="David" w:hint="cs"/>
          <w:sz w:val="24"/>
          <w:szCs w:val="24"/>
          <w:rtl/>
        </w:rPr>
        <w:t>החריג ברפואה אלטרנטיבית - דיקור סיני שכן הוסדר לפי חוק. שאר הטיפולים ההומאופטיים לא מוסדרים. תיק תביעה באלה - דנים לפי חוק החוזים.</w:t>
      </w:r>
      <w:r w:rsidR="00910CB7">
        <w:rPr>
          <w:rFonts w:ascii="David" w:hAnsi="David" w:cs="David" w:hint="cs"/>
          <w:b/>
          <w:bCs/>
          <w:sz w:val="24"/>
          <w:szCs w:val="24"/>
          <w:rtl/>
        </w:rPr>
        <w:t xml:space="preserve"> </w:t>
      </w:r>
      <w:r w:rsidR="00910CB7" w:rsidRPr="00910CB7">
        <w:rPr>
          <w:rFonts w:ascii="David" w:hAnsi="David" w:cs="David" w:hint="cs"/>
          <w:sz w:val="24"/>
          <w:szCs w:val="24"/>
          <w:rtl/>
        </w:rPr>
        <w:t>פסיקה של רשלנות רפואית לא חלה על טיפול אלטרנטיבי מלבד חריגים מסוימים. (כן חלה עליהם חובת סודיות וכו').</w:t>
      </w:r>
      <w:r w:rsidR="00910CB7">
        <w:rPr>
          <w:rFonts w:ascii="David" w:hAnsi="David" w:cs="David" w:hint="cs"/>
          <w:b/>
          <w:bCs/>
          <w:sz w:val="24"/>
          <w:szCs w:val="24"/>
          <w:rtl/>
        </w:rPr>
        <w:t xml:space="preserve"> </w:t>
      </w:r>
    </w:p>
    <w:p w14:paraId="790017C1" w14:textId="77777777" w:rsidR="00471427" w:rsidRPr="00741E74" w:rsidRDefault="00471427" w:rsidP="005B32D7">
      <w:pPr>
        <w:pStyle w:val="a4"/>
        <w:numPr>
          <w:ilvl w:val="1"/>
          <w:numId w:val="22"/>
        </w:numPr>
        <w:spacing w:after="120" w:line="360" w:lineRule="auto"/>
        <w:ind w:left="-199" w:hanging="357"/>
        <w:contextualSpacing w:val="0"/>
        <w:jc w:val="both"/>
        <w:rPr>
          <w:rFonts w:ascii="David" w:hAnsi="David" w:cs="David"/>
          <w:b/>
          <w:bCs/>
          <w:sz w:val="24"/>
          <w:szCs w:val="24"/>
        </w:rPr>
      </w:pPr>
      <w:r w:rsidRPr="00741E74">
        <w:rPr>
          <w:rFonts w:ascii="David" w:hAnsi="David" w:cs="David" w:hint="cs"/>
          <w:b/>
          <w:bCs/>
          <w:sz w:val="24"/>
          <w:szCs w:val="24"/>
          <w:rtl/>
        </w:rPr>
        <w:t xml:space="preserve">מקצועות עזר לעולם המשפט - </w:t>
      </w:r>
      <w:r w:rsidR="00FE4514" w:rsidRPr="00FE4514">
        <w:rPr>
          <w:rFonts w:ascii="David" w:hAnsi="David" w:cs="David" w:hint="cs"/>
          <w:sz w:val="24"/>
          <w:szCs w:val="24"/>
          <w:rtl/>
        </w:rPr>
        <w:t>עו"ד פרקליטים, טוענים רבניים, נוטריונים. המתווכים בין הציבור לבין בתי המשפט. התפיסה העומדת בבסיסה של הקבוצה נובעת מהתפיסה שאמון הציבור במערכת המשפט קשור גם באמון בקבוצות האלה. לא יספיק שהאמון יאמין בשופטים, אלא יש צורך באמון גם באלה שמביא את דבריו בפני השופטים. ניזון במישרין ממעשיהם ודרך התנהגותם ועבודתם.</w:t>
      </w:r>
      <w:r w:rsidR="00FE4514">
        <w:rPr>
          <w:rFonts w:ascii="David" w:hAnsi="David" w:cs="David" w:hint="cs"/>
          <w:b/>
          <w:bCs/>
          <w:sz w:val="24"/>
          <w:szCs w:val="24"/>
          <w:rtl/>
        </w:rPr>
        <w:t xml:space="preserve"> </w:t>
      </w:r>
    </w:p>
    <w:p w14:paraId="139C2F57" w14:textId="77777777" w:rsidR="00471427" w:rsidRPr="00741E74" w:rsidRDefault="00471427" w:rsidP="005B32D7">
      <w:pPr>
        <w:pStyle w:val="a4"/>
        <w:numPr>
          <w:ilvl w:val="1"/>
          <w:numId w:val="22"/>
        </w:numPr>
        <w:spacing w:after="120" w:line="360" w:lineRule="auto"/>
        <w:ind w:left="-199" w:hanging="357"/>
        <w:contextualSpacing w:val="0"/>
        <w:jc w:val="both"/>
        <w:rPr>
          <w:rFonts w:ascii="David" w:hAnsi="David" w:cs="David"/>
          <w:b/>
          <w:bCs/>
          <w:sz w:val="24"/>
          <w:szCs w:val="24"/>
        </w:rPr>
      </w:pPr>
      <w:r w:rsidRPr="00741E74">
        <w:rPr>
          <w:rFonts w:ascii="David" w:hAnsi="David" w:cs="David" w:hint="cs"/>
          <w:b/>
          <w:bCs/>
          <w:sz w:val="24"/>
          <w:szCs w:val="24"/>
          <w:rtl/>
        </w:rPr>
        <w:t>עובדי ציבור</w:t>
      </w:r>
      <w:r w:rsidR="00C73AC1">
        <w:rPr>
          <w:rFonts w:ascii="David" w:hAnsi="David" w:cs="David" w:hint="cs"/>
          <w:b/>
          <w:bCs/>
          <w:sz w:val="24"/>
          <w:szCs w:val="24"/>
          <w:rtl/>
        </w:rPr>
        <w:t xml:space="preserve"> - </w:t>
      </w:r>
    </w:p>
    <w:p w14:paraId="69D0E98E" w14:textId="77777777" w:rsidR="003335F5" w:rsidRPr="003335F5" w:rsidRDefault="00471427" w:rsidP="005B32D7">
      <w:pPr>
        <w:pStyle w:val="a4"/>
        <w:numPr>
          <w:ilvl w:val="1"/>
          <w:numId w:val="22"/>
        </w:numPr>
        <w:spacing w:after="120" w:line="360" w:lineRule="auto"/>
        <w:ind w:left="-199" w:hanging="357"/>
        <w:contextualSpacing w:val="0"/>
        <w:jc w:val="both"/>
        <w:rPr>
          <w:rFonts w:ascii="David" w:hAnsi="David" w:cs="David"/>
          <w:b/>
          <w:bCs/>
          <w:sz w:val="24"/>
          <w:szCs w:val="24"/>
        </w:rPr>
      </w:pPr>
      <w:r w:rsidRPr="00741E74">
        <w:rPr>
          <w:rFonts w:ascii="David" w:hAnsi="David" w:cs="David" w:hint="cs"/>
          <w:b/>
          <w:bCs/>
          <w:sz w:val="24"/>
          <w:szCs w:val="24"/>
          <w:rtl/>
        </w:rPr>
        <w:t xml:space="preserve">בעל עמדה/מקצועות המשרתים את הציבור ונדרשים לרף התנהגות גבוה - </w:t>
      </w:r>
      <w:r w:rsidR="00C73AC1">
        <w:rPr>
          <w:rFonts w:ascii="David" w:hAnsi="David" w:cs="David" w:hint="cs"/>
          <w:sz w:val="24"/>
          <w:szCs w:val="24"/>
          <w:rtl/>
        </w:rPr>
        <w:t xml:space="preserve">עניין היסטורי, לאור העובדה שהציבור נזקק לשירותיהם החיוניים, </w:t>
      </w:r>
      <w:proofErr w:type="spellStart"/>
      <w:r w:rsidR="00C73AC1">
        <w:rPr>
          <w:rFonts w:ascii="David" w:hAnsi="David" w:cs="David" w:hint="cs"/>
          <w:sz w:val="24"/>
          <w:szCs w:val="24"/>
          <w:rtl/>
        </w:rPr>
        <w:t>לרו</w:t>
      </w:r>
      <w:proofErr w:type="spellEnd"/>
      <w:r w:rsidR="00C73AC1">
        <w:rPr>
          <w:rFonts w:ascii="David" w:hAnsi="David" w:cs="David" w:hint="cs"/>
          <w:sz w:val="24"/>
          <w:szCs w:val="24"/>
          <w:rtl/>
        </w:rPr>
        <w:t xml:space="preserve"> כי מדובר במונופולים ציבוריים. </w:t>
      </w:r>
      <w:r w:rsidR="003335F5">
        <w:rPr>
          <w:rFonts w:ascii="David" w:hAnsi="David" w:cs="David" w:hint="cs"/>
          <w:sz w:val="24"/>
          <w:szCs w:val="24"/>
          <w:rtl/>
        </w:rPr>
        <w:t xml:space="preserve">משתנה מקבוצה לקבוצה (כמו יחסים רומנטיים למשל). </w:t>
      </w:r>
    </w:p>
    <w:p w14:paraId="0E9CDB55" w14:textId="77777777" w:rsidR="00500504" w:rsidRPr="00F46430" w:rsidRDefault="00500504" w:rsidP="005B32D7">
      <w:pPr>
        <w:pStyle w:val="a4"/>
        <w:numPr>
          <w:ilvl w:val="0"/>
          <w:numId w:val="22"/>
        </w:numPr>
        <w:spacing w:after="120" w:line="360" w:lineRule="auto"/>
        <w:ind w:left="-483"/>
        <w:contextualSpacing w:val="0"/>
        <w:jc w:val="both"/>
        <w:rPr>
          <w:rFonts w:ascii="David" w:hAnsi="David" w:cs="David"/>
          <w:b/>
          <w:bCs/>
          <w:sz w:val="24"/>
          <w:szCs w:val="24"/>
        </w:rPr>
      </w:pPr>
      <w:r w:rsidRPr="00F46430">
        <w:rPr>
          <w:rFonts w:ascii="David" w:hAnsi="David" w:cs="David" w:hint="cs"/>
          <w:b/>
          <w:bCs/>
          <w:sz w:val="24"/>
          <w:szCs w:val="24"/>
          <w:rtl/>
        </w:rPr>
        <w:t>נושא 3: בתי הדין מ</w:t>
      </w:r>
      <w:r w:rsidR="00F46430" w:rsidRPr="00F46430">
        <w:rPr>
          <w:rFonts w:ascii="David" w:hAnsi="David" w:cs="David" w:hint="cs"/>
          <w:b/>
          <w:bCs/>
          <w:sz w:val="24"/>
          <w:szCs w:val="24"/>
          <w:rtl/>
        </w:rPr>
        <w:t>ש</w:t>
      </w:r>
      <w:r w:rsidRPr="00F46430">
        <w:rPr>
          <w:rFonts w:ascii="David" w:hAnsi="David" w:cs="David" w:hint="cs"/>
          <w:b/>
          <w:bCs/>
          <w:sz w:val="24"/>
          <w:szCs w:val="24"/>
          <w:rtl/>
        </w:rPr>
        <w:t xml:space="preserve">מעתיים של השופטים: </w:t>
      </w:r>
    </w:p>
    <w:p w14:paraId="32971130" w14:textId="77777777" w:rsidR="00F46430" w:rsidRPr="00F46430" w:rsidRDefault="00F46430" w:rsidP="005B32D7">
      <w:pPr>
        <w:pStyle w:val="a4"/>
        <w:numPr>
          <w:ilvl w:val="1"/>
          <w:numId w:val="22"/>
        </w:numPr>
        <w:spacing w:after="120" w:line="360" w:lineRule="auto"/>
        <w:ind w:left="-58"/>
        <w:contextualSpacing w:val="0"/>
        <w:jc w:val="both"/>
        <w:rPr>
          <w:rFonts w:ascii="David" w:hAnsi="David" w:cs="David"/>
          <w:b/>
          <w:bCs/>
          <w:sz w:val="24"/>
          <w:szCs w:val="24"/>
        </w:rPr>
      </w:pPr>
      <w:r w:rsidRPr="00F46430">
        <w:rPr>
          <w:rFonts w:ascii="David" w:hAnsi="David" w:cs="David" w:hint="cs"/>
          <w:b/>
          <w:bCs/>
          <w:sz w:val="24"/>
          <w:szCs w:val="24"/>
          <w:rtl/>
        </w:rPr>
        <w:t xml:space="preserve">פס"ד בן יצחק ארבל - </w:t>
      </w:r>
      <w:r>
        <w:rPr>
          <w:rFonts w:ascii="David" w:hAnsi="David" w:cs="David" w:hint="cs"/>
          <w:sz w:val="24"/>
          <w:szCs w:val="24"/>
          <w:rtl/>
        </w:rPr>
        <w:t xml:space="preserve">50%. היום עם הפנסיה צוברת, הדברים הרבה יותר מסובכים. פעם בגלל פנסיה תקציבית היה ניתן לאיים על שופטים לפגוע בפנסיה שלהם. ה הביא הרבה שופטים לפרוש מרצון. היום זה כבר לא ככה, כי זו פנסיה צוברת, קניין של המפריש, ואי אפשר לפגוע בה. בבית ין משמעתי כבר אי אפשר לפגוע בפנסיה של השופט. פוגע במקל שהיה לבית הדין המשמעתי, ופוגע גם בגזר - כבר אין עידוד של שופטים לפרוש מתפקידים והגדלת האחוזים בפנסיה. </w:t>
      </w:r>
    </w:p>
    <w:p w14:paraId="687B38F3" w14:textId="77777777" w:rsidR="00F46430" w:rsidRPr="00F46430" w:rsidRDefault="00F46430" w:rsidP="005B32D7">
      <w:pPr>
        <w:pStyle w:val="a4"/>
        <w:numPr>
          <w:ilvl w:val="1"/>
          <w:numId w:val="22"/>
        </w:numPr>
        <w:spacing w:after="120" w:line="360" w:lineRule="auto"/>
        <w:ind w:left="-58"/>
        <w:contextualSpacing w:val="0"/>
        <w:jc w:val="both"/>
        <w:rPr>
          <w:rFonts w:ascii="David" w:hAnsi="David" w:cs="David"/>
          <w:b/>
          <w:bCs/>
          <w:sz w:val="24"/>
          <w:szCs w:val="24"/>
        </w:rPr>
      </w:pPr>
      <w:r w:rsidRPr="00F46430">
        <w:rPr>
          <w:rFonts w:ascii="David" w:hAnsi="David" w:cs="David" w:hint="cs"/>
          <w:b/>
          <w:bCs/>
          <w:sz w:val="24"/>
          <w:szCs w:val="24"/>
          <w:rtl/>
        </w:rPr>
        <w:t xml:space="preserve">פס"ד בן שחר חריפאי - </w:t>
      </w:r>
      <w:r w:rsidRPr="00B367A1">
        <w:rPr>
          <w:rFonts w:ascii="David" w:hAnsi="David" w:cs="David" w:hint="cs"/>
          <w:sz w:val="24"/>
          <w:szCs w:val="24"/>
          <w:rtl/>
        </w:rPr>
        <w:t xml:space="preserve">מדבר על 70%. מדובר על העברה מכהונה, ביתה משפט אומר שהמעשים לא עולים בקנה אחד ממה שמצופה משופט. המשותף לשניהם ולהילה כהן, שניהם טענו, גם הילה כהן, שיש עליהם הרבה לחץ. המון תיקים, בטח בבית משפט לענייני תעבורה - עשרות תיקים ביום וקשה להתמודד עם טעויות כאלה. גם היל כהן טענה באופן דומה על בית משפט לעניינים מנהליים. העמס הוא שגרם להתנהגות זו. בית דין המשמעתי בא עם מסר חד - אם אתה לא יכול בתור שופט </w:t>
      </w:r>
      <w:r w:rsidRPr="00B367A1">
        <w:rPr>
          <w:rFonts w:ascii="David" w:hAnsi="David" w:cs="David" w:hint="cs"/>
          <w:sz w:val="24"/>
          <w:szCs w:val="24"/>
          <w:rtl/>
        </w:rPr>
        <w:lastRenderedPageBreak/>
        <w:t>להתמודד עם העומס ב</w:t>
      </w:r>
      <w:r w:rsidR="00B367A1" w:rsidRPr="00B367A1">
        <w:rPr>
          <w:rFonts w:ascii="David" w:hAnsi="David" w:cs="David" w:hint="cs"/>
          <w:sz w:val="24"/>
          <w:szCs w:val="24"/>
          <w:rtl/>
        </w:rPr>
        <w:t>תנאים המקובלים, אז תפרוש. אין דבר כזה קיצור הליכים בגלל העומס. זו האמירה הכי חדה בשני פסקי הדין האלה. שחוזרת גם אצל הילה כהן.</w:t>
      </w:r>
      <w:r w:rsidR="00B367A1">
        <w:rPr>
          <w:rFonts w:ascii="David" w:hAnsi="David" w:cs="David" w:hint="cs"/>
          <w:b/>
          <w:bCs/>
          <w:sz w:val="24"/>
          <w:szCs w:val="24"/>
          <w:rtl/>
        </w:rPr>
        <w:t xml:space="preserve"> </w:t>
      </w:r>
    </w:p>
    <w:p w14:paraId="5A44AC4D" w14:textId="77777777" w:rsidR="00F46430" w:rsidRPr="00B367A1" w:rsidRDefault="00F46430" w:rsidP="005B32D7">
      <w:pPr>
        <w:pStyle w:val="a4"/>
        <w:numPr>
          <w:ilvl w:val="1"/>
          <w:numId w:val="22"/>
        </w:numPr>
        <w:spacing w:after="120" w:line="360" w:lineRule="auto"/>
        <w:ind w:left="-58"/>
        <w:contextualSpacing w:val="0"/>
        <w:jc w:val="both"/>
        <w:rPr>
          <w:rFonts w:ascii="David" w:hAnsi="David" w:cs="David"/>
          <w:sz w:val="24"/>
          <w:szCs w:val="24"/>
        </w:rPr>
      </w:pPr>
      <w:r w:rsidRPr="00F46430">
        <w:rPr>
          <w:rFonts w:ascii="David" w:hAnsi="David" w:cs="David" w:hint="cs"/>
          <w:b/>
          <w:bCs/>
          <w:sz w:val="24"/>
          <w:szCs w:val="24"/>
          <w:rtl/>
        </w:rPr>
        <w:t xml:space="preserve">פס"ד הילה כהן - </w:t>
      </w:r>
      <w:r w:rsidR="00B367A1">
        <w:rPr>
          <w:rFonts w:ascii="David" w:hAnsi="David" w:cs="David" w:hint="cs"/>
          <w:b/>
          <w:bCs/>
          <w:sz w:val="24"/>
          <w:szCs w:val="24"/>
          <w:rtl/>
        </w:rPr>
        <w:t xml:space="preserve"> </w:t>
      </w:r>
      <w:r w:rsidR="00B367A1" w:rsidRPr="00B367A1">
        <w:rPr>
          <w:rFonts w:ascii="David" w:hAnsi="David" w:cs="David" w:hint="cs"/>
          <w:sz w:val="24"/>
          <w:szCs w:val="24"/>
          <w:rtl/>
        </w:rPr>
        <w:t xml:space="preserve">תיקנה פרוטוקולים בדיעבד. שם רואים שגזר הדין הוא לא היה הדחה כמו בתיקים הקודמים, בית הדין המשמעתי קובע שלא דבק פה כתם של פגם מוסרי שמונע ממנה להמשיך לכהן כשופטת. קובע העברה ונזיפה חמורה. בכך לא הסתיים העניין. שרת המשפטים לא השלימה עם פסק הדין המשמעתי הזה, והעבירה מחדש בוועדה לבחירת שופטים העבירה החלטה להדיח את השופטת מתפקידה- מהדחה משמעתית להדחה מנהלתית. הביקורת במאמר: לשר המשפטים שני מסלולים: לקבול משמעתית או ללכת בדרך </w:t>
      </w:r>
      <w:proofErr w:type="spellStart"/>
      <w:r w:rsidR="00B367A1" w:rsidRPr="00B367A1">
        <w:rPr>
          <w:rFonts w:ascii="David" w:hAnsi="David" w:cs="David" w:hint="cs"/>
          <w:sz w:val="24"/>
          <w:szCs w:val="24"/>
          <w:rtl/>
        </w:rPr>
        <w:t>המנהתית</w:t>
      </w:r>
      <w:proofErr w:type="spellEnd"/>
      <w:r w:rsidR="00B367A1" w:rsidRPr="00B367A1">
        <w:rPr>
          <w:rFonts w:ascii="David" w:hAnsi="David" w:cs="David" w:hint="cs"/>
          <w:sz w:val="24"/>
          <w:szCs w:val="24"/>
          <w:rtl/>
        </w:rPr>
        <w:t xml:space="preserve">. הטענה במאמר, לא ראוי ללכת במסלול החלופי אם הדרך המשמעתית לא צלחה. </w:t>
      </w:r>
    </w:p>
    <w:p w14:paraId="1792E0A4" w14:textId="77777777" w:rsidR="00F46430" w:rsidRPr="00F46430" w:rsidRDefault="00F46430" w:rsidP="005B32D7">
      <w:pPr>
        <w:pStyle w:val="a4"/>
        <w:numPr>
          <w:ilvl w:val="1"/>
          <w:numId w:val="22"/>
        </w:numPr>
        <w:spacing w:after="120" w:line="360" w:lineRule="auto"/>
        <w:ind w:left="-58"/>
        <w:contextualSpacing w:val="0"/>
        <w:jc w:val="both"/>
        <w:rPr>
          <w:rFonts w:ascii="David" w:hAnsi="David" w:cs="David"/>
          <w:b/>
          <w:bCs/>
          <w:sz w:val="24"/>
          <w:szCs w:val="24"/>
        </w:rPr>
      </w:pPr>
      <w:r w:rsidRPr="00F46430">
        <w:rPr>
          <w:rFonts w:ascii="David" w:hAnsi="David" w:cs="David" w:hint="cs"/>
          <w:b/>
          <w:bCs/>
          <w:sz w:val="24"/>
          <w:szCs w:val="24"/>
          <w:rtl/>
        </w:rPr>
        <w:t xml:space="preserve">פס"ד רונית </w:t>
      </w:r>
      <w:proofErr w:type="spellStart"/>
      <w:r w:rsidRPr="00F46430">
        <w:rPr>
          <w:rFonts w:ascii="David" w:hAnsi="David" w:cs="David" w:hint="cs"/>
          <w:b/>
          <w:bCs/>
          <w:sz w:val="24"/>
          <w:szCs w:val="24"/>
          <w:rtl/>
        </w:rPr>
        <w:t>פוזננסקי</w:t>
      </w:r>
      <w:proofErr w:type="spellEnd"/>
      <w:r w:rsidRPr="00F46430">
        <w:rPr>
          <w:rFonts w:ascii="David" w:hAnsi="David" w:cs="David" w:hint="cs"/>
          <w:b/>
          <w:bCs/>
          <w:sz w:val="24"/>
          <w:szCs w:val="24"/>
          <w:rtl/>
        </w:rPr>
        <w:t xml:space="preserve"> כץ</w:t>
      </w:r>
      <w:r w:rsidR="00B367A1">
        <w:rPr>
          <w:rFonts w:ascii="David" w:hAnsi="David" w:cs="David" w:hint="cs"/>
          <w:b/>
          <w:bCs/>
          <w:sz w:val="24"/>
          <w:szCs w:val="24"/>
          <w:rtl/>
        </w:rPr>
        <w:t xml:space="preserve"> - </w:t>
      </w:r>
      <w:r w:rsidR="00B367A1" w:rsidRPr="00B367A1">
        <w:rPr>
          <w:rFonts w:ascii="David" w:hAnsi="David" w:cs="David" w:hint="cs"/>
          <w:sz w:val="24"/>
          <w:szCs w:val="24"/>
          <w:rtl/>
        </w:rPr>
        <w:t>יוצא דופן, פעם ראשונה שבגץ מתערב בפסק דין משמעתי.</w:t>
      </w:r>
      <w:r w:rsidR="00B367A1">
        <w:rPr>
          <w:rFonts w:ascii="David" w:hAnsi="David" w:cs="David" w:hint="cs"/>
          <w:b/>
          <w:bCs/>
          <w:sz w:val="24"/>
          <w:szCs w:val="24"/>
          <w:rtl/>
        </w:rPr>
        <w:t xml:space="preserve"> </w:t>
      </w:r>
      <w:r w:rsidR="00B367A1" w:rsidRPr="00B367A1">
        <w:rPr>
          <w:rFonts w:ascii="David" w:hAnsi="David" w:cs="David" w:hint="cs"/>
          <w:sz w:val="24"/>
          <w:szCs w:val="24"/>
          <w:rtl/>
        </w:rPr>
        <w:t xml:space="preserve"> בגץ על ההדחה, שהתערב בפסק הדין והחזירו אותה לעבודה. היא כבר לא שופטת פלילית אלא אזרחית, שם הבעיה הייתה יחסים </w:t>
      </w:r>
      <w:proofErr w:type="spellStart"/>
      <w:r w:rsidR="00B367A1" w:rsidRPr="00B367A1">
        <w:rPr>
          <w:rFonts w:ascii="David" w:hAnsi="David" w:cs="David" w:hint="cs"/>
          <w:sz w:val="24"/>
          <w:szCs w:val="24"/>
          <w:rtl/>
        </w:rPr>
        <w:t>ידותיים</w:t>
      </w:r>
      <w:proofErr w:type="spellEnd"/>
      <w:r w:rsidR="00B367A1" w:rsidRPr="00B367A1">
        <w:rPr>
          <w:rFonts w:ascii="David" w:hAnsi="David" w:cs="David" w:hint="cs"/>
          <w:sz w:val="24"/>
          <w:szCs w:val="24"/>
          <w:rtl/>
        </w:rPr>
        <w:t xml:space="preserve"> מדי עם הפרקליטות. כיום היא עוסקת במשפט אזרחי כך שאין לה ממשק עם </w:t>
      </w:r>
      <w:proofErr w:type="spellStart"/>
      <w:r w:rsidR="00B367A1" w:rsidRPr="00B367A1">
        <w:rPr>
          <w:rFonts w:ascii="David" w:hAnsi="David" w:cs="David" w:hint="cs"/>
          <w:sz w:val="24"/>
          <w:szCs w:val="24"/>
          <w:rtl/>
        </w:rPr>
        <w:t>הפרקליטיות</w:t>
      </w:r>
      <w:proofErr w:type="spellEnd"/>
      <w:r w:rsidR="00B367A1" w:rsidRPr="00B367A1">
        <w:rPr>
          <w:rFonts w:ascii="David" w:hAnsi="David" w:cs="David" w:hint="cs"/>
          <w:sz w:val="24"/>
          <w:szCs w:val="24"/>
          <w:rtl/>
        </w:rPr>
        <w:t xml:space="preserve"> והמשטרה. </w:t>
      </w:r>
    </w:p>
    <w:p w14:paraId="78C09ECF" w14:textId="77777777" w:rsidR="00F46430" w:rsidRPr="00F46430" w:rsidRDefault="00F46430" w:rsidP="005B32D7">
      <w:pPr>
        <w:pStyle w:val="a4"/>
        <w:numPr>
          <w:ilvl w:val="1"/>
          <w:numId w:val="22"/>
        </w:numPr>
        <w:spacing w:after="120" w:line="360" w:lineRule="auto"/>
        <w:ind w:left="-58"/>
        <w:contextualSpacing w:val="0"/>
        <w:jc w:val="both"/>
        <w:rPr>
          <w:rFonts w:ascii="David" w:hAnsi="David" w:cs="David"/>
          <w:b/>
          <w:bCs/>
          <w:sz w:val="24"/>
          <w:szCs w:val="24"/>
        </w:rPr>
      </w:pPr>
      <w:r w:rsidRPr="00F46430">
        <w:rPr>
          <w:rFonts w:ascii="David" w:hAnsi="David" w:cs="David" w:hint="cs"/>
          <w:b/>
          <w:bCs/>
          <w:sz w:val="24"/>
          <w:szCs w:val="24"/>
          <w:rtl/>
        </w:rPr>
        <w:t xml:space="preserve">מאמר: ירידת האמון בבתי המשפט ותופעת השפיטה המתגוננת - </w:t>
      </w:r>
      <w:r w:rsidR="00573748">
        <w:rPr>
          <w:rFonts w:ascii="David" w:hAnsi="David" w:cs="David" w:hint="cs"/>
          <w:sz w:val="24"/>
          <w:szCs w:val="24"/>
          <w:rtl/>
        </w:rPr>
        <w:t xml:space="preserve">בין היתר המאמר בודק במחקרים ממה נובע האמון של הציבור בבתי משפט: חמישה פרמטים: יושר פנימי של  השופט, שוויון המתדיינים ללא הבדל דת גזע ומין, </w:t>
      </w:r>
      <w:r w:rsidR="00F83CF2" w:rsidRPr="00F83CF2">
        <w:rPr>
          <w:rFonts w:ascii="David" w:hAnsi="David" w:cs="David" w:hint="cs"/>
          <w:sz w:val="24"/>
          <w:szCs w:val="24"/>
          <w:rtl/>
        </w:rPr>
        <w:t>הקשבה לצדדים (מתדיין יוכל לקבל פסק דין נגדו ובלבד ששמעו אותו, סחבת (עינוי דין פוגע באמון בתי המשפט,</w:t>
      </w:r>
      <w:r w:rsidR="00F83CF2">
        <w:rPr>
          <w:rFonts w:ascii="David" w:hAnsi="David" w:cs="David" w:hint="cs"/>
          <w:b/>
          <w:bCs/>
          <w:sz w:val="24"/>
          <w:szCs w:val="24"/>
          <w:rtl/>
        </w:rPr>
        <w:t xml:space="preserve"> </w:t>
      </w:r>
      <w:r w:rsidR="00F83CF2">
        <w:rPr>
          <w:rFonts w:ascii="David" w:hAnsi="David" w:cs="David" w:hint="cs"/>
          <w:sz w:val="24"/>
          <w:szCs w:val="24"/>
          <w:rtl/>
        </w:rPr>
        <w:t xml:space="preserve">אורח חיים צנועים מצד השופטים. אמון הציבור נסדק כששופטים גרים בתנאים מעל ומעבר ממה שמקובל באוכלוסייה. </w:t>
      </w:r>
    </w:p>
    <w:p w14:paraId="109963FD" w14:textId="77777777" w:rsidR="00F83CF2" w:rsidRDefault="00F83CF2" w:rsidP="00EC64C3">
      <w:pPr>
        <w:pStyle w:val="a4"/>
        <w:spacing w:after="120" w:line="360" w:lineRule="auto"/>
        <w:ind w:left="-199"/>
        <w:jc w:val="both"/>
        <w:rPr>
          <w:rFonts w:ascii="David" w:hAnsi="David" w:cs="David"/>
          <w:b/>
          <w:bCs/>
          <w:color w:val="385623" w:themeColor="accent6" w:themeShade="80"/>
          <w:sz w:val="24"/>
          <w:szCs w:val="24"/>
          <w:u w:val="single"/>
          <w:rtl/>
        </w:rPr>
      </w:pPr>
    </w:p>
    <w:p w14:paraId="679D8CE4" w14:textId="77777777" w:rsidR="00F83CF2" w:rsidRDefault="00F83CF2" w:rsidP="00F83CF2">
      <w:pPr>
        <w:pStyle w:val="a4"/>
        <w:spacing w:after="120" w:line="360" w:lineRule="auto"/>
        <w:ind w:left="-199"/>
        <w:jc w:val="center"/>
        <w:rPr>
          <w:rFonts w:ascii="David" w:hAnsi="David" w:cs="David"/>
          <w:b/>
          <w:bCs/>
          <w:color w:val="385623" w:themeColor="accent6" w:themeShade="80"/>
          <w:sz w:val="24"/>
          <w:szCs w:val="24"/>
          <w:u w:val="single"/>
          <w:rtl/>
        </w:rPr>
      </w:pPr>
      <w:r>
        <w:rPr>
          <w:rFonts w:ascii="David" w:hAnsi="David" w:cs="David" w:hint="cs"/>
          <w:b/>
          <w:bCs/>
          <w:sz w:val="24"/>
          <w:szCs w:val="24"/>
          <w:u w:val="single"/>
          <w:rtl/>
        </w:rPr>
        <w:t>נקודות הממשק בין דיני הנזיקין וההליך המשמעתי</w:t>
      </w:r>
    </w:p>
    <w:p w14:paraId="2232F892" w14:textId="77777777" w:rsidR="00F83CF2" w:rsidRDefault="00F83CF2" w:rsidP="00EC64C3">
      <w:pPr>
        <w:pStyle w:val="a4"/>
        <w:spacing w:after="120" w:line="360" w:lineRule="auto"/>
        <w:ind w:left="-199"/>
        <w:jc w:val="both"/>
        <w:rPr>
          <w:rFonts w:ascii="David" w:hAnsi="David" w:cs="David"/>
          <w:b/>
          <w:bCs/>
          <w:color w:val="385623" w:themeColor="accent6" w:themeShade="80"/>
          <w:sz w:val="24"/>
          <w:szCs w:val="24"/>
          <w:u w:val="single"/>
          <w:rtl/>
        </w:rPr>
      </w:pPr>
    </w:p>
    <w:p w14:paraId="1876C88A" w14:textId="77777777" w:rsidR="00EC64C3" w:rsidRPr="00E36FA3" w:rsidRDefault="00EC64C3" w:rsidP="00241C02">
      <w:pPr>
        <w:pStyle w:val="a4"/>
        <w:spacing w:after="120" w:line="360" w:lineRule="auto"/>
        <w:ind w:left="-625"/>
        <w:jc w:val="both"/>
        <w:rPr>
          <w:rFonts w:ascii="David" w:hAnsi="David" w:cs="David"/>
          <w:b/>
          <w:bCs/>
          <w:color w:val="385623" w:themeColor="accent6" w:themeShade="80"/>
          <w:sz w:val="24"/>
          <w:szCs w:val="24"/>
          <w:u w:val="single"/>
          <w:rtl/>
        </w:rPr>
      </w:pPr>
      <w:r w:rsidRPr="00E36FA3">
        <w:rPr>
          <w:rFonts w:ascii="David" w:hAnsi="David" w:cs="David" w:hint="cs"/>
          <w:b/>
          <w:bCs/>
          <w:color w:val="385623" w:themeColor="accent6" w:themeShade="80"/>
          <w:sz w:val="24"/>
          <w:szCs w:val="24"/>
          <w:u w:val="single"/>
          <w:rtl/>
        </w:rPr>
        <w:t xml:space="preserve">קריאה: </w:t>
      </w:r>
    </w:p>
    <w:p w14:paraId="1FF82542" w14:textId="77777777" w:rsidR="00EC64C3" w:rsidRDefault="008A4F93" w:rsidP="00241C02">
      <w:pPr>
        <w:pStyle w:val="a4"/>
        <w:numPr>
          <w:ilvl w:val="6"/>
          <w:numId w:val="12"/>
        </w:numPr>
        <w:spacing w:after="120" w:line="360" w:lineRule="auto"/>
        <w:ind w:left="-625"/>
        <w:jc w:val="both"/>
        <w:rPr>
          <w:rFonts w:ascii="David" w:hAnsi="David" w:cs="David"/>
          <w:b/>
          <w:bCs/>
          <w:sz w:val="24"/>
          <w:szCs w:val="24"/>
          <w:u w:val="single"/>
        </w:rPr>
      </w:pPr>
      <w:r w:rsidRPr="00E36FA3">
        <w:rPr>
          <w:rFonts w:ascii="David" w:hAnsi="David" w:cs="David" w:hint="cs"/>
          <w:b/>
          <w:bCs/>
          <w:sz w:val="24"/>
          <w:szCs w:val="24"/>
          <w:u w:val="single"/>
          <w:rtl/>
        </w:rPr>
        <w:t>ת"א  ד.י נ' דן חברה לתחבורה ציבורית</w:t>
      </w:r>
    </w:p>
    <w:p w14:paraId="0DBA27A0" w14:textId="77777777" w:rsidR="00450B1E" w:rsidRPr="005B32D7" w:rsidRDefault="00E36FA3" w:rsidP="005B32D7">
      <w:pPr>
        <w:spacing w:after="0" w:line="360" w:lineRule="auto"/>
        <w:ind w:left="-625"/>
        <w:jc w:val="both"/>
        <w:rPr>
          <w:rFonts w:ascii="Arial" w:hAnsi="Arial" w:cs="David"/>
          <w:rtl/>
        </w:rPr>
      </w:pPr>
      <w:r w:rsidRPr="000E5179">
        <w:rPr>
          <w:rFonts w:ascii="Arial" w:hAnsi="Arial" w:cs="David"/>
          <w:rtl/>
        </w:rPr>
        <w:t xml:space="preserve">סדרן שעבד בחברת תחבורה ולא החזיר לגברת את הכרטיס שנתנה לו. הוא נתבע על הפרת אמון ולא ניתן לו בתביעה להתייעץ עם עורך דין ולהביא עדים. </w:t>
      </w:r>
      <w:proofErr w:type="spellStart"/>
      <w:r>
        <w:rPr>
          <w:rFonts w:ascii="Arial" w:hAnsi="Arial" w:cs="David" w:hint="cs"/>
          <w:rtl/>
        </w:rPr>
        <w:t>השו</w:t>
      </w:r>
      <w:proofErr w:type="spellEnd"/>
      <w:r>
        <w:rPr>
          <w:rFonts w:ascii="Arial" w:hAnsi="Arial" w:cs="David" w:hint="cs"/>
          <w:rtl/>
        </w:rPr>
        <w:t xml:space="preserve">' שי משה מזרחי קבע כי הנתבעת הפרה את חובת הזהירות כלפי התובע כששללה ממנו זכות לייצוג על ידי עורך הדין בהליכים משמעתיים. מזרחי אמר כי </w:t>
      </w:r>
      <w:r w:rsidRPr="000E5179">
        <w:rPr>
          <w:rFonts w:ascii="Arial" w:hAnsi="Arial" w:cs="David"/>
          <w:rtl/>
        </w:rPr>
        <w:t xml:space="preserve">זה לא דין טבעי ולכן </w:t>
      </w:r>
      <w:r w:rsidRPr="00267844">
        <w:rPr>
          <w:rFonts w:ascii="Arial" w:hAnsi="Arial" w:cs="David"/>
          <w:b/>
          <w:bCs/>
          <w:rtl/>
        </w:rPr>
        <w:t>פסל את כל מה שפסקו ופיצויים</w:t>
      </w:r>
      <w:r w:rsidRPr="000E5179">
        <w:rPr>
          <w:rFonts w:ascii="Arial" w:hAnsi="Arial" w:cs="David"/>
          <w:rtl/>
        </w:rPr>
        <w:t xml:space="preserve"> = בתיק נזיקין נפסקו פיצויים על הליך לא</w:t>
      </w:r>
      <w:r>
        <w:rPr>
          <w:rFonts w:ascii="Arial" w:hAnsi="Arial" w:cs="David"/>
          <w:rtl/>
        </w:rPr>
        <w:t xml:space="preserve"> הוגן. [</w:t>
      </w:r>
      <w:proofErr w:type="spellStart"/>
      <w:r>
        <w:rPr>
          <w:rFonts w:ascii="Arial" w:hAnsi="Arial" w:cs="David"/>
          <w:rtl/>
        </w:rPr>
        <w:t>הפס"ד</w:t>
      </w:r>
      <w:proofErr w:type="spellEnd"/>
      <w:r>
        <w:rPr>
          <w:rFonts w:ascii="Arial" w:hAnsi="Arial" w:cs="David"/>
          <w:rtl/>
        </w:rPr>
        <w:t xml:space="preserve"> מביא אספקט חדשני</w:t>
      </w:r>
      <w:r>
        <w:rPr>
          <w:rFonts w:ascii="Arial" w:hAnsi="Arial" w:cs="David" w:hint="cs"/>
          <w:rtl/>
        </w:rPr>
        <w:t>].</w:t>
      </w:r>
      <w:r w:rsidR="00267844">
        <w:rPr>
          <w:rFonts w:ascii="Arial" w:hAnsi="Arial" w:cs="David" w:hint="cs"/>
          <w:rtl/>
        </w:rPr>
        <w:t xml:space="preserve"> </w:t>
      </w:r>
      <w:r w:rsidRPr="00267844">
        <w:rPr>
          <w:rFonts w:ascii="Arial" w:hAnsi="Arial" w:cs="David" w:hint="cs"/>
          <w:b/>
          <w:bCs/>
          <w:rtl/>
        </w:rPr>
        <w:t>בעובדי תחבורה מדובר על דין הסכמי ולא סטטוטורי ואז מדובר בקל וחומר</w:t>
      </w:r>
      <w:r w:rsidRPr="00267844">
        <w:rPr>
          <w:rFonts w:ascii="Arial" w:hAnsi="Arial" w:cs="David" w:hint="cs"/>
          <w:rtl/>
        </w:rPr>
        <w:t>.</w:t>
      </w:r>
      <w:r w:rsidR="005B32D7">
        <w:rPr>
          <w:rFonts w:ascii="Arial" w:hAnsi="Arial" w:cs="David" w:hint="cs"/>
          <w:rtl/>
        </w:rPr>
        <w:t xml:space="preserve"> </w:t>
      </w:r>
      <w:r w:rsidR="00450B1E">
        <w:rPr>
          <w:rFonts w:ascii="Arial" w:hAnsi="Arial" w:cs="David" w:hint="cs"/>
          <w:rtl/>
        </w:rPr>
        <w:t xml:space="preserve">דוגמא בולטת של ממשק בין דיני הנזיקין לדין המשמעתי, שגרם לבסוף </w:t>
      </w:r>
      <w:r w:rsidR="00450B1E" w:rsidRPr="00450B1E">
        <w:rPr>
          <w:rFonts w:ascii="David" w:hAnsi="David" w:cs="David" w:hint="cs"/>
          <w:sz w:val="24"/>
          <w:szCs w:val="24"/>
          <w:rtl/>
        </w:rPr>
        <w:t>לתשלום פיצוי.</w:t>
      </w:r>
    </w:p>
    <w:p w14:paraId="398EE603" w14:textId="77777777" w:rsidR="00450B1E" w:rsidRPr="00E36FA3" w:rsidRDefault="00450B1E" w:rsidP="00450B1E">
      <w:pPr>
        <w:spacing w:after="0" w:line="360" w:lineRule="auto"/>
        <w:jc w:val="both"/>
        <w:rPr>
          <w:rFonts w:ascii="David" w:hAnsi="David" w:cs="David"/>
          <w:b/>
          <w:bCs/>
          <w:sz w:val="24"/>
          <w:szCs w:val="24"/>
          <w:u w:val="single"/>
          <w:rtl/>
        </w:rPr>
      </w:pPr>
      <w:r>
        <w:rPr>
          <w:rFonts w:ascii="David" w:hAnsi="David" w:cs="David" w:hint="cs"/>
          <w:b/>
          <w:bCs/>
          <w:sz w:val="24"/>
          <w:szCs w:val="24"/>
          <w:u w:val="single"/>
          <w:rtl/>
        </w:rPr>
        <w:t xml:space="preserve"> </w:t>
      </w:r>
    </w:p>
    <w:p w14:paraId="3A1AE678" w14:textId="77777777" w:rsidR="00E36FA3" w:rsidRDefault="00E36FA3" w:rsidP="00241C02">
      <w:pPr>
        <w:pStyle w:val="a4"/>
        <w:numPr>
          <w:ilvl w:val="6"/>
          <w:numId w:val="12"/>
        </w:numPr>
        <w:spacing w:after="120" w:line="360" w:lineRule="auto"/>
        <w:ind w:left="-625"/>
        <w:jc w:val="both"/>
        <w:rPr>
          <w:rFonts w:ascii="David" w:hAnsi="David" w:cs="David"/>
          <w:b/>
          <w:bCs/>
          <w:sz w:val="24"/>
          <w:szCs w:val="24"/>
          <w:u w:val="single"/>
        </w:rPr>
      </w:pPr>
      <w:r w:rsidRPr="00E36FA3">
        <w:rPr>
          <w:rFonts w:ascii="David" w:hAnsi="David" w:cs="David" w:hint="cs"/>
          <w:b/>
          <w:bCs/>
          <w:sz w:val="24"/>
          <w:szCs w:val="24"/>
          <w:u w:val="single"/>
          <w:rtl/>
        </w:rPr>
        <w:t xml:space="preserve">ת"א 171305/09 א.ד נ' </w:t>
      </w:r>
      <w:proofErr w:type="spellStart"/>
      <w:r w:rsidRPr="00E36FA3">
        <w:rPr>
          <w:rFonts w:ascii="David" w:hAnsi="David" w:cs="David" w:hint="cs"/>
          <w:b/>
          <w:bCs/>
          <w:sz w:val="24"/>
          <w:szCs w:val="24"/>
          <w:u w:val="single"/>
          <w:rtl/>
        </w:rPr>
        <w:t>ר.ר</w:t>
      </w:r>
      <w:proofErr w:type="spellEnd"/>
      <w:r w:rsidRPr="00E36FA3">
        <w:rPr>
          <w:rFonts w:ascii="David" w:hAnsi="David" w:cs="David" w:hint="cs"/>
          <w:b/>
          <w:bCs/>
          <w:sz w:val="24"/>
          <w:szCs w:val="24"/>
          <w:u w:val="single"/>
          <w:rtl/>
        </w:rPr>
        <w:t xml:space="preserve"> </w:t>
      </w:r>
    </w:p>
    <w:p w14:paraId="35085A38" w14:textId="77777777" w:rsidR="00267844" w:rsidRPr="00133539" w:rsidRDefault="00A43AD9" w:rsidP="00241C02">
      <w:pPr>
        <w:pStyle w:val="a4"/>
        <w:spacing w:after="120" w:line="360" w:lineRule="auto"/>
        <w:ind w:left="-625"/>
        <w:jc w:val="both"/>
        <w:rPr>
          <w:rFonts w:ascii="David" w:hAnsi="David" w:cs="David"/>
          <w:sz w:val="24"/>
          <w:szCs w:val="24"/>
          <w:rtl/>
        </w:rPr>
      </w:pPr>
      <w:r w:rsidRPr="00133539">
        <w:rPr>
          <w:rFonts w:ascii="David" w:hAnsi="David" w:cs="David" w:hint="cs"/>
          <w:b/>
          <w:bCs/>
          <w:sz w:val="24"/>
          <w:szCs w:val="24"/>
          <w:rtl/>
        </w:rPr>
        <w:t>בקיצור:</w:t>
      </w:r>
      <w:r w:rsidRPr="00133539">
        <w:rPr>
          <w:rFonts w:ascii="David" w:hAnsi="David" w:cs="David" w:hint="cs"/>
          <w:sz w:val="24"/>
          <w:szCs w:val="24"/>
          <w:rtl/>
        </w:rPr>
        <w:t xml:space="preserve"> דחייה של תביעה נגד פסיכיאטרית </w:t>
      </w:r>
      <w:r w:rsidRPr="00133539">
        <w:rPr>
          <w:rFonts w:ascii="David" w:hAnsi="David" w:cs="David"/>
          <w:sz w:val="24"/>
          <w:szCs w:val="24"/>
          <w:rtl/>
        </w:rPr>
        <w:t>לפיצוי בגין הנזקי</w:t>
      </w:r>
      <w:r w:rsidR="005C63E0">
        <w:rPr>
          <w:rFonts w:ascii="David" w:hAnsi="David" w:cs="David" w:hint="cs"/>
          <w:sz w:val="24"/>
          <w:szCs w:val="24"/>
          <w:rtl/>
        </w:rPr>
        <w:t>ן</w:t>
      </w:r>
      <w:r w:rsidRPr="00133539">
        <w:rPr>
          <w:rFonts w:ascii="David" w:hAnsi="David" w:cs="David"/>
          <w:sz w:val="24"/>
          <w:szCs w:val="24"/>
          <w:rtl/>
        </w:rPr>
        <w:t xml:space="preserve"> שנגרמו לו כתוצאה מניצול יחסי מרות ויחסי מטפל-מטופל בכדי לזכות בטובות הנאה מיניות. נפסק, כי על נטישת בן זוג על רקע רומנטי – על אף הנזקים האדירים שדבר זה יכול לגרום ל"ננטש" – לא קיימת עילה שבדין לתבוע פיצוי.</w:t>
      </w:r>
    </w:p>
    <w:p w14:paraId="1C79DAE8" w14:textId="77777777" w:rsidR="00A43AD9" w:rsidRPr="00133539" w:rsidRDefault="00A43AD9" w:rsidP="00241C02">
      <w:pPr>
        <w:pStyle w:val="a4"/>
        <w:spacing w:after="120" w:line="360" w:lineRule="auto"/>
        <w:ind w:left="-483"/>
        <w:jc w:val="both"/>
        <w:rPr>
          <w:rFonts w:ascii="David" w:hAnsi="David" w:cs="David"/>
          <w:sz w:val="24"/>
          <w:szCs w:val="24"/>
          <w:rtl/>
        </w:rPr>
      </w:pPr>
      <w:r w:rsidRPr="00133539">
        <w:rPr>
          <w:rFonts w:ascii="David" w:hAnsi="David" w:cs="David" w:hint="cs"/>
          <w:sz w:val="24"/>
          <w:szCs w:val="24"/>
          <w:rtl/>
        </w:rPr>
        <w:t xml:space="preserve">התובע הגיש תביעה נגד הפסיכיאטרית שעיקרה הוא דרישת פיצוי בגין הנזקים שנגרמו לו כתוצאה מניצול יחסי מרות ויחסי מטפל מטופל כדי לזכות בטובות הנאה מיניות בעת הטיפול בביתה של הפסיכיאטרית. </w:t>
      </w:r>
    </w:p>
    <w:p w14:paraId="09CFB17A" w14:textId="77777777" w:rsidR="00A43AD9" w:rsidRPr="00133539" w:rsidRDefault="00A43AD9" w:rsidP="00241C02">
      <w:pPr>
        <w:pStyle w:val="a4"/>
        <w:spacing w:after="120" w:line="360" w:lineRule="auto"/>
        <w:ind w:left="-483"/>
        <w:jc w:val="both"/>
        <w:rPr>
          <w:rFonts w:ascii="David" w:hAnsi="David" w:cs="David"/>
          <w:sz w:val="24"/>
          <w:szCs w:val="24"/>
          <w:rtl/>
        </w:rPr>
      </w:pPr>
      <w:r w:rsidRPr="00133539">
        <w:rPr>
          <w:rFonts w:ascii="David" w:hAnsi="David" w:cs="David" w:hint="cs"/>
          <w:sz w:val="24"/>
          <w:szCs w:val="24"/>
          <w:rtl/>
        </w:rPr>
        <w:t xml:space="preserve">בית המשפט דחה את התביעה מן הנימוקים האלה: </w:t>
      </w:r>
    </w:p>
    <w:p w14:paraId="7FD85BD3" w14:textId="77777777" w:rsidR="00A43AD9" w:rsidRPr="00133539" w:rsidRDefault="007C18D4" w:rsidP="00241C02">
      <w:pPr>
        <w:pStyle w:val="a4"/>
        <w:numPr>
          <w:ilvl w:val="0"/>
          <w:numId w:val="20"/>
        </w:numPr>
        <w:spacing w:after="120" w:line="360" w:lineRule="auto"/>
        <w:ind w:left="-58"/>
        <w:jc w:val="both"/>
        <w:rPr>
          <w:rFonts w:ascii="David" w:hAnsi="David" w:cs="David"/>
          <w:sz w:val="24"/>
          <w:szCs w:val="24"/>
        </w:rPr>
      </w:pPr>
      <w:r w:rsidRPr="00133539">
        <w:rPr>
          <w:rFonts w:ascii="David" w:hAnsi="David" w:cs="David" w:hint="cs"/>
          <w:sz w:val="24"/>
          <w:szCs w:val="24"/>
          <w:rtl/>
        </w:rPr>
        <w:lastRenderedPageBreak/>
        <w:t xml:space="preserve">אין להתייחס לפגישה הראשונה (פגישת </w:t>
      </w:r>
      <w:proofErr w:type="spellStart"/>
      <w:r w:rsidRPr="00133539">
        <w:rPr>
          <w:rFonts w:ascii="David" w:hAnsi="David" w:cs="David" w:hint="cs"/>
          <w:sz w:val="24"/>
          <w:szCs w:val="24"/>
          <w:rtl/>
        </w:rPr>
        <w:t>האינטייק</w:t>
      </w:r>
      <w:proofErr w:type="spellEnd"/>
      <w:r w:rsidRPr="00133539">
        <w:rPr>
          <w:rFonts w:ascii="David" w:hAnsi="David" w:cs="David" w:hint="cs"/>
          <w:sz w:val="24"/>
          <w:szCs w:val="24"/>
          <w:rtl/>
        </w:rPr>
        <w:t xml:space="preserve">) כאל פגישה בעלת משמעות טיפולית כזו העולה לכדי יחסי מטפל מטופל. </w:t>
      </w:r>
      <w:r w:rsidR="00A43AD9" w:rsidRPr="00133539">
        <w:rPr>
          <w:rFonts w:ascii="David" w:hAnsi="David" w:cs="David" w:hint="cs"/>
          <w:sz w:val="24"/>
          <w:szCs w:val="24"/>
          <w:rtl/>
        </w:rPr>
        <w:t xml:space="preserve">פגישת </w:t>
      </w:r>
      <w:proofErr w:type="spellStart"/>
      <w:r w:rsidR="00A43AD9" w:rsidRPr="00133539">
        <w:rPr>
          <w:rFonts w:ascii="David" w:hAnsi="David" w:cs="David" w:hint="cs"/>
          <w:sz w:val="24"/>
          <w:szCs w:val="24"/>
          <w:rtl/>
        </w:rPr>
        <w:t>אינטייק</w:t>
      </w:r>
      <w:proofErr w:type="spellEnd"/>
      <w:r w:rsidR="00A43AD9" w:rsidRPr="00133539">
        <w:rPr>
          <w:rFonts w:ascii="David" w:hAnsi="David" w:cs="David" w:hint="cs"/>
          <w:sz w:val="24"/>
          <w:szCs w:val="24"/>
          <w:rtl/>
        </w:rPr>
        <w:t xml:space="preserve"> אחת אינה מבססת יחסים טיפוליים בפסיכיאטריה ולא מבססת יחסי מרות או פערי כוחות לצורך ביצוע העבידה לפי סעיף 374א לחוק העונשין. </w:t>
      </w:r>
      <w:r w:rsidRPr="00133539">
        <w:rPr>
          <w:rFonts w:ascii="David" w:hAnsi="David" w:cs="David" w:hint="cs"/>
          <w:sz w:val="24"/>
          <w:szCs w:val="24"/>
          <w:rtl/>
        </w:rPr>
        <w:t xml:space="preserve"> על למנת שתחול העבירה הזו אחד מהיסודות הוא הצורך בטיפול נפשי, שבין היתר משמעותו הוא טיפול מתמשך. במקרה הזה ספק אם מדובר בטיפול מתמשך - כי זו הייתה רק פגישה אחת.</w:t>
      </w:r>
      <w:r w:rsidR="00133539" w:rsidRPr="00133539">
        <w:rPr>
          <w:rFonts w:ascii="David" w:hAnsi="David" w:cs="David" w:hint="cs"/>
          <w:sz w:val="24"/>
          <w:szCs w:val="24"/>
          <w:rtl/>
        </w:rPr>
        <w:t xml:space="preserve"> לא התקיימו פגישות טיפוליות לאחר פגישת </w:t>
      </w:r>
      <w:proofErr w:type="spellStart"/>
      <w:r w:rsidR="00133539" w:rsidRPr="00133539">
        <w:rPr>
          <w:rFonts w:ascii="David" w:hAnsi="David" w:cs="David" w:hint="cs"/>
          <w:sz w:val="24"/>
          <w:szCs w:val="24"/>
          <w:rtl/>
        </w:rPr>
        <w:t>האינטייק</w:t>
      </w:r>
      <w:proofErr w:type="spellEnd"/>
      <w:r w:rsidR="00133539" w:rsidRPr="00133539">
        <w:rPr>
          <w:rFonts w:ascii="David" w:hAnsi="David" w:cs="David" w:hint="cs"/>
          <w:sz w:val="24"/>
          <w:szCs w:val="24"/>
          <w:rtl/>
        </w:rPr>
        <w:t xml:space="preserve"> </w:t>
      </w:r>
      <w:r w:rsidRPr="00133539">
        <w:rPr>
          <w:rFonts w:ascii="David" w:hAnsi="David" w:cs="David" w:hint="cs"/>
          <w:sz w:val="24"/>
          <w:szCs w:val="24"/>
          <w:rtl/>
        </w:rPr>
        <w:t xml:space="preserve"> משכך, מכוח הספק ביסודות העבירה, סברה הועדה שלא נוצרה תלות נפשית ממשית. </w:t>
      </w:r>
      <w:r w:rsidR="00133539" w:rsidRPr="00133539">
        <w:rPr>
          <w:rFonts w:ascii="David" w:hAnsi="David" w:cs="David" w:hint="cs"/>
          <w:sz w:val="24"/>
          <w:szCs w:val="24"/>
          <w:rtl/>
        </w:rPr>
        <w:t xml:space="preserve"> </w:t>
      </w:r>
    </w:p>
    <w:p w14:paraId="2A47AAEF" w14:textId="77777777" w:rsidR="007C18D4" w:rsidRPr="00133539" w:rsidRDefault="007C18D4" w:rsidP="00241C02">
      <w:pPr>
        <w:pStyle w:val="a4"/>
        <w:numPr>
          <w:ilvl w:val="0"/>
          <w:numId w:val="20"/>
        </w:numPr>
        <w:spacing w:after="120" w:line="360" w:lineRule="auto"/>
        <w:ind w:left="-58"/>
        <w:jc w:val="both"/>
        <w:rPr>
          <w:rFonts w:ascii="David" w:hAnsi="David" w:cs="David"/>
          <w:sz w:val="24"/>
          <w:szCs w:val="24"/>
        </w:rPr>
      </w:pPr>
      <w:r w:rsidRPr="00133539">
        <w:rPr>
          <w:rFonts w:ascii="David" w:hAnsi="David" w:cs="David" w:hint="cs"/>
          <w:sz w:val="24"/>
          <w:szCs w:val="24"/>
          <w:rtl/>
        </w:rPr>
        <w:t xml:space="preserve">בית המשפט מדגיש כי הוא לא </w:t>
      </w:r>
      <w:proofErr w:type="spellStart"/>
      <w:r w:rsidRPr="00133539">
        <w:rPr>
          <w:rFonts w:ascii="David" w:hAnsi="David" w:cs="David" w:hint="cs"/>
          <w:sz w:val="24"/>
          <w:szCs w:val="24"/>
          <w:rtl/>
        </w:rPr>
        <w:t>עוסד</w:t>
      </w:r>
      <w:proofErr w:type="spellEnd"/>
      <w:r w:rsidRPr="00133539">
        <w:rPr>
          <w:rFonts w:ascii="David" w:hAnsi="David" w:cs="David" w:hint="cs"/>
          <w:sz w:val="24"/>
          <w:szCs w:val="24"/>
          <w:rtl/>
        </w:rPr>
        <w:t xml:space="preserve"> באשמה מוסרית. ובכל מקרה אשמה משפטית לא הוכחה. בית המשפט מכיר בחולשה האנושית המובנת. </w:t>
      </w:r>
    </w:p>
    <w:p w14:paraId="1A756147" w14:textId="77777777" w:rsidR="007C18D4" w:rsidRPr="00133539" w:rsidRDefault="007C18D4" w:rsidP="00241C02">
      <w:pPr>
        <w:pStyle w:val="a4"/>
        <w:numPr>
          <w:ilvl w:val="0"/>
          <w:numId w:val="20"/>
        </w:numPr>
        <w:spacing w:after="120" w:line="360" w:lineRule="auto"/>
        <w:ind w:left="-58"/>
        <w:jc w:val="both"/>
        <w:rPr>
          <w:rFonts w:ascii="David" w:hAnsi="David" w:cs="David"/>
          <w:sz w:val="24"/>
          <w:szCs w:val="24"/>
          <w:rtl/>
        </w:rPr>
      </w:pPr>
      <w:r w:rsidRPr="00133539">
        <w:rPr>
          <w:rFonts w:ascii="David" w:hAnsi="David" w:cs="David" w:hint="cs"/>
          <w:sz w:val="24"/>
          <w:szCs w:val="24"/>
          <w:rtl/>
        </w:rPr>
        <w:t xml:space="preserve">בית המשפט מדגיש את הזכות, או אפילו החובה שלו </w:t>
      </w:r>
      <w:proofErr w:type="spellStart"/>
      <w:r w:rsidRPr="00133539">
        <w:rPr>
          <w:rFonts w:ascii="David" w:hAnsi="David" w:cs="David" w:hint="cs"/>
          <w:sz w:val="24"/>
          <w:szCs w:val="24"/>
          <w:rtl/>
        </w:rPr>
        <w:t>לבסוק</w:t>
      </w:r>
      <w:proofErr w:type="spellEnd"/>
      <w:r w:rsidRPr="00133539">
        <w:rPr>
          <w:rFonts w:ascii="David" w:hAnsi="David" w:cs="David" w:hint="cs"/>
          <w:sz w:val="24"/>
          <w:szCs w:val="24"/>
          <w:rtl/>
        </w:rPr>
        <w:t xml:space="preserve"> את חומר הראיות שמונח בפניו בלי לכבול את ידיו להחלטת וועדת המשמעת הסטטוטורית או ההסכמית. יחד עם זאת, אין לראות בערכאה זו ערעור על קביעותיה של ועדת המשמעת. </w:t>
      </w:r>
    </w:p>
    <w:p w14:paraId="24219B17" w14:textId="77777777" w:rsidR="00267844" w:rsidRDefault="00267844" w:rsidP="00267844">
      <w:pPr>
        <w:pStyle w:val="a4"/>
        <w:spacing w:after="120" w:line="360" w:lineRule="auto"/>
        <w:ind w:left="84"/>
        <w:jc w:val="both"/>
        <w:rPr>
          <w:rFonts w:ascii="David" w:hAnsi="David" w:cs="David"/>
          <w:b/>
          <w:bCs/>
          <w:sz w:val="24"/>
          <w:szCs w:val="24"/>
          <w:u w:val="single"/>
          <w:rtl/>
        </w:rPr>
      </w:pPr>
    </w:p>
    <w:p w14:paraId="384780F8" w14:textId="77777777" w:rsidR="00D60570" w:rsidRDefault="00D60570" w:rsidP="005B32D7">
      <w:pPr>
        <w:pStyle w:val="a4"/>
        <w:spacing w:after="120" w:line="360" w:lineRule="auto"/>
        <w:ind w:left="-483"/>
        <w:jc w:val="both"/>
        <w:rPr>
          <w:rFonts w:ascii="David" w:hAnsi="David" w:cs="David"/>
          <w:b/>
          <w:bCs/>
          <w:sz w:val="24"/>
          <w:szCs w:val="24"/>
          <w:u w:val="single"/>
          <w:rtl/>
        </w:rPr>
      </w:pPr>
      <w:r w:rsidRPr="00D60570">
        <w:rPr>
          <w:rFonts w:ascii="David" w:hAnsi="David" w:cs="David" w:hint="cs"/>
          <w:b/>
          <w:bCs/>
          <w:sz w:val="24"/>
          <w:szCs w:val="24"/>
          <w:u w:val="single"/>
          <w:rtl/>
        </w:rPr>
        <w:t xml:space="preserve">בניגוד להרשעה בהליך פלילי שם הרשעה מהווה ראיה בהליך אזרחי, הרשעה בהליך משמעתי אינה מהווה ראיה באותה רמה כמו בהליך פלילי - שם זה כמעט סוף פסוק. </w:t>
      </w:r>
    </w:p>
    <w:p w14:paraId="63AA8B66" w14:textId="35B1E05A" w:rsidR="00E36FA3" w:rsidRDefault="00E47488" w:rsidP="00241C02">
      <w:pPr>
        <w:pStyle w:val="a4"/>
        <w:numPr>
          <w:ilvl w:val="6"/>
          <w:numId w:val="12"/>
        </w:numPr>
        <w:spacing w:after="120" w:line="360" w:lineRule="auto"/>
        <w:ind w:left="-341"/>
        <w:jc w:val="both"/>
        <w:rPr>
          <w:rFonts w:ascii="David" w:hAnsi="David" w:cs="David"/>
          <w:b/>
          <w:bCs/>
          <w:sz w:val="24"/>
          <w:szCs w:val="24"/>
          <w:u w:val="single"/>
        </w:rPr>
      </w:pPr>
      <w:r>
        <w:rPr>
          <w:noProof/>
        </w:rPr>
        <w:drawing>
          <wp:anchor distT="0" distB="0" distL="114300" distR="114300" simplePos="0" relativeHeight="251662336" behindDoc="0" locked="0" layoutInCell="1" allowOverlap="1" wp14:anchorId="6E503E99" wp14:editId="448263E7">
            <wp:simplePos x="0" y="0"/>
            <wp:positionH relativeFrom="margin">
              <wp:posOffset>133350</wp:posOffset>
            </wp:positionH>
            <wp:positionV relativeFrom="paragraph">
              <wp:posOffset>302895</wp:posOffset>
            </wp:positionV>
            <wp:extent cx="5410200" cy="2578735"/>
            <wp:effectExtent l="0" t="0" r="0"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7337" t="23227" r="18269" b="23108"/>
                    <a:stretch/>
                  </pic:blipFill>
                  <pic:spPr bwMode="auto">
                    <a:xfrm>
                      <a:off x="0" y="0"/>
                      <a:ext cx="5410200" cy="2578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FA3" w:rsidRPr="00E36FA3">
        <w:rPr>
          <w:rFonts w:ascii="David" w:hAnsi="David" w:cs="David" w:hint="cs"/>
          <w:b/>
          <w:bCs/>
          <w:sz w:val="24"/>
          <w:szCs w:val="24"/>
          <w:u w:val="single"/>
          <w:rtl/>
        </w:rPr>
        <w:t>תזכיר חוק שיפוט המשמעת במקצועות מוסדרים על פי דין</w:t>
      </w:r>
    </w:p>
    <w:p w14:paraId="20B2AC9C" w14:textId="03F8AFF2" w:rsidR="004B7756" w:rsidRDefault="00E47488" w:rsidP="004B7756">
      <w:pPr>
        <w:pStyle w:val="a4"/>
        <w:spacing w:after="120" w:line="360" w:lineRule="auto"/>
        <w:ind w:left="84"/>
        <w:jc w:val="center"/>
        <w:rPr>
          <w:rFonts w:ascii="David" w:hAnsi="David" w:cs="David"/>
          <w:b/>
          <w:bCs/>
          <w:sz w:val="24"/>
          <w:szCs w:val="24"/>
          <w:u w:val="single"/>
          <w:rtl/>
        </w:rPr>
      </w:pPr>
      <w:r>
        <w:rPr>
          <w:noProof/>
        </w:rPr>
        <w:drawing>
          <wp:anchor distT="0" distB="0" distL="114300" distR="114300" simplePos="0" relativeHeight="251663360" behindDoc="0" locked="0" layoutInCell="1" allowOverlap="1" wp14:anchorId="655B63BC" wp14:editId="3CE28C77">
            <wp:simplePos x="0" y="0"/>
            <wp:positionH relativeFrom="margin">
              <wp:posOffset>152400</wp:posOffset>
            </wp:positionH>
            <wp:positionV relativeFrom="paragraph">
              <wp:posOffset>2821305</wp:posOffset>
            </wp:positionV>
            <wp:extent cx="5314950" cy="2439035"/>
            <wp:effectExtent l="0" t="0" r="0" b="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024" t="22448" r="24957" b="7235"/>
                    <a:stretch/>
                  </pic:blipFill>
                  <pic:spPr bwMode="auto">
                    <a:xfrm>
                      <a:off x="0" y="0"/>
                      <a:ext cx="5314950" cy="243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51A13" w14:textId="77777777" w:rsidR="00133539" w:rsidRPr="005B32D7" w:rsidRDefault="005B32D7" w:rsidP="00A50AD2">
      <w:pPr>
        <w:pStyle w:val="a4"/>
        <w:spacing w:after="120" w:line="360" w:lineRule="auto"/>
        <w:ind w:left="-1050"/>
        <w:contextualSpacing w:val="0"/>
        <w:jc w:val="center"/>
        <w:rPr>
          <w:rFonts w:ascii="David" w:hAnsi="David" w:cs="David"/>
          <w:b/>
          <w:bCs/>
          <w:color w:val="FFC000" w:themeColor="accent4"/>
          <w:sz w:val="24"/>
          <w:szCs w:val="24"/>
          <w:u w:val="single"/>
          <w:rtl/>
        </w:rPr>
      </w:pPr>
      <w:r w:rsidRPr="005B32D7">
        <w:rPr>
          <w:rFonts w:ascii="David" w:hAnsi="David" w:cs="David" w:hint="cs"/>
          <w:b/>
          <w:bCs/>
          <w:color w:val="FFC000" w:themeColor="accent4"/>
          <w:sz w:val="24"/>
          <w:szCs w:val="24"/>
          <w:u w:val="single"/>
          <w:rtl/>
        </w:rPr>
        <w:lastRenderedPageBreak/>
        <w:t xml:space="preserve">נושא 6 לסילבוס: </w:t>
      </w:r>
      <w:r w:rsidR="004B7756" w:rsidRPr="005B32D7">
        <w:rPr>
          <w:rFonts w:ascii="David" w:hAnsi="David" w:cs="David" w:hint="cs"/>
          <w:b/>
          <w:bCs/>
          <w:color w:val="FFC000" w:themeColor="accent4"/>
          <w:sz w:val="24"/>
          <w:szCs w:val="24"/>
          <w:u w:val="single"/>
          <w:rtl/>
        </w:rPr>
        <w:t>ההיסטוריה של הקמת ערכאות המשמעת בישראל</w:t>
      </w:r>
    </w:p>
    <w:p w14:paraId="0C45F6E4" w14:textId="5D7880D9" w:rsidR="00D60570" w:rsidRPr="00D60570" w:rsidRDefault="00D60570" w:rsidP="00A50AD2">
      <w:pPr>
        <w:pStyle w:val="a4"/>
        <w:numPr>
          <w:ilvl w:val="0"/>
          <w:numId w:val="23"/>
        </w:numPr>
        <w:spacing w:after="120" w:line="360" w:lineRule="auto"/>
        <w:contextualSpacing w:val="0"/>
        <w:jc w:val="both"/>
        <w:rPr>
          <w:rFonts w:ascii="David" w:hAnsi="David" w:cs="David"/>
          <w:b/>
          <w:bCs/>
          <w:sz w:val="24"/>
          <w:szCs w:val="24"/>
        </w:rPr>
      </w:pPr>
      <w:r w:rsidRPr="00D60570">
        <w:rPr>
          <w:rFonts w:ascii="David" w:hAnsi="David" w:cs="David" w:hint="cs"/>
          <w:b/>
          <w:bCs/>
          <w:sz w:val="24"/>
          <w:szCs w:val="24"/>
          <w:rtl/>
        </w:rPr>
        <w:t>שלב א' - שנות החמישים</w:t>
      </w:r>
      <w:r>
        <w:rPr>
          <w:rFonts w:ascii="David" w:hAnsi="David" w:cs="David" w:hint="cs"/>
          <w:b/>
          <w:bCs/>
          <w:sz w:val="24"/>
          <w:szCs w:val="24"/>
          <w:rtl/>
        </w:rPr>
        <w:t xml:space="preserve"> - </w:t>
      </w:r>
      <w:r w:rsidR="00CD7F3B">
        <w:rPr>
          <w:rFonts w:ascii="David" w:hAnsi="David" w:cs="David" w:hint="cs"/>
          <w:sz w:val="24"/>
          <w:szCs w:val="24"/>
          <w:rtl/>
        </w:rPr>
        <w:t xml:space="preserve"> לפני קום המדינה:  פיטורים על פי שיקול דעת. עם הקמת המדינה כללי המשחק השתנו בגלל הכוח הרב שהיה בידי האיגודים המ</w:t>
      </w:r>
      <w:r w:rsidR="00E33CD7">
        <w:rPr>
          <w:rFonts w:ascii="David" w:hAnsi="David" w:cs="David" w:hint="cs"/>
          <w:sz w:val="24"/>
          <w:szCs w:val="24"/>
          <w:rtl/>
        </w:rPr>
        <w:t>ק</w:t>
      </w:r>
      <w:r w:rsidR="00CD7F3B">
        <w:rPr>
          <w:rFonts w:ascii="David" w:hAnsi="David" w:cs="David" w:hint="cs"/>
          <w:sz w:val="24"/>
          <w:szCs w:val="24"/>
          <w:rtl/>
        </w:rPr>
        <w:t>צוע</w:t>
      </w:r>
      <w:r w:rsidR="00E33CD7">
        <w:rPr>
          <w:rFonts w:ascii="David" w:hAnsi="David" w:cs="David" w:hint="cs"/>
          <w:sz w:val="24"/>
          <w:szCs w:val="24"/>
          <w:rtl/>
        </w:rPr>
        <w:t>י</w:t>
      </w:r>
      <w:r w:rsidR="00CD7F3B">
        <w:rPr>
          <w:rFonts w:ascii="David" w:hAnsi="David" w:cs="David" w:hint="cs"/>
          <w:sz w:val="24"/>
          <w:szCs w:val="24"/>
          <w:rtl/>
        </w:rPr>
        <w:t xml:space="preserve">ים. יחד עם זאת, צריך היה להקים מסגרת מעין שיפוטית שתוכל לדון ולנקוט סנקציות נגד עובדים שסטו מהדרך הישרה. המנגנון שפותח הוא ערכאות המשמעת - לפטר את מי שסרח ומאידך שלא תהיה שרירות בהחלטה. </w:t>
      </w:r>
    </w:p>
    <w:p w14:paraId="731D2DD7" w14:textId="77777777" w:rsidR="00D60570" w:rsidRPr="00D60570" w:rsidRDefault="00D60570" w:rsidP="00A50AD2">
      <w:pPr>
        <w:pStyle w:val="a4"/>
        <w:numPr>
          <w:ilvl w:val="0"/>
          <w:numId w:val="23"/>
        </w:numPr>
        <w:spacing w:after="120" w:line="360" w:lineRule="auto"/>
        <w:contextualSpacing w:val="0"/>
        <w:jc w:val="both"/>
        <w:rPr>
          <w:rFonts w:ascii="David" w:hAnsi="David" w:cs="David"/>
          <w:b/>
          <w:bCs/>
          <w:sz w:val="24"/>
          <w:szCs w:val="24"/>
        </w:rPr>
      </w:pPr>
      <w:r w:rsidRPr="00D60570">
        <w:rPr>
          <w:rFonts w:ascii="David" w:hAnsi="David" w:cs="David" w:hint="cs"/>
          <w:b/>
          <w:bCs/>
          <w:sz w:val="24"/>
          <w:szCs w:val="24"/>
          <w:rtl/>
        </w:rPr>
        <w:t>שלב ב' - שנות ה-60-80</w:t>
      </w:r>
      <w:r>
        <w:rPr>
          <w:rFonts w:ascii="David" w:hAnsi="David" w:cs="David" w:hint="cs"/>
          <w:b/>
          <w:bCs/>
          <w:sz w:val="24"/>
          <w:szCs w:val="24"/>
          <w:rtl/>
        </w:rPr>
        <w:t xml:space="preserve"> - </w:t>
      </w:r>
      <w:r w:rsidRPr="00D60570">
        <w:rPr>
          <w:rFonts w:ascii="David" w:hAnsi="David" w:cs="David" w:hint="cs"/>
          <w:sz w:val="24"/>
          <w:szCs w:val="24"/>
          <w:rtl/>
        </w:rPr>
        <w:t xml:space="preserve">נטייה לקבוע שהוראת החוק היא דיספוזיטיבית. </w:t>
      </w:r>
      <w:r w:rsidR="00E33CD7" w:rsidRPr="00E33CD7">
        <w:rPr>
          <w:rFonts w:ascii="David" w:hAnsi="David" w:cs="David" w:hint="cs"/>
          <w:sz w:val="24"/>
          <w:szCs w:val="24"/>
          <w:rtl/>
        </w:rPr>
        <w:t>פרופסיות כמו עו"ד ורואי חשבון שהתחילו למצב את עצמם בחברה כמקצועות נחשבים אקדמאיים מצריכי רישיון. הקימו ערכאות שמחד לא אפשרו לכל אחד לה</w:t>
      </w:r>
      <w:r w:rsidR="00E33CD7">
        <w:rPr>
          <w:rFonts w:ascii="David" w:hAnsi="David" w:cs="David" w:hint="cs"/>
          <w:sz w:val="24"/>
          <w:szCs w:val="24"/>
          <w:rtl/>
        </w:rPr>
        <w:t>י</w:t>
      </w:r>
      <w:r w:rsidR="00E33CD7" w:rsidRPr="00E33CD7">
        <w:rPr>
          <w:rFonts w:ascii="David" w:hAnsi="David" w:cs="David" w:hint="cs"/>
          <w:sz w:val="24"/>
          <w:szCs w:val="24"/>
          <w:rtl/>
        </w:rPr>
        <w:t>כנס למקצוע, וישמרו על רף התנהגות ל מי שרוצה לה</w:t>
      </w:r>
      <w:r w:rsidR="00E33CD7">
        <w:rPr>
          <w:rFonts w:ascii="David" w:hAnsi="David" w:cs="David" w:hint="cs"/>
          <w:sz w:val="24"/>
          <w:szCs w:val="24"/>
          <w:rtl/>
        </w:rPr>
        <w:t>י</w:t>
      </w:r>
      <w:r w:rsidR="00E33CD7" w:rsidRPr="00E33CD7">
        <w:rPr>
          <w:rFonts w:ascii="David" w:hAnsi="David" w:cs="David" w:hint="cs"/>
          <w:sz w:val="24"/>
          <w:szCs w:val="24"/>
          <w:rtl/>
        </w:rPr>
        <w:t xml:space="preserve">כנס לפרופסיה. הפרופסיות עצמן הן שהקימו את הערכאות המתאימות, לשמור על הדר המקצוע ומאידך - שמירה על הפרופסיה. </w:t>
      </w:r>
    </w:p>
    <w:p w14:paraId="417486F8" w14:textId="61D70DBC" w:rsidR="00D60570" w:rsidRPr="00D60570" w:rsidRDefault="00D60570" w:rsidP="00A50AD2">
      <w:pPr>
        <w:pStyle w:val="a4"/>
        <w:numPr>
          <w:ilvl w:val="0"/>
          <w:numId w:val="23"/>
        </w:numPr>
        <w:spacing w:after="120" w:line="360" w:lineRule="auto"/>
        <w:contextualSpacing w:val="0"/>
        <w:jc w:val="both"/>
        <w:rPr>
          <w:rFonts w:ascii="David" w:hAnsi="David" w:cs="David"/>
          <w:b/>
          <w:bCs/>
          <w:sz w:val="24"/>
          <w:szCs w:val="24"/>
          <w:rtl/>
        </w:rPr>
      </w:pPr>
      <w:r w:rsidRPr="00D60570">
        <w:rPr>
          <w:rFonts w:ascii="David" w:hAnsi="David" w:cs="David" w:hint="cs"/>
          <w:b/>
          <w:bCs/>
          <w:sz w:val="24"/>
          <w:szCs w:val="24"/>
          <w:rtl/>
        </w:rPr>
        <w:t xml:space="preserve">שלב ג' - שנות ה-90 ואילך </w:t>
      </w:r>
      <w:r>
        <w:rPr>
          <w:rFonts w:ascii="David" w:hAnsi="David" w:cs="David" w:hint="cs"/>
          <w:b/>
          <w:bCs/>
          <w:sz w:val="24"/>
          <w:szCs w:val="24"/>
          <w:rtl/>
        </w:rPr>
        <w:t xml:space="preserve">- </w:t>
      </w:r>
      <w:r w:rsidRPr="00D60570">
        <w:rPr>
          <w:rFonts w:ascii="David" w:hAnsi="David" w:cs="David" w:hint="cs"/>
          <w:sz w:val="24"/>
          <w:szCs w:val="24"/>
          <w:rtl/>
        </w:rPr>
        <w:t>נטייה לקבוע שהוראת החוק היא קוגנטית.</w:t>
      </w:r>
      <w:r>
        <w:rPr>
          <w:rFonts w:ascii="David" w:hAnsi="David" w:cs="David" w:hint="cs"/>
          <w:b/>
          <w:bCs/>
          <w:sz w:val="24"/>
          <w:szCs w:val="24"/>
          <w:rtl/>
        </w:rPr>
        <w:t xml:space="preserve"> </w:t>
      </w:r>
      <w:r w:rsidR="00E33CD7">
        <w:rPr>
          <w:rFonts w:ascii="David" w:hAnsi="David" w:cs="David" w:hint="cs"/>
          <w:b/>
          <w:bCs/>
          <w:sz w:val="24"/>
          <w:szCs w:val="24"/>
          <w:rtl/>
        </w:rPr>
        <w:t xml:space="preserve"> </w:t>
      </w:r>
      <w:r w:rsidR="00E33CD7" w:rsidRPr="00A678A4">
        <w:rPr>
          <w:rFonts w:ascii="David" w:hAnsi="David" w:cs="David" w:hint="cs"/>
          <w:sz w:val="24"/>
          <w:szCs w:val="24"/>
          <w:rtl/>
        </w:rPr>
        <w:t>התהפכות היוצרות: לא הפרופסיות מבקשות להקים לעצמן ערכאות משמעת וכללי אתיקה, אלא הציבור אומר שאי אפשר להמשיך בצורה הזו, אלא שצריך פיקוח: גוף ציבורי, ועדה ציבורית, חברי כנסת, שרים או מבית המשפט עצמו (הסדרת הרפואה האלטרנטיבית למשל). הקמת ערכאות משמעת כתוצאה מלחץ ציבורי, שיש להדיר את המקצוע ולדרוש מעוסק במקצוע לקבל רישיון כחוק ולה</w:t>
      </w:r>
      <w:r w:rsidR="00011D82">
        <w:rPr>
          <w:rFonts w:ascii="David" w:hAnsi="David" w:cs="David" w:hint="cs"/>
          <w:sz w:val="24"/>
          <w:szCs w:val="24"/>
          <w:rtl/>
        </w:rPr>
        <w:t>י</w:t>
      </w:r>
      <w:r w:rsidR="00E33CD7" w:rsidRPr="00A678A4">
        <w:rPr>
          <w:rFonts w:ascii="David" w:hAnsi="David" w:cs="David" w:hint="cs"/>
          <w:sz w:val="24"/>
          <w:szCs w:val="24"/>
          <w:rtl/>
        </w:rPr>
        <w:t>שמע ככללי אתיקה. ומי שלא יעמוד בכך, יוכלו לשלול לו את הר</w:t>
      </w:r>
      <w:r w:rsidR="00011D82">
        <w:rPr>
          <w:rFonts w:ascii="David" w:hAnsi="David" w:cs="David" w:hint="cs"/>
          <w:sz w:val="24"/>
          <w:szCs w:val="24"/>
          <w:rtl/>
        </w:rPr>
        <w:t>י</w:t>
      </w:r>
      <w:r w:rsidR="00E33CD7" w:rsidRPr="00A678A4">
        <w:rPr>
          <w:rFonts w:ascii="David" w:hAnsi="David" w:cs="David" w:hint="cs"/>
          <w:sz w:val="24"/>
          <w:szCs w:val="24"/>
          <w:rtl/>
        </w:rPr>
        <w:t xml:space="preserve">שיון. כך מתווכים וחוקרים פרטיים קיבלו דין משמעתי. </w:t>
      </w:r>
    </w:p>
    <w:p w14:paraId="2E6AA74B" w14:textId="77777777" w:rsidR="005B32D7" w:rsidRDefault="005B32D7" w:rsidP="004B7756">
      <w:pPr>
        <w:pStyle w:val="a4"/>
        <w:spacing w:after="120" w:line="360" w:lineRule="auto"/>
        <w:ind w:left="84"/>
        <w:jc w:val="center"/>
        <w:rPr>
          <w:rFonts w:ascii="David" w:hAnsi="David" w:cs="David"/>
          <w:b/>
          <w:bCs/>
          <w:sz w:val="24"/>
          <w:szCs w:val="24"/>
          <w:u w:val="single"/>
          <w:rtl/>
        </w:rPr>
      </w:pPr>
    </w:p>
    <w:p w14:paraId="4CA0C1DC" w14:textId="77777777" w:rsidR="00562A33" w:rsidRPr="00562A33" w:rsidRDefault="00562A33" w:rsidP="004B7756">
      <w:pPr>
        <w:pStyle w:val="a4"/>
        <w:spacing w:after="120" w:line="360" w:lineRule="auto"/>
        <w:ind w:left="84"/>
        <w:jc w:val="center"/>
        <w:rPr>
          <w:rFonts w:ascii="David" w:hAnsi="David" w:cs="David"/>
          <w:b/>
          <w:bCs/>
          <w:color w:val="4472C4" w:themeColor="accent1"/>
          <w:sz w:val="24"/>
          <w:szCs w:val="24"/>
          <w:u w:val="single"/>
          <w:rtl/>
        </w:rPr>
      </w:pPr>
      <w:r w:rsidRPr="00562A33">
        <w:rPr>
          <w:rFonts w:ascii="David" w:hAnsi="David" w:cs="David" w:hint="cs"/>
          <w:b/>
          <w:bCs/>
          <w:color w:val="4472C4" w:themeColor="accent1"/>
          <w:sz w:val="24"/>
          <w:szCs w:val="24"/>
          <w:u w:val="single"/>
          <w:rtl/>
        </w:rPr>
        <w:t>חלק ג' לקורס: בתי הדין המשמעתיים של לשכת עורכי הדין</w:t>
      </w:r>
    </w:p>
    <w:p w14:paraId="4E39F80D" w14:textId="77777777" w:rsidR="004B7756" w:rsidRPr="00562A33" w:rsidRDefault="00562A33" w:rsidP="004B7756">
      <w:pPr>
        <w:pStyle w:val="a4"/>
        <w:spacing w:after="120" w:line="360" w:lineRule="auto"/>
        <w:ind w:left="84"/>
        <w:jc w:val="center"/>
        <w:rPr>
          <w:rFonts w:ascii="David" w:hAnsi="David" w:cs="David"/>
          <w:b/>
          <w:bCs/>
          <w:color w:val="FFC000" w:themeColor="accent4"/>
          <w:sz w:val="24"/>
          <w:szCs w:val="24"/>
          <w:u w:val="single"/>
          <w:rtl/>
        </w:rPr>
      </w:pPr>
      <w:r w:rsidRPr="00562A33">
        <w:rPr>
          <w:rFonts w:ascii="David" w:hAnsi="David" w:cs="David" w:hint="cs"/>
          <w:b/>
          <w:bCs/>
          <w:color w:val="FFC000" w:themeColor="accent4"/>
          <w:sz w:val="24"/>
          <w:szCs w:val="24"/>
          <w:u w:val="single"/>
          <w:rtl/>
        </w:rPr>
        <w:t xml:space="preserve">נושא 8 לסילבוס: </w:t>
      </w:r>
      <w:r w:rsidR="004B7756" w:rsidRPr="00562A33">
        <w:rPr>
          <w:rFonts w:ascii="David" w:hAnsi="David" w:cs="David" w:hint="cs"/>
          <w:b/>
          <w:bCs/>
          <w:color w:val="FFC000" w:themeColor="accent4"/>
          <w:sz w:val="24"/>
          <w:szCs w:val="24"/>
          <w:u w:val="single"/>
          <w:rtl/>
        </w:rPr>
        <w:t>ההיסטוריה של הקמת לשכת עורכי הדין</w:t>
      </w:r>
    </w:p>
    <w:p w14:paraId="20EDF07A" w14:textId="2895958C" w:rsidR="004B7756" w:rsidRPr="005419C0" w:rsidRDefault="005419C0" w:rsidP="001D3415">
      <w:pPr>
        <w:pStyle w:val="a4"/>
        <w:spacing w:after="120" w:line="360" w:lineRule="auto"/>
        <w:ind w:left="-766"/>
        <w:contextualSpacing w:val="0"/>
        <w:jc w:val="both"/>
        <w:rPr>
          <w:rFonts w:ascii="David" w:hAnsi="David" w:cs="David"/>
          <w:b/>
          <w:bCs/>
          <w:sz w:val="24"/>
          <w:szCs w:val="24"/>
          <w:rtl/>
        </w:rPr>
      </w:pPr>
      <w:r w:rsidRPr="005419C0">
        <w:rPr>
          <w:rFonts w:ascii="David" w:hAnsi="David" w:cs="David" w:hint="cs"/>
          <w:b/>
          <w:bCs/>
          <w:sz w:val="24"/>
          <w:szCs w:val="24"/>
          <w:rtl/>
        </w:rPr>
        <w:t>תאריכי מפתח:</w:t>
      </w:r>
    </w:p>
    <w:p w14:paraId="632F456B" w14:textId="77777777" w:rsidR="005419C0" w:rsidRPr="005419C0" w:rsidRDefault="005419C0" w:rsidP="001D3415">
      <w:pPr>
        <w:pStyle w:val="a4"/>
        <w:numPr>
          <w:ilvl w:val="0"/>
          <w:numId w:val="24"/>
        </w:numPr>
        <w:spacing w:after="120" w:line="360" w:lineRule="auto"/>
        <w:ind w:left="-766"/>
        <w:contextualSpacing w:val="0"/>
        <w:jc w:val="both"/>
        <w:rPr>
          <w:rFonts w:ascii="David" w:hAnsi="David" w:cs="David"/>
          <w:sz w:val="24"/>
          <w:szCs w:val="24"/>
        </w:rPr>
      </w:pPr>
      <w:r w:rsidRPr="005419C0">
        <w:rPr>
          <w:rFonts w:ascii="David" w:hAnsi="David" w:cs="David" w:hint="cs"/>
          <w:b/>
          <w:bCs/>
          <w:sz w:val="24"/>
          <w:szCs w:val="24"/>
          <w:rtl/>
        </w:rPr>
        <w:t xml:space="preserve">עד 1918 - </w:t>
      </w:r>
      <w:r w:rsidRPr="005419C0">
        <w:rPr>
          <w:rFonts w:ascii="David" w:hAnsi="David" w:cs="David" w:hint="cs"/>
          <w:sz w:val="24"/>
          <w:szCs w:val="24"/>
          <w:rtl/>
        </w:rPr>
        <w:t xml:space="preserve">התקופה </w:t>
      </w:r>
      <w:proofErr w:type="spellStart"/>
      <w:r w:rsidRPr="005419C0">
        <w:rPr>
          <w:rFonts w:ascii="David" w:hAnsi="David" w:cs="David" w:hint="cs"/>
          <w:sz w:val="24"/>
          <w:szCs w:val="24"/>
          <w:rtl/>
        </w:rPr>
        <w:t>המסלמית</w:t>
      </w:r>
      <w:proofErr w:type="spellEnd"/>
      <w:r w:rsidRPr="005419C0">
        <w:rPr>
          <w:rFonts w:ascii="David" w:hAnsi="David" w:cs="David" w:hint="cs"/>
          <w:sz w:val="24"/>
          <w:szCs w:val="24"/>
          <w:rtl/>
        </w:rPr>
        <w:t xml:space="preserve"> </w:t>
      </w:r>
      <w:proofErr w:type="spellStart"/>
      <w:r w:rsidRPr="005419C0">
        <w:rPr>
          <w:rFonts w:ascii="David" w:hAnsi="David" w:cs="David" w:hint="cs"/>
          <w:sz w:val="24"/>
          <w:szCs w:val="24"/>
          <w:rtl/>
        </w:rPr>
        <w:t>העותמאנית</w:t>
      </w:r>
      <w:proofErr w:type="spellEnd"/>
      <w:r w:rsidRPr="005419C0">
        <w:rPr>
          <w:rFonts w:ascii="David" w:hAnsi="David" w:cs="David" w:hint="cs"/>
          <w:sz w:val="24"/>
          <w:szCs w:val="24"/>
          <w:rtl/>
        </w:rPr>
        <w:t xml:space="preserve"> - השפעה דתית מוסלמית, לפי  הדין הדתי המוסלמי, כל אדם יכול לייצג אדם אחר בערכאות שיפוטיות וכל אחד יכול לייצג את </w:t>
      </w:r>
      <w:proofErr w:type="spellStart"/>
      <w:r w:rsidRPr="005419C0">
        <w:rPr>
          <w:rFonts w:ascii="David" w:hAnsi="David" w:cs="David" w:hint="cs"/>
          <w:sz w:val="24"/>
          <w:szCs w:val="24"/>
          <w:rtl/>
        </w:rPr>
        <w:t>עצמומ</w:t>
      </w:r>
      <w:proofErr w:type="spellEnd"/>
      <w:r w:rsidRPr="005419C0">
        <w:rPr>
          <w:rFonts w:ascii="David" w:hAnsi="David" w:cs="David" w:hint="cs"/>
          <w:sz w:val="24"/>
          <w:szCs w:val="24"/>
          <w:rtl/>
        </w:rPr>
        <w:t xml:space="preserve">. לאחר מכן, מהפכת התורכים - מושפע מהמשפט הצרפתי ולאחר מכן הצרפתי, המג'לה אפשר ייצוג של אדם אחר את חברו. כל מי שידע קרוא וכתוב יכל להחתים אותו על ייפוי כוח, שהיה צריך להיות מאושר על ידי בית המשפט בתאריך פורמאלי, אך הוא לא בדק את כשירות האדם לייצג, אלא את נכונות האדם המיוצג לתת למישהו אחר לייצג אותו. </w:t>
      </w:r>
    </w:p>
    <w:p w14:paraId="2787168E" w14:textId="77777777" w:rsidR="005419C0" w:rsidRPr="005419C0" w:rsidRDefault="005419C0" w:rsidP="001D3415">
      <w:pPr>
        <w:pStyle w:val="a4"/>
        <w:numPr>
          <w:ilvl w:val="0"/>
          <w:numId w:val="24"/>
        </w:numPr>
        <w:spacing w:after="120" w:line="360" w:lineRule="auto"/>
        <w:ind w:left="-766"/>
        <w:contextualSpacing w:val="0"/>
        <w:jc w:val="both"/>
        <w:rPr>
          <w:rFonts w:ascii="David" w:hAnsi="David" w:cs="David"/>
          <w:b/>
          <w:bCs/>
          <w:sz w:val="24"/>
          <w:szCs w:val="24"/>
        </w:rPr>
      </w:pPr>
      <w:r w:rsidRPr="005419C0">
        <w:rPr>
          <w:rFonts w:ascii="David" w:hAnsi="David" w:cs="David" w:hint="cs"/>
          <w:b/>
          <w:bCs/>
          <w:sz w:val="24"/>
          <w:szCs w:val="24"/>
          <w:rtl/>
        </w:rPr>
        <w:t xml:space="preserve">1918 - </w:t>
      </w:r>
      <w:r w:rsidRPr="005419C0">
        <w:rPr>
          <w:rFonts w:ascii="David" w:hAnsi="David" w:cs="David" w:hint="cs"/>
          <w:sz w:val="24"/>
          <w:szCs w:val="24"/>
          <w:rtl/>
        </w:rPr>
        <w:t xml:space="preserve">מגיעים הבריטיים לארץ - לא מבינים את מערכתה משפט התורכית, </w:t>
      </w:r>
      <w:proofErr w:type="spellStart"/>
      <w:r w:rsidRPr="005419C0">
        <w:rPr>
          <w:rFonts w:ascii="David" w:hAnsi="David" w:cs="David" w:hint="cs"/>
          <w:sz w:val="24"/>
          <w:szCs w:val="24"/>
          <w:rtl/>
        </w:rPr>
        <w:t>ומרפיעה</w:t>
      </w:r>
      <w:proofErr w:type="spellEnd"/>
      <w:r w:rsidRPr="005419C0">
        <w:rPr>
          <w:rFonts w:ascii="David" w:hAnsi="David" w:cs="David" w:hint="cs"/>
          <w:sz w:val="24"/>
          <w:szCs w:val="24"/>
          <w:rtl/>
        </w:rPr>
        <w:t xml:space="preserve"> להם האפשרות </w:t>
      </w:r>
      <w:proofErr w:type="spellStart"/>
      <w:r w:rsidRPr="005419C0">
        <w:rPr>
          <w:rFonts w:ascii="David" w:hAnsi="David" w:cs="David" w:hint="cs"/>
          <w:sz w:val="24"/>
          <w:szCs w:val="24"/>
          <w:rtl/>
        </w:rPr>
        <w:t>שלכ</w:t>
      </w:r>
      <w:proofErr w:type="spellEnd"/>
      <w:r w:rsidRPr="005419C0">
        <w:rPr>
          <w:rFonts w:ascii="David" w:hAnsi="David" w:cs="David" w:hint="cs"/>
          <w:sz w:val="24"/>
          <w:szCs w:val="24"/>
          <w:rtl/>
        </w:rPr>
        <w:t xml:space="preserve"> אדם יכול לייצג בבית מפט. חוטפים הלם תרבות, ומשנים אותו. רואים בזה תוהו ובוהו משפטי ופועלים לשינוי המצב.</w:t>
      </w:r>
    </w:p>
    <w:p w14:paraId="047902A8" w14:textId="77777777" w:rsidR="005419C0" w:rsidRPr="005419C0" w:rsidRDefault="005419C0" w:rsidP="001D3415">
      <w:pPr>
        <w:pStyle w:val="a4"/>
        <w:numPr>
          <w:ilvl w:val="0"/>
          <w:numId w:val="24"/>
        </w:numPr>
        <w:spacing w:after="120" w:line="360" w:lineRule="auto"/>
        <w:ind w:left="-766"/>
        <w:contextualSpacing w:val="0"/>
        <w:jc w:val="both"/>
        <w:rPr>
          <w:rFonts w:ascii="David" w:hAnsi="David" w:cs="David"/>
          <w:b/>
          <w:bCs/>
          <w:sz w:val="24"/>
          <w:szCs w:val="24"/>
        </w:rPr>
      </w:pPr>
      <w:r w:rsidRPr="005419C0">
        <w:rPr>
          <w:rFonts w:ascii="David" w:hAnsi="David" w:cs="David" w:hint="cs"/>
          <w:b/>
          <w:bCs/>
          <w:sz w:val="24"/>
          <w:szCs w:val="24"/>
          <w:rtl/>
        </w:rPr>
        <w:t xml:space="preserve">1920 - </w:t>
      </w:r>
      <w:r w:rsidRPr="005419C0">
        <w:rPr>
          <w:rFonts w:ascii="David" w:hAnsi="David" w:cs="David" w:hint="cs"/>
          <w:sz w:val="24"/>
          <w:szCs w:val="24"/>
          <w:rtl/>
        </w:rPr>
        <w:t>נפתח בירושלים בית ספר למשפטים והלימודים נחלקו לשניים:</w:t>
      </w:r>
    </w:p>
    <w:p w14:paraId="31679BEF" w14:textId="77777777" w:rsidR="005419C0" w:rsidRPr="005419C0" w:rsidRDefault="005419C0" w:rsidP="001D3415">
      <w:pPr>
        <w:pStyle w:val="a4"/>
        <w:numPr>
          <w:ilvl w:val="1"/>
          <w:numId w:val="24"/>
        </w:numPr>
        <w:spacing w:after="120" w:line="360" w:lineRule="auto"/>
        <w:ind w:left="-341"/>
        <w:contextualSpacing w:val="0"/>
        <w:jc w:val="both"/>
        <w:rPr>
          <w:rFonts w:ascii="David" w:hAnsi="David" w:cs="David"/>
          <w:b/>
          <w:bCs/>
          <w:sz w:val="24"/>
          <w:szCs w:val="24"/>
        </w:rPr>
      </w:pPr>
      <w:r w:rsidRPr="005419C0">
        <w:rPr>
          <w:rFonts w:ascii="David" w:hAnsi="David" w:cs="David" w:hint="cs"/>
          <w:b/>
          <w:bCs/>
          <w:sz w:val="24"/>
          <w:szCs w:val="24"/>
          <w:rtl/>
        </w:rPr>
        <w:t xml:space="preserve">חלק ראשון - </w:t>
      </w:r>
      <w:r w:rsidRPr="005419C0">
        <w:rPr>
          <w:rFonts w:ascii="David" w:hAnsi="David" w:cs="David" w:hint="cs"/>
          <w:sz w:val="24"/>
          <w:szCs w:val="24"/>
          <w:rtl/>
        </w:rPr>
        <w:t>למידה בערבית ועברית - מג'לה, וחוקים</w:t>
      </w:r>
    </w:p>
    <w:p w14:paraId="6ED5DC70" w14:textId="77777777" w:rsidR="005419C0" w:rsidRPr="005419C0" w:rsidRDefault="005419C0" w:rsidP="001D3415">
      <w:pPr>
        <w:pStyle w:val="a4"/>
        <w:numPr>
          <w:ilvl w:val="1"/>
          <w:numId w:val="24"/>
        </w:numPr>
        <w:spacing w:after="120" w:line="360" w:lineRule="auto"/>
        <w:ind w:left="-341"/>
        <w:contextualSpacing w:val="0"/>
        <w:jc w:val="both"/>
        <w:rPr>
          <w:rFonts w:ascii="David" w:hAnsi="David" w:cs="David"/>
          <w:b/>
          <w:bCs/>
          <w:sz w:val="24"/>
          <w:szCs w:val="24"/>
        </w:rPr>
      </w:pPr>
      <w:r w:rsidRPr="005419C0">
        <w:rPr>
          <w:rFonts w:ascii="David" w:hAnsi="David" w:cs="David" w:hint="cs"/>
          <w:b/>
          <w:bCs/>
          <w:sz w:val="24"/>
          <w:szCs w:val="24"/>
          <w:rtl/>
        </w:rPr>
        <w:t xml:space="preserve">חלק שני - </w:t>
      </w:r>
      <w:r w:rsidRPr="005419C0">
        <w:rPr>
          <w:rFonts w:ascii="David" w:hAnsi="David" w:cs="David" w:hint="cs"/>
          <w:sz w:val="24"/>
          <w:szCs w:val="24"/>
          <w:rtl/>
        </w:rPr>
        <w:t>שלב שני כדי לקבל דיפלומה, אליו התקבלו רק דוברי אנגלית: דיני חוזים וכו'.</w:t>
      </w:r>
    </w:p>
    <w:p w14:paraId="1D76B2DF" w14:textId="77777777" w:rsidR="005419C0" w:rsidRDefault="005419C0" w:rsidP="001D3415">
      <w:pPr>
        <w:pStyle w:val="a4"/>
        <w:numPr>
          <w:ilvl w:val="0"/>
          <w:numId w:val="24"/>
        </w:numPr>
        <w:spacing w:after="120" w:line="360" w:lineRule="auto"/>
        <w:ind w:left="-766"/>
        <w:contextualSpacing w:val="0"/>
        <w:jc w:val="both"/>
        <w:rPr>
          <w:rFonts w:ascii="David" w:hAnsi="David" w:cs="David"/>
          <w:sz w:val="24"/>
          <w:szCs w:val="24"/>
        </w:rPr>
      </w:pPr>
      <w:r w:rsidRPr="005419C0">
        <w:rPr>
          <w:rFonts w:ascii="David" w:hAnsi="David" w:cs="David" w:hint="cs"/>
          <w:b/>
          <w:bCs/>
          <w:sz w:val="24"/>
          <w:szCs w:val="24"/>
          <w:rtl/>
        </w:rPr>
        <w:t xml:space="preserve">1922 - </w:t>
      </w:r>
      <w:r w:rsidRPr="005419C0">
        <w:rPr>
          <w:rFonts w:ascii="David" w:hAnsi="David" w:cs="David" w:hint="cs"/>
          <w:sz w:val="24"/>
          <w:szCs w:val="24"/>
          <w:rtl/>
        </w:rPr>
        <w:t>הנציב העליון מחוקק את פקודת עורכי הידן הראשונה. הם מקימים את מועצת המשפט שהייתה מורכבת מפקידים אנגלים ועורכי דין שקבעה שרק לעורך דין מותר לייצג בבית משפט. קובעת מי יכול להיות עורך דין גם וקובעת כללים אתיים.</w:t>
      </w:r>
    </w:p>
    <w:p w14:paraId="6DB8C3FD" w14:textId="77777777" w:rsidR="005419C0" w:rsidRPr="005419C0" w:rsidRDefault="005419C0" w:rsidP="001D3415">
      <w:pPr>
        <w:pStyle w:val="a4"/>
        <w:numPr>
          <w:ilvl w:val="0"/>
          <w:numId w:val="24"/>
        </w:numPr>
        <w:spacing w:after="120" w:line="360" w:lineRule="auto"/>
        <w:ind w:left="-766"/>
        <w:contextualSpacing w:val="0"/>
        <w:jc w:val="both"/>
        <w:rPr>
          <w:rFonts w:ascii="David" w:hAnsi="David" w:cs="David"/>
          <w:sz w:val="24"/>
          <w:szCs w:val="24"/>
        </w:rPr>
      </w:pPr>
      <w:r w:rsidRPr="005419C0">
        <w:rPr>
          <w:rFonts w:ascii="David" w:hAnsi="David" w:cs="David" w:hint="cs"/>
          <w:b/>
          <w:bCs/>
          <w:sz w:val="24"/>
          <w:szCs w:val="24"/>
          <w:rtl/>
        </w:rPr>
        <w:lastRenderedPageBreak/>
        <w:t xml:space="preserve">1928 - </w:t>
      </w:r>
      <w:r>
        <w:rPr>
          <w:rFonts w:ascii="David" w:hAnsi="David" w:cs="David" w:hint="cs"/>
          <w:sz w:val="24"/>
          <w:szCs w:val="24"/>
          <w:rtl/>
        </w:rPr>
        <w:t xml:space="preserve">מוקמת בארץ ישראל המנדטורית </w:t>
      </w:r>
      <w:proofErr w:type="spellStart"/>
      <w:r>
        <w:rPr>
          <w:rFonts w:ascii="David" w:hAnsi="David" w:cs="David" w:hint="cs"/>
          <w:sz w:val="24"/>
          <w:szCs w:val="24"/>
          <w:rtl/>
        </w:rPr>
        <w:t>התרגדות</w:t>
      </w:r>
      <w:proofErr w:type="spellEnd"/>
      <w:r>
        <w:rPr>
          <w:rFonts w:ascii="David" w:hAnsi="David" w:cs="David" w:hint="cs"/>
          <w:sz w:val="24"/>
          <w:szCs w:val="24"/>
          <w:rtl/>
        </w:rPr>
        <w:t xml:space="preserve"> עורכי הדין בישראל. התאגדות </w:t>
      </w:r>
      <w:proofErr w:type="spellStart"/>
      <w:r>
        <w:rPr>
          <w:rFonts w:ascii="David" w:hAnsi="David" w:cs="David" w:hint="cs"/>
          <w:sz w:val="24"/>
          <w:szCs w:val="24"/>
          <w:rtl/>
        </w:rPr>
        <w:t>וולנטרית</w:t>
      </w:r>
      <w:proofErr w:type="spellEnd"/>
      <w:r>
        <w:rPr>
          <w:rFonts w:ascii="David" w:hAnsi="David" w:cs="David" w:hint="cs"/>
          <w:sz w:val="24"/>
          <w:szCs w:val="24"/>
          <w:rtl/>
        </w:rPr>
        <w:t xml:space="preserve"> - רוצה, נרשם. א רוצה, לא נרשם. כנ"ל לגבי כללי האתיקה. מי שלא חבר, לא היה חייב לקיים את כללי האתיקה. ברטוריקה וולנטרי זה יפה. אבל ביישוב הקטן פה, לא היה מקובל שעו"ד יוציא את עצמו ויגיד שהוא לא חלק מהסתדרות עורכי הדין ולקיים את כללי האתיקה, שכלל בין היתר: כתיבה בעברית ולא בגרמנית. שלטים בעברית, חוזים בעברית. חלק מהתפיסה של המדינה שבדרך.  בוועידה הראשונה, מה שהעסיק אותם: מעמד האישה. הפקודה מ-1922 לא אפשרה לנשים להופיע בבתי משפט - התפיסה הפמיניסטית של יהודים בארץ ישראל הייתה קיימת כבר אז, והם נחמו מול הנציב העליון נגד האפליה הזו. ממילא הדרגה היא אותה דרגה (כולם </w:t>
      </w:r>
      <w:proofErr w:type="spellStart"/>
      <w:r>
        <w:rPr>
          <w:rFonts w:ascii="David" w:hAnsi="David" w:cs="David" w:hint="cs"/>
          <w:sz w:val="24"/>
          <w:szCs w:val="24"/>
          <w:rtl/>
        </w:rPr>
        <w:t>סוליסיטרס</w:t>
      </w:r>
      <w:proofErr w:type="spellEnd"/>
      <w:r>
        <w:rPr>
          <w:rFonts w:ascii="David" w:hAnsi="David" w:cs="David" w:hint="cs"/>
          <w:sz w:val="24"/>
          <w:szCs w:val="24"/>
          <w:rtl/>
        </w:rPr>
        <w:t xml:space="preserve">). בנוסף - הדגישו את השימוש בשפה העברית, והדבר השלישי שהפריע להם זה הצפת המקצוע - ריבוי עורכי דין ואין פרנסה לכולם (כבר ב-1928!) ומסיגי גבול המקצוע, קביעת שכר מינימום, </w:t>
      </w:r>
      <w:r w:rsidR="001D3415">
        <w:rPr>
          <w:rFonts w:ascii="David" w:hAnsi="David" w:cs="David" w:hint="cs"/>
          <w:sz w:val="24"/>
          <w:szCs w:val="24"/>
          <w:rtl/>
        </w:rPr>
        <w:t xml:space="preserve">דרישה לפרסום פסקי דין בעברית (בעליון - תרגום פסק הדין בעברית) והקמת בתי דין משמעתיים. </w:t>
      </w:r>
    </w:p>
    <w:p w14:paraId="6443BCD7" w14:textId="77777777" w:rsidR="005419C0" w:rsidRPr="005419C0" w:rsidRDefault="005419C0" w:rsidP="00087CC4">
      <w:pPr>
        <w:pStyle w:val="a4"/>
        <w:numPr>
          <w:ilvl w:val="0"/>
          <w:numId w:val="24"/>
        </w:numPr>
        <w:spacing w:after="120" w:line="360" w:lineRule="auto"/>
        <w:ind w:left="-908"/>
        <w:contextualSpacing w:val="0"/>
        <w:jc w:val="both"/>
        <w:rPr>
          <w:rFonts w:ascii="David" w:hAnsi="David" w:cs="David"/>
          <w:b/>
          <w:bCs/>
          <w:sz w:val="24"/>
          <w:szCs w:val="24"/>
        </w:rPr>
      </w:pPr>
      <w:r w:rsidRPr="005419C0">
        <w:rPr>
          <w:rFonts w:ascii="David" w:hAnsi="David" w:cs="David" w:hint="cs"/>
          <w:b/>
          <w:bCs/>
          <w:sz w:val="24"/>
          <w:szCs w:val="24"/>
          <w:rtl/>
        </w:rPr>
        <w:t xml:space="preserve">1930 - </w:t>
      </w:r>
      <w:r w:rsidRPr="005419C0">
        <w:rPr>
          <w:rFonts w:ascii="David" w:hAnsi="David" w:cs="David" w:hint="cs"/>
          <w:sz w:val="24"/>
          <w:szCs w:val="24"/>
          <w:rtl/>
        </w:rPr>
        <w:t>כללי האתיקה של עורכי הדין.  באנגליה מקצוע עריכת הדין מחולק לשתיים:</w:t>
      </w:r>
    </w:p>
    <w:p w14:paraId="15B06EBB" w14:textId="77777777" w:rsidR="005419C0" w:rsidRPr="005419C0" w:rsidRDefault="005419C0" w:rsidP="001D3415">
      <w:pPr>
        <w:pStyle w:val="a4"/>
        <w:numPr>
          <w:ilvl w:val="1"/>
          <w:numId w:val="24"/>
        </w:numPr>
        <w:spacing w:after="120" w:line="360" w:lineRule="auto"/>
        <w:ind w:left="-341"/>
        <w:contextualSpacing w:val="0"/>
        <w:jc w:val="both"/>
        <w:rPr>
          <w:rFonts w:ascii="David" w:hAnsi="David" w:cs="David"/>
          <w:b/>
          <w:bCs/>
          <w:sz w:val="24"/>
          <w:szCs w:val="24"/>
        </w:rPr>
      </w:pPr>
      <w:proofErr w:type="spellStart"/>
      <w:r w:rsidRPr="005419C0">
        <w:rPr>
          <w:rFonts w:ascii="David" w:hAnsi="David" w:cs="David" w:hint="cs"/>
          <w:b/>
          <w:bCs/>
          <w:sz w:val="24"/>
          <w:szCs w:val="24"/>
          <w:rtl/>
        </w:rPr>
        <w:t>באריסטרס</w:t>
      </w:r>
      <w:proofErr w:type="spellEnd"/>
      <w:r w:rsidRPr="005419C0">
        <w:rPr>
          <w:rFonts w:ascii="David" w:hAnsi="David" w:cs="David" w:hint="cs"/>
          <w:b/>
          <w:bCs/>
          <w:sz w:val="24"/>
          <w:szCs w:val="24"/>
          <w:rtl/>
        </w:rPr>
        <w:t xml:space="preserve"> - </w:t>
      </w:r>
      <w:r w:rsidRPr="005419C0">
        <w:rPr>
          <w:rFonts w:ascii="David" w:hAnsi="David" w:cs="David" w:hint="cs"/>
          <w:sz w:val="24"/>
          <w:szCs w:val="24"/>
          <w:rtl/>
        </w:rPr>
        <w:t>המופיעים בבתי המשפט</w:t>
      </w:r>
    </w:p>
    <w:p w14:paraId="2C94C19E" w14:textId="77777777" w:rsidR="005419C0" w:rsidRPr="005419C0" w:rsidRDefault="005419C0" w:rsidP="001D3415">
      <w:pPr>
        <w:pStyle w:val="a4"/>
        <w:numPr>
          <w:ilvl w:val="1"/>
          <w:numId w:val="24"/>
        </w:numPr>
        <w:spacing w:after="120" w:line="360" w:lineRule="auto"/>
        <w:ind w:left="-341"/>
        <w:contextualSpacing w:val="0"/>
        <w:jc w:val="both"/>
        <w:rPr>
          <w:rFonts w:ascii="David" w:hAnsi="David" w:cs="David"/>
          <w:sz w:val="24"/>
          <w:szCs w:val="24"/>
        </w:rPr>
      </w:pPr>
      <w:proofErr w:type="spellStart"/>
      <w:r w:rsidRPr="005419C0">
        <w:rPr>
          <w:rFonts w:ascii="David" w:hAnsi="David" w:cs="David" w:hint="cs"/>
          <w:b/>
          <w:bCs/>
          <w:sz w:val="24"/>
          <w:szCs w:val="24"/>
          <w:rtl/>
        </w:rPr>
        <w:t>סוליסיטרס</w:t>
      </w:r>
      <w:proofErr w:type="spellEnd"/>
      <w:r w:rsidRPr="005419C0">
        <w:rPr>
          <w:rFonts w:ascii="David" w:hAnsi="David" w:cs="David" w:hint="cs"/>
          <w:b/>
          <w:bCs/>
          <w:sz w:val="24"/>
          <w:szCs w:val="24"/>
          <w:rtl/>
        </w:rPr>
        <w:t xml:space="preserve"> - </w:t>
      </w:r>
      <w:r w:rsidRPr="005419C0">
        <w:rPr>
          <w:rFonts w:ascii="David" w:hAnsi="David" w:cs="David" w:hint="cs"/>
          <w:sz w:val="24"/>
          <w:szCs w:val="24"/>
          <w:rtl/>
        </w:rPr>
        <w:t xml:space="preserve">עורכי דין שלא מופיעים בבתי המשפט, עו"ד דרגה ב'. האנגלים בתפיסה שלהם, עורכי הדין הישראליים, </w:t>
      </w:r>
      <w:proofErr w:type="spellStart"/>
      <w:r w:rsidRPr="005419C0">
        <w:rPr>
          <w:rFonts w:ascii="David" w:hAnsi="David" w:cs="David" w:hint="cs"/>
          <w:sz w:val="24"/>
          <w:szCs w:val="24"/>
          <w:rtl/>
        </w:rPr>
        <w:t>הנייטיב</w:t>
      </w:r>
      <w:proofErr w:type="spellEnd"/>
      <w:r w:rsidRPr="005419C0">
        <w:rPr>
          <w:rFonts w:ascii="David" w:hAnsi="David" w:cs="David" w:hint="cs"/>
          <w:sz w:val="24"/>
          <w:szCs w:val="24"/>
          <w:rtl/>
        </w:rPr>
        <w:t xml:space="preserve">, הם לא הגיעו לרמה א', ולא יכלו להקים לעצמם לשכה, איגוד מקצועי שייקבע את כללי האתיקה וידון את עצמו. מבחינת הבריטים, </w:t>
      </w:r>
      <w:proofErr w:type="spellStart"/>
      <w:r w:rsidRPr="005419C0">
        <w:rPr>
          <w:rFonts w:ascii="David" w:hAnsi="David" w:cs="David" w:hint="cs"/>
          <w:sz w:val="24"/>
          <w:szCs w:val="24"/>
          <w:rtl/>
        </w:rPr>
        <w:t>הנייטיב</w:t>
      </w:r>
      <w:proofErr w:type="spellEnd"/>
      <w:r w:rsidRPr="005419C0">
        <w:rPr>
          <w:rFonts w:ascii="David" w:hAnsi="David" w:cs="David" w:hint="cs"/>
          <w:sz w:val="24"/>
          <w:szCs w:val="24"/>
          <w:rtl/>
        </w:rPr>
        <w:t xml:space="preserve"> היו עורכי דין מהסוג השני, שהיו כפופים לבית המשפט - שהוא דן את הדין המשפטי שלהם, בניגוד לסוג הראשון, אותם הלשכה שפטה בדין המשמעתי. </w:t>
      </w:r>
    </w:p>
    <w:p w14:paraId="61D4A163" w14:textId="77777777" w:rsidR="005419C0" w:rsidRPr="003902BD" w:rsidRDefault="003902BD" w:rsidP="00F733FE">
      <w:pPr>
        <w:pStyle w:val="a4"/>
        <w:numPr>
          <w:ilvl w:val="0"/>
          <w:numId w:val="24"/>
        </w:numPr>
        <w:spacing w:after="120" w:line="360" w:lineRule="auto"/>
        <w:ind w:left="-766" w:hanging="357"/>
        <w:contextualSpacing w:val="0"/>
        <w:jc w:val="both"/>
        <w:rPr>
          <w:rFonts w:ascii="David" w:hAnsi="David" w:cs="David"/>
          <w:b/>
          <w:bCs/>
          <w:sz w:val="24"/>
          <w:szCs w:val="24"/>
        </w:rPr>
      </w:pPr>
      <w:r w:rsidRPr="003902BD">
        <w:rPr>
          <w:rFonts w:ascii="David" w:hAnsi="David" w:cs="David" w:hint="cs"/>
          <w:b/>
          <w:bCs/>
          <w:sz w:val="24"/>
          <w:szCs w:val="24"/>
          <w:rtl/>
        </w:rPr>
        <w:t xml:space="preserve">1938 - </w:t>
      </w:r>
      <w:r w:rsidRPr="003902BD">
        <w:rPr>
          <w:rFonts w:ascii="David" w:hAnsi="David" w:cs="David" w:hint="cs"/>
          <w:sz w:val="24"/>
          <w:szCs w:val="24"/>
          <w:rtl/>
        </w:rPr>
        <w:t>המנדט מחוקק שתי פקודות חדשות:</w:t>
      </w:r>
    </w:p>
    <w:p w14:paraId="35404EBF" w14:textId="77777777" w:rsidR="003902BD" w:rsidRPr="003902BD" w:rsidRDefault="003902BD" w:rsidP="00F733FE">
      <w:pPr>
        <w:pStyle w:val="a4"/>
        <w:numPr>
          <w:ilvl w:val="1"/>
          <w:numId w:val="24"/>
        </w:numPr>
        <w:spacing w:after="120" w:line="360" w:lineRule="auto"/>
        <w:ind w:left="-483" w:hanging="357"/>
        <w:contextualSpacing w:val="0"/>
        <w:jc w:val="both"/>
        <w:rPr>
          <w:rFonts w:ascii="David" w:hAnsi="David" w:cs="David"/>
          <w:sz w:val="24"/>
          <w:szCs w:val="24"/>
        </w:rPr>
      </w:pPr>
      <w:r w:rsidRPr="003902BD">
        <w:rPr>
          <w:rFonts w:ascii="David" w:hAnsi="David" w:cs="David" w:hint="cs"/>
          <w:sz w:val="24"/>
          <w:szCs w:val="24"/>
          <w:rtl/>
        </w:rPr>
        <w:t>פקודת עורכי הדין שמחליפה את הפקודה מ-1922</w:t>
      </w:r>
    </w:p>
    <w:p w14:paraId="7F19D1EB" w14:textId="77777777" w:rsidR="003902BD" w:rsidRPr="003902BD" w:rsidRDefault="003902BD" w:rsidP="00F733FE">
      <w:pPr>
        <w:pStyle w:val="a4"/>
        <w:numPr>
          <w:ilvl w:val="1"/>
          <w:numId w:val="24"/>
        </w:numPr>
        <w:spacing w:after="120" w:line="360" w:lineRule="auto"/>
        <w:ind w:left="-483" w:hanging="357"/>
        <w:contextualSpacing w:val="0"/>
        <w:jc w:val="both"/>
        <w:rPr>
          <w:rFonts w:ascii="David" w:hAnsi="David" w:cs="David"/>
          <w:sz w:val="24"/>
          <w:szCs w:val="24"/>
        </w:rPr>
      </w:pPr>
      <w:r w:rsidRPr="003902BD">
        <w:rPr>
          <w:rFonts w:ascii="David" w:hAnsi="David" w:cs="David" w:hint="cs"/>
          <w:sz w:val="24"/>
          <w:szCs w:val="24"/>
          <w:rtl/>
        </w:rPr>
        <w:t xml:space="preserve">פקודת המועצה המשפטית 1938. מקבלים את הדרישה של </w:t>
      </w:r>
      <w:proofErr w:type="spellStart"/>
      <w:r w:rsidRPr="003902BD">
        <w:rPr>
          <w:rFonts w:ascii="David" w:hAnsi="David" w:cs="David" w:hint="cs"/>
          <w:sz w:val="24"/>
          <w:szCs w:val="24"/>
          <w:rtl/>
        </w:rPr>
        <w:t>הסתרות</w:t>
      </w:r>
      <w:proofErr w:type="spellEnd"/>
      <w:r w:rsidRPr="003902BD">
        <w:rPr>
          <w:rFonts w:ascii="David" w:hAnsi="David" w:cs="David" w:hint="cs"/>
          <w:sz w:val="24"/>
          <w:szCs w:val="24"/>
          <w:rtl/>
        </w:rPr>
        <w:t xml:space="preserve"> עורכי הדין ומ-1938 כבר מותר לנשים לייצג בבתי משפט. מקימה בתי דין משמעתיים </w:t>
      </w:r>
      <w:proofErr w:type="spellStart"/>
      <w:r w:rsidRPr="003902BD">
        <w:rPr>
          <w:rFonts w:ascii="David" w:hAnsi="David" w:cs="David" w:hint="cs"/>
          <w:sz w:val="24"/>
          <w:szCs w:val="24"/>
          <w:rtl/>
        </w:rPr>
        <w:t>סטוטוריים</w:t>
      </w:r>
      <w:proofErr w:type="spellEnd"/>
      <w:r w:rsidRPr="003902BD">
        <w:rPr>
          <w:rFonts w:ascii="David" w:hAnsi="David" w:cs="David" w:hint="cs"/>
          <w:sz w:val="24"/>
          <w:szCs w:val="24"/>
          <w:rtl/>
        </w:rPr>
        <w:t xml:space="preserve"> שקוראים להם ועדות חקירה. גם שלטון הבריטי דן אנשים שעברו עבירות משמעתיות. בין 1928 - 1948, פועלים זו לצד זו ערכאות משמעת סטטוטוריות מטעם המנדט הבריטי שעוסקות בתלונות בעורכי דין שהפרו את כללי האתיקה ויכולות לקחת את הרישיון, ובמקביל עליהם פעלה ההסתדרות של עורכי הדין בארץ ישראל שדנות רק את החברים בתוך ההסתדרות. האנשים שאיישו את בתי הדין </w:t>
      </w:r>
      <w:proofErr w:type="spellStart"/>
      <w:r w:rsidRPr="003902BD">
        <w:rPr>
          <w:rFonts w:ascii="David" w:hAnsi="David" w:cs="David" w:hint="cs"/>
          <w:sz w:val="24"/>
          <w:szCs w:val="24"/>
          <w:rtl/>
        </w:rPr>
        <w:t>הוולנטריים</w:t>
      </w:r>
      <w:proofErr w:type="spellEnd"/>
      <w:r w:rsidRPr="003902BD">
        <w:rPr>
          <w:rFonts w:ascii="David" w:hAnsi="David" w:cs="David" w:hint="cs"/>
          <w:sz w:val="24"/>
          <w:szCs w:val="24"/>
          <w:rtl/>
        </w:rPr>
        <w:t xml:space="preserve"> היו הקרם דה לה קרם, הכי חשובים : עו"ד זמורה, ראש בית הדין,  לימים נשיא בית משפט עליון, עו"ד חיים כהן, הקובל מטעם הסתדרות עורכי הדין היהודיים</w:t>
      </w:r>
      <w:r>
        <w:rPr>
          <w:rFonts w:ascii="David" w:hAnsi="David" w:cs="David" w:hint="cs"/>
          <w:sz w:val="24"/>
          <w:szCs w:val="24"/>
          <w:rtl/>
        </w:rPr>
        <w:t xml:space="preserve"> </w:t>
      </w:r>
      <w:r w:rsidRPr="003902BD">
        <w:rPr>
          <w:rFonts w:ascii="David" w:hAnsi="David" w:cs="David" w:hint="cs"/>
          <w:sz w:val="24"/>
          <w:szCs w:val="24"/>
          <w:rtl/>
        </w:rPr>
        <w:t xml:space="preserve">בארץ ישראל. </w:t>
      </w:r>
    </w:p>
    <w:p w14:paraId="1C973117" w14:textId="77777777" w:rsidR="003902BD" w:rsidRDefault="003902BD" w:rsidP="003902BD">
      <w:pPr>
        <w:pStyle w:val="a4"/>
        <w:spacing w:after="120" w:line="360" w:lineRule="auto"/>
        <w:ind w:left="-483"/>
        <w:jc w:val="both"/>
        <w:rPr>
          <w:rFonts w:ascii="David" w:hAnsi="David" w:cs="David"/>
          <w:sz w:val="24"/>
          <w:szCs w:val="24"/>
          <w:rtl/>
        </w:rPr>
      </w:pPr>
      <w:r w:rsidRPr="003902BD">
        <w:rPr>
          <w:rFonts w:ascii="David" w:hAnsi="David" w:cs="David" w:hint="cs"/>
          <w:sz w:val="24"/>
          <w:szCs w:val="24"/>
          <w:rtl/>
        </w:rPr>
        <w:t>בכל התקופה הזו התחושה של עורכי הדין הישראליים התחושה היא שאם תוקם מדינה בתי הדין הוולונטריי</w:t>
      </w:r>
      <w:r w:rsidRPr="003902BD">
        <w:rPr>
          <w:rFonts w:ascii="David" w:hAnsi="David" w:cs="David" w:hint="eastAsia"/>
          <w:sz w:val="24"/>
          <w:szCs w:val="24"/>
          <w:rtl/>
        </w:rPr>
        <w:t>ם</w:t>
      </w:r>
      <w:r w:rsidRPr="003902BD">
        <w:rPr>
          <w:rFonts w:ascii="David" w:hAnsi="David" w:cs="David" w:hint="cs"/>
          <w:sz w:val="24"/>
          <w:szCs w:val="24"/>
          <w:rtl/>
        </w:rPr>
        <w:t xml:space="preserve"> יהפכו לסטטוטוריים. </w:t>
      </w:r>
      <w:r>
        <w:rPr>
          <w:rFonts w:ascii="David" w:hAnsi="David" w:cs="David" w:hint="cs"/>
          <w:sz w:val="24"/>
          <w:szCs w:val="24"/>
          <w:rtl/>
        </w:rPr>
        <w:t xml:space="preserve"> אבל זה לא קורה. </w:t>
      </w:r>
    </w:p>
    <w:p w14:paraId="6F42F7A0" w14:textId="77777777" w:rsidR="003902BD" w:rsidRPr="003902BD" w:rsidRDefault="003902BD" w:rsidP="003902BD">
      <w:pPr>
        <w:pStyle w:val="a4"/>
        <w:numPr>
          <w:ilvl w:val="0"/>
          <w:numId w:val="24"/>
        </w:numPr>
        <w:spacing w:after="120" w:line="360" w:lineRule="auto"/>
        <w:ind w:left="-766"/>
        <w:jc w:val="both"/>
        <w:rPr>
          <w:rFonts w:ascii="David" w:hAnsi="David" w:cs="David"/>
          <w:b/>
          <w:bCs/>
          <w:sz w:val="24"/>
          <w:szCs w:val="24"/>
        </w:rPr>
      </w:pPr>
      <w:r w:rsidRPr="003902BD">
        <w:rPr>
          <w:rFonts w:ascii="David" w:hAnsi="David" w:cs="David" w:hint="cs"/>
          <w:b/>
          <w:bCs/>
          <w:sz w:val="24"/>
          <w:szCs w:val="24"/>
          <w:rtl/>
        </w:rPr>
        <w:t xml:space="preserve">1961 - </w:t>
      </w:r>
      <w:r w:rsidRPr="003902BD">
        <w:rPr>
          <w:rFonts w:ascii="David" w:hAnsi="David" w:cs="David" w:hint="cs"/>
          <w:sz w:val="24"/>
          <w:szCs w:val="24"/>
          <w:rtl/>
        </w:rPr>
        <w:t xml:space="preserve">מוקמת לשכת עורכי הדין. למה רק בשנות השישים? יש הטוענים שב-48 רצו להקים אבל העסק לא הסתייע (המדינה עסוקה) אבל קשה לקבל את זה. הכתיבה האקדמית המודרנית אומרת שלא הוקמה לשכת עורכי דין בשנות החמישים המוקדמות בגלל התנגדות של בן גוריון. הכתיבה ההיסטרית אומרת שכל אותם אנשים שהיו חלק מהמפלגות שהיוו את הקו המרכזי של המדינה שבדרך - </w:t>
      </w:r>
      <w:proofErr w:type="spellStart"/>
      <w:r w:rsidRPr="003902BD">
        <w:rPr>
          <w:rFonts w:ascii="David" w:hAnsi="David" w:cs="David" w:hint="cs"/>
          <w:sz w:val="24"/>
          <w:szCs w:val="24"/>
          <w:rtl/>
        </w:rPr>
        <w:t>מפאי"י</w:t>
      </w:r>
      <w:proofErr w:type="spellEnd"/>
      <w:r w:rsidRPr="003902BD">
        <w:rPr>
          <w:rFonts w:ascii="David" w:hAnsi="David" w:cs="David" w:hint="cs"/>
          <w:sz w:val="24"/>
          <w:szCs w:val="24"/>
          <w:rtl/>
        </w:rPr>
        <w:t>, שהיו ההנהגה של הסתדרות עורכי הדין בארץ ישראל, עם הקמת המדינה הם הפכו לשדרה המשפטית של המדינה. אז מי תפס את השלטון בהס</w:t>
      </w:r>
      <w:r w:rsidR="004F4CA3">
        <w:rPr>
          <w:rFonts w:ascii="David" w:hAnsi="David" w:cs="David" w:hint="cs"/>
          <w:sz w:val="24"/>
          <w:szCs w:val="24"/>
          <w:rtl/>
        </w:rPr>
        <w:t>תד</w:t>
      </w:r>
      <w:r w:rsidRPr="003902BD">
        <w:rPr>
          <w:rFonts w:ascii="David" w:hAnsi="David" w:cs="David" w:hint="cs"/>
          <w:sz w:val="24"/>
          <w:szCs w:val="24"/>
          <w:rtl/>
        </w:rPr>
        <w:t xml:space="preserve">רות עורכי הדין בארץ ישראל? חירות - הליברלים, כל מי שלא נכנס לממשלה. ובן גוריון לא רצה לתת להם כוח. חשש מכוח שיתנגד לשלטון מפא"י. עוד מוקד כוח של חירות </w:t>
      </w:r>
      <w:proofErr w:type="spellStart"/>
      <w:r w:rsidRPr="003902BD">
        <w:rPr>
          <w:rFonts w:ascii="David" w:hAnsi="David" w:cs="David" w:hint="cs"/>
          <w:sz w:val="24"/>
          <w:szCs w:val="24"/>
          <w:rtl/>
        </w:rPr>
        <w:t>הולברלים</w:t>
      </w:r>
      <w:proofErr w:type="spellEnd"/>
      <w:r w:rsidRPr="003902BD">
        <w:rPr>
          <w:rFonts w:ascii="David" w:hAnsi="David" w:cs="David" w:hint="cs"/>
          <w:sz w:val="24"/>
          <w:szCs w:val="24"/>
          <w:rtl/>
        </w:rPr>
        <w:t xml:space="preserve"> והוא מנע כל אפשרות להקמת לשכת עורכי הדין. אם כך, ב-1959 מגיע חוק לשכת עורכי הדין לדיון מעמיק בכנסת </w:t>
      </w:r>
      <w:r w:rsidRPr="003902BD">
        <w:rPr>
          <w:rFonts w:ascii="David" w:hAnsi="David" w:cs="David" w:hint="cs"/>
          <w:sz w:val="24"/>
          <w:szCs w:val="24"/>
          <w:rtl/>
        </w:rPr>
        <w:lastRenderedPageBreak/>
        <w:t>בוועדת חוקה חוק ומשפט. באותה שנה עולה חוק הירושה שלוקח את ה</w:t>
      </w:r>
      <w:r w:rsidR="004F4CA3">
        <w:rPr>
          <w:rFonts w:ascii="David" w:hAnsi="David" w:cs="David" w:hint="cs"/>
          <w:sz w:val="24"/>
          <w:szCs w:val="24"/>
          <w:rtl/>
        </w:rPr>
        <w:t>סמכויות</w:t>
      </w:r>
      <w:r w:rsidRPr="003902BD">
        <w:rPr>
          <w:rFonts w:ascii="David" w:hAnsi="David" w:cs="David" w:hint="cs"/>
          <w:sz w:val="24"/>
          <w:szCs w:val="24"/>
          <w:rtl/>
        </w:rPr>
        <w:t xml:space="preserve"> מבתי הדין הרבניים ומעביר לבתי המשפט האזרחי. הוא מנסה למשוך את הדיון על חוק הירושה, ומעלה במקומו את חוק לשכת עורכי הדין. (</w:t>
      </w:r>
      <w:proofErr w:type="spellStart"/>
      <w:r w:rsidRPr="003902BD">
        <w:rPr>
          <w:rFonts w:ascii="David" w:hAnsi="David" w:cs="David" w:hint="cs"/>
          <w:sz w:val="24"/>
          <w:szCs w:val="24"/>
          <w:rtl/>
        </w:rPr>
        <w:t>היו,ר</w:t>
      </w:r>
      <w:proofErr w:type="spellEnd"/>
      <w:r w:rsidRPr="003902BD">
        <w:rPr>
          <w:rFonts w:ascii="David" w:hAnsi="David" w:cs="David" w:hint="cs"/>
          <w:sz w:val="24"/>
          <w:szCs w:val="24"/>
          <w:rtl/>
        </w:rPr>
        <w:t xml:space="preserve"> היה ממפלגה דתית) וכך הוועדה עוסקת בחוק הזה במקום בחוק הירושה שנדחק הצידה. כך ב-1961 נחקק חוק לשכת עורכי הדין</w:t>
      </w:r>
      <w:r w:rsidR="00C21C3F">
        <w:rPr>
          <w:rFonts w:ascii="David" w:hAnsi="David" w:cs="David" w:hint="cs"/>
          <w:b/>
          <w:bCs/>
          <w:sz w:val="24"/>
          <w:szCs w:val="24"/>
          <w:rtl/>
        </w:rPr>
        <w:t xml:space="preserve">. </w:t>
      </w:r>
    </w:p>
    <w:p w14:paraId="77229EC5" w14:textId="77777777" w:rsidR="003902BD" w:rsidRPr="003902BD" w:rsidRDefault="003902BD" w:rsidP="003902BD">
      <w:pPr>
        <w:pStyle w:val="a4"/>
        <w:numPr>
          <w:ilvl w:val="0"/>
          <w:numId w:val="24"/>
        </w:numPr>
        <w:spacing w:after="120" w:line="360" w:lineRule="auto"/>
        <w:ind w:left="-766"/>
        <w:jc w:val="both"/>
        <w:rPr>
          <w:rFonts w:ascii="David" w:hAnsi="David" w:cs="David"/>
          <w:b/>
          <w:bCs/>
          <w:sz w:val="24"/>
          <w:szCs w:val="24"/>
          <w:rtl/>
        </w:rPr>
      </w:pPr>
      <w:r w:rsidRPr="003902BD">
        <w:rPr>
          <w:rFonts w:ascii="David" w:hAnsi="David" w:cs="David" w:hint="cs"/>
          <w:b/>
          <w:bCs/>
          <w:sz w:val="24"/>
          <w:szCs w:val="24"/>
          <w:rtl/>
        </w:rPr>
        <w:t xml:space="preserve">2000 - </w:t>
      </w:r>
      <w:r w:rsidRPr="003902BD">
        <w:rPr>
          <w:rFonts w:ascii="David" w:hAnsi="David" w:cs="David" w:hint="cs"/>
          <w:sz w:val="24"/>
          <w:szCs w:val="24"/>
          <w:rtl/>
        </w:rPr>
        <w:t>בשנה זו היי</w:t>
      </w:r>
      <w:r w:rsidR="00014FBD">
        <w:rPr>
          <w:rFonts w:ascii="David" w:hAnsi="David" w:cs="David" w:hint="cs"/>
          <w:sz w:val="24"/>
          <w:szCs w:val="24"/>
          <w:rtl/>
        </w:rPr>
        <w:t>ת</w:t>
      </w:r>
      <w:r w:rsidRPr="003902BD">
        <w:rPr>
          <w:rFonts w:ascii="David" w:hAnsi="David" w:cs="David" w:hint="cs"/>
          <w:sz w:val="24"/>
          <w:szCs w:val="24"/>
          <w:rtl/>
        </w:rPr>
        <w:t>ה רפורמה בשין המשמעתי - עד אז הדין היה אוטונומי לחלוטין.</w:t>
      </w:r>
      <w:r w:rsidRPr="003902BD">
        <w:rPr>
          <w:rFonts w:ascii="David" w:hAnsi="David" w:cs="David" w:hint="cs"/>
          <w:b/>
          <w:bCs/>
          <w:sz w:val="24"/>
          <w:szCs w:val="24"/>
          <w:rtl/>
        </w:rPr>
        <w:t xml:space="preserve"> </w:t>
      </w:r>
      <w:r>
        <w:rPr>
          <w:rFonts w:ascii="David" w:hAnsi="David" w:cs="David" w:hint="cs"/>
          <w:b/>
          <w:bCs/>
          <w:sz w:val="24"/>
          <w:szCs w:val="24"/>
          <w:rtl/>
        </w:rPr>
        <w:t xml:space="preserve">נלמד אותה בנפרד. </w:t>
      </w:r>
    </w:p>
    <w:p w14:paraId="0631F045" w14:textId="77777777" w:rsidR="00562A33" w:rsidRDefault="00562A33" w:rsidP="007E1210">
      <w:pPr>
        <w:pStyle w:val="a4"/>
        <w:spacing w:after="120" w:line="360" w:lineRule="auto"/>
        <w:ind w:left="-908"/>
        <w:rPr>
          <w:rFonts w:ascii="David" w:hAnsi="David" w:cs="David"/>
          <w:b/>
          <w:bCs/>
          <w:sz w:val="24"/>
          <w:szCs w:val="24"/>
          <w:rtl/>
        </w:rPr>
      </w:pPr>
    </w:p>
    <w:p w14:paraId="44DB2E8E" w14:textId="77777777" w:rsidR="00B25E24" w:rsidRPr="000435CD" w:rsidRDefault="00D51D6B" w:rsidP="007E1210">
      <w:pPr>
        <w:pStyle w:val="a4"/>
        <w:spacing w:after="120" w:line="360" w:lineRule="auto"/>
        <w:ind w:left="-908"/>
        <w:rPr>
          <w:rFonts w:ascii="David" w:hAnsi="David" w:cs="David"/>
          <w:b/>
          <w:bCs/>
          <w:sz w:val="24"/>
          <w:szCs w:val="24"/>
          <w:rtl/>
        </w:rPr>
      </w:pPr>
      <w:r w:rsidRPr="000435CD">
        <w:rPr>
          <w:rFonts w:ascii="David" w:hAnsi="David" w:cs="David" w:hint="cs"/>
          <w:b/>
          <w:bCs/>
          <w:sz w:val="24"/>
          <w:szCs w:val="24"/>
          <w:rtl/>
        </w:rPr>
        <w:t>קריאה:</w:t>
      </w:r>
      <w:r w:rsidR="007E1210" w:rsidRPr="000435CD">
        <w:rPr>
          <w:rFonts w:ascii="David" w:hAnsi="David" w:cs="David" w:hint="cs"/>
          <w:b/>
          <w:bCs/>
          <w:sz w:val="24"/>
          <w:szCs w:val="24"/>
          <w:rtl/>
        </w:rPr>
        <w:t xml:space="preserve"> </w:t>
      </w:r>
      <w:r w:rsidR="00B25E24" w:rsidRPr="000435CD">
        <w:rPr>
          <w:rFonts w:ascii="David" w:hAnsi="David" w:cs="David" w:hint="cs"/>
          <w:b/>
          <w:bCs/>
          <w:sz w:val="24"/>
          <w:szCs w:val="24"/>
          <w:rtl/>
        </w:rPr>
        <w:t xml:space="preserve">פס"ד 5 חשוב,  פס"ד 12, </w:t>
      </w:r>
      <w:r w:rsidR="00651A63" w:rsidRPr="000435CD">
        <w:rPr>
          <w:rFonts w:ascii="David" w:hAnsi="David" w:cs="David" w:hint="cs"/>
          <w:b/>
          <w:bCs/>
          <w:sz w:val="24"/>
          <w:szCs w:val="24"/>
          <w:rtl/>
        </w:rPr>
        <w:t xml:space="preserve">פס"ד 13, פס"ד 16.  השאר רציו זה טוב. </w:t>
      </w:r>
    </w:p>
    <w:p w14:paraId="2795CCDD" w14:textId="77777777" w:rsidR="004F4CA3" w:rsidRPr="007E1210" w:rsidRDefault="004F4CA3" w:rsidP="005C63E0">
      <w:pPr>
        <w:pStyle w:val="a4"/>
        <w:spacing w:after="120" w:line="360" w:lineRule="auto"/>
        <w:ind w:left="-908"/>
        <w:rPr>
          <w:rFonts w:ascii="David" w:hAnsi="David" w:cs="David"/>
          <w:b/>
          <w:bCs/>
          <w:sz w:val="24"/>
          <w:szCs w:val="24"/>
          <w:rtl/>
        </w:rPr>
      </w:pPr>
      <w:r w:rsidRPr="007E1210">
        <w:rPr>
          <w:rFonts w:ascii="David" w:hAnsi="David" w:cs="David" w:hint="cs"/>
          <w:b/>
          <w:bCs/>
          <w:sz w:val="24"/>
          <w:szCs w:val="24"/>
          <w:rtl/>
        </w:rPr>
        <w:t>פסקי דין 1-5: מידת התערבותו של בית המשפט העליון בפסקי דין משמעתיים:</w:t>
      </w:r>
    </w:p>
    <w:p w14:paraId="38E0F481" w14:textId="77777777" w:rsidR="004F4CA3" w:rsidRDefault="004F4CA3" w:rsidP="005C63E0">
      <w:pPr>
        <w:pStyle w:val="a4"/>
        <w:spacing w:after="120" w:line="360" w:lineRule="auto"/>
        <w:ind w:left="-908"/>
        <w:rPr>
          <w:rFonts w:ascii="David" w:hAnsi="David" w:cs="David"/>
          <w:b/>
          <w:bCs/>
          <w:sz w:val="24"/>
          <w:szCs w:val="24"/>
          <w:u w:val="single"/>
          <w:rtl/>
        </w:rPr>
      </w:pPr>
      <w:r>
        <w:rPr>
          <w:rFonts w:ascii="David" w:hAnsi="David" w:cs="David" w:hint="cs"/>
          <w:b/>
          <w:bCs/>
          <w:sz w:val="24"/>
          <w:szCs w:val="24"/>
          <w:u w:val="single"/>
          <w:rtl/>
        </w:rPr>
        <w:t xml:space="preserve">כללי: </w:t>
      </w:r>
    </w:p>
    <w:p w14:paraId="2910D7E0" w14:textId="77777777" w:rsidR="004F4CA3" w:rsidRPr="00A97515" w:rsidRDefault="004F4CA3" w:rsidP="004F4CA3">
      <w:pPr>
        <w:spacing w:after="0" w:line="360" w:lineRule="auto"/>
        <w:ind w:left="-908"/>
        <w:jc w:val="both"/>
        <w:rPr>
          <w:rFonts w:ascii="David" w:hAnsi="David" w:cs="David"/>
          <w:sz w:val="24"/>
          <w:szCs w:val="24"/>
          <w:rtl/>
        </w:rPr>
      </w:pPr>
      <w:r w:rsidRPr="00A97515">
        <w:rPr>
          <w:rFonts w:ascii="David" w:hAnsi="David" w:cs="David"/>
          <w:sz w:val="24"/>
          <w:szCs w:val="24"/>
          <w:rtl/>
        </w:rPr>
        <w:t xml:space="preserve">בכל הפסיקות (כמו פס"ד אליהו נ' שר הבריאות, פס"ד מדינת ישראל נ' </w:t>
      </w:r>
      <w:proofErr w:type="spellStart"/>
      <w:r w:rsidRPr="00A97515">
        <w:rPr>
          <w:rFonts w:ascii="David" w:hAnsi="David" w:cs="David"/>
          <w:sz w:val="24"/>
          <w:szCs w:val="24"/>
          <w:rtl/>
        </w:rPr>
        <w:t>שפירו</w:t>
      </w:r>
      <w:proofErr w:type="spellEnd"/>
      <w:r w:rsidRPr="00A97515">
        <w:rPr>
          <w:rFonts w:ascii="David" w:hAnsi="David" w:cs="David"/>
          <w:sz w:val="24"/>
          <w:szCs w:val="24"/>
          <w:rtl/>
        </w:rPr>
        <w:t xml:space="preserve">, פס"ד ועד מרכזי נ' רזניק, פס"ד הוועד המחוזי של לשכת עו"ד נ' </w:t>
      </w:r>
      <w:proofErr w:type="spellStart"/>
      <w:r w:rsidRPr="00A97515">
        <w:rPr>
          <w:rFonts w:ascii="David" w:hAnsi="David" w:cs="David"/>
          <w:sz w:val="24"/>
          <w:szCs w:val="24"/>
          <w:rtl/>
        </w:rPr>
        <w:t>שפיצרר</w:t>
      </w:r>
      <w:proofErr w:type="spellEnd"/>
      <w:r w:rsidRPr="00A97515">
        <w:rPr>
          <w:rFonts w:ascii="David" w:hAnsi="David" w:cs="David"/>
          <w:sz w:val="24"/>
          <w:szCs w:val="24"/>
          <w:rtl/>
        </w:rPr>
        <w:t xml:space="preserve">) </w:t>
      </w:r>
      <w:r w:rsidRPr="00A97515">
        <w:rPr>
          <w:rFonts w:ascii="David" w:hAnsi="David" w:cs="David"/>
          <w:b/>
          <w:bCs/>
          <w:sz w:val="24"/>
          <w:szCs w:val="24"/>
          <w:rtl/>
        </w:rPr>
        <w:t>יש פער גדול בין הרטוריקה של בית משפט העליון לבין הסטטיסטיקה</w:t>
      </w:r>
      <w:r w:rsidRPr="00A97515">
        <w:rPr>
          <w:rFonts w:ascii="David" w:hAnsi="David" w:cs="David"/>
          <w:sz w:val="24"/>
          <w:szCs w:val="24"/>
          <w:rtl/>
        </w:rPr>
        <w:t xml:space="preserve">. </w:t>
      </w:r>
      <w:r w:rsidRPr="00A97515">
        <w:rPr>
          <w:rFonts w:ascii="David" w:hAnsi="David" w:cs="David" w:hint="cs"/>
          <w:sz w:val="24"/>
          <w:szCs w:val="24"/>
          <w:rtl/>
        </w:rPr>
        <w:t>ברטוריקה, ביהמ"ש</w:t>
      </w:r>
      <w:r w:rsidRPr="00A97515">
        <w:rPr>
          <w:rFonts w:ascii="David" w:hAnsi="David" w:cs="David"/>
          <w:sz w:val="24"/>
          <w:szCs w:val="24"/>
          <w:rtl/>
        </w:rPr>
        <w:t xml:space="preserve"> נוטה לומר שלא יתערב בפסיקות בתי הדין המשמעתיים של הפרופסיות השונות, אלא במקרים חריגים. התפיסה היא שהגוף הממונה על הליכים משמעתיים הוא גוף מקצועי</w:t>
      </w:r>
      <w:r w:rsidRPr="00A97515">
        <w:rPr>
          <w:rFonts w:ascii="David" w:hAnsi="David" w:cs="David" w:hint="cs"/>
          <w:sz w:val="24"/>
          <w:szCs w:val="24"/>
          <w:rtl/>
        </w:rPr>
        <w:t>-</w:t>
      </w:r>
      <w:r w:rsidRPr="00A97515">
        <w:rPr>
          <w:rFonts w:ascii="David" w:hAnsi="David" w:cs="David"/>
          <w:sz w:val="24"/>
          <w:szCs w:val="24"/>
          <w:rtl/>
        </w:rPr>
        <w:t xml:space="preserve"> </w:t>
      </w:r>
      <w:r w:rsidRPr="00A97515">
        <w:rPr>
          <w:rFonts w:ascii="David" w:hAnsi="David" w:cs="David" w:hint="cs"/>
          <w:sz w:val="24"/>
          <w:szCs w:val="24"/>
          <w:rtl/>
        </w:rPr>
        <w:t xml:space="preserve">המסגרת הארגונית שמעמידה לדין משמעתי את אותו נושא משרה יודעת ברמה המקצועית ביותר האם העובד אשם ומה העונש המגיע לו. </w:t>
      </w:r>
      <w:r w:rsidRPr="00A97515">
        <w:rPr>
          <w:rFonts w:ascii="David" w:hAnsi="David" w:cs="David"/>
          <w:sz w:val="24"/>
          <w:szCs w:val="24"/>
          <w:rtl/>
        </w:rPr>
        <w:t xml:space="preserve">ולכן בית המשפט יתערב כמה שפחות, אלא אם מדובר בחריגה משמעותית. </w:t>
      </w:r>
      <w:r w:rsidRPr="00A97515">
        <w:rPr>
          <w:rFonts w:ascii="David" w:hAnsi="David" w:cs="David"/>
          <w:sz w:val="24"/>
          <w:szCs w:val="24"/>
          <w:u w:val="single"/>
          <w:rtl/>
        </w:rPr>
        <w:t>לדוגמא</w:t>
      </w:r>
      <w:r w:rsidRPr="00A97515">
        <w:rPr>
          <w:rFonts w:ascii="David" w:hAnsi="David" w:cs="David"/>
          <w:sz w:val="24"/>
          <w:szCs w:val="24"/>
          <w:rtl/>
        </w:rPr>
        <w:t xml:space="preserve">: חריגה משמעותית בעונש </w:t>
      </w:r>
      <w:proofErr w:type="spellStart"/>
      <w:r w:rsidRPr="00A97515">
        <w:rPr>
          <w:rFonts w:ascii="David" w:hAnsi="David" w:cs="David"/>
          <w:sz w:val="24"/>
          <w:szCs w:val="24"/>
          <w:rtl/>
        </w:rPr>
        <w:t>לקולא</w:t>
      </w:r>
      <w:proofErr w:type="spellEnd"/>
      <w:r w:rsidRPr="00A97515">
        <w:rPr>
          <w:rFonts w:ascii="David" w:hAnsi="David" w:cs="David"/>
          <w:sz w:val="24"/>
          <w:szCs w:val="24"/>
          <w:rtl/>
        </w:rPr>
        <w:t xml:space="preserve"> (לחומרה פחות). עם זאת, כשבודקים מבחינה סטטיסטית, מתגלה תמונה שונה</w:t>
      </w:r>
      <w:r w:rsidRPr="00A97515">
        <w:rPr>
          <w:rFonts w:ascii="David" w:hAnsi="David" w:cs="David" w:hint="cs"/>
          <w:sz w:val="24"/>
          <w:szCs w:val="24"/>
          <w:rtl/>
        </w:rPr>
        <w:t>:</w:t>
      </w:r>
    </w:p>
    <w:p w14:paraId="06366C25" w14:textId="77777777" w:rsidR="004F4CA3" w:rsidRPr="00A97515" w:rsidRDefault="004F4CA3" w:rsidP="004F4CA3">
      <w:pPr>
        <w:spacing w:after="0" w:line="360" w:lineRule="auto"/>
        <w:ind w:left="-908"/>
        <w:jc w:val="both"/>
        <w:rPr>
          <w:rFonts w:ascii="David" w:hAnsi="David" w:cs="David"/>
          <w:sz w:val="24"/>
          <w:szCs w:val="24"/>
          <w:rtl/>
        </w:rPr>
      </w:pPr>
      <w:r w:rsidRPr="00A97515">
        <w:rPr>
          <w:rFonts w:ascii="David" w:hAnsi="David" w:cs="David"/>
          <w:sz w:val="24"/>
          <w:szCs w:val="24"/>
          <w:rtl/>
        </w:rPr>
        <w:t>בית המשפט העליון מתערב ב-20% מהתיקים המגיעים אליו בערעור</w:t>
      </w:r>
      <w:r w:rsidRPr="00A97515">
        <w:rPr>
          <w:rFonts w:ascii="David" w:hAnsi="David" w:cs="David" w:hint="cs"/>
          <w:sz w:val="24"/>
          <w:szCs w:val="24"/>
          <w:rtl/>
        </w:rPr>
        <w:t>- ז"א,</w:t>
      </w:r>
      <w:r w:rsidRPr="00A97515">
        <w:rPr>
          <w:rFonts w:ascii="David" w:hAnsi="David" w:cs="David"/>
          <w:sz w:val="24"/>
          <w:szCs w:val="24"/>
          <w:rtl/>
        </w:rPr>
        <w:t xml:space="preserve"> ב-20% מהתיקים שבית המשפט מסכים לדון בערעור לגביהם, הוא מקבל את הערעור בצורה מלאה או בצורה חלקית. לעומת זאת, כשבודקים מבחינה אמפירית, בכמה פסקי דין התערב בית המשפט העליון בפסיקות בתי הדין המשמעתיים מגלים שגם מדובר בהתערבות בכ-20% </w:t>
      </w:r>
      <w:r w:rsidRPr="00A97515">
        <w:rPr>
          <w:rFonts w:ascii="David" w:hAnsi="David" w:cs="David" w:hint="cs"/>
          <w:sz w:val="24"/>
          <w:szCs w:val="24"/>
          <w:rtl/>
        </w:rPr>
        <w:t xml:space="preserve">(17%) </w:t>
      </w:r>
      <w:r w:rsidRPr="00A97515">
        <w:rPr>
          <w:rFonts w:ascii="David" w:hAnsi="David" w:cs="David"/>
          <w:sz w:val="24"/>
          <w:szCs w:val="24"/>
          <w:rtl/>
        </w:rPr>
        <w:t xml:space="preserve">מהתיקים. אם כן, </w:t>
      </w:r>
      <w:r w:rsidRPr="00A97515">
        <w:rPr>
          <w:rFonts w:ascii="David" w:hAnsi="David" w:cs="David" w:hint="cs"/>
          <w:sz w:val="24"/>
          <w:szCs w:val="24"/>
          <w:rtl/>
        </w:rPr>
        <w:t>ה</w:t>
      </w:r>
      <w:r w:rsidRPr="00A97515">
        <w:rPr>
          <w:rFonts w:ascii="David" w:hAnsi="David" w:cs="David"/>
          <w:sz w:val="24"/>
          <w:szCs w:val="24"/>
          <w:rtl/>
        </w:rPr>
        <w:t>רטוריקה לחוד ו</w:t>
      </w:r>
      <w:r w:rsidRPr="00A97515">
        <w:rPr>
          <w:rFonts w:ascii="David" w:hAnsi="David" w:cs="David" w:hint="cs"/>
          <w:sz w:val="24"/>
          <w:szCs w:val="24"/>
          <w:rtl/>
        </w:rPr>
        <w:t>ה</w:t>
      </w:r>
      <w:r w:rsidRPr="00A97515">
        <w:rPr>
          <w:rFonts w:ascii="David" w:hAnsi="David" w:cs="David"/>
          <w:sz w:val="24"/>
          <w:szCs w:val="24"/>
          <w:rtl/>
        </w:rPr>
        <w:t>מציאות לחוד</w:t>
      </w:r>
      <w:r w:rsidRPr="00A97515">
        <w:rPr>
          <w:rFonts w:ascii="David" w:hAnsi="David" w:cs="David" w:hint="cs"/>
          <w:sz w:val="24"/>
          <w:szCs w:val="24"/>
          <w:rtl/>
        </w:rPr>
        <w:t>-</w:t>
      </w:r>
      <w:r w:rsidRPr="00A97515">
        <w:rPr>
          <w:rFonts w:ascii="David" w:hAnsi="David" w:cs="David"/>
          <w:sz w:val="24"/>
          <w:szCs w:val="24"/>
          <w:rtl/>
        </w:rPr>
        <w:t xml:space="preserve"> </w:t>
      </w:r>
      <w:r w:rsidRPr="00A97515">
        <w:rPr>
          <w:rFonts w:ascii="David" w:hAnsi="David" w:cs="David" w:hint="cs"/>
          <w:sz w:val="24"/>
          <w:szCs w:val="24"/>
          <w:rtl/>
        </w:rPr>
        <w:t>על אף שביהמ"ש אומר כי הנטייה היא לא להתערב בפסקי דין של הדין המשמעתי, בפועל הוא מתערב באותה מידה כשם שהוא מתערב בפסקי דין בכל הערכאות.</w:t>
      </w:r>
    </w:p>
    <w:p w14:paraId="70DF6AA8" w14:textId="77777777" w:rsidR="004F4CA3" w:rsidRDefault="004F4CA3" w:rsidP="005C63E0">
      <w:pPr>
        <w:pStyle w:val="a4"/>
        <w:spacing w:after="120" w:line="360" w:lineRule="auto"/>
        <w:ind w:left="-908"/>
        <w:rPr>
          <w:rFonts w:ascii="David" w:hAnsi="David" w:cs="David"/>
          <w:b/>
          <w:bCs/>
          <w:sz w:val="24"/>
          <w:szCs w:val="24"/>
          <w:u w:val="single"/>
          <w:rtl/>
        </w:rPr>
      </w:pPr>
    </w:p>
    <w:p w14:paraId="460B971B" w14:textId="77777777" w:rsidR="00F20154" w:rsidRPr="007E1210" w:rsidRDefault="004F4CA3" w:rsidP="007E1210">
      <w:pPr>
        <w:pStyle w:val="a4"/>
        <w:numPr>
          <w:ilvl w:val="0"/>
          <w:numId w:val="25"/>
        </w:numPr>
        <w:spacing w:after="120" w:line="360" w:lineRule="auto"/>
        <w:ind w:left="-913" w:hanging="357"/>
        <w:contextualSpacing w:val="0"/>
        <w:jc w:val="both"/>
        <w:rPr>
          <w:rFonts w:ascii="David" w:hAnsi="David" w:cs="David"/>
          <w:b/>
          <w:bCs/>
          <w:sz w:val="24"/>
          <w:szCs w:val="24"/>
        </w:rPr>
      </w:pPr>
      <w:r w:rsidRPr="00DC6089">
        <w:rPr>
          <w:rFonts w:ascii="David" w:hAnsi="David" w:cs="David" w:hint="cs"/>
          <w:b/>
          <w:bCs/>
          <w:sz w:val="24"/>
          <w:szCs w:val="24"/>
          <w:rtl/>
        </w:rPr>
        <w:t xml:space="preserve">ע"א 412/90 אליהו נגד שר הבריאות - </w:t>
      </w:r>
      <w:r w:rsidR="00F20154" w:rsidRPr="00F20154">
        <w:rPr>
          <w:rFonts w:ascii="David" w:hAnsi="David" w:cs="David" w:hint="cs"/>
          <w:b/>
          <w:bCs/>
          <w:sz w:val="24"/>
          <w:szCs w:val="24"/>
          <w:rtl/>
        </w:rPr>
        <w:t xml:space="preserve">פרטי המקרה: </w:t>
      </w:r>
      <w:r w:rsidR="00F20154" w:rsidRPr="00F20154">
        <w:rPr>
          <w:rFonts w:ascii="David" w:hAnsi="David" w:cs="David" w:hint="cs"/>
          <w:sz w:val="24"/>
          <w:szCs w:val="24"/>
          <w:rtl/>
        </w:rPr>
        <w:t xml:space="preserve">מערער שנתן בין 81-83 אישורים רפואיים </w:t>
      </w:r>
      <w:proofErr w:type="spellStart"/>
      <w:r w:rsidR="00F20154" w:rsidRPr="00F20154">
        <w:rPr>
          <w:rFonts w:ascii="David" w:hAnsi="David" w:cs="David" w:hint="cs"/>
          <w:sz w:val="24"/>
          <w:szCs w:val="24"/>
          <w:rtl/>
        </w:rPr>
        <w:t>כובים</w:t>
      </w:r>
      <w:proofErr w:type="spellEnd"/>
      <w:r w:rsidR="00F20154" w:rsidRPr="00F20154">
        <w:rPr>
          <w:rFonts w:ascii="David" w:hAnsi="David" w:cs="David" w:hint="cs"/>
          <w:sz w:val="24"/>
          <w:szCs w:val="24"/>
          <w:rtl/>
        </w:rPr>
        <w:t xml:space="preserve"> תמורת תשלומים ביודעין שאלה הולכים לסייע להשתמט משירות מילואים. אחרי הרשעה בפלילים הוגשה נגדו קובלנה ע"י המנהל הכללי של משרד הבריאות</w:t>
      </w:r>
      <w:r w:rsidR="007E1210">
        <w:rPr>
          <w:rFonts w:ascii="David" w:hAnsi="David" w:cs="David" w:hint="cs"/>
          <w:sz w:val="24"/>
          <w:szCs w:val="24"/>
          <w:rtl/>
        </w:rPr>
        <w:t xml:space="preserve"> שהחליט לשלול לו את הרישיון אך אפשרה לו לאחר פרק זמן מסוים לשוב להתקבל מחדש לעסוק ברפואה. הערעור הוא על חומרת העונש. </w:t>
      </w:r>
      <w:r w:rsidR="00F20154" w:rsidRPr="007E1210">
        <w:rPr>
          <w:rFonts w:ascii="David" w:hAnsi="David" w:cs="David" w:hint="cs"/>
          <w:b/>
          <w:bCs/>
          <w:sz w:val="24"/>
          <w:szCs w:val="24"/>
          <w:rtl/>
        </w:rPr>
        <w:t xml:space="preserve">פסיקה: </w:t>
      </w:r>
      <w:r w:rsidR="007E1210">
        <w:rPr>
          <w:rFonts w:ascii="David" w:hAnsi="David" w:cs="David" w:hint="cs"/>
          <w:b/>
          <w:bCs/>
          <w:sz w:val="24"/>
          <w:szCs w:val="24"/>
          <w:rtl/>
        </w:rPr>
        <w:t xml:space="preserve"> </w:t>
      </w:r>
      <w:r w:rsidR="007E1210" w:rsidRPr="007E1210">
        <w:rPr>
          <w:rFonts w:ascii="David" w:hAnsi="David" w:cs="David" w:hint="cs"/>
          <w:sz w:val="24"/>
          <w:szCs w:val="24"/>
          <w:rtl/>
        </w:rPr>
        <w:t xml:space="preserve">במקרה זה יש רשימה של נסיבות </w:t>
      </w:r>
      <w:proofErr w:type="spellStart"/>
      <w:r w:rsidR="007E1210" w:rsidRPr="007E1210">
        <w:rPr>
          <w:rFonts w:ascii="David" w:hAnsi="David" w:cs="David" w:hint="cs"/>
          <w:sz w:val="24"/>
          <w:szCs w:val="24"/>
          <w:rtl/>
        </w:rPr>
        <w:t>לקולא</w:t>
      </w:r>
      <w:proofErr w:type="spellEnd"/>
      <w:r w:rsidR="007E1210" w:rsidRPr="007E1210">
        <w:rPr>
          <w:rFonts w:ascii="David" w:hAnsi="David" w:cs="David" w:hint="cs"/>
          <w:sz w:val="24"/>
          <w:szCs w:val="24"/>
          <w:rtl/>
        </w:rPr>
        <w:t>, לכן מקבלים את הערעור ומגבילים את השלילה לתקופה של שלוש שנים. הדין המשמעתי עניינו בהסקת המסקנה, ההשלכה אם בכלל שיש להרשעה על עיסוקו של הנידון ועל תפקודו המקצועי. הדין המשמעתי בעקבות ההרשעה בפלילים בא למנוע סתירה בין הנדרש מאיש מקצוע לבין התנהגותו למעשה.</w:t>
      </w:r>
      <w:r w:rsidR="007E1210">
        <w:rPr>
          <w:rFonts w:ascii="David" w:hAnsi="David" w:cs="David" w:hint="cs"/>
          <w:b/>
          <w:bCs/>
          <w:sz w:val="24"/>
          <w:szCs w:val="24"/>
          <w:rtl/>
        </w:rPr>
        <w:t xml:space="preserve">  </w:t>
      </w:r>
    </w:p>
    <w:p w14:paraId="45B0CC30" w14:textId="77777777" w:rsidR="00BB4F85" w:rsidRPr="00BB4F85" w:rsidRDefault="004F4CA3" w:rsidP="00BB4F85">
      <w:pPr>
        <w:pStyle w:val="a4"/>
        <w:numPr>
          <w:ilvl w:val="0"/>
          <w:numId w:val="25"/>
        </w:numPr>
        <w:spacing w:after="120" w:line="360" w:lineRule="auto"/>
        <w:ind w:left="-913" w:hanging="357"/>
        <w:contextualSpacing w:val="0"/>
        <w:jc w:val="both"/>
        <w:rPr>
          <w:rFonts w:ascii="David" w:hAnsi="David" w:cs="David"/>
          <w:b/>
          <w:bCs/>
          <w:sz w:val="24"/>
          <w:szCs w:val="24"/>
          <w:rtl/>
        </w:rPr>
      </w:pPr>
      <w:proofErr w:type="spellStart"/>
      <w:r w:rsidRPr="00402E8B">
        <w:rPr>
          <w:rFonts w:ascii="David" w:hAnsi="David" w:cs="David" w:hint="cs"/>
          <w:b/>
          <w:bCs/>
          <w:sz w:val="24"/>
          <w:szCs w:val="24"/>
          <w:rtl/>
        </w:rPr>
        <w:t>עש"מ</w:t>
      </w:r>
      <w:proofErr w:type="spellEnd"/>
      <w:r w:rsidRPr="00402E8B">
        <w:rPr>
          <w:rFonts w:ascii="David" w:hAnsi="David" w:cs="David" w:hint="cs"/>
          <w:b/>
          <w:bCs/>
          <w:sz w:val="24"/>
          <w:szCs w:val="24"/>
          <w:rtl/>
        </w:rPr>
        <w:t xml:space="preserve"> </w:t>
      </w:r>
      <w:r w:rsidR="00747F2A" w:rsidRPr="00402E8B">
        <w:rPr>
          <w:rFonts w:ascii="David" w:hAnsi="David" w:cs="David" w:hint="cs"/>
          <w:b/>
          <w:bCs/>
          <w:sz w:val="24"/>
          <w:szCs w:val="24"/>
          <w:rtl/>
        </w:rPr>
        <w:t xml:space="preserve"> 5669/93 מדינת ישראל נ' </w:t>
      </w:r>
      <w:proofErr w:type="spellStart"/>
      <w:r w:rsidR="00747F2A" w:rsidRPr="00402E8B">
        <w:rPr>
          <w:rFonts w:ascii="David" w:hAnsi="David" w:cs="David" w:hint="cs"/>
          <w:b/>
          <w:bCs/>
          <w:sz w:val="24"/>
          <w:szCs w:val="24"/>
          <w:rtl/>
        </w:rPr>
        <w:t>שפירו</w:t>
      </w:r>
      <w:proofErr w:type="spellEnd"/>
      <w:r w:rsidR="00747F2A" w:rsidRPr="00402E8B">
        <w:rPr>
          <w:rFonts w:ascii="David" w:hAnsi="David" w:cs="David" w:hint="cs"/>
          <w:b/>
          <w:bCs/>
          <w:sz w:val="24"/>
          <w:szCs w:val="24"/>
          <w:rtl/>
        </w:rPr>
        <w:t xml:space="preserve"> - </w:t>
      </w:r>
      <w:r w:rsidR="00BB4F85">
        <w:rPr>
          <w:rFonts w:ascii="David" w:hAnsi="David" w:cs="David" w:hint="cs"/>
          <w:b/>
          <w:bCs/>
          <w:sz w:val="24"/>
          <w:szCs w:val="24"/>
          <w:rtl/>
        </w:rPr>
        <w:t xml:space="preserve"> </w:t>
      </w:r>
      <w:r w:rsidR="00BB4F85" w:rsidRPr="00BB4F85">
        <w:rPr>
          <w:rFonts w:ascii="David" w:hAnsi="David" w:cs="David"/>
          <w:sz w:val="24"/>
          <w:szCs w:val="24"/>
          <w:rtl/>
        </w:rPr>
        <w:t>נגד המשיב הוגשה תובענה לבית-הדין למשמעת של עובדי המדינה בגין עבירות משמעת והוא הושעה מעבודתו כאחראי על ניהול ספרים במס הכנסה. במהלך ההליכים פרש המשיב לגמלאות ובשל כך החליט בית-הדין, לאחר חודשים מספר, להפסיק את ההליכים נגדו. כן הוחלט להביא בחשבון את התקופה שבה היה המשיב מושעה מעבודתו, בחישוב הגמלאות שלהן הוא זכאי. מכאן הערעור.</w:t>
      </w:r>
    </w:p>
    <w:p w14:paraId="2A961E10" w14:textId="77777777" w:rsidR="00BB4F85" w:rsidRPr="00BB4F85" w:rsidRDefault="00BB4F85" w:rsidP="00BB4F85">
      <w:pPr>
        <w:pStyle w:val="a4"/>
        <w:spacing w:after="120" w:line="360" w:lineRule="auto"/>
        <w:ind w:left="-913"/>
        <w:jc w:val="both"/>
        <w:rPr>
          <w:rFonts w:ascii="David" w:hAnsi="David" w:cs="David"/>
          <w:sz w:val="24"/>
          <w:szCs w:val="24"/>
          <w:rtl/>
        </w:rPr>
      </w:pPr>
      <w:r w:rsidRPr="00BB4F85">
        <w:rPr>
          <w:rFonts w:ascii="David" w:hAnsi="David" w:cs="David"/>
          <w:b/>
          <w:bCs/>
          <w:sz w:val="24"/>
          <w:szCs w:val="24"/>
          <w:rtl/>
        </w:rPr>
        <w:t>בית-המשפט העליון פסק:</w:t>
      </w:r>
      <w:r w:rsidRPr="00BB4F85">
        <w:rPr>
          <w:rFonts w:ascii="David" w:hAnsi="David" w:cs="David"/>
          <w:sz w:val="24"/>
          <w:szCs w:val="24"/>
          <w:rtl/>
        </w:rPr>
        <w:t xml:space="preserve"> לפי סעיף 65 לחוק המשמעת, ברור כי במקרה שעובד פורש מן השירות במהלך ההליכים המשמעתיים מוקנה לבית-הדין שיקול-דעת רחב בשאלה אם להמשיך בהליכים או להפסיקם. עם </w:t>
      </w:r>
      <w:r w:rsidRPr="00BB4F85">
        <w:rPr>
          <w:rFonts w:ascii="David" w:hAnsi="David" w:cs="David"/>
          <w:sz w:val="24"/>
          <w:szCs w:val="24"/>
          <w:rtl/>
        </w:rPr>
        <w:lastRenderedPageBreak/>
        <w:t xml:space="preserve">זאת, מלשון הסעיף עולה כי המשך ההליכים הוא החריג לכלל, והוא שדורש טעם, או כלשון החוק – "צורך".  טעמים שונים עשויים להשפיע על החלטת בית-הדין בשאלה אם להמשיך בהליכים: חומרת העבירה המיוחסת לעובד; משך ההליכים עד הפרישה; הסיבה להתמשכות ההליכים; השלב שאליו הגיעו ההליכים; מידת ההוכחה של העבירה המיוחסת לעובד ובמיוחד אמצעי המשמעת שניתן יהיה לגזור על העובד אם יימצא אשם. </w:t>
      </w:r>
    </w:p>
    <w:p w14:paraId="5C0C105F" w14:textId="77777777" w:rsidR="00BB4F85" w:rsidRDefault="00BB4F85" w:rsidP="00BB4F85">
      <w:pPr>
        <w:pStyle w:val="a4"/>
        <w:spacing w:after="120" w:line="360" w:lineRule="auto"/>
        <w:ind w:left="-913"/>
        <w:jc w:val="both"/>
        <w:rPr>
          <w:rFonts w:ascii="David" w:hAnsi="David" w:cs="David"/>
          <w:sz w:val="24"/>
          <w:szCs w:val="24"/>
          <w:rtl/>
        </w:rPr>
      </w:pPr>
      <w:r w:rsidRPr="00BB4F85">
        <w:rPr>
          <w:rFonts w:ascii="David" w:hAnsi="David" w:cs="David"/>
          <w:sz w:val="24"/>
          <w:szCs w:val="24"/>
          <w:rtl/>
        </w:rPr>
        <w:t xml:space="preserve">במקרה דנן, העבירות שהמשיב הואשם בהן, אף כי לא היו קלות במיוחד, גם לא היו חמורות. לכן, בהנחה שבית-הדין היה מוסמך לשלול את קצבת הפרישה של המשיב או להקטינה, נראה כי בנסיבות המקרה, גם לו הורשע המשיב בעבירות שיוחסו לו, ספק אם היה בכך כדי להצדיק שלילה של קצבת הפרישה או הקטנתה  בית-המשפט אינו נוטה להתערב בשיקול-הדעת של בית-הדין בשאלת העונש. בדומה לכך, בית-המשפט אינו נוטה להתערב בשיקול-הדעת של בית-הדין בשאלה של הפסקת ההליכים נגד עובד שפרש מן השירות, אלא אם בהחלטה של בית-הדין נפל פגם מהותי או נגרם עיוות דין. לפי סעיף 43(ה) לחוק המשמעת, בית-המשפט רשאי לדחות ערעור, אף אם קיבל טענה שנטענה, אם היה סבור כי לא נגרם עיוות דין. במקרה זה, ההחלטה של בית-הדין להפסיק את ההליכים נגד המשיב לא גרמה עיוות דין. </w:t>
      </w:r>
    </w:p>
    <w:p w14:paraId="55DCEE11" w14:textId="77777777" w:rsidR="00562A33" w:rsidRPr="00BB4F85" w:rsidRDefault="00562A33" w:rsidP="00BB4F85">
      <w:pPr>
        <w:pStyle w:val="a4"/>
        <w:spacing w:after="120" w:line="360" w:lineRule="auto"/>
        <w:ind w:left="-913"/>
        <w:jc w:val="both"/>
        <w:rPr>
          <w:rFonts w:ascii="David" w:hAnsi="David" w:cs="David"/>
          <w:sz w:val="24"/>
          <w:szCs w:val="24"/>
          <w:rtl/>
        </w:rPr>
      </w:pPr>
    </w:p>
    <w:p w14:paraId="17A5EF0D" w14:textId="77777777" w:rsidR="00BB4F85" w:rsidRPr="00BB4F85" w:rsidRDefault="00BB4F85" w:rsidP="00BB4F85">
      <w:pPr>
        <w:pStyle w:val="a4"/>
        <w:spacing w:after="120" w:line="360" w:lineRule="auto"/>
        <w:ind w:left="-913"/>
        <w:contextualSpacing w:val="0"/>
        <w:jc w:val="both"/>
        <w:rPr>
          <w:rFonts w:ascii="David" w:hAnsi="David" w:cs="David"/>
          <w:sz w:val="24"/>
          <w:szCs w:val="24"/>
        </w:rPr>
      </w:pPr>
      <w:r w:rsidRPr="00BB4F85">
        <w:rPr>
          <w:rFonts w:ascii="David" w:hAnsi="David" w:cs="David"/>
          <w:sz w:val="24"/>
          <w:szCs w:val="24"/>
          <w:rtl/>
        </w:rPr>
        <w:t>סעיף 65 לחוק המשמעת, המסמיך את בית-הדין להחליט על הפסקת ההליכים, אינו מסמיך את בית-הדין להוסיף ולקבוע דבר לעניין זכויות הנאשם, לטוב או לרע. החלטה על הפסקת ההליכים אינה פסק-דין לגוף העניין. ההחלטה אינה מרשיעה את הנאשם, אך גם אינה מזכה אותו. היא החלטה דיונית ולא החלטה מהותית.    השאלה מה זכותו של הנאשם, במקרה כזה, לשכר או לגמלה או לכל טובת הנאה אחרת צריכה להיות נדונה לגוף העניין, על-פי הדין באותו עניין, בפני רשות או ערכאה שהוסמכו להכריע בעניין הנדון.  לפיכך, יש לבטל את החלטת בית-הדין שלפיה תקופת ההשעיה של המשיב תחשב כתקופת שירות לצורך חישוב הגמלה של המשיב.</w:t>
      </w:r>
    </w:p>
    <w:p w14:paraId="53D07646" w14:textId="77777777" w:rsidR="004F4CA3" w:rsidRPr="00DC6089" w:rsidRDefault="004F4CA3" w:rsidP="007E1210">
      <w:pPr>
        <w:pStyle w:val="a4"/>
        <w:numPr>
          <w:ilvl w:val="0"/>
          <w:numId w:val="25"/>
        </w:numPr>
        <w:spacing w:after="120" w:line="360" w:lineRule="auto"/>
        <w:ind w:left="-913" w:hanging="357"/>
        <w:contextualSpacing w:val="0"/>
        <w:jc w:val="both"/>
        <w:rPr>
          <w:rFonts w:ascii="David" w:hAnsi="David" w:cs="David"/>
          <w:b/>
          <w:bCs/>
          <w:sz w:val="24"/>
          <w:szCs w:val="24"/>
        </w:rPr>
      </w:pPr>
      <w:proofErr w:type="spellStart"/>
      <w:r w:rsidRPr="00DC6089">
        <w:rPr>
          <w:rFonts w:ascii="David" w:hAnsi="David" w:cs="David" w:hint="cs"/>
          <w:b/>
          <w:bCs/>
          <w:sz w:val="24"/>
          <w:szCs w:val="24"/>
          <w:rtl/>
        </w:rPr>
        <w:t>על"ע</w:t>
      </w:r>
      <w:proofErr w:type="spellEnd"/>
      <w:r w:rsidRPr="00DC6089">
        <w:rPr>
          <w:rFonts w:ascii="David" w:hAnsi="David" w:cs="David" w:hint="cs"/>
          <w:b/>
          <w:bCs/>
          <w:sz w:val="24"/>
          <w:szCs w:val="24"/>
          <w:rtl/>
        </w:rPr>
        <w:t xml:space="preserve"> 3/71 הועד המרכזי נ' רזניק - </w:t>
      </w:r>
      <w:r w:rsidR="007E1210" w:rsidRPr="007E1210">
        <w:rPr>
          <w:rFonts w:ascii="David" w:hAnsi="David" w:cs="David" w:hint="cs"/>
          <w:sz w:val="24"/>
          <w:szCs w:val="24"/>
          <w:rtl/>
        </w:rPr>
        <w:t xml:space="preserve">ערעור על גזר דין של בית הדין המשמעתי הארצי שהטיל השעיית רישיון לשנה. </w:t>
      </w:r>
      <w:r w:rsidR="007E1210" w:rsidRPr="007E1210">
        <w:rPr>
          <w:rFonts w:ascii="David" w:hAnsi="David" w:cs="David" w:hint="cs"/>
          <w:b/>
          <w:bCs/>
          <w:sz w:val="24"/>
          <w:szCs w:val="24"/>
          <w:rtl/>
        </w:rPr>
        <w:t>פסיקה:</w:t>
      </w:r>
      <w:r w:rsidR="007E1210" w:rsidRPr="007E1210">
        <w:rPr>
          <w:rFonts w:ascii="David" w:hAnsi="David" w:cs="David" w:hint="cs"/>
          <w:sz w:val="24"/>
          <w:szCs w:val="24"/>
          <w:rtl/>
        </w:rPr>
        <w:t xml:space="preserve"> בית המשפט העליון לא ימהר להתערב בהחלטות שקיבל בית הדין המשמעתי הארצי. יחד עם זאת, ההחלטה שלו היא לא סוף פסוק ולבית המשפט העליון סמכות </w:t>
      </w:r>
      <w:proofErr w:type="spellStart"/>
      <w:r w:rsidR="007E1210" w:rsidRPr="007E1210">
        <w:rPr>
          <w:rFonts w:ascii="David" w:hAnsi="David" w:cs="David" w:hint="cs"/>
          <w:sz w:val="24"/>
          <w:szCs w:val="24"/>
          <w:rtl/>
        </w:rPr>
        <w:t>ערעורית</w:t>
      </w:r>
      <w:proofErr w:type="spellEnd"/>
      <w:r w:rsidR="007E1210" w:rsidRPr="007E1210">
        <w:rPr>
          <w:rFonts w:ascii="David" w:hAnsi="David" w:cs="David" w:hint="cs"/>
          <w:sz w:val="24"/>
          <w:szCs w:val="24"/>
          <w:rtl/>
        </w:rPr>
        <w:t xml:space="preserve"> על החלטותיו, שתהיה מוצדקת כשגזר הדין שהטיל בית הדין הארצי נוטה </w:t>
      </w:r>
      <w:proofErr w:type="spellStart"/>
      <w:r w:rsidR="007E1210" w:rsidRPr="007E1210">
        <w:rPr>
          <w:rFonts w:ascii="David" w:hAnsi="David" w:cs="David" w:hint="cs"/>
          <w:sz w:val="24"/>
          <w:szCs w:val="24"/>
          <w:rtl/>
        </w:rPr>
        <w:t>לקולא</w:t>
      </w:r>
      <w:proofErr w:type="spellEnd"/>
      <w:r w:rsidR="007E1210" w:rsidRPr="007E1210">
        <w:rPr>
          <w:rFonts w:ascii="David" w:hAnsi="David" w:cs="David" w:hint="cs"/>
          <w:sz w:val="24"/>
          <w:szCs w:val="24"/>
          <w:rtl/>
        </w:rPr>
        <w:t xml:space="preserve"> במידה בלתי סבירה. במקרה הזה העונשים שהטיל בית הדין הארצי אינם הולמים את חומרת העבירות ומחמיר את העונש (לפי המלצת הוועד) ל-18 חודשי השעיה. </w:t>
      </w:r>
    </w:p>
    <w:p w14:paraId="7F56503D" w14:textId="77777777" w:rsidR="00616267" w:rsidRDefault="004F4CA3" w:rsidP="00616267">
      <w:pPr>
        <w:pStyle w:val="a4"/>
        <w:numPr>
          <w:ilvl w:val="0"/>
          <w:numId w:val="25"/>
        </w:numPr>
        <w:spacing w:after="120" w:line="360" w:lineRule="auto"/>
        <w:ind w:left="-908"/>
        <w:jc w:val="both"/>
        <w:rPr>
          <w:rFonts w:ascii="David" w:hAnsi="David" w:cs="David"/>
          <w:sz w:val="24"/>
          <w:szCs w:val="24"/>
        </w:rPr>
      </w:pPr>
      <w:proofErr w:type="spellStart"/>
      <w:r w:rsidRPr="00DC6089">
        <w:rPr>
          <w:rFonts w:ascii="David" w:hAnsi="David" w:cs="David" w:hint="cs"/>
          <w:b/>
          <w:bCs/>
          <w:sz w:val="24"/>
          <w:szCs w:val="24"/>
          <w:rtl/>
        </w:rPr>
        <w:t>על"ע</w:t>
      </w:r>
      <w:proofErr w:type="spellEnd"/>
      <w:r w:rsidRPr="00DC6089">
        <w:rPr>
          <w:rFonts w:ascii="David" w:hAnsi="David" w:cs="David" w:hint="cs"/>
          <w:b/>
          <w:bCs/>
          <w:sz w:val="24"/>
          <w:szCs w:val="24"/>
          <w:rtl/>
        </w:rPr>
        <w:t xml:space="preserve"> 1/89 הועד המרכזי נ' </w:t>
      </w:r>
      <w:proofErr w:type="spellStart"/>
      <w:r w:rsidRPr="00DC6089">
        <w:rPr>
          <w:rFonts w:ascii="David" w:hAnsi="David" w:cs="David" w:hint="cs"/>
          <w:b/>
          <w:bCs/>
          <w:sz w:val="24"/>
          <w:szCs w:val="24"/>
          <w:rtl/>
        </w:rPr>
        <w:t>שפיצרר</w:t>
      </w:r>
      <w:proofErr w:type="spellEnd"/>
      <w:r w:rsidRPr="00DC6089">
        <w:rPr>
          <w:rFonts w:ascii="David" w:hAnsi="David" w:cs="David" w:hint="cs"/>
          <w:b/>
          <w:bCs/>
          <w:sz w:val="24"/>
          <w:szCs w:val="24"/>
          <w:rtl/>
        </w:rPr>
        <w:t xml:space="preserve"> - </w:t>
      </w:r>
      <w:r w:rsidR="00616267" w:rsidRPr="00616267">
        <w:rPr>
          <w:rFonts w:ascii="David" w:hAnsi="David" w:cs="David"/>
          <w:b/>
          <w:bCs/>
          <w:sz w:val="24"/>
          <w:szCs w:val="24"/>
          <w:rtl/>
        </w:rPr>
        <w:t>"</w:t>
      </w:r>
      <w:r w:rsidR="00616267" w:rsidRPr="00616267">
        <w:rPr>
          <w:rFonts w:ascii="David" w:hAnsi="David" w:cs="David"/>
          <w:sz w:val="24"/>
          <w:szCs w:val="24"/>
          <w:rtl/>
        </w:rPr>
        <w:t xml:space="preserve">עברו של המשיב רצוף בעבירות משמעת דומות במהותן. המערער מבקש בערעורו להרחיק את המשיב לצמיתות משורותיו, והמשיב מבקש להקל בעונשים שהוטלו עליו." "מון מלא בין עורך-דין ללקוחו הוא נשמת אפו של מקצוע עריכת הדין, וקשה להעלות על הדעת, כיצד ניתן לקיים יחסי עורך-דין ולקוח בלעדיהם. </w:t>
      </w:r>
    </w:p>
    <w:p w14:paraId="2D513B2F" w14:textId="77777777" w:rsidR="00616267" w:rsidRDefault="00616267" w:rsidP="00616267">
      <w:pPr>
        <w:pStyle w:val="a4"/>
        <w:spacing w:after="120" w:line="360" w:lineRule="auto"/>
        <w:ind w:left="-908"/>
        <w:jc w:val="both"/>
        <w:rPr>
          <w:rFonts w:ascii="David" w:hAnsi="David" w:cs="David"/>
          <w:sz w:val="24"/>
          <w:szCs w:val="24"/>
          <w:rtl/>
        </w:rPr>
      </w:pPr>
    </w:p>
    <w:p w14:paraId="205839D7" w14:textId="77777777" w:rsidR="00616267" w:rsidRDefault="00616267" w:rsidP="00616267">
      <w:pPr>
        <w:pStyle w:val="a4"/>
        <w:spacing w:after="120" w:line="360" w:lineRule="auto"/>
        <w:ind w:left="-908"/>
        <w:jc w:val="both"/>
        <w:rPr>
          <w:rFonts w:ascii="David" w:hAnsi="David" w:cs="David"/>
          <w:sz w:val="24"/>
          <w:szCs w:val="24"/>
          <w:rtl/>
        </w:rPr>
      </w:pPr>
      <w:r w:rsidRPr="00616267">
        <w:rPr>
          <w:rFonts w:ascii="David" w:hAnsi="David" w:cs="David"/>
          <w:sz w:val="24"/>
          <w:szCs w:val="24"/>
          <w:rtl/>
        </w:rPr>
        <w:t>עורכי הדין מצטיירים בעיני הציבור כאנשים בעלי רמה מוסרית גבוהה, שניתן לסמוך עליהם. עורך-דין שסרח במישור זה איננו פוגע רק בלקוחו, ומשנתפס, בו עצמו, אלא פוגע בתדמיתו של מחנה עורכי הדין כולו. מזה מתחייב עונש חמור ומרתיע לכל עורך-דין שנתפס בקלקלתו. מאידך גיסא, עונש קל מדיי מחטיא את מטרתו, ולא רק שאינו מרתיע עבריינים בכוח, אלא אף משמש להם גורם מעודד"</w:t>
      </w:r>
    </w:p>
    <w:p w14:paraId="73AFB6AF" w14:textId="77777777" w:rsidR="00616267" w:rsidRDefault="00616267" w:rsidP="00616267">
      <w:pPr>
        <w:pStyle w:val="a4"/>
        <w:spacing w:after="120" w:line="360" w:lineRule="auto"/>
        <w:ind w:left="-908"/>
        <w:jc w:val="both"/>
        <w:rPr>
          <w:rFonts w:ascii="David" w:hAnsi="David" w:cs="David"/>
          <w:sz w:val="24"/>
          <w:szCs w:val="24"/>
          <w:rtl/>
        </w:rPr>
      </w:pPr>
    </w:p>
    <w:p w14:paraId="37003FA7" w14:textId="77777777" w:rsidR="00616267" w:rsidRDefault="00616267" w:rsidP="00616267">
      <w:pPr>
        <w:pStyle w:val="a4"/>
        <w:spacing w:after="120" w:line="360" w:lineRule="auto"/>
        <w:ind w:left="-908"/>
        <w:jc w:val="both"/>
        <w:rPr>
          <w:rFonts w:ascii="David" w:hAnsi="David" w:cs="David"/>
          <w:sz w:val="24"/>
          <w:szCs w:val="24"/>
          <w:rtl/>
        </w:rPr>
      </w:pPr>
      <w:r w:rsidRPr="00616267">
        <w:rPr>
          <w:rFonts w:ascii="David" w:hAnsi="David" w:cs="David" w:hint="cs"/>
          <w:sz w:val="24"/>
          <w:szCs w:val="24"/>
          <w:rtl/>
        </w:rPr>
        <w:t xml:space="preserve"> </w:t>
      </w:r>
      <w:r w:rsidRPr="00616267">
        <w:rPr>
          <w:rFonts w:ascii="David" w:hAnsi="David" w:cs="David"/>
          <w:sz w:val="24"/>
          <w:szCs w:val="24"/>
          <w:rtl/>
        </w:rPr>
        <w:t xml:space="preserve">"אם במדינות הענישה בפלילים המקובל הוא, כי ריבוי הרשעות קודמות מפעיל, בדרך כלל, שיקול בכיוון החמרת העונש, בשיפוט משמעתי על אחת כמה וכמה. משום שהשיפוט המשמעתי מטרתו, מלבד ענישת הנאשם, לשמור, כי המחנה של העוסקים במקצוע עריכת הדין יהא נקי וכי לא ייפגע האמון אשר רוחש הציבור </w:t>
      </w:r>
      <w:r w:rsidRPr="00616267">
        <w:rPr>
          <w:rFonts w:ascii="David" w:hAnsi="David" w:cs="David"/>
          <w:sz w:val="24"/>
          <w:szCs w:val="24"/>
          <w:rtl/>
        </w:rPr>
        <w:lastRenderedPageBreak/>
        <w:t xml:space="preserve">הרחב המזדקק לשירותיהם של חברי הלשכה. על ערכאות השיפוט המשמעתי של לשכת עורכי הדין להנחות עצמן על-פי מדיניות ענישה </w:t>
      </w:r>
      <w:r w:rsidRPr="00616267">
        <w:rPr>
          <w:rFonts w:ascii="David" w:hAnsi="David" w:cs="David" w:hint="cs"/>
          <w:sz w:val="24"/>
          <w:szCs w:val="24"/>
          <w:rtl/>
        </w:rPr>
        <w:t xml:space="preserve">לפיה </w:t>
      </w:r>
      <w:r w:rsidRPr="00616267">
        <w:rPr>
          <w:rFonts w:ascii="David" w:hAnsi="David" w:cs="David"/>
          <w:sz w:val="24"/>
          <w:szCs w:val="24"/>
          <w:rtl/>
        </w:rPr>
        <w:t>ככל שעורך-דין צבר יותר הרשעות משמעתיות, כך יוחמר עונשו עם כל הרשעה נוספת, ולא להפך</w:t>
      </w:r>
      <w:r w:rsidRPr="00616267">
        <w:rPr>
          <w:rFonts w:ascii="David" w:hAnsi="David" w:cs="David" w:hint="cs"/>
          <w:sz w:val="24"/>
          <w:szCs w:val="24"/>
          <w:rtl/>
        </w:rPr>
        <w:t xml:space="preserve">. </w:t>
      </w:r>
      <w:r w:rsidRPr="00616267">
        <w:rPr>
          <w:rFonts w:ascii="David" w:hAnsi="David" w:cs="David"/>
          <w:sz w:val="24"/>
          <w:szCs w:val="24"/>
          <w:rtl/>
        </w:rPr>
        <w:t xml:space="preserve"> במקרה דנן, אין זה מתקבל על הדעת, שנזקיו של המשיב בשל ההשעיות שלו בעבר ייזקפו לו כנסיבה מקלה עתה, שהרי השעיות אלו הן תוצאה נגזרת ממעשיו הנלוזים משהושעה עורך-דין מלעסוק במקצועו, דין הוא, בדרך כלל, שעל ההשעיה הזו יבוא פרסום נאות ברבים. לא רק בתי המשפט ורשויות הלשכה חייבים לדעת את דבר ההשעיה, כי אם גם הציבור רשאי לקבל אזהרה</w:t>
      </w:r>
      <w:r w:rsidRPr="00616267">
        <w:rPr>
          <w:rFonts w:ascii="David" w:hAnsi="David" w:cs="David"/>
          <w:sz w:val="24"/>
          <w:szCs w:val="24"/>
        </w:rPr>
        <w:t>"</w:t>
      </w:r>
      <w:r w:rsidR="00747F2A">
        <w:rPr>
          <w:rFonts w:ascii="David" w:hAnsi="David" w:cs="David" w:hint="cs"/>
          <w:sz w:val="24"/>
          <w:szCs w:val="24"/>
          <w:rtl/>
        </w:rPr>
        <w:t xml:space="preserve">. </w:t>
      </w:r>
    </w:p>
    <w:p w14:paraId="1F96A8AF" w14:textId="77777777" w:rsidR="00747F2A" w:rsidRPr="00616267" w:rsidRDefault="00747F2A" w:rsidP="00616267">
      <w:pPr>
        <w:pStyle w:val="a4"/>
        <w:spacing w:after="120" w:line="360" w:lineRule="auto"/>
        <w:ind w:left="-908"/>
        <w:jc w:val="both"/>
        <w:rPr>
          <w:rFonts w:ascii="David" w:hAnsi="David" w:cs="David"/>
          <w:sz w:val="24"/>
          <w:szCs w:val="24"/>
        </w:rPr>
      </w:pPr>
    </w:p>
    <w:p w14:paraId="71D21232" w14:textId="77777777" w:rsidR="004F4CA3" w:rsidRPr="00402E8B" w:rsidRDefault="004F4CA3" w:rsidP="00402E8B">
      <w:pPr>
        <w:pStyle w:val="a4"/>
        <w:numPr>
          <w:ilvl w:val="0"/>
          <w:numId w:val="25"/>
        </w:numPr>
        <w:spacing w:after="0" w:line="360" w:lineRule="auto"/>
        <w:ind w:left="-908" w:hanging="425"/>
        <w:jc w:val="both"/>
        <w:rPr>
          <w:rFonts w:ascii="David" w:hAnsi="David" w:cs="David"/>
          <w:sz w:val="24"/>
          <w:szCs w:val="24"/>
        </w:rPr>
      </w:pPr>
      <w:proofErr w:type="spellStart"/>
      <w:r w:rsidRPr="00BB4F85">
        <w:rPr>
          <w:rFonts w:ascii="David" w:hAnsi="David" w:cs="David" w:hint="cs"/>
          <w:b/>
          <w:bCs/>
          <w:sz w:val="24"/>
          <w:szCs w:val="24"/>
          <w:highlight w:val="yellow"/>
          <w:rtl/>
        </w:rPr>
        <w:t>על"ע</w:t>
      </w:r>
      <w:proofErr w:type="spellEnd"/>
      <w:r w:rsidR="000E2F2E" w:rsidRPr="00BB4F85">
        <w:rPr>
          <w:rFonts w:ascii="David" w:hAnsi="David" w:cs="David" w:hint="cs"/>
          <w:b/>
          <w:bCs/>
          <w:sz w:val="24"/>
          <w:szCs w:val="24"/>
          <w:highlight w:val="yellow"/>
          <w:rtl/>
        </w:rPr>
        <w:t xml:space="preserve"> </w:t>
      </w:r>
      <w:r w:rsidR="00747F2A" w:rsidRPr="00BB4F85">
        <w:rPr>
          <w:rFonts w:ascii="David" w:hAnsi="David" w:cs="David" w:hint="cs"/>
          <w:b/>
          <w:bCs/>
          <w:sz w:val="24"/>
          <w:szCs w:val="24"/>
          <w:highlight w:val="yellow"/>
          <w:rtl/>
        </w:rPr>
        <w:t xml:space="preserve"> 5641/03 </w:t>
      </w:r>
      <w:r w:rsidR="000E2F2E" w:rsidRPr="00BB4F85">
        <w:rPr>
          <w:rFonts w:ascii="David" w:hAnsi="David" w:cs="David" w:hint="cs"/>
          <w:b/>
          <w:bCs/>
          <w:sz w:val="24"/>
          <w:szCs w:val="24"/>
          <w:highlight w:val="yellow"/>
          <w:rtl/>
        </w:rPr>
        <w:t xml:space="preserve">הועד המרכזי נ' </w:t>
      </w:r>
      <w:proofErr w:type="spellStart"/>
      <w:r w:rsidR="000E2F2E" w:rsidRPr="00BB4F85">
        <w:rPr>
          <w:rFonts w:ascii="David" w:hAnsi="David" w:cs="David" w:hint="cs"/>
          <w:b/>
          <w:bCs/>
          <w:sz w:val="24"/>
          <w:szCs w:val="24"/>
          <w:highlight w:val="yellow"/>
          <w:rtl/>
        </w:rPr>
        <w:t>פרמונטר</w:t>
      </w:r>
      <w:proofErr w:type="spellEnd"/>
      <w:r w:rsidR="00DC6089" w:rsidRPr="00BB4F85">
        <w:rPr>
          <w:rFonts w:ascii="David" w:hAnsi="David" w:cs="David" w:hint="cs"/>
          <w:b/>
          <w:bCs/>
          <w:sz w:val="24"/>
          <w:szCs w:val="24"/>
          <w:highlight w:val="yellow"/>
          <w:rtl/>
        </w:rPr>
        <w:t xml:space="preserve"> - </w:t>
      </w:r>
      <w:r w:rsidR="00402E8B" w:rsidRPr="00402E8B">
        <w:rPr>
          <w:rFonts w:ascii="David" w:hAnsi="David" w:cs="David"/>
          <w:sz w:val="24"/>
          <w:szCs w:val="24"/>
          <w:rtl/>
        </w:rPr>
        <w:t xml:space="preserve">בפס"ד הוועד המחוזי של לשכת עו"ד נ' </w:t>
      </w:r>
      <w:proofErr w:type="spellStart"/>
      <w:r w:rsidR="00402E8B" w:rsidRPr="00402E8B">
        <w:rPr>
          <w:rFonts w:ascii="David" w:hAnsi="David" w:cs="David"/>
          <w:sz w:val="24"/>
          <w:szCs w:val="24"/>
          <w:rtl/>
        </w:rPr>
        <w:t>פרלמוטר</w:t>
      </w:r>
      <w:proofErr w:type="spellEnd"/>
      <w:r w:rsidR="00402E8B" w:rsidRPr="00402E8B">
        <w:rPr>
          <w:rFonts w:ascii="David" w:hAnsi="David" w:cs="David"/>
          <w:sz w:val="24"/>
          <w:szCs w:val="24"/>
          <w:rtl/>
        </w:rPr>
        <w:t xml:space="preserve"> נידון מקרה של עו"ד שהורשעה בעבירות התחזות לעו"ד על אף שרישיונה נשלל</w:t>
      </w:r>
      <w:r w:rsidR="00BB4F85">
        <w:rPr>
          <w:rFonts w:ascii="David" w:hAnsi="David" w:cs="David" w:hint="cs"/>
          <w:sz w:val="24"/>
          <w:szCs w:val="24"/>
          <w:rtl/>
        </w:rPr>
        <w:t xml:space="preserve"> (בנוסף לעבירות של גניבת כרטיס אשראי מעובדת בי"ח אסותא, השתמשה בו לשלושה שבועות מעל 30 פעמים) קבלת דבר במרמה, זיוף מסמך בכוונה לקבל דבר באמצעותו)</w:t>
      </w:r>
      <w:r w:rsidR="00402E8B" w:rsidRPr="00402E8B">
        <w:rPr>
          <w:rFonts w:ascii="David" w:hAnsi="David" w:cs="David"/>
          <w:sz w:val="24"/>
          <w:szCs w:val="24"/>
          <w:rtl/>
        </w:rPr>
        <w:t>.</w:t>
      </w:r>
      <w:r w:rsidR="00BB4F85">
        <w:rPr>
          <w:rFonts w:ascii="David" w:hAnsi="David" w:cs="David" w:hint="cs"/>
          <w:sz w:val="24"/>
          <w:szCs w:val="24"/>
          <w:rtl/>
        </w:rPr>
        <w:t xml:space="preserve"> בדין הפלילי היא קיבלה 6 חודשי מאסר על תנאי + 2000 ₪ קנס. </w:t>
      </w:r>
      <w:r w:rsidR="00402E8B" w:rsidRPr="00402E8B">
        <w:rPr>
          <w:rFonts w:ascii="David" w:hAnsi="David" w:cs="David"/>
          <w:sz w:val="24"/>
          <w:szCs w:val="24"/>
          <w:rtl/>
        </w:rPr>
        <w:t xml:space="preserve"> </w:t>
      </w:r>
      <w:r w:rsidR="00BB4F85">
        <w:rPr>
          <w:rFonts w:ascii="David" w:hAnsi="David" w:cs="David" w:hint="cs"/>
          <w:sz w:val="24"/>
          <w:szCs w:val="24"/>
          <w:rtl/>
        </w:rPr>
        <w:t xml:space="preserve"> בדין המשמעתי </w:t>
      </w:r>
      <w:r w:rsidR="00402E8B" w:rsidRPr="00402E8B">
        <w:rPr>
          <w:rFonts w:ascii="David" w:hAnsi="David" w:cs="David"/>
          <w:sz w:val="24"/>
          <w:szCs w:val="24"/>
          <w:rtl/>
        </w:rPr>
        <w:t xml:space="preserve">הוטל עליה עונש של השעיה ל-10 שנים. </w:t>
      </w:r>
      <w:r w:rsidR="00BB4F85">
        <w:rPr>
          <w:rFonts w:ascii="David" w:hAnsi="David" w:cs="David" w:hint="cs"/>
          <w:sz w:val="24"/>
          <w:szCs w:val="24"/>
          <w:rtl/>
        </w:rPr>
        <w:t xml:space="preserve"> הוועד המחוזי ערער על קלות ההחלטה, וביקש להשעות אותה לצמיתות מהלשכה לפי השאלה העקרונית האם בכלל ראוי שאישה כזו תכהן כעו"ד בתום תקופת ההשעיה. בגלל השאלה העקרונית הזו סבר הוועד שיש להתערב.  </w:t>
      </w:r>
      <w:r w:rsidR="00402E8B" w:rsidRPr="00402E8B">
        <w:rPr>
          <w:rFonts w:ascii="David" w:hAnsi="David" w:cs="David"/>
          <w:sz w:val="24"/>
          <w:szCs w:val="24"/>
          <w:rtl/>
        </w:rPr>
        <w:t>בערעור על ההחלטה אמר בית המשפט</w:t>
      </w:r>
      <w:r w:rsidR="00BB4F85">
        <w:rPr>
          <w:rFonts w:ascii="David" w:hAnsi="David" w:cs="David" w:hint="cs"/>
          <w:sz w:val="24"/>
          <w:szCs w:val="24"/>
          <w:rtl/>
        </w:rPr>
        <w:t xml:space="preserve"> (נאור)</w:t>
      </w:r>
      <w:r w:rsidR="00402E8B" w:rsidRPr="00402E8B">
        <w:rPr>
          <w:rFonts w:ascii="David" w:hAnsi="David" w:cs="David"/>
          <w:sz w:val="24"/>
          <w:szCs w:val="24"/>
          <w:rtl/>
        </w:rPr>
        <w:t xml:space="preserve"> כי אין הוא נוטה להתערב בהחלטות של בית דין משמעתי, ועם זאת, החמיר את העונש להרחקה לצמיתות</w:t>
      </w:r>
      <w:r w:rsidR="00BB4F85">
        <w:rPr>
          <w:rFonts w:ascii="David" w:hAnsi="David" w:cs="David" w:hint="cs"/>
          <w:sz w:val="24"/>
          <w:szCs w:val="24"/>
          <w:rtl/>
        </w:rPr>
        <w:t xml:space="preserve"> (הדיון: ניגוד חריף בין העבירות שביצעה לבין הדמות הראויה של עו"ד עד כדי כך שלא ראוי שהיא תהיה עו"ד</w:t>
      </w:r>
      <w:r w:rsidR="00402E8B" w:rsidRPr="00402E8B">
        <w:rPr>
          <w:rFonts w:ascii="David" w:hAnsi="David" w:cs="David"/>
          <w:sz w:val="24"/>
          <w:szCs w:val="24"/>
          <w:rtl/>
        </w:rPr>
        <w:t>.</w:t>
      </w:r>
      <w:r w:rsidR="00BB4F85">
        <w:rPr>
          <w:rFonts w:ascii="David" w:hAnsi="David" w:cs="David" w:hint="cs"/>
          <w:sz w:val="24"/>
          <w:szCs w:val="24"/>
          <w:rtl/>
        </w:rPr>
        <w:t xml:space="preserve"> הערכאה הקודמת לא הוציאה אותה משני נימוקים שלדעת נאור לא יכולים לעמוד לה: (1) חופש העיסוק - לא עומדת בדרישות הפורמאליות לעבודה - לא עומדת בסטנדרטים הראויים של יושר והגינות המצופים מעו"ד - מידתיות העונש נקבעת משמירה על רמת המקצוע ואמון הציבור;(2)בית הדין המשמעתי תפרידו לשמור על הרמה המקצועית של עו"ד, והוא שבחר לראות זאת מלכתחילה כמעיד </w:t>
      </w:r>
      <w:proofErr w:type="spellStart"/>
      <w:r w:rsidR="00BB4F85">
        <w:rPr>
          <w:rFonts w:ascii="David" w:hAnsi="David" w:cs="David" w:hint="cs"/>
          <w:sz w:val="24"/>
          <w:szCs w:val="24"/>
          <w:rtl/>
        </w:rPr>
        <w:t>חד"פ</w:t>
      </w:r>
      <w:proofErr w:type="spellEnd"/>
      <w:r w:rsidR="00BB4F85">
        <w:rPr>
          <w:rFonts w:ascii="David" w:hAnsi="David" w:cs="David" w:hint="cs"/>
          <w:sz w:val="24"/>
          <w:szCs w:val="24"/>
          <w:rtl/>
        </w:rPr>
        <w:t xml:space="preserve"> בשל מצבה הכלכלי - נאור לא רוצה לתת משקל רב לנסיבות האישיות, ושזה לא כישלון </w:t>
      </w:r>
      <w:proofErr w:type="spellStart"/>
      <w:r w:rsidR="00BB4F85">
        <w:rPr>
          <w:rFonts w:ascii="David" w:hAnsi="David" w:cs="David" w:hint="cs"/>
          <w:sz w:val="24"/>
          <w:szCs w:val="24"/>
          <w:rtl/>
        </w:rPr>
        <w:t>חד"פ</w:t>
      </w:r>
      <w:proofErr w:type="spellEnd"/>
      <w:r w:rsidR="00BB4F85">
        <w:rPr>
          <w:rFonts w:ascii="David" w:hAnsi="David" w:cs="David" w:hint="cs"/>
          <w:sz w:val="24"/>
          <w:szCs w:val="24"/>
          <w:rtl/>
        </w:rPr>
        <w:t xml:space="preserve">, ושיש לקחת בחשבון שהיא כבר הושעתה פעמיים בעבר.  </w:t>
      </w:r>
      <w:r w:rsidR="00402E8B" w:rsidRPr="00402E8B">
        <w:rPr>
          <w:rFonts w:ascii="David" w:hAnsi="David" w:cs="David"/>
          <w:sz w:val="24"/>
          <w:szCs w:val="24"/>
          <w:rtl/>
        </w:rPr>
        <w:t xml:space="preserve"> לדעת המרצה, מדובר בהתערבות בוטה, שלא בהכרח הייתה דרושה, ומעידה על פער גדול בין הרטוריקה של בית המשפט העליון לבין פסיקותיו בפועל. </w:t>
      </w:r>
    </w:p>
    <w:p w14:paraId="2310F317" w14:textId="77777777" w:rsidR="00DC6089" w:rsidRDefault="00DC6089" w:rsidP="00DC6089">
      <w:pPr>
        <w:pStyle w:val="a4"/>
        <w:spacing w:after="120" w:line="360" w:lineRule="auto"/>
        <w:ind w:left="-188"/>
        <w:rPr>
          <w:rFonts w:ascii="David" w:hAnsi="David" w:cs="David"/>
          <w:b/>
          <w:bCs/>
          <w:sz w:val="24"/>
          <w:szCs w:val="24"/>
          <w:u w:val="single"/>
          <w:rtl/>
        </w:rPr>
      </w:pPr>
    </w:p>
    <w:p w14:paraId="5C4A749F" w14:textId="77777777" w:rsidR="000E2F2E" w:rsidRPr="003C63D2" w:rsidRDefault="00DC6089" w:rsidP="00087CC4">
      <w:pPr>
        <w:pStyle w:val="a4"/>
        <w:numPr>
          <w:ilvl w:val="0"/>
          <w:numId w:val="25"/>
        </w:numPr>
        <w:spacing w:after="120" w:line="360" w:lineRule="auto"/>
        <w:ind w:left="-908"/>
        <w:rPr>
          <w:rFonts w:ascii="David" w:hAnsi="David" w:cs="David"/>
          <w:b/>
          <w:bCs/>
          <w:color w:val="C00000"/>
          <w:sz w:val="24"/>
          <w:szCs w:val="24"/>
        </w:rPr>
      </w:pPr>
      <w:proofErr w:type="spellStart"/>
      <w:r w:rsidRPr="003C63D2">
        <w:rPr>
          <w:rFonts w:ascii="David" w:hAnsi="David" w:cs="David" w:hint="cs"/>
          <w:b/>
          <w:bCs/>
          <w:color w:val="C00000"/>
          <w:sz w:val="24"/>
          <w:szCs w:val="24"/>
          <w:rtl/>
        </w:rPr>
        <w:t>על"ע</w:t>
      </w:r>
      <w:proofErr w:type="spellEnd"/>
      <w:r w:rsidRPr="003C63D2">
        <w:rPr>
          <w:rFonts w:ascii="David" w:hAnsi="David" w:cs="David" w:hint="cs"/>
          <w:b/>
          <w:bCs/>
          <w:color w:val="C00000"/>
          <w:sz w:val="24"/>
          <w:szCs w:val="24"/>
          <w:rtl/>
        </w:rPr>
        <w:t xml:space="preserve"> (י-ם) </w:t>
      </w:r>
      <w:r w:rsidR="00747F2A" w:rsidRPr="003C63D2">
        <w:rPr>
          <w:rFonts w:ascii="David" w:hAnsi="David" w:cs="David" w:hint="cs"/>
          <w:b/>
          <w:bCs/>
          <w:color w:val="C00000"/>
          <w:sz w:val="24"/>
          <w:szCs w:val="24"/>
          <w:rtl/>
        </w:rPr>
        <w:t xml:space="preserve">19/08 </w:t>
      </w:r>
      <w:r w:rsidRPr="003C63D2">
        <w:rPr>
          <w:rFonts w:ascii="David" w:hAnsi="David" w:cs="David" w:hint="cs"/>
          <w:b/>
          <w:bCs/>
          <w:color w:val="C00000"/>
          <w:sz w:val="24"/>
          <w:szCs w:val="24"/>
          <w:rtl/>
        </w:rPr>
        <w:t xml:space="preserve">עו"ד עדי </w:t>
      </w:r>
      <w:proofErr w:type="spellStart"/>
      <w:r w:rsidRPr="003C63D2">
        <w:rPr>
          <w:rFonts w:ascii="David" w:hAnsi="David" w:cs="David" w:hint="cs"/>
          <w:b/>
          <w:bCs/>
          <w:color w:val="C00000"/>
          <w:sz w:val="24"/>
          <w:szCs w:val="24"/>
          <w:rtl/>
        </w:rPr>
        <w:t>דאמנט</w:t>
      </w:r>
      <w:proofErr w:type="spellEnd"/>
      <w:r w:rsidRPr="003C63D2">
        <w:rPr>
          <w:rFonts w:ascii="David" w:hAnsi="David" w:cs="David" w:hint="cs"/>
          <w:b/>
          <w:bCs/>
          <w:color w:val="C00000"/>
          <w:sz w:val="24"/>
          <w:szCs w:val="24"/>
          <w:rtl/>
        </w:rPr>
        <w:t xml:space="preserve"> נ' לשכת עורכי הדין</w:t>
      </w:r>
      <w:r w:rsidR="006962B0" w:rsidRPr="003C63D2">
        <w:rPr>
          <w:rFonts w:ascii="David" w:hAnsi="David" w:cs="David" w:hint="cs"/>
          <w:b/>
          <w:bCs/>
          <w:color w:val="C00000"/>
          <w:sz w:val="24"/>
          <w:szCs w:val="24"/>
          <w:rtl/>
        </w:rPr>
        <w:t xml:space="preserve"> - </w:t>
      </w:r>
    </w:p>
    <w:p w14:paraId="2F68EB9A" w14:textId="77777777" w:rsidR="00DC6089" w:rsidRPr="003C63D2" w:rsidRDefault="00DC6089" w:rsidP="00087CC4">
      <w:pPr>
        <w:pStyle w:val="a4"/>
        <w:numPr>
          <w:ilvl w:val="0"/>
          <w:numId w:val="25"/>
        </w:numPr>
        <w:spacing w:after="120" w:line="360" w:lineRule="auto"/>
        <w:ind w:left="-908"/>
        <w:rPr>
          <w:rFonts w:ascii="David" w:hAnsi="David" w:cs="David"/>
          <w:b/>
          <w:bCs/>
          <w:color w:val="C00000"/>
          <w:sz w:val="24"/>
          <w:szCs w:val="24"/>
        </w:rPr>
      </w:pPr>
      <w:proofErr w:type="spellStart"/>
      <w:r w:rsidRPr="003C63D2">
        <w:rPr>
          <w:rFonts w:ascii="David" w:hAnsi="David" w:cs="David" w:hint="cs"/>
          <w:b/>
          <w:bCs/>
          <w:color w:val="C00000"/>
          <w:sz w:val="24"/>
          <w:szCs w:val="24"/>
          <w:rtl/>
        </w:rPr>
        <w:t>בר"ש</w:t>
      </w:r>
      <w:proofErr w:type="spellEnd"/>
      <w:r w:rsidR="00747F2A" w:rsidRPr="003C63D2">
        <w:rPr>
          <w:rFonts w:ascii="David" w:hAnsi="David" w:cs="David" w:hint="cs"/>
          <w:b/>
          <w:bCs/>
          <w:color w:val="C00000"/>
          <w:sz w:val="24"/>
          <w:szCs w:val="24"/>
          <w:rtl/>
        </w:rPr>
        <w:t xml:space="preserve"> 6588/09</w:t>
      </w:r>
      <w:r w:rsidRPr="003C63D2">
        <w:rPr>
          <w:rFonts w:ascii="David" w:hAnsi="David" w:cs="David" w:hint="cs"/>
          <w:b/>
          <w:bCs/>
          <w:color w:val="C00000"/>
          <w:sz w:val="24"/>
          <w:szCs w:val="24"/>
          <w:rtl/>
        </w:rPr>
        <w:t xml:space="preserve"> עדי </w:t>
      </w:r>
      <w:proofErr w:type="spellStart"/>
      <w:r w:rsidRPr="003C63D2">
        <w:rPr>
          <w:rFonts w:ascii="David" w:hAnsi="David" w:cs="David" w:hint="cs"/>
          <w:b/>
          <w:bCs/>
          <w:color w:val="C00000"/>
          <w:sz w:val="24"/>
          <w:szCs w:val="24"/>
          <w:rtl/>
        </w:rPr>
        <w:t>דיאמנט</w:t>
      </w:r>
      <w:proofErr w:type="spellEnd"/>
      <w:r w:rsidRPr="003C63D2">
        <w:rPr>
          <w:rFonts w:ascii="David" w:hAnsi="David" w:cs="David" w:hint="cs"/>
          <w:b/>
          <w:bCs/>
          <w:color w:val="C00000"/>
          <w:sz w:val="24"/>
          <w:szCs w:val="24"/>
          <w:rtl/>
        </w:rPr>
        <w:t xml:space="preserve"> נ' לשכת עו"ד</w:t>
      </w:r>
      <w:r w:rsidR="006962B0" w:rsidRPr="003C63D2">
        <w:rPr>
          <w:rFonts w:ascii="David" w:hAnsi="David" w:cs="David" w:hint="cs"/>
          <w:b/>
          <w:bCs/>
          <w:color w:val="C00000"/>
          <w:sz w:val="24"/>
          <w:szCs w:val="24"/>
          <w:rtl/>
        </w:rPr>
        <w:t xml:space="preserve"> - </w:t>
      </w:r>
    </w:p>
    <w:p w14:paraId="672345BD" w14:textId="77777777" w:rsidR="004B5D61" w:rsidRPr="004B5D61" w:rsidRDefault="00DC6089" w:rsidP="004B5D61">
      <w:pPr>
        <w:pStyle w:val="a4"/>
        <w:numPr>
          <w:ilvl w:val="0"/>
          <w:numId w:val="25"/>
        </w:numPr>
        <w:spacing w:after="120" w:line="360" w:lineRule="auto"/>
        <w:ind w:left="-908"/>
        <w:jc w:val="both"/>
        <w:rPr>
          <w:rFonts w:ascii="David" w:hAnsi="David" w:cs="David"/>
          <w:b/>
          <w:bCs/>
          <w:color w:val="C00000"/>
          <w:sz w:val="24"/>
          <w:szCs w:val="24"/>
        </w:rPr>
      </w:pPr>
      <w:proofErr w:type="spellStart"/>
      <w:r w:rsidRPr="004B5D61">
        <w:rPr>
          <w:rFonts w:ascii="David" w:hAnsi="David" w:cs="David" w:hint="cs"/>
          <w:b/>
          <w:bCs/>
          <w:sz w:val="24"/>
          <w:szCs w:val="24"/>
          <w:rtl/>
        </w:rPr>
        <w:t>על"ע</w:t>
      </w:r>
      <w:proofErr w:type="spellEnd"/>
      <w:r w:rsidR="00747F2A" w:rsidRPr="004B5D61">
        <w:rPr>
          <w:rFonts w:ascii="David" w:hAnsi="David" w:cs="David" w:hint="cs"/>
          <w:b/>
          <w:bCs/>
          <w:sz w:val="24"/>
          <w:szCs w:val="24"/>
          <w:rtl/>
        </w:rPr>
        <w:t xml:space="preserve">  7008/09 </w:t>
      </w:r>
      <w:r w:rsidRPr="004B5D61">
        <w:rPr>
          <w:rFonts w:ascii="David" w:hAnsi="David" w:cs="David" w:hint="cs"/>
          <w:b/>
          <w:bCs/>
          <w:sz w:val="24"/>
          <w:szCs w:val="24"/>
          <w:rtl/>
        </w:rPr>
        <w:t xml:space="preserve">הועד המחוזי של לשכת עורכי הדין בת"א נ' עו"ד </w:t>
      </w:r>
      <w:r w:rsidR="00A51A75" w:rsidRPr="004B5D61">
        <w:rPr>
          <w:rFonts w:ascii="David" w:hAnsi="David" w:cs="David" w:hint="cs"/>
          <w:b/>
          <w:bCs/>
          <w:sz w:val="24"/>
          <w:szCs w:val="24"/>
          <w:rtl/>
        </w:rPr>
        <w:t>דוד גבאי</w:t>
      </w:r>
      <w:r w:rsidR="004B5D61" w:rsidRPr="004B5D61">
        <w:rPr>
          <w:rFonts w:ascii="David" w:hAnsi="David" w:cs="David" w:hint="cs"/>
          <w:b/>
          <w:bCs/>
          <w:sz w:val="24"/>
          <w:szCs w:val="24"/>
          <w:rtl/>
        </w:rPr>
        <w:t xml:space="preserve"> -  </w:t>
      </w:r>
      <w:r w:rsidR="004B5D61" w:rsidRPr="004B5D61">
        <w:rPr>
          <w:rFonts w:ascii="David" w:eastAsia="Times New Roman" w:hAnsi="David" w:cs="David"/>
          <w:color w:val="000000"/>
          <w:sz w:val="24"/>
          <w:szCs w:val="24"/>
          <w:rtl/>
        </w:rPr>
        <w:t>ערעור שהגיש הוועד המחוזי של לשכת עורכי הדין על פסק דינו של בית הדין המשמעתי הארצי. בניגוד להסכם עד המדינה שחתם המשיב עם הפרקליטות, לא פנתה האחרונה ללשכה ולא ידעה אותה בדבר העבירות מושא ההסכם. משנודע ללשכה על הפרשה, כ- 12 שנים לאחר חתימת ההסכם, הוגשו קובלנות אשר נדחו בבית הדין המחוזי ובארצי.</w:t>
      </w:r>
    </w:p>
    <w:p w14:paraId="4F3758D9" w14:textId="77777777" w:rsidR="004B5D61" w:rsidRPr="00636732" w:rsidRDefault="004B5D61" w:rsidP="004B5D61">
      <w:pPr>
        <w:spacing w:before="120" w:after="0" w:line="360" w:lineRule="auto"/>
        <w:ind w:left="-908"/>
        <w:jc w:val="both"/>
        <w:rPr>
          <w:rFonts w:ascii="David" w:eastAsia="Times New Roman" w:hAnsi="David" w:cs="David"/>
          <w:color w:val="000000"/>
          <w:sz w:val="24"/>
          <w:szCs w:val="24"/>
          <w:rtl/>
        </w:rPr>
      </w:pPr>
      <w:r w:rsidRPr="00636732">
        <w:rPr>
          <w:rFonts w:ascii="David" w:eastAsia="Times New Roman" w:hAnsi="David" w:cs="David"/>
          <w:color w:val="000000"/>
          <w:sz w:val="24"/>
          <w:szCs w:val="24"/>
          <w:rtl/>
        </w:rPr>
        <w:t xml:space="preserve">בית המשפט המחוזי ביטל את החלטות בתי הדין, הורה על החזרת הדיון לבית הדין המשמעתי המחוזי </w:t>
      </w:r>
      <w:r w:rsidRPr="004B5D61">
        <w:rPr>
          <w:rFonts w:ascii="David" w:eastAsia="Times New Roman" w:hAnsi="David" w:cs="David"/>
          <w:b/>
          <w:bCs/>
          <w:color w:val="000000"/>
          <w:sz w:val="24"/>
          <w:szCs w:val="24"/>
          <w:rtl/>
        </w:rPr>
        <w:t>ופסק כי:</w:t>
      </w:r>
      <w:r>
        <w:rPr>
          <w:rFonts w:ascii="David" w:eastAsia="Times New Roman" w:hAnsi="David" w:cs="David" w:hint="cs"/>
          <w:color w:val="000000"/>
          <w:sz w:val="24"/>
          <w:szCs w:val="24"/>
          <w:rtl/>
        </w:rPr>
        <w:t xml:space="preserve"> </w:t>
      </w:r>
      <w:r w:rsidRPr="00636732">
        <w:rPr>
          <w:rFonts w:ascii="David" w:eastAsia="Times New Roman" w:hAnsi="David" w:cs="David"/>
          <w:color w:val="000000"/>
          <w:sz w:val="24"/>
          <w:szCs w:val="24"/>
          <w:rtl/>
        </w:rPr>
        <w:t>לנוכח מחדלה של הפרקליטות, נקט המשיב בצעד חד צדדי שהשיג למעשה את מטרת ההסכם והודיע ללשכה על התליית רישיונו. יחד עם זאת, מעשהו של המשיב לא הוביל לתוצאה במלואה גם בכך שלא ננקט נגדו הליך משמעתי וגם בכך שהוא לא השלים את 10 שנות ההשעיה בהתאם להסכם. בנסיבות אלה לא הייתה הצדקה לבטל כליל את הקובלנה נגד המשיב אלא להתאים את ההליך המשמעתי החדש להסדר הטיעון, תוך התחשבות מלאה בתקופת ה"השעיה העצמית" שהמשיב קיבל על עצמו הלכה למעשה.</w:t>
      </w:r>
    </w:p>
    <w:p w14:paraId="195859F8" w14:textId="77777777" w:rsidR="004B5D61" w:rsidRPr="00636732" w:rsidRDefault="004B5D61" w:rsidP="004B5D61">
      <w:pPr>
        <w:spacing w:before="120" w:after="0" w:line="360" w:lineRule="auto"/>
        <w:ind w:left="-908"/>
        <w:jc w:val="both"/>
        <w:rPr>
          <w:rFonts w:ascii="David" w:eastAsia="Times New Roman" w:hAnsi="David" w:cs="David"/>
          <w:color w:val="000000"/>
          <w:sz w:val="24"/>
          <w:szCs w:val="24"/>
          <w:rtl/>
        </w:rPr>
      </w:pPr>
      <w:r w:rsidRPr="00636732">
        <w:rPr>
          <w:rFonts w:ascii="David" w:eastAsia="Times New Roman" w:hAnsi="David" w:cs="David"/>
          <w:color w:val="000000"/>
          <w:sz w:val="24"/>
          <w:szCs w:val="24"/>
          <w:rtl/>
        </w:rPr>
        <w:t>שגה בית הדין כאשר קבע כי יש להשית על המשיב עונש של השעיה לתקופה החסרה להשלמת תקופת ההשעיה על פי הסכם עד המדינה. סעיף 68 ל</w:t>
      </w:r>
      <w:hyperlink r:id="rId12" w:history="1">
        <w:r w:rsidRPr="002D07B3">
          <w:rPr>
            <w:rFonts w:ascii="David" w:eastAsia="Times New Roman" w:hAnsi="David" w:cs="David"/>
            <w:color w:val="800080"/>
            <w:sz w:val="24"/>
            <w:szCs w:val="24"/>
            <w:u w:val="single"/>
            <w:rtl/>
          </w:rPr>
          <w:t>חוק לשכת עורכי הדין</w:t>
        </w:r>
      </w:hyperlink>
      <w:r w:rsidRPr="00636732">
        <w:rPr>
          <w:rFonts w:ascii="David" w:eastAsia="Times New Roman" w:hAnsi="David" w:cs="David"/>
          <w:color w:val="000000"/>
          <w:sz w:val="24"/>
          <w:szCs w:val="24"/>
          <w:rtl/>
        </w:rPr>
        <w:t xml:space="preserve"> קובע כי בית הדין המשמעתי מוסמך להטיל על </w:t>
      </w:r>
      <w:r w:rsidRPr="00636732">
        <w:rPr>
          <w:rFonts w:ascii="David" w:eastAsia="Times New Roman" w:hAnsi="David" w:cs="David"/>
          <w:color w:val="000000"/>
          <w:sz w:val="24"/>
          <w:szCs w:val="24"/>
          <w:rtl/>
        </w:rPr>
        <w:lastRenderedPageBreak/>
        <w:t>"נאשם שהורשע בשל עבירת משמעת" עונש של "השעיה לתקופה קצובה שלא תעלה על עשר שנים". משביטל בית הדין למשמעת את הקובלנה שהגישה הלשכה לא היה זה בסמכותו להורות על השעייתו של המשיב מחברות בלשכה.</w:t>
      </w:r>
    </w:p>
    <w:p w14:paraId="6D805077" w14:textId="77777777" w:rsidR="004B5D61" w:rsidRPr="004B5D61" w:rsidRDefault="000435CD" w:rsidP="004B5D61">
      <w:pPr>
        <w:pStyle w:val="a4"/>
        <w:numPr>
          <w:ilvl w:val="0"/>
          <w:numId w:val="25"/>
        </w:numPr>
        <w:spacing w:after="120" w:line="360" w:lineRule="auto"/>
        <w:ind w:left="-908"/>
        <w:jc w:val="both"/>
        <w:rPr>
          <w:rFonts w:ascii="David" w:hAnsi="David" w:cs="David"/>
          <w:b/>
          <w:bCs/>
          <w:color w:val="C00000"/>
          <w:sz w:val="24"/>
          <w:szCs w:val="24"/>
        </w:rPr>
      </w:pPr>
      <w:proofErr w:type="spellStart"/>
      <w:r w:rsidRPr="004B5D61">
        <w:rPr>
          <w:rFonts w:ascii="David" w:hAnsi="David" w:cs="David" w:hint="cs"/>
          <w:b/>
          <w:bCs/>
          <w:sz w:val="24"/>
          <w:szCs w:val="24"/>
          <w:rtl/>
        </w:rPr>
        <w:t>על"ע</w:t>
      </w:r>
      <w:proofErr w:type="spellEnd"/>
      <w:r w:rsidRPr="004B5D61">
        <w:rPr>
          <w:rFonts w:ascii="David" w:hAnsi="David" w:cs="David" w:hint="cs"/>
          <w:b/>
          <w:bCs/>
          <w:sz w:val="24"/>
          <w:szCs w:val="24"/>
          <w:rtl/>
        </w:rPr>
        <w:t xml:space="preserve"> (י-ם) הועד המחוזי של לשכת עו"ד בת"א - יפו נ' עו"ד בנרי</w:t>
      </w:r>
      <w:r w:rsidR="004B5D61" w:rsidRPr="004B5D61">
        <w:rPr>
          <w:rFonts w:ascii="David" w:hAnsi="David" w:cs="David" w:hint="cs"/>
          <w:b/>
          <w:bCs/>
          <w:sz w:val="24"/>
          <w:szCs w:val="24"/>
          <w:rtl/>
        </w:rPr>
        <w:t xml:space="preserve"> -  </w:t>
      </w:r>
      <w:r w:rsidR="004B5D61" w:rsidRPr="004B5D61">
        <w:rPr>
          <w:rFonts w:ascii="David" w:eastAsia="Times New Roman" w:hAnsi="David" w:cs="David"/>
          <w:color w:val="000000"/>
          <w:sz w:val="24"/>
          <w:szCs w:val="24"/>
          <w:rtl/>
        </w:rPr>
        <w:t>ניתן פסק הדין של ביה"ד המשמעתי הארצי של לשכת עורכי הדין. הוועד המחוזי הגיש ערעור, ולאחר מכן הגיש גם המשיב ערעור. הוועד המחוזי הגיש בקשה למחיקת ערעורו של המשיב על הסף מחמת שזה הוגש באיחור. לטענת המשיב, ניתן להגיש ערעור שכנגד על פסק דין של ביה"ד המשמעתי הארצי. ואם כך, כי אז ערעורו הוגש במועד. הוועד המחוזי גורס כי אין זכות להגשת ערעור שכנגד לאחר המועד היחיד הקבוע בדין להגשת ערעור על פסק דין של ביה"ד המשמעתי הארצי.</w:t>
      </w:r>
      <w:r w:rsidR="004B5D61">
        <w:rPr>
          <w:rFonts w:ascii="David" w:eastAsia="Times New Roman" w:hAnsi="David" w:cs="David" w:hint="cs"/>
          <w:color w:val="000000"/>
          <w:sz w:val="24"/>
          <w:szCs w:val="24"/>
          <w:rtl/>
        </w:rPr>
        <w:t xml:space="preserve"> </w:t>
      </w:r>
    </w:p>
    <w:p w14:paraId="6E9BC91B" w14:textId="77777777" w:rsidR="004B5D61" w:rsidRDefault="004B5D61" w:rsidP="004B5D61">
      <w:pPr>
        <w:pStyle w:val="a4"/>
        <w:spacing w:after="120" w:line="360" w:lineRule="auto"/>
        <w:ind w:left="-908"/>
        <w:jc w:val="both"/>
        <w:rPr>
          <w:rFonts w:ascii="David" w:eastAsia="Times New Roman" w:hAnsi="David" w:cs="David"/>
          <w:color w:val="000000"/>
          <w:sz w:val="24"/>
          <w:szCs w:val="24"/>
          <w:rtl/>
        </w:rPr>
      </w:pPr>
      <w:r w:rsidRPr="004B5D61">
        <w:rPr>
          <w:rFonts w:ascii="David" w:eastAsia="Times New Roman" w:hAnsi="David" w:cs="David"/>
          <w:b/>
          <w:bCs/>
          <w:color w:val="000000"/>
          <w:sz w:val="24"/>
          <w:szCs w:val="24"/>
          <w:rtl/>
        </w:rPr>
        <w:t xml:space="preserve">ביהמ"ש המחוזי קיבל את הבקשה </w:t>
      </w:r>
      <w:proofErr w:type="spellStart"/>
      <w:r w:rsidRPr="004B5D61">
        <w:rPr>
          <w:rFonts w:ascii="David" w:eastAsia="Times New Roman" w:hAnsi="David" w:cs="David"/>
          <w:b/>
          <w:bCs/>
          <w:color w:val="000000"/>
          <w:sz w:val="24"/>
          <w:szCs w:val="24"/>
          <w:rtl/>
        </w:rPr>
        <w:t>בקובעו</w:t>
      </w:r>
      <w:proofErr w:type="spellEnd"/>
      <w:r w:rsidRPr="004B5D61">
        <w:rPr>
          <w:rFonts w:ascii="David" w:eastAsia="Times New Roman" w:hAnsi="David" w:cs="David"/>
          <w:b/>
          <w:bCs/>
          <w:color w:val="000000"/>
          <w:sz w:val="24"/>
          <w:szCs w:val="24"/>
          <w:rtl/>
        </w:rPr>
        <w:t>:</w:t>
      </w:r>
      <w:r w:rsidRPr="004B5D61">
        <w:rPr>
          <w:rFonts w:ascii="David" w:eastAsia="Times New Roman" w:hAnsi="David" w:cs="David" w:hint="cs"/>
          <w:color w:val="000000"/>
          <w:sz w:val="24"/>
          <w:szCs w:val="24"/>
          <w:rtl/>
        </w:rPr>
        <w:t xml:space="preserve"> </w:t>
      </w:r>
      <w:r w:rsidRPr="004B5D61">
        <w:rPr>
          <w:rFonts w:ascii="David" w:eastAsia="Times New Roman" w:hAnsi="David" w:cs="David"/>
          <w:color w:val="000000"/>
          <w:sz w:val="24"/>
          <w:szCs w:val="24"/>
          <w:rtl/>
        </w:rPr>
        <w:t xml:space="preserve">ערעור שכנגד במובן תקנה 434 </w:t>
      </w:r>
      <w:proofErr w:type="spellStart"/>
      <w:r w:rsidRPr="004B5D61">
        <w:rPr>
          <w:rFonts w:ascii="David" w:eastAsia="Times New Roman" w:hAnsi="David" w:cs="David"/>
          <w:color w:val="000000"/>
          <w:sz w:val="24"/>
          <w:szCs w:val="24"/>
          <w:rtl/>
        </w:rPr>
        <w:t>לתקסד"א</w:t>
      </w:r>
      <w:proofErr w:type="spellEnd"/>
      <w:r w:rsidRPr="004B5D61">
        <w:rPr>
          <w:rFonts w:ascii="David" w:eastAsia="Times New Roman" w:hAnsi="David" w:cs="David"/>
          <w:color w:val="000000"/>
          <w:sz w:val="24"/>
          <w:szCs w:val="24"/>
          <w:rtl/>
        </w:rPr>
        <w:t xml:space="preserve">, לא ניתן להגיש לא בהליכים פליליים ולא בהליכים משמעתיים לפי חוק לשכת עורכי הדין. כאשר מדובר בהליכים פליליים, </w:t>
      </w:r>
      <w:proofErr w:type="spellStart"/>
      <w:r w:rsidRPr="004B5D61">
        <w:rPr>
          <w:rFonts w:ascii="David" w:eastAsia="Times New Roman" w:hAnsi="David" w:cs="David"/>
          <w:color w:val="000000"/>
          <w:sz w:val="24"/>
          <w:szCs w:val="24"/>
          <w:rtl/>
        </w:rPr>
        <w:t>חסד"פ</w:t>
      </w:r>
      <w:proofErr w:type="spellEnd"/>
      <w:r w:rsidRPr="004B5D61">
        <w:rPr>
          <w:rFonts w:ascii="David" w:eastAsia="Times New Roman" w:hAnsi="David" w:cs="David"/>
          <w:color w:val="000000"/>
          <w:sz w:val="24"/>
          <w:szCs w:val="24"/>
          <w:rtl/>
        </w:rPr>
        <w:t xml:space="preserve"> אינו מכיר במושג "ערעור שכנגד" אלא דורש שערעורי שני הצדדים על פסק הדין של הערכאה הראשונה יוגשו תוך 45 יום מנתינתו. בהתאם לכך הובהר כי בהליכים פליליים לא מתקיים הליך כזה של ערעור שכנגד. הדין המשמעתי מסווג כדין כעין-פלילי. בהתאם לכך הודגש הדמיון שבין הדיון המשמעתי לבין הדיון הפלילי והצורך להימנע מדימוי הדיון המשמעתי לדיון האזרחי וכלליו, תוך שאיפה לקבוע את סדרי הדין בדיון המשמעתי בהשראת סדרי הדין בהליך הפלילי.</w:t>
      </w:r>
    </w:p>
    <w:p w14:paraId="697F15F4" w14:textId="77777777" w:rsidR="004B5D61" w:rsidRDefault="004B5D61" w:rsidP="004B5D61">
      <w:pPr>
        <w:pStyle w:val="a4"/>
        <w:spacing w:after="120" w:line="360" w:lineRule="auto"/>
        <w:ind w:left="-908"/>
        <w:jc w:val="both"/>
        <w:rPr>
          <w:rFonts w:ascii="David" w:eastAsia="Times New Roman" w:hAnsi="David" w:cs="David"/>
          <w:color w:val="000000"/>
          <w:sz w:val="24"/>
          <w:szCs w:val="24"/>
          <w:rtl/>
        </w:rPr>
      </w:pPr>
      <w:r w:rsidRPr="002D07B3">
        <w:rPr>
          <w:rFonts w:ascii="David" w:eastAsia="Times New Roman" w:hAnsi="David" w:cs="David"/>
          <w:color w:val="000000"/>
          <w:sz w:val="24"/>
          <w:szCs w:val="24"/>
          <w:rtl/>
        </w:rPr>
        <w:t xml:space="preserve">גם אילו ניתן היה לראות בערעור הנדון ערעור בעל אופי אזרחי או כעין-אזרחי, עדיין לא היה מקום להכיר בזכות להגשת ערעור שכנגד בגדרו. ההלכה היא כי כאשר מדובר בהליך שאינו מוסדר במישרין </w:t>
      </w:r>
      <w:proofErr w:type="spellStart"/>
      <w:r w:rsidRPr="002D07B3">
        <w:rPr>
          <w:rFonts w:ascii="David" w:eastAsia="Times New Roman" w:hAnsi="David" w:cs="David"/>
          <w:color w:val="000000"/>
          <w:sz w:val="24"/>
          <w:szCs w:val="24"/>
          <w:rtl/>
        </w:rPr>
        <w:t>בתקסד"א</w:t>
      </w:r>
      <w:proofErr w:type="spellEnd"/>
      <w:r w:rsidRPr="002D07B3">
        <w:rPr>
          <w:rFonts w:ascii="David" w:eastAsia="Times New Roman" w:hAnsi="David" w:cs="David"/>
          <w:color w:val="000000"/>
          <w:sz w:val="24"/>
          <w:szCs w:val="24"/>
          <w:rtl/>
        </w:rPr>
        <w:t xml:space="preserve">, הנכונות להתיר הגשת ערעור שכנגד בגדרו מותנית בכך שאין הוא ענין שנוהגים בו לפי סדר דין אחר. תקנות בתי המשפט (סדרי דין בערעור לבית המשפט העליון לפי חוק לשכת עורכי הדין) אינן כוללות הוראת "סל" בדבר פנייה </w:t>
      </w:r>
      <w:proofErr w:type="spellStart"/>
      <w:r w:rsidRPr="002D07B3">
        <w:rPr>
          <w:rFonts w:ascii="David" w:eastAsia="Times New Roman" w:hAnsi="David" w:cs="David"/>
          <w:color w:val="000000"/>
          <w:sz w:val="24"/>
          <w:szCs w:val="24"/>
          <w:rtl/>
        </w:rPr>
        <w:t>לתקסד"א</w:t>
      </w:r>
      <w:proofErr w:type="spellEnd"/>
      <w:r w:rsidRPr="002D07B3">
        <w:rPr>
          <w:rFonts w:ascii="David" w:eastAsia="Times New Roman" w:hAnsi="David" w:cs="David"/>
          <w:color w:val="000000"/>
          <w:sz w:val="24"/>
          <w:szCs w:val="24"/>
          <w:rtl/>
        </w:rPr>
        <w:t xml:space="preserve"> בעניינים שלא זכו בהן להסדר מפורש. בנוסף, המועד להגשת ערעור על פסק דין של ביה"ד המשמעתי הארצי נבדל מהמועד להגשת ערעור על פסק דין לפי </w:t>
      </w:r>
      <w:proofErr w:type="spellStart"/>
      <w:r w:rsidRPr="002D07B3">
        <w:rPr>
          <w:rFonts w:ascii="David" w:eastAsia="Times New Roman" w:hAnsi="David" w:cs="David"/>
          <w:color w:val="000000"/>
          <w:sz w:val="24"/>
          <w:szCs w:val="24"/>
          <w:rtl/>
        </w:rPr>
        <w:t>תקסד"א</w:t>
      </w:r>
      <w:proofErr w:type="spellEnd"/>
      <w:r w:rsidRPr="002D07B3">
        <w:rPr>
          <w:rFonts w:ascii="David" w:eastAsia="Times New Roman" w:hAnsi="David" w:cs="David"/>
          <w:color w:val="000000"/>
          <w:sz w:val="24"/>
          <w:szCs w:val="24"/>
          <w:rtl/>
        </w:rPr>
        <w:t xml:space="preserve"> הן במשך התקופה והן במקור הנורמטיבי בו נקבעה. כבר נפסק כי כאשר המועד להגשת הערעור נקבע בגוף החוק הרי שהדבר מצביע על הכוונה שכל הליך של תקיפה יוגש תוך אותו מועד.</w:t>
      </w:r>
    </w:p>
    <w:p w14:paraId="4B7A294D" w14:textId="77777777" w:rsidR="004B5D61" w:rsidRPr="004B5D61" w:rsidRDefault="004B5D61" w:rsidP="004B5D61">
      <w:pPr>
        <w:pStyle w:val="a4"/>
        <w:spacing w:after="120" w:line="360" w:lineRule="auto"/>
        <w:ind w:left="-908"/>
        <w:jc w:val="both"/>
        <w:rPr>
          <w:rFonts w:ascii="David" w:hAnsi="David" w:cs="David"/>
          <w:b/>
          <w:bCs/>
          <w:color w:val="C00000"/>
          <w:sz w:val="24"/>
          <w:szCs w:val="24"/>
          <w:rtl/>
        </w:rPr>
      </w:pPr>
      <w:r w:rsidRPr="002D07B3">
        <w:rPr>
          <w:rFonts w:ascii="David" w:eastAsia="Times New Roman" w:hAnsi="David" w:cs="David"/>
          <w:color w:val="000000"/>
          <w:sz w:val="24"/>
          <w:szCs w:val="24"/>
          <w:rtl/>
        </w:rPr>
        <w:t>המסקנה הנה אפוא כי המשיב הגיש את ערעורו באיחור, וכי אין בידיו להצדיק את האיחור בטענה הרואה בערעורו ערעור שכנגד. הדבר מעורר את הצורך לדון בבקשה החלופית של המשיב, והיא שביהמ"ש יאריך את המועד להגשת הערעור עד ליום הגשתו בפועל. הארכת מועד להגשת ערעור על פסק דין של ביה"ד המשמעתי הארצי מותנית בקיומם של "טעמים מיוחדים שיירשמו". בענייננו, לא הוצג טעם מיוחד להארכת המועד. המשיב לא הוכיח את טענתו לפיה בביהמ"ש העליון לא נדחה מעולם ערעור שכנגד בשל איחור בהגשתו. נהפוך הוא. בנוסף, טעות של בעל דין בהבנת המצב המשפטי בנוגע לספירת המועדים אינה מהווה טעם מיוחד להארכת מועד. גם קיומו של ערעור תלוי</w:t>
      </w:r>
      <w:r>
        <w:rPr>
          <w:rFonts w:ascii="David" w:eastAsia="Times New Roman" w:hAnsi="David" w:cs="David" w:hint="cs"/>
          <w:color w:val="000000"/>
          <w:sz w:val="24"/>
          <w:szCs w:val="24"/>
          <w:rtl/>
        </w:rPr>
        <w:t xml:space="preserve"> </w:t>
      </w:r>
      <w:r w:rsidRPr="002D07B3">
        <w:rPr>
          <w:rFonts w:ascii="David" w:eastAsia="Times New Roman" w:hAnsi="David" w:cs="David"/>
          <w:color w:val="000000"/>
          <w:sz w:val="24"/>
          <w:szCs w:val="24"/>
          <w:rtl/>
        </w:rPr>
        <w:t>ועומד על אותו פסק דין אינו מהווה כשלעצמו טעם מיוחד להארכת מועד להגשת ערעור על ידי הצד שכנגד.</w:t>
      </w:r>
    </w:p>
    <w:p w14:paraId="288F4BE3" w14:textId="77777777" w:rsidR="00DC6089" w:rsidRDefault="00DC6089" w:rsidP="00087CC4">
      <w:pPr>
        <w:pStyle w:val="a4"/>
        <w:numPr>
          <w:ilvl w:val="0"/>
          <w:numId w:val="25"/>
        </w:numPr>
        <w:spacing w:after="120" w:line="360" w:lineRule="auto"/>
        <w:ind w:left="-908"/>
        <w:rPr>
          <w:rFonts w:ascii="David" w:hAnsi="David" w:cs="David"/>
          <w:b/>
          <w:bCs/>
          <w:color w:val="C00000"/>
          <w:sz w:val="24"/>
          <w:szCs w:val="24"/>
        </w:rPr>
      </w:pPr>
      <w:proofErr w:type="spellStart"/>
      <w:r w:rsidRPr="003C63D2">
        <w:rPr>
          <w:rFonts w:ascii="David" w:hAnsi="David" w:cs="David" w:hint="cs"/>
          <w:b/>
          <w:bCs/>
          <w:color w:val="C00000"/>
          <w:sz w:val="24"/>
          <w:szCs w:val="24"/>
          <w:rtl/>
        </w:rPr>
        <w:t>בר"ש</w:t>
      </w:r>
      <w:proofErr w:type="spellEnd"/>
      <w:r w:rsidR="000435CD" w:rsidRPr="003C63D2">
        <w:rPr>
          <w:rFonts w:ascii="David" w:hAnsi="David" w:cs="David" w:hint="cs"/>
          <w:b/>
          <w:bCs/>
          <w:color w:val="C00000"/>
          <w:sz w:val="24"/>
          <w:szCs w:val="24"/>
          <w:rtl/>
        </w:rPr>
        <w:t xml:space="preserve"> 1958/09</w:t>
      </w:r>
      <w:r w:rsidRPr="003C63D2">
        <w:rPr>
          <w:rFonts w:ascii="David" w:hAnsi="David" w:cs="David" w:hint="cs"/>
          <w:b/>
          <w:bCs/>
          <w:color w:val="C00000"/>
          <w:sz w:val="24"/>
          <w:szCs w:val="24"/>
          <w:rtl/>
        </w:rPr>
        <w:t xml:space="preserve"> עו"ד ניקי ברי נ' הועד המחוזי של לשכת עו"ד בישראל</w:t>
      </w:r>
      <w:r w:rsidR="00B100FD">
        <w:rPr>
          <w:rFonts w:ascii="David" w:hAnsi="David" w:cs="David" w:hint="cs"/>
          <w:b/>
          <w:bCs/>
          <w:color w:val="C00000"/>
          <w:sz w:val="24"/>
          <w:szCs w:val="24"/>
          <w:rtl/>
        </w:rPr>
        <w:t xml:space="preserve"> - </w:t>
      </w:r>
    </w:p>
    <w:p w14:paraId="1C5EFFEF" w14:textId="77777777" w:rsidR="00B100FD" w:rsidRPr="00B100FD" w:rsidRDefault="00B100FD" w:rsidP="00B100FD">
      <w:pPr>
        <w:pStyle w:val="a4"/>
        <w:spacing w:after="120" w:line="360" w:lineRule="auto"/>
        <w:ind w:left="-908"/>
        <w:jc w:val="both"/>
        <w:rPr>
          <w:rFonts w:ascii="David" w:eastAsia="Times New Roman" w:hAnsi="David" w:cs="David"/>
          <w:color w:val="000000"/>
          <w:sz w:val="24"/>
          <w:szCs w:val="24"/>
          <w:rtl/>
        </w:rPr>
      </w:pPr>
      <w:r w:rsidRPr="00B100FD">
        <w:rPr>
          <w:rFonts w:ascii="David" w:eastAsia="Times New Roman" w:hAnsi="David" w:cs="David"/>
          <w:color w:val="000000"/>
          <w:sz w:val="24"/>
          <w:szCs w:val="24"/>
          <w:rtl/>
        </w:rPr>
        <w:t xml:space="preserve">המבקש הורשע בשלוש עבירות בביה"ד המשמעתי המחוזי של לשכת עוה"ד, ומשתיים מהן זוכה בביה"ד המשמעתי הארצי. בחלוף התקופה להגשת הערעור העיקרי, הגיש המבקש לבימ"ש המחוזי ערעור על פסה"ד של ביה"ד המשמעתי הארצי אותו הכתיר כ"ערעור שכנגד". בימ"ש המחוזי מחק את ערעור המבקש, ודחה את בקשתו להארכת מועד להגשת הערעור. מכאן </w:t>
      </w:r>
      <w:proofErr w:type="spellStart"/>
      <w:r w:rsidRPr="00B100FD">
        <w:rPr>
          <w:rFonts w:ascii="David" w:eastAsia="Times New Roman" w:hAnsi="David" w:cs="David"/>
          <w:color w:val="000000"/>
          <w:sz w:val="24"/>
          <w:szCs w:val="24"/>
          <w:rtl/>
        </w:rPr>
        <w:t>הבר"ע</w:t>
      </w:r>
      <w:proofErr w:type="spellEnd"/>
      <w:r w:rsidRPr="00B100FD">
        <w:rPr>
          <w:rFonts w:ascii="David" w:eastAsia="Times New Roman" w:hAnsi="David" w:cs="David"/>
          <w:color w:val="000000"/>
          <w:sz w:val="24"/>
          <w:szCs w:val="24"/>
          <w:rtl/>
        </w:rPr>
        <w:t>.</w:t>
      </w:r>
    </w:p>
    <w:p w14:paraId="038D3DB5" w14:textId="77777777" w:rsidR="00B100FD" w:rsidRPr="00B100FD" w:rsidRDefault="00B100FD" w:rsidP="00B100FD">
      <w:pPr>
        <w:pStyle w:val="a4"/>
        <w:spacing w:after="120" w:line="360" w:lineRule="auto"/>
        <w:ind w:left="-908"/>
        <w:jc w:val="both"/>
        <w:rPr>
          <w:rFonts w:ascii="David" w:eastAsia="Times New Roman" w:hAnsi="David" w:cs="David"/>
          <w:color w:val="000000"/>
          <w:sz w:val="24"/>
          <w:szCs w:val="24"/>
          <w:rtl/>
        </w:rPr>
      </w:pPr>
      <w:r w:rsidRPr="00B100FD">
        <w:rPr>
          <w:rFonts w:ascii="David" w:eastAsia="Times New Roman" w:hAnsi="David" w:cs="David"/>
          <w:color w:val="000000"/>
          <w:sz w:val="24"/>
          <w:szCs w:val="24"/>
          <w:rtl/>
        </w:rPr>
        <w:t xml:space="preserve">בית המשפט העליון (השופט א' רובינשטיין) דחה את </w:t>
      </w:r>
      <w:proofErr w:type="spellStart"/>
      <w:r w:rsidRPr="00B100FD">
        <w:rPr>
          <w:rFonts w:ascii="David" w:eastAsia="Times New Roman" w:hAnsi="David" w:cs="David"/>
          <w:color w:val="000000"/>
          <w:sz w:val="24"/>
          <w:szCs w:val="24"/>
          <w:rtl/>
        </w:rPr>
        <w:t>הבר"ע</w:t>
      </w:r>
      <w:proofErr w:type="spellEnd"/>
      <w:r w:rsidRPr="00B100FD">
        <w:rPr>
          <w:rFonts w:ascii="David" w:eastAsia="Times New Roman" w:hAnsi="David" w:cs="David"/>
          <w:color w:val="000000"/>
          <w:sz w:val="24"/>
          <w:szCs w:val="24"/>
          <w:rtl/>
        </w:rPr>
        <w:t xml:space="preserve"> ופסק כי:</w:t>
      </w:r>
    </w:p>
    <w:p w14:paraId="5C84FFFA" w14:textId="77777777" w:rsidR="00B100FD" w:rsidRPr="00B100FD" w:rsidRDefault="00B100FD" w:rsidP="00B100FD">
      <w:pPr>
        <w:pStyle w:val="a4"/>
        <w:spacing w:after="120" w:line="360" w:lineRule="auto"/>
        <w:ind w:left="-908"/>
        <w:jc w:val="both"/>
        <w:rPr>
          <w:rFonts w:ascii="David" w:eastAsia="Times New Roman" w:hAnsi="David" w:cs="David"/>
          <w:color w:val="000000"/>
          <w:sz w:val="24"/>
          <w:szCs w:val="24"/>
          <w:rtl/>
        </w:rPr>
      </w:pPr>
      <w:r w:rsidRPr="00B100FD">
        <w:rPr>
          <w:rFonts w:ascii="David" w:eastAsia="Times New Roman" w:hAnsi="David" w:cs="David"/>
          <w:color w:val="000000"/>
          <w:sz w:val="24"/>
          <w:szCs w:val="24"/>
          <w:rtl/>
        </w:rPr>
        <w:lastRenderedPageBreak/>
        <w:t>בעניין ערעורי לשכת עוה"ד חל שינוי בחוק לשכת עורכי הדין, לפיו היה ערעור שלישי (בזכות) לבימ"ש העליון ובתיקון מס' 32, נותר ערעור בזכות בגלגול שלישי, אך הועבר לבימ"ש המחוזי בירושלים; לפיכך, בימ"ש העליון עשוי להידרש לתיקי לשכת עוה"ד אלה אך בגדר רשות ערעור על פס"ד של בימ"ש המחוזי בשבתו כערכאת ערעור על ביה"ד המשמעתי הארצי, כבענייננו. רשות ערעור בתיקים כאלה תינתן במשורה שבמשורה, במקרים חריגים ביותר שיכללו שאלות עקרוניות בעלות חשיבות משפטית או ציבורית, בגדרי "מהדורה מחמירה" של הלכת חניון חיפה.</w:t>
      </w:r>
    </w:p>
    <w:p w14:paraId="755CEEA3" w14:textId="77777777" w:rsidR="00B100FD" w:rsidRPr="00B100FD" w:rsidRDefault="00B100FD" w:rsidP="00B100FD">
      <w:pPr>
        <w:pStyle w:val="a4"/>
        <w:spacing w:after="120" w:line="360" w:lineRule="auto"/>
        <w:ind w:left="-908"/>
        <w:jc w:val="both"/>
        <w:rPr>
          <w:rFonts w:ascii="David" w:eastAsia="Times New Roman" w:hAnsi="David" w:cs="David"/>
          <w:color w:val="000000"/>
          <w:sz w:val="24"/>
          <w:szCs w:val="24"/>
        </w:rPr>
      </w:pPr>
      <w:r w:rsidRPr="00B100FD">
        <w:rPr>
          <w:rFonts w:ascii="David" w:eastAsia="Times New Roman" w:hAnsi="David" w:cs="David"/>
          <w:color w:val="000000"/>
          <w:sz w:val="24"/>
          <w:szCs w:val="24"/>
          <w:rtl/>
        </w:rPr>
        <w:t>בענייננו אמנם הנושא הספציפי נדון רק בגלגול שני ("ערעור ראשון"), שהרי שאלת הערעור עלתה רק בשלב הערעור, לכן תיתכן התייחסות "מרווחת" יותר; אך כבר נפסק שעצם העובדה כי בפס"ד של ערכאת ערעור מצויים שינוי, תוספת או אף הכרעה חדשה שלא נכללה בהחלטת הערכאה הראשונה, אין בה די כדי להוציא את המקרה מגדר גלגול שלישי ולהקנות זכות ערעור.</w:t>
      </w:r>
    </w:p>
    <w:p w14:paraId="093BD4BC" w14:textId="77777777" w:rsidR="00B100FD" w:rsidRPr="00B100FD" w:rsidRDefault="00DC6089" w:rsidP="00B100FD">
      <w:pPr>
        <w:pStyle w:val="a4"/>
        <w:numPr>
          <w:ilvl w:val="0"/>
          <w:numId w:val="25"/>
        </w:numPr>
        <w:spacing w:after="120" w:line="360" w:lineRule="auto"/>
        <w:ind w:left="-908"/>
        <w:jc w:val="both"/>
        <w:rPr>
          <w:rFonts w:ascii="David" w:hAnsi="David" w:cs="David"/>
          <w:b/>
          <w:bCs/>
          <w:color w:val="C00000"/>
          <w:sz w:val="24"/>
          <w:szCs w:val="24"/>
        </w:rPr>
      </w:pPr>
      <w:proofErr w:type="spellStart"/>
      <w:r w:rsidRPr="003C63D2">
        <w:rPr>
          <w:rFonts w:ascii="David" w:hAnsi="David" w:cs="David" w:hint="cs"/>
          <w:b/>
          <w:bCs/>
          <w:color w:val="C00000"/>
          <w:sz w:val="24"/>
          <w:szCs w:val="24"/>
          <w:rtl/>
        </w:rPr>
        <w:t>בר"ש</w:t>
      </w:r>
      <w:proofErr w:type="spellEnd"/>
      <w:r w:rsidR="000435CD" w:rsidRPr="003C63D2">
        <w:rPr>
          <w:rFonts w:ascii="David" w:hAnsi="David" w:cs="David" w:hint="cs"/>
          <w:b/>
          <w:bCs/>
          <w:color w:val="C00000"/>
          <w:sz w:val="24"/>
          <w:szCs w:val="24"/>
          <w:rtl/>
        </w:rPr>
        <w:t xml:space="preserve"> 5700/09 </w:t>
      </w:r>
      <w:r w:rsidRPr="003C63D2">
        <w:rPr>
          <w:rFonts w:ascii="David" w:hAnsi="David" w:cs="David" w:hint="cs"/>
          <w:b/>
          <w:bCs/>
          <w:color w:val="C00000"/>
          <w:sz w:val="24"/>
          <w:szCs w:val="24"/>
          <w:rtl/>
        </w:rPr>
        <w:t xml:space="preserve"> עו"ד יעקב נ' הועד המחוזי של לשכת עו"ד בירושלים</w:t>
      </w:r>
      <w:r w:rsidR="00B100FD">
        <w:rPr>
          <w:rFonts w:ascii="David" w:hAnsi="David" w:cs="David" w:hint="cs"/>
          <w:b/>
          <w:bCs/>
          <w:color w:val="C00000"/>
          <w:sz w:val="24"/>
          <w:szCs w:val="24"/>
          <w:rtl/>
        </w:rPr>
        <w:t xml:space="preserve"> -  </w:t>
      </w:r>
      <w:r w:rsidR="00B100FD" w:rsidRPr="00B100FD">
        <w:rPr>
          <w:rFonts w:ascii="David" w:hAnsi="David" w:cs="David"/>
          <w:sz w:val="24"/>
          <w:szCs w:val="24"/>
          <w:rtl/>
        </w:rPr>
        <w:t>ביה"ד המשמעתי הארצי של לשכת עורכי הדין דחה את ערעור המבקש על פסק דינו של ביה"ד המשמעתי המחוזי, בו הורשע המבקש בעבירות של פגיעה בכבוד המקצוע ועשיית מעשים שאינם</w:t>
      </w:r>
      <w:r w:rsidR="00B100FD">
        <w:rPr>
          <w:rFonts w:ascii="David" w:hAnsi="David" w:cs="David" w:hint="cs"/>
          <w:sz w:val="24"/>
          <w:szCs w:val="24"/>
          <w:rtl/>
        </w:rPr>
        <w:t xml:space="preserve">. </w:t>
      </w:r>
      <w:r w:rsidR="00B100FD" w:rsidRPr="00B100FD">
        <w:rPr>
          <w:rFonts w:ascii="David" w:hAnsi="David" w:cs="David"/>
          <w:sz w:val="24"/>
          <w:szCs w:val="24"/>
          <w:rtl/>
        </w:rPr>
        <w:t>הולמים ונגזרו עליו 3 חודשי השעיה וקנס בסך 5,000 ₪. המבקש ערער לביהמ"ש המחוזי בירושלים. ביהמ"ש המחוזי מחק את הערעור, לאחר שהמבקש לא הגיש עיקרי טיעון במועד (לאחר הארכה שניתנה לו). המבקש הגיש בקשה לביטול ההחלטה הראשונה, אך ביהמ"ש דחה את הבקשה. כלפי החלטה זו הוגשה הבקשה למתן רשות לערער. נטען, כי בהעדר הוראה שבדין המחייבת הגשת עיקרי טיעון, לא היה מקום לסנקציה שהשית ביהמ"ש המחוזי על אי הגשתם.</w:t>
      </w:r>
    </w:p>
    <w:p w14:paraId="575CEAF7" w14:textId="77777777" w:rsidR="00B100FD" w:rsidRDefault="00B100FD" w:rsidP="00B100FD">
      <w:pPr>
        <w:pStyle w:val="a4"/>
        <w:spacing w:after="120" w:line="360" w:lineRule="auto"/>
        <w:ind w:left="-908"/>
        <w:jc w:val="both"/>
        <w:rPr>
          <w:rFonts w:ascii="David" w:hAnsi="David" w:cs="David"/>
          <w:sz w:val="24"/>
          <w:szCs w:val="24"/>
          <w:rtl/>
        </w:rPr>
      </w:pPr>
    </w:p>
    <w:p w14:paraId="22AEE830" w14:textId="77777777" w:rsidR="00B100FD" w:rsidRPr="00B100FD" w:rsidRDefault="00B100FD" w:rsidP="00B100FD">
      <w:pPr>
        <w:pStyle w:val="a4"/>
        <w:spacing w:after="120" w:line="360" w:lineRule="auto"/>
        <w:ind w:left="-908"/>
        <w:jc w:val="both"/>
        <w:rPr>
          <w:rFonts w:ascii="David" w:hAnsi="David" w:cs="David"/>
          <w:b/>
          <w:bCs/>
          <w:color w:val="C00000"/>
          <w:sz w:val="24"/>
          <w:szCs w:val="24"/>
          <w:rtl/>
        </w:rPr>
      </w:pPr>
      <w:r w:rsidRPr="00B100FD">
        <w:rPr>
          <w:rFonts w:ascii="David" w:hAnsi="David" w:cs="David"/>
          <w:sz w:val="24"/>
          <w:szCs w:val="24"/>
          <w:rtl/>
        </w:rPr>
        <w:t xml:space="preserve">ביהמ"ש העליון דחה את הבקשה </w:t>
      </w:r>
      <w:proofErr w:type="spellStart"/>
      <w:r w:rsidRPr="00B100FD">
        <w:rPr>
          <w:rFonts w:ascii="David" w:hAnsi="David" w:cs="David"/>
          <w:sz w:val="24"/>
          <w:szCs w:val="24"/>
          <w:rtl/>
        </w:rPr>
        <w:t>בקובעו</w:t>
      </w:r>
      <w:proofErr w:type="spellEnd"/>
      <w:r w:rsidRPr="00B100FD">
        <w:rPr>
          <w:rFonts w:ascii="David" w:hAnsi="David" w:cs="David"/>
          <w:sz w:val="24"/>
          <w:szCs w:val="24"/>
          <w:rtl/>
        </w:rPr>
        <w:t>:</w:t>
      </w:r>
      <w:r>
        <w:rPr>
          <w:rFonts w:ascii="David" w:hAnsi="David" w:cs="David" w:hint="cs"/>
          <w:sz w:val="24"/>
          <w:szCs w:val="24"/>
          <w:rtl/>
        </w:rPr>
        <w:t xml:space="preserve"> </w:t>
      </w:r>
      <w:r w:rsidRPr="002D07B3">
        <w:rPr>
          <w:rFonts w:ascii="David" w:hAnsi="David" w:cs="David"/>
          <w:sz w:val="24"/>
          <w:szCs w:val="24"/>
          <w:rtl/>
        </w:rPr>
        <w:t>אמות המידה למתן רשות ערעור בגלגול רביעי על החלטות ביהמ"ש המחוזי בירושלים לפי סעיף 71 לחוק לשכת עורכי הדין, הותוו לאחרונה בפרשת ניק ברי. נפסק, כי רשות ערעור בתיקים כאלה תינתן במשורה שבמשורה, שכן גלגול רביעי בתיק הוא מותרות דיוניים שבימ"ש זה אינו יכול להעניקם, נוכח העומס המוטל עליו, אלא במקרים חריגים ביותר, ועל אלה לכלול שאלות עקרוניות בעלות חשיבות משפטית או ציבורית. כ"כ - בגדר "מהדורה מחמירה" של הלכת חניון חיפה. המקרה הנדון, שאינו מעורר שאלה בעלת חשיבות משפטית או ציבורית, אינו בא בגדרי חריגים אלה.</w:t>
      </w:r>
    </w:p>
    <w:p w14:paraId="2B0E46D7" w14:textId="77777777" w:rsidR="00B100FD" w:rsidRPr="003C63D2" w:rsidRDefault="00B100FD" w:rsidP="00B100FD">
      <w:pPr>
        <w:pStyle w:val="a4"/>
        <w:spacing w:after="120" w:line="360" w:lineRule="auto"/>
        <w:ind w:left="-908"/>
        <w:jc w:val="both"/>
        <w:rPr>
          <w:rFonts w:ascii="David" w:hAnsi="David" w:cs="David"/>
          <w:b/>
          <w:bCs/>
          <w:color w:val="C00000"/>
          <w:sz w:val="24"/>
          <w:szCs w:val="24"/>
        </w:rPr>
      </w:pPr>
      <w:r w:rsidRPr="002D07B3">
        <w:rPr>
          <w:rFonts w:ascii="David" w:hAnsi="David" w:cs="David"/>
          <w:sz w:val="24"/>
          <w:szCs w:val="24"/>
          <w:rtl/>
        </w:rPr>
        <w:t xml:space="preserve">אך אף לגופו של עניין, לא נמצאה עילה להתערב בפסק דינו של ביהמ"ש המחוזי. ביהמ"ש לא קבע כי קיימת בדין חובה להגיש עיקרי טיעון. ואולם, לא רק בערעורים אזרחיים, שבהם ישנה חובת עיקרי טיעון, אלא גם בערעורים פליליים, אין כל מניעה להורות מפי הרכב, דן יחיד או רשם, לשם ייעול השמיעה וחיסכון בזמן שיפוטי, על הגשת עיקרי טיעון. פרקטיקה זו נוהגת בבימ"ש זה בתיקים המתאימים, ונהגה גם בערעורי לשכת עורכי הדין שנדונו כאן. ובמקרה הנדון, יפה עשה ביהמ"ש שהורה על עיקרי טיעון. ומכל מקום, אילו סבר המבקש בזמן אמת, ולו בטעות, כי אין חובה ואין הצדקה להגשת עיקרי טיעון, יכול היה להגיש בקשה לביהמ"ש. התעלמות מהחלטה מפורשת של בית המשפט (בפרט לאחר הארכה שניתנה) אינה אופציה לגיטימית, וכאשר מביטים על טיב </w:t>
      </w:r>
      <w:proofErr w:type="spellStart"/>
      <w:r w:rsidRPr="002D07B3">
        <w:rPr>
          <w:rFonts w:ascii="David" w:hAnsi="David" w:cs="David"/>
          <w:sz w:val="24"/>
          <w:szCs w:val="24"/>
          <w:rtl/>
        </w:rPr>
        <w:t>המאטריה</w:t>
      </w:r>
      <w:proofErr w:type="spellEnd"/>
      <w:r w:rsidRPr="002D07B3">
        <w:rPr>
          <w:rFonts w:ascii="David" w:hAnsi="David" w:cs="David"/>
          <w:sz w:val="24"/>
          <w:szCs w:val="24"/>
          <w:rtl/>
        </w:rPr>
        <w:t xml:space="preserve"> בה עסקינן - דין משמעתי הנועד להבטיח התנהגות הולמת של עורכי דין - להתנהלות זו חומרה יתירה.</w:t>
      </w:r>
    </w:p>
    <w:p w14:paraId="5DC071EE" w14:textId="77777777" w:rsidR="009F79AB" w:rsidRPr="009F79AB" w:rsidRDefault="00DC6089" w:rsidP="009F79AB">
      <w:pPr>
        <w:pStyle w:val="a4"/>
        <w:numPr>
          <w:ilvl w:val="0"/>
          <w:numId w:val="25"/>
        </w:numPr>
        <w:spacing w:after="120" w:line="360" w:lineRule="auto"/>
        <w:ind w:left="-908"/>
        <w:jc w:val="both"/>
        <w:rPr>
          <w:rFonts w:ascii="David" w:hAnsi="David" w:cs="David"/>
          <w:b/>
          <w:bCs/>
          <w:sz w:val="24"/>
          <w:szCs w:val="24"/>
          <w:highlight w:val="yellow"/>
        </w:rPr>
      </w:pPr>
      <w:r w:rsidRPr="000435CD">
        <w:rPr>
          <w:rFonts w:ascii="David" w:hAnsi="David" w:cs="David" w:hint="cs"/>
          <w:b/>
          <w:bCs/>
          <w:sz w:val="24"/>
          <w:szCs w:val="24"/>
          <w:highlight w:val="yellow"/>
          <w:rtl/>
        </w:rPr>
        <w:t xml:space="preserve">עלי </w:t>
      </w:r>
      <w:proofErr w:type="spellStart"/>
      <w:r w:rsidRPr="000435CD">
        <w:rPr>
          <w:rFonts w:ascii="David" w:hAnsi="David" w:cs="David" w:hint="cs"/>
          <w:b/>
          <w:bCs/>
          <w:sz w:val="24"/>
          <w:szCs w:val="24"/>
          <w:highlight w:val="yellow"/>
          <w:rtl/>
        </w:rPr>
        <w:t>זלצברג</w:t>
      </w:r>
      <w:proofErr w:type="spellEnd"/>
      <w:r w:rsidRPr="000435CD">
        <w:rPr>
          <w:rFonts w:ascii="David" w:hAnsi="David" w:cs="David" w:hint="cs"/>
          <w:b/>
          <w:bCs/>
          <w:sz w:val="24"/>
          <w:szCs w:val="24"/>
          <w:highlight w:val="yellow"/>
          <w:rtl/>
        </w:rPr>
        <w:t xml:space="preserve"> "קשר המשפטנים בישראל, על לשכת עו"ד ובעלי בריתה" </w:t>
      </w:r>
      <w:r w:rsidR="006962B0">
        <w:rPr>
          <w:rFonts w:ascii="David" w:hAnsi="David" w:cs="David" w:hint="cs"/>
          <w:b/>
          <w:bCs/>
          <w:sz w:val="24"/>
          <w:szCs w:val="24"/>
          <w:highlight w:val="yellow"/>
          <w:rtl/>
        </w:rPr>
        <w:t xml:space="preserve">- </w:t>
      </w:r>
      <w:r w:rsidR="009F79AB">
        <w:rPr>
          <w:rFonts w:ascii="David" w:hAnsi="David" w:cs="David" w:hint="cs"/>
          <w:b/>
          <w:bCs/>
          <w:sz w:val="24"/>
          <w:szCs w:val="24"/>
          <w:rtl/>
        </w:rPr>
        <w:t xml:space="preserve"> </w:t>
      </w:r>
      <w:r w:rsidR="009F79AB" w:rsidRPr="009F79AB">
        <w:rPr>
          <w:rFonts w:ascii="David" w:hAnsi="David" w:cs="David"/>
          <w:sz w:val="24"/>
          <w:szCs w:val="24"/>
          <w:rtl/>
        </w:rPr>
        <w:t xml:space="preserve">הסדרת המקצוע מעוגנת בחוק לשכת עורכי הדין שנכנס לתוקף ב-1962. עד אז היו שתי מסגרות ארגוניות נפרדות של עו"ד, המועצה המשפטית (גוף סטטוטורי) והסתדרות עורכי הדין היהודיים - גוף וולנטרי. התיקה המקצועית הייתה אז בידיו של זקן השופטים עד לקום המדינה, ומקום המדינה - עברה לשר המשפטים. היסטורית הגילדות החל משנות העשרים: המונופול (ייחוד מתן שירותים משפטיים, ייחוד הלשכה); האוטונומיה (המונופול בסמכויות הלשכה, האוטונומיה המוסדית).  התוצאה מכל אלה היא שעורכי דין הם בעלי מונופול נרחב על השירותים </w:t>
      </w:r>
      <w:r w:rsidR="009F79AB" w:rsidRPr="009F79AB">
        <w:rPr>
          <w:rFonts w:ascii="David" w:hAnsi="David" w:cs="David"/>
          <w:sz w:val="24"/>
          <w:szCs w:val="24"/>
          <w:rtl/>
        </w:rPr>
        <w:lastRenderedPageBreak/>
        <w:t xml:space="preserve">המשפטיים, ומנהלים את ענייניהם באופן אוטונומי. עמוד 62:  התובנה הראשונה של המאמר: הדרת המקצועית של עריכת הדין בישראל היא חסרת תקדים מבחינת מידת האוטונומיה של לשכת עורכי הדין ומבחינת היקף המונופול  שיש ל על השירותים המשפטיים בארץ - גם בהשוואה למקצועות אחרים בארץ וגם לעורכי דין במדינות אחרות. למה? רטוריקה שמנסה לתרץ את המעמד הייחודי, סיבות היסטוריות של מנדט ששאבנו מהמנדט, לובי חזק בכנסת (הרבה ח"כים שהם עו"ד, תקופת הייסוד: אתוס מוסדות המדינה - הקמת הלשכה כחלק מהפרויקט  החשוב (החוק נחקק גם אחרי שהייתה ביקורת על האתיקה של עורכי הדין בישראל וניסיונות לחזק את הגילדה - ביקורת שנשמעה משרי המשפטים פנחס רוזן ודב יוסף, והיועמ"ש חיים כהן), </w:t>
      </w:r>
    </w:p>
    <w:p w14:paraId="3ADFB0C5" w14:textId="77777777" w:rsidR="009F79AB" w:rsidRPr="009F79AB" w:rsidRDefault="009F79AB" w:rsidP="009F79AB">
      <w:pPr>
        <w:pStyle w:val="a4"/>
        <w:spacing w:after="120" w:line="360" w:lineRule="auto"/>
        <w:ind w:left="-908"/>
        <w:rPr>
          <w:rFonts w:ascii="David" w:hAnsi="David" w:cs="David"/>
          <w:b/>
          <w:bCs/>
          <w:sz w:val="24"/>
          <w:szCs w:val="24"/>
          <w:highlight w:val="yellow"/>
        </w:rPr>
      </w:pPr>
    </w:p>
    <w:p w14:paraId="328D5254" w14:textId="77777777" w:rsidR="00DC6089" w:rsidRPr="00E6240E" w:rsidRDefault="00DC6089" w:rsidP="00087CC4">
      <w:pPr>
        <w:pStyle w:val="a4"/>
        <w:numPr>
          <w:ilvl w:val="0"/>
          <w:numId w:val="25"/>
        </w:numPr>
        <w:spacing w:after="120" w:line="360" w:lineRule="auto"/>
        <w:ind w:left="-908"/>
        <w:rPr>
          <w:rFonts w:ascii="David" w:hAnsi="David" w:cs="David"/>
          <w:b/>
          <w:bCs/>
          <w:sz w:val="24"/>
          <w:szCs w:val="24"/>
          <w:highlight w:val="yellow"/>
        </w:rPr>
      </w:pPr>
      <w:r w:rsidRPr="00E6240E">
        <w:rPr>
          <w:rFonts w:ascii="David" w:hAnsi="David" w:cs="David" w:hint="cs"/>
          <w:b/>
          <w:bCs/>
          <w:sz w:val="24"/>
          <w:szCs w:val="24"/>
          <w:highlight w:val="yellow"/>
          <w:rtl/>
        </w:rPr>
        <w:t>לימור זר גוטמן "הרפורמה בדין המשמעתי דל עורכי הדין - האם תוקנו הליקויים?"</w:t>
      </w:r>
      <w:r w:rsidR="006962B0" w:rsidRPr="00E6240E">
        <w:rPr>
          <w:rFonts w:ascii="David" w:hAnsi="David" w:cs="David" w:hint="cs"/>
          <w:b/>
          <w:bCs/>
          <w:sz w:val="24"/>
          <w:szCs w:val="24"/>
          <w:highlight w:val="yellow"/>
          <w:rtl/>
        </w:rPr>
        <w:t xml:space="preserve"> - </w:t>
      </w:r>
    </w:p>
    <w:p w14:paraId="729C3568" w14:textId="77777777" w:rsidR="00A6402D" w:rsidRPr="00A86E38" w:rsidRDefault="00A745E7" w:rsidP="005B2A12">
      <w:pPr>
        <w:pStyle w:val="a4"/>
        <w:spacing w:line="360" w:lineRule="auto"/>
        <w:ind w:left="-908"/>
        <w:jc w:val="both"/>
        <w:rPr>
          <w:rFonts w:ascii="David" w:hAnsi="David" w:cs="David"/>
          <w:sz w:val="24"/>
          <w:szCs w:val="24"/>
          <w:rtl/>
        </w:rPr>
      </w:pPr>
      <w:r w:rsidRPr="00A86E38">
        <w:rPr>
          <w:rFonts w:ascii="David" w:hAnsi="David" w:cs="David" w:hint="cs"/>
          <w:sz w:val="24"/>
          <w:szCs w:val="24"/>
          <w:rtl/>
        </w:rPr>
        <w:t xml:space="preserve">השארת האוטונומיה </w:t>
      </w:r>
      <w:r w:rsidR="005B2A12" w:rsidRPr="00A86E38">
        <w:rPr>
          <w:rFonts w:ascii="David" w:hAnsi="David" w:cs="David" w:hint="cs"/>
          <w:sz w:val="24"/>
          <w:szCs w:val="24"/>
          <w:rtl/>
        </w:rPr>
        <w:t>בידי הלשכה גורמת רק לפיחות אמון הציבור בעורכי הדין ולפגיעה אנושה בתדמית המקצוע, מה שפוגע הן בציבור עורכי הדין והן בציבור בכלל. הרפורמה לא הוציאה את הפוליטיקה מהדין המשמעתי של עורכי הדין בישראל, אלא לכל היותר הצליחה להסוות אותה יותר מעיני הציבור. זאת מפני שהיא לא הבטיחה את השקיפ</w:t>
      </w:r>
      <w:r w:rsidR="00A86E38" w:rsidRPr="00A86E38">
        <w:rPr>
          <w:rFonts w:ascii="David" w:hAnsi="David" w:cs="David" w:hint="cs"/>
          <w:sz w:val="24"/>
          <w:szCs w:val="24"/>
          <w:rtl/>
        </w:rPr>
        <w:t>ו</w:t>
      </w:r>
      <w:r w:rsidR="005B2A12" w:rsidRPr="00A86E38">
        <w:rPr>
          <w:rFonts w:ascii="David" w:hAnsi="David" w:cs="David" w:hint="cs"/>
          <w:sz w:val="24"/>
          <w:szCs w:val="24"/>
          <w:rtl/>
        </w:rPr>
        <w:t xml:space="preserve">ת הנדרשת ממערכת שיפוט אוטונומית הנתונה בידי נבחרי הפרופסיה מעט השקיפות שכן הושגה היא שברירית וניתנת למחיקה בהחלטה מהירה של הגורמים המשמעותיים. </w:t>
      </w:r>
      <w:r w:rsidR="00A86E38">
        <w:rPr>
          <w:rFonts w:ascii="David" w:hAnsi="David" w:cs="David" w:hint="cs"/>
          <w:sz w:val="24"/>
          <w:szCs w:val="24"/>
          <w:rtl/>
        </w:rPr>
        <w:t xml:space="preserve">בשורה התחתונה השיח בישראל על הדין המשמעתי של עורכי הדין לוקה בחסר. שלושה היבטים שבהם השיח החסר סיכל את מטרות הרפורמה ולא הביא לתיקון הליקויים: </w:t>
      </w:r>
      <w:r w:rsidR="00A86E38" w:rsidRPr="00A86E38">
        <w:rPr>
          <w:rFonts w:ascii="David" w:hAnsi="David" w:cs="David" w:hint="cs"/>
          <w:b/>
          <w:bCs/>
          <w:sz w:val="24"/>
          <w:szCs w:val="24"/>
          <w:rtl/>
        </w:rPr>
        <w:t>(1)</w:t>
      </w:r>
      <w:r w:rsidR="00A86E38">
        <w:rPr>
          <w:rFonts w:ascii="David" w:hAnsi="David" w:cs="David" w:hint="cs"/>
          <w:sz w:val="24"/>
          <w:szCs w:val="24"/>
          <w:rtl/>
        </w:rPr>
        <w:t xml:space="preserve"> השיח לא מבוסס על עקרונות בעלי תוכן אלא על סיסמאות: כך למשל שימוש במונח שקיפות: נעשה בלי להבין לעומק את העיקרון. </w:t>
      </w:r>
      <w:r w:rsidR="00A86E38" w:rsidRPr="00A86E38">
        <w:rPr>
          <w:rFonts w:ascii="David" w:hAnsi="David" w:cs="David" w:hint="cs"/>
          <w:b/>
          <w:bCs/>
          <w:sz w:val="24"/>
          <w:szCs w:val="24"/>
          <w:rtl/>
        </w:rPr>
        <w:t xml:space="preserve">(2) </w:t>
      </w:r>
      <w:r w:rsidR="00A86E38">
        <w:rPr>
          <w:rFonts w:ascii="David" w:hAnsi="David" w:cs="David" w:hint="cs"/>
          <w:sz w:val="24"/>
          <w:szCs w:val="24"/>
          <w:rtl/>
        </w:rPr>
        <w:t xml:space="preserve">השיח חסר בגלל שהוא לא פתוח לנעשה בעולם. לאורך הדיונים בוועדה אין התייחסות אחת לשיטות אחרות בעולם. בחינה של הנעשה באנגליה ובארה"ב למשל היה מעשיר את הדיון ועשוי היה להביא להצעות ראויות יותר לפתרון בעיית חוסר השקיפות והפוליטיזציה. בחינה כזו גם הייתה מראה שהאוטונומיה של הדין המשמעתי הוא עיקרון שעבר מהעולם ודווקא התפיסה המנתקת תופסת חוזק. </w:t>
      </w:r>
      <w:r w:rsidR="00A86E38" w:rsidRPr="00A86E38">
        <w:rPr>
          <w:rFonts w:ascii="David" w:hAnsi="David" w:cs="David" w:hint="cs"/>
          <w:b/>
          <w:bCs/>
          <w:sz w:val="24"/>
          <w:szCs w:val="24"/>
          <w:rtl/>
        </w:rPr>
        <w:t>(3)</w:t>
      </w:r>
      <w:r w:rsidR="00A86E38">
        <w:rPr>
          <w:rFonts w:ascii="David" w:hAnsi="David" w:cs="David" w:hint="cs"/>
          <w:sz w:val="24"/>
          <w:szCs w:val="24"/>
          <w:rtl/>
        </w:rPr>
        <w:t xml:space="preserve"> החלופה היחידה שמוצעת לדין המשמעתי היא העברת הפיקוח לידי הממשלה, מה שלא מפתיע שרוצים להשאיר את זה בידי עורכי הדין.  השיח מתעלם מחלופות אחרות כמו אלה שיש באנגליה ובארה"ב - חלופות שלא מטילות נטל תקציבי כי הן ממומנות מהלשכה, כמו הקמת רשות משמעת אוטונומית עצמאית שתמומן מכספי הלשכה, אך לא תהיה קשורה ללשכה בה ישב אנשי הפרופסיה אך לא הנבחרים הפוליטיים שלה ולצידם ישבו שופטים מכהנים ונבחרי ציבור כדי להבטיח איזון ראוי . הרפורמה חשובה ואין להקל בה ראש, אך אין להסתפק בה ויש לשאוף למיגור הפוליטיזציה  להוציא את המערכת מידי הלשכה ולבטל לחלוטין את האוטונומיה הקיימת. </w:t>
      </w:r>
    </w:p>
    <w:p w14:paraId="6DB9CF43" w14:textId="77777777" w:rsidR="00A6402D" w:rsidRPr="003C63D2" w:rsidRDefault="00A6402D" w:rsidP="00A6402D">
      <w:pPr>
        <w:pStyle w:val="a4"/>
        <w:spacing w:after="120" w:line="360" w:lineRule="auto"/>
        <w:ind w:left="-908"/>
        <w:rPr>
          <w:rFonts w:ascii="David" w:hAnsi="David" w:cs="David"/>
          <w:b/>
          <w:bCs/>
          <w:color w:val="C00000"/>
          <w:sz w:val="24"/>
          <w:szCs w:val="24"/>
          <w:highlight w:val="yellow"/>
        </w:rPr>
      </w:pPr>
    </w:p>
    <w:p w14:paraId="0C51408B" w14:textId="77777777" w:rsidR="000435CD" w:rsidRDefault="00DC6089" w:rsidP="009F79AB">
      <w:pPr>
        <w:pStyle w:val="a4"/>
        <w:numPr>
          <w:ilvl w:val="0"/>
          <w:numId w:val="25"/>
        </w:numPr>
        <w:spacing w:after="120" w:line="360" w:lineRule="auto"/>
        <w:ind w:left="-908"/>
        <w:jc w:val="both"/>
        <w:rPr>
          <w:rFonts w:ascii="David" w:hAnsi="David" w:cs="David"/>
          <w:b/>
          <w:bCs/>
          <w:sz w:val="24"/>
          <w:szCs w:val="24"/>
        </w:rPr>
      </w:pPr>
      <w:r w:rsidRPr="000435CD">
        <w:rPr>
          <w:rFonts w:ascii="David" w:hAnsi="David" w:cs="David" w:hint="cs"/>
          <w:b/>
          <w:bCs/>
          <w:sz w:val="24"/>
          <w:szCs w:val="24"/>
          <w:rtl/>
        </w:rPr>
        <w:t>נט</w:t>
      </w:r>
      <w:r w:rsidR="007E1210" w:rsidRPr="000435CD">
        <w:rPr>
          <w:rFonts w:ascii="David" w:hAnsi="David" w:cs="David" w:hint="cs"/>
          <w:b/>
          <w:bCs/>
          <w:sz w:val="24"/>
          <w:szCs w:val="24"/>
          <w:rtl/>
        </w:rPr>
        <w:t>ע</w:t>
      </w:r>
      <w:r w:rsidRPr="000435CD">
        <w:rPr>
          <w:rFonts w:ascii="David" w:hAnsi="David" w:cs="David" w:hint="cs"/>
          <w:b/>
          <w:bCs/>
          <w:sz w:val="24"/>
          <w:szCs w:val="24"/>
          <w:rtl/>
        </w:rPr>
        <w:t xml:space="preserve"> זיו, מי ישמור על שומרי המשפט? עורכי דין בישראל בין מדינה, שוק וחברה אזרחית</w:t>
      </w:r>
      <w:r w:rsidR="009F79AB">
        <w:rPr>
          <w:rFonts w:ascii="David" w:hAnsi="David" w:cs="David" w:hint="cs"/>
          <w:b/>
          <w:bCs/>
          <w:sz w:val="24"/>
          <w:szCs w:val="24"/>
          <w:rtl/>
        </w:rPr>
        <w:t xml:space="preserve"> - </w:t>
      </w:r>
      <w:r w:rsidR="009F79AB" w:rsidRPr="00050EDA">
        <w:rPr>
          <w:rFonts w:ascii="David" w:hAnsi="David" w:cs="David" w:hint="cs"/>
          <w:sz w:val="24"/>
          <w:szCs w:val="24"/>
          <w:rtl/>
        </w:rPr>
        <w:t xml:space="preserve">עו"ד הם הכרחיים במערכת הצדק בחברה </w:t>
      </w:r>
      <w:r w:rsidR="00B14C49" w:rsidRPr="00050EDA">
        <w:rPr>
          <w:rFonts w:ascii="David" w:hAnsi="David" w:cs="David" w:hint="cs"/>
          <w:sz w:val="24"/>
          <w:szCs w:val="24"/>
          <w:rtl/>
        </w:rPr>
        <w:t>ממושפטת</w:t>
      </w:r>
      <w:r w:rsidR="009F79AB" w:rsidRPr="00050EDA">
        <w:rPr>
          <w:rFonts w:ascii="David" w:hAnsi="David" w:cs="David" w:hint="cs"/>
          <w:sz w:val="24"/>
          <w:szCs w:val="24"/>
          <w:rtl/>
        </w:rPr>
        <w:t xml:space="preserve"> לכן המדינה צריכה לתת את הדעת על המקצוע בהרבה היבטים - הכנסת ובתי המשפט, יחד עם לשכת עורכי הדין. התחום: חקר הפרופסיות, דה לו אוף דה </w:t>
      </w:r>
      <w:proofErr w:type="spellStart"/>
      <w:r w:rsidR="009F79AB" w:rsidRPr="00050EDA">
        <w:rPr>
          <w:rFonts w:ascii="David" w:hAnsi="David" w:cs="David" w:hint="cs"/>
          <w:sz w:val="24"/>
          <w:szCs w:val="24"/>
          <w:rtl/>
        </w:rPr>
        <w:t>לוירס</w:t>
      </w:r>
      <w:proofErr w:type="spellEnd"/>
      <w:r w:rsidR="009F79AB" w:rsidRPr="00050EDA">
        <w:rPr>
          <w:rFonts w:ascii="David" w:hAnsi="David" w:cs="David" w:hint="cs"/>
          <w:sz w:val="24"/>
          <w:szCs w:val="24"/>
          <w:rtl/>
        </w:rPr>
        <w:t xml:space="preserve">. כמה גישות תיאורטיות לפרופסיה המשפטי: הגישה הפוזיטיבית שמנחה שההתפתחות של מקצוע לפרופסיה היא הדרגתית, תהליך התפתחותי לינארי. הגישה הפונקציונליסטית: בבסיס ההתארגנות המקצועית עומד אינטרס ציבורי בשונה מעיסוק או משלח יד, להם רק אינטרס חברי הקבוצה המקצועית. ייצוג משפטי הוא ערך חשוב כי הוא מאפשר לפרט לממש את האוטונומיה האישית במערכת המשפט ומביא לגילוי האמת. בנוסף - הנאמנות של עו"ד היא לא רק ללקוח אלא גם למשפט ולערכיו. האינטרס לפי גישה שלישית, נגזר מאופי המוצר - השירות המשפטי. רכיבים נוספים לפי הגישה: שיקול דעת עצמאי, דרישות סף לעיסוק, אוטונומיה, ייחוד המקצוע, סממנים חיצוניים. הגישה </w:t>
      </w:r>
      <w:proofErr w:type="spellStart"/>
      <w:r w:rsidR="009F79AB" w:rsidRPr="00050EDA">
        <w:rPr>
          <w:rFonts w:ascii="David" w:hAnsi="David" w:cs="David" w:hint="cs"/>
          <w:sz w:val="24"/>
          <w:szCs w:val="24"/>
          <w:rtl/>
        </w:rPr>
        <w:t>הוובריאנית</w:t>
      </w:r>
      <w:proofErr w:type="spellEnd"/>
      <w:r w:rsidR="009F79AB" w:rsidRPr="00050EDA">
        <w:rPr>
          <w:rFonts w:ascii="David" w:hAnsi="David" w:cs="David" w:hint="cs"/>
          <w:sz w:val="24"/>
          <w:szCs w:val="24"/>
          <w:rtl/>
        </w:rPr>
        <w:t xml:space="preserve"> הביקורתית - הכוח המניע את ההתארגנות הוא אינטרס עצמי. גישה חשדנית. (לומד מאיסור שידול, הגבלת פרסומות, שליטה בתעריפי שכר טרחה). הגישה </w:t>
      </w:r>
      <w:r w:rsidR="009F79AB" w:rsidRPr="00050EDA">
        <w:rPr>
          <w:rFonts w:ascii="David" w:hAnsi="David" w:cs="David" w:hint="cs"/>
          <w:sz w:val="24"/>
          <w:szCs w:val="24"/>
          <w:rtl/>
        </w:rPr>
        <w:lastRenderedPageBreak/>
        <w:t>הפרופסיונלית ציבורית: יש להבטיח</w:t>
      </w:r>
      <w:r w:rsidR="00B14C49" w:rsidRPr="00050EDA">
        <w:rPr>
          <w:rFonts w:ascii="David" w:hAnsi="David" w:cs="David" w:hint="cs"/>
          <w:sz w:val="24"/>
          <w:szCs w:val="24"/>
          <w:rtl/>
        </w:rPr>
        <w:t xml:space="preserve"> </w:t>
      </w:r>
      <w:r w:rsidR="009F79AB" w:rsidRPr="00050EDA">
        <w:rPr>
          <w:rFonts w:ascii="David" w:hAnsi="David" w:cs="David" w:hint="cs"/>
          <w:sz w:val="24"/>
          <w:szCs w:val="24"/>
          <w:rtl/>
        </w:rPr>
        <w:t>נגישות שוויונית למשאב המשפט ולכן לקבוצה המקצועית המספקת אותו מחויבות בעלת ממדים ציבוריים.</w:t>
      </w:r>
    </w:p>
    <w:p w14:paraId="2425CA12" w14:textId="77777777" w:rsidR="00887C2A" w:rsidRPr="009F79AB" w:rsidRDefault="00887C2A" w:rsidP="00887C2A">
      <w:pPr>
        <w:pStyle w:val="a4"/>
        <w:spacing w:after="120" w:line="360" w:lineRule="auto"/>
        <w:ind w:left="-908"/>
        <w:jc w:val="both"/>
        <w:rPr>
          <w:rFonts w:ascii="David" w:hAnsi="David" w:cs="David"/>
          <w:b/>
          <w:bCs/>
          <w:sz w:val="24"/>
          <w:szCs w:val="24"/>
        </w:rPr>
      </w:pPr>
    </w:p>
    <w:p w14:paraId="58C5E982" w14:textId="77777777" w:rsidR="00B100FD" w:rsidRDefault="00DC6089" w:rsidP="00B100FD">
      <w:pPr>
        <w:pStyle w:val="a4"/>
        <w:numPr>
          <w:ilvl w:val="0"/>
          <w:numId w:val="25"/>
        </w:numPr>
        <w:spacing w:after="120" w:line="360" w:lineRule="auto"/>
        <w:ind w:left="-908"/>
        <w:jc w:val="both"/>
        <w:rPr>
          <w:rFonts w:ascii="David" w:hAnsi="David" w:cs="David"/>
          <w:sz w:val="24"/>
          <w:szCs w:val="24"/>
        </w:rPr>
      </w:pPr>
      <w:proofErr w:type="spellStart"/>
      <w:r w:rsidRPr="00913F7B">
        <w:rPr>
          <w:rFonts w:ascii="David" w:hAnsi="David" w:cs="David" w:hint="cs"/>
          <w:b/>
          <w:bCs/>
          <w:sz w:val="24"/>
          <w:szCs w:val="24"/>
          <w:rtl/>
        </w:rPr>
        <w:t>בד"מ</w:t>
      </w:r>
      <w:proofErr w:type="spellEnd"/>
      <w:r w:rsidR="000435CD" w:rsidRPr="00913F7B">
        <w:rPr>
          <w:rFonts w:ascii="David" w:hAnsi="David" w:cs="David" w:hint="cs"/>
          <w:b/>
          <w:bCs/>
          <w:sz w:val="24"/>
          <w:szCs w:val="24"/>
          <w:rtl/>
        </w:rPr>
        <w:t xml:space="preserve"> (ת"א) 9/02</w:t>
      </w:r>
      <w:r w:rsidRPr="00913F7B">
        <w:rPr>
          <w:rFonts w:ascii="David" w:hAnsi="David" w:cs="David" w:hint="cs"/>
          <w:b/>
          <w:bCs/>
          <w:sz w:val="24"/>
          <w:szCs w:val="24"/>
          <w:rtl/>
        </w:rPr>
        <w:t xml:space="preserve"> הועד המחוזי של לשכת עו"ד בתל אביב יפו</w:t>
      </w:r>
      <w:r w:rsidR="00B100FD" w:rsidRPr="00913F7B">
        <w:rPr>
          <w:rFonts w:ascii="David" w:hAnsi="David" w:cs="David" w:hint="cs"/>
          <w:b/>
          <w:bCs/>
          <w:sz w:val="24"/>
          <w:szCs w:val="24"/>
          <w:rtl/>
        </w:rPr>
        <w:t xml:space="preserve"> -  </w:t>
      </w:r>
      <w:r w:rsidR="00B100FD" w:rsidRPr="00B100FD">
        <w:rPr>
          <w:rFonts w:ascii="David" w:hAnsi="David" w:cs="David"/>
          <w:sz w:val="24"/>
          <w:szCs w:val="24"/>
          <w:rtl/>
        </w:rPr>
        <w:t>הנאשמת הורשעה בגין עבירות על סעיפים 55, 61(1), 61(2) ו-61(3) לחוק לשכת עורכי-הדין תשכ"א- 1961, (להלן: "החוק") על כך שהייתה קשורה בפרסום מודעה בדף אחורי של חוברת המיועדת ללימודים למבחני התיאוריה של משרד הרישו</w:t>
      </w:r>
      <w:r w:rsidR="00B100FD">
        <w:rPr>
          <w:rFonts w:ascii="David" w:hAnsi="David" w:cs="David" w:hint="cs"/>
          <w:sz w:val="24"/>
          <w:szCs w:val="24"/>
          <w:rtl/>
        </w:rPr>
        <w:t xml:space="preserve">י. </w:t>
      </w:r>
      <w:r w:rsidR="00B100FD" w:rsidRPr="002D07B3">
        <w:rPr>
          <w:rFonts w:ascii="David" w:hAnsi="David" w:cs="David"/>
          <w:sz w:val="24"/>
          <w:szCs w:val="24"/>
          <w:rtl/>
        </w:rPr>
        <w:t xml:space="preserve">בישיבה שיוחדה לטיעונים לעונש, טען בא-כוח הקובל המלומד שהעונשים הראויים להטיל על הנאשמת הם </w:t>
      </w:r>
      <w:proofErr w:type="spellStart"/>
      <w:r w:rsidR="00B100FD" w:rsidRPr="002D07B3">
        <w:rPr>
          <w:rFonts w:ascii="David" w:hAnsi="David" w:cs="David"/>
          <w:sz w:val="24"/>
          <w:szCs w:val="24"/>
          <w:rtl/>
        </w:rPr>
        <w:t>השעייה</w:t>
      </w:r>
      <w:proofErr w:type="spellEnd"/>
      <w:r w:rsidR="00B100FD" w:rsidRPr="002D07B3">
        <w:rPr>
          <w:rFonts w:ascii="David" w:hAnsi="David" w:cs="David"/>
          <w:sz w:val="24"/>
          <w:szCs w:val="24"/>
          <w:rtl/>
        </w:rPr>
        <w:t xml:space="preserve"> על תנאי, קנס והוצאות לטובת הועד המחוזי.</w:t>
      </w:r>
    </w:p>
    <w:p w14:paraId="3B9BF951" w14:textId="77777777" w:rsidR="00B100FD" w:rsidRDefault="00B100FD" w:rsidP="00B100FD">
      <w:pPr>
        <w:pStyle w:val="a4"/>
        <w:spacing w:after="120" w:line="360" w:lineRule="auto"/>
        <w:ind w:left="-908"/>
        <w:jc w:val="both"/>
        <w:rPr>
          <w:rFonts w:ascii="David" w:hAnsi="David" w:cs="David"/>
          <w:sz w:val="24"/>
          <w:szCs w:val="24"/>
          <w:rtl/>
        </w:rPr>
      </w:pPr>
    </w:p>
    <w:p w14:paraId="69B87123" w14:textId="77777777" w:rsidR="00B100FD" w:rsidRPr="00B100FD" w:rsidRDefault="00B100FD" w:rsidP="00B100FD">
      <w:pPr>
        <w:pStyle w:val="a4"/>
        <w:spacing w:after="120" w:line="360" w:lineRule="auto"/>
        <w:ind w:left="-908"/>
        <w:jc w:val="both"/>
        <w:rPr>
          <w:rFonts w:ascii="David" w:hAnsi="David" w:cs="David"/>
          <w:sz w:val="24"/>
          <w:szCs w:val="24"/>
          <w:rtl/>
        </w:rPr>
      </w:pPr>
      <w:r w:rsidRPr="00B100FD">
        <w:rPr>
          <w:rFonts w:ascii="David" w:hAnsi="David" w:cs="David"/>
          <w:sz w:val="24"/>
          <w:szCs w:val="24"/>
          <w:rtl/>
        </w:rPr>
        <w:t>עיקר טענתו של בא-כוח הקובל היא שלמרות ההיתרים הרבים שניתנו ו"התרת הרסן" בעניין הפרסום לאחר התיקון לחוק, תופעת ה</w:t>
      </w:r>
      <w:r>
        <w:rPr>
          <w:rFonts w:ascii="David" w:hAnsi="David" w:cs="David" w:hint="cs"/>
          <w:sz w:val="24"/>
          <w:szCs w:val="24"/>
          <w:rtl/>
        </w:rPr>
        <w:t>פרסומת</w:t>
      </w:r>
      <w:r w:rsidRPr="00B100FD">
        <w:rPr>
          <w:rFonts w:ascii="David" w:hAnsi="David" w:cs="David"/>
          <w:sz w:val="24"/>
          <w:szCs w:val="24"/>
          <w:rtl/>
        </w:rPr>
        <w:t xml:space="preserve"> האסורה בניגוד לכללים הפכה לנפוצה ויש להרתיע את ציבור עורכי-הדין מכך. יתירה מזו, טוען בא-כוח הקובל שבמקרים שיש לעו"ד ספק בקשר למעשיו בתחום זה עליו לפנות </w:t>
      </w:r>
      <w:proofErr w:type="spellStart"/>
      <w:r w:rsidRPr="00B100FD">
        <w:rPr>
          <w:rFonts w:ascii="David" w:hAnsi="David" w:cs="David"/>
          <w:sz w:val="24"/>
          <w:szCs w:val="24"/>
          <w:rtl/>
        </w:rPr>
        <w:t>לועדה</w:t>
      </w:r>
      <w:proofErr w:type="spellEnd"/>
      <w:r w:rsidRPr="00B100FD">
        <w:rPr>
          <w:rFonts w:ascii="David" w:hAnsi="David" w:cs="David"/>
          <w:sz w:val="24"/>
          <w:szCs w:val="24"/>
          <w:rtl/>
        </w:rPr>
        <w:t xml:space="preserve"> בלשכה שתפקידה לדון בספקות אלו. כמו כן טוען בא-כוח הקובל שהנאשמת ניהלה הגנה נרחבת בהעלאת טענות ובקשות שונות ומשונות, כולל כפירות ללא בסיס, כך שנגרם בזבוז זמן יקר לקובל ולבית-הדין בגין כך ויש למצות את הדין עם הנאשמת בהטלת הוצאות ההליך עלי</w:t>
      </w:r>
      <w:r w:rsidRPr="00B100FD">
        <w:rPr>
          <w:rFonts w:ascii="David" w:hAnsi="David" w:cs="David" w:hint="cs"/>
          <w:sz w:val="24"/>
          <w:szCs w:val="24"/>
          <w:rtl/>
        </w:rPr>
        <w:t>ה.</w:t>
      </w:r>
    </w:p>
    <w:p w14:paraId="63D94E50" w14:textId="77777777" w:rsidR="00B100FD" w:rsidRPr="000435CD" w:rsidRDefault="00B100FD" w:rsidP="00B100FD">
      <w:pPr>
        <w:pStyle w:val="a4"/>
        <w:spacing w:after="120" w:line="360" w:lineRule="auto"/>
        <w:ind w:left="-908"/>
        <w:rPr>
          <w:rFonts w:ascii="David" w:hAnsi="David" w:cs="David"/>
          <w:b/>
          <w:bCs/>
          <w:sz w:val="24"/>
          <w:szCs w:val="24"/>
        </w:rPr>
      </w:pPr>
    </w:p>
    <w:p w14:paraId="229E43E8" w14:textId="77777777" w:rsidR="00B14C49" w:rsidRPr="00B14C49" w:rsidRDefault="00DC6089" w:rsidP="00B14C49">
      <w:pPr>
        <w:pStyle w:val="a4"/>
        <w:numPr>
          <w:ilvl w:val="0"/>
          <w:numId w:val="25"/>
        </w:numPr>
        <w:spacing w:after="120" w:line="360" w:lineRule="auto"/>
        <w:ind w:left="-908"/>
        <w:jc w:val="both"/>
        <w:rPr>
          <w:rFonts w:ascii="David" w:hAnsi="David" w:cs="David"/>
          <w:sz w:val="24"/>
          <w:szCs w:val="24"/>
        </w:rPr>
      </w:pPr>
      <w:r w:rsidRPr="000435CD">
        <w:rPr>
          <w:rFonts w:ascii="David" w:hAnsi="David" w:cs="David" w:hint="cs"/>
          <w:b/>
          <w:bCs/>
          <w:sz w:val="24"/>
          <w:szCs w:val="24"/>
          <w:highlight w:val="yellow"/>
          <w:rtl/>
        </w:rPr>
        <w:t>ת"ט</w:t>
      </w:r>
      <w:r w:rsidR="000435CD" w:rsidRPr="000435CD">
        <w:rPr>
          <w:rFonts w:ascii="David" w:hAnsi="David" w:cs="David" w:hint="cs"/>
          <w:b/>
          <w:bCs/>
          <w:sz w:val="24"/>
          <w:szCs w:val="24"/>
          <w:highlight w:val="yellow"/>
          <w:rtl/>
        </w:rPr>
        <w:t xml:space="preserve"> (ת"א) 181882-08</w:t>
      </w:r>
      <w:r w:rsidRPr="000435CD">
        <w:rPr>
          <w:rFonts w:ascii="David" w:hAnsi="David" w:cs="David" w:hint="cs"/>
          <w:b/>
          <w:bCs/>
          <w:sz w:val="24"/>
          <w:szCs w:val="24"/>
          <w:highlight w:val="yellow"/>
          <w:rtl/>
        </w:rPr>
        <w:t xml:space="preserve"> לשכת עו"ד בישראל נ' אביב מוזס</w:t>
      </w:r>
      <w:r w:rsidR="00B14C49">
        <w:rPr>
          <w:rFonts w:ascii="David" w:hAnsi="David" w:cs="David" w:hint="cs"/>
          <w:b/>
          <w:bCs/>
          <w:sz w:val="24"/>
          <w:szCs w:val="24"/>
          <w:highlight w:val="yellow"/>
          <w:rtl/>
        </w:rPr>
        <w:t xml:space="preserve"> - </w:t>
      </w:r>
      <w:r w:rsidR="00B14C49">
        <w:rPr>
          <w:rFonts w:ascii="David" w:hAnsi="David" w:cs="David" w:hint="cs"/>
          <w:b/>
          <w:bCs/>
          <w:sz w:val="24"/>
          <w:szCs w:val="24"/>
          <w:rtl/>
        </w:rPr>
        <w:t xml:space="preserve"> </w:t>
      </w:r>
      <w:r w:rsidR="00B14C49" w:rsidRPr="00B14C49">
        <w:rPr>
          <w:rFonts w:ascii="David" w:hAnsi="David" w:cs="David"/>
          <w:sz w:val="24"/>
          <w:szCs w:val="24"/>
          <w:rtl/>
        </w:rPr>
        <w:t>תביעה בסכום קצוב לפי סעיף 81א1 ל</w:t>
      </w:r>
      <w:hyperlink r:id="rId13" w:tgtFrame="blank" w:history="1">
        <w:r w:rsidR="00B14C49" w:rsidRPr="00B14C49">
          <w:rPr>
            <w:rFonts w:ascii="David" w:hAnsi="David" w:cs="David"/>
            <w:sz w:val="24"/>
            <w:szCs w:val="24"/>
            <w:rtl/>
          </w:rPr>
          <w:t>חוק ההוצל"פ</w:t>
        </w:r>
      </w:hyperlink>
      <w:r w:rsidR="00B14C49" w:rsidRPr="00B14C49">
        <w:rPr>
          <w:rFonts w:ascii="David" w:hAnsi="David" w:cs="David"/>
          <w:sz w:val="24"/>
          <w:szCs w:val="24"/>
        </w:rPr>
        <w:t> </w:t>
      </w:r>
      <w:r w:rsidR="00B14C49" w:rsidRPr="00B14C49">
        <w:rPr>
          <w:rFonts w:ascii="David" w:hAnsi="David" w:cs="David"/>
          <w:sz w:val="24"/>
          <w:szCs w:val="24"/>
          <w:rtl/>
        </w:rPr>
        <w:t>בסך 1,672 ₪, שהגישה לשכת עורכי-הדין (להלן- המשיבה) נגד הנתבע, עו"ד, (להלן- המבקש) בגין דמי חבר שנתיים. המבקש הגיש התנגדות</w:t>
      </w:r>
      <w:r w:rsidR="00B14C49" w:rsidRPr="00B14C49">
        <w:rPr>
          <w:rFonts w:ascii="David" w:hAnsi="David" w:cs="David"/>
          <w:sz w:val="24"/>
          <w:szCs w:val="24"/>
        </w:rPr>
        <w:t>.</w:t>
      </w:r>
      <w:r w:rsidR="00B14C49" w:rsidRPr="00B14C49">
        <w:rPr>
          <w:rFonts w:ascii="David" w:hAnsi="David" w:cs="David" w:hint="cs"/>
          <w:sz w:val="24"/>
          <w:szCs w:val="24"/>
          <w:rtl/>
        </w:rPr>
        <w:t xml:space="preserve"> </w:t>
      </w:r>
      <w:r w:rsidR="00B14C49" w:rsidRPr="00B14C49">
        <w:rPr>
          <w:rFonts w:ascii="David" w:hAnsi="David" w:cs="David"/>
          <w:sz w:val="24"/>
          <w:szCs w:val="24"/>
          <w:rtl/>
        </w:rPr>
        <w:t>נדחתה התנגדות שהגיש עו"ד נגד תביעה בסכום קצוב שהגישה נגדו לשכת עורכי-הדין בגין אי תשלום דמי חבר שנתיים. נדחו טענות המבקש, בין היתר, כי מדובר במס ובתקנה בת פעל תחיקתי הדורשת פרסום וכי יש להתאים התשלום ביחס לפעולות החובה שמקיימת הלשכה</w:t>
      </w:r>
      <w:r w:rsidR="00B14C49" w:rsidRPr="00B14C49">
        <w:rPr>
          <w:rFonts w:ascii="David" w:hAnsi="David" w:cs="David"/>
          <w:sz w:val="24"/>
          <w:szCs w:val="24"/>
        </w:rPr>
        <w:t>.</w:t>
      </w:r>
      <w:r w:rsidR="00B14C49" w:rsidRPr="00B14C49">
        <w:rPr>
          <w:rFonts w:ascii="David" w:hAnsi="David" w:cs="David" w:hint="cs"/>
          <w:sz w:val="24"/>
          <w:szCs w:val="24"/>
          <w:rtl/>
        </w:rPr>
        <w:t xml:space="preserve">  </w:t>
      </w:r>
      <w:r w:rsidR="00B14C49" w:rsidRPr="00B14C49">
        <w:rPr>
          <w:rFonts w:ascii="David" w:hAnsi="David" w:cs="David"/>
          <w:sz w:val="24"/>
          <w:szCs w:val="24"/>
          <w:rtl/>
        </w:rPr>
        <w:t>ביהמ"ש קבע כי אל לו להתערב התערבות יתר בניהול הפרופסיה המשפטית ועליו לנהוג בזהירות רבה כששאלות הנוגעות לניהול הפנימי של מוסדות הלשכה, ניהול תקציבה וקביעת דמי חבר, מגיעים לפתחו.</w:t>
      </w:r>
      <w:r w:rsidR="00B14C49" w:rsidRPr="00B14C49">
        <w:rPr>
          <w:rFonts w:ascii="David" w:hAnsi="David" w:cs="David" w:hint="cs"/>
          <w:sz w:val="24"/>
          <w:szCs w:val="24"/>
          <w:rtl/>
        </w:rPr>
        <w:t xml:space="preserve"> </w:t>
      </w:r>
    </w:p>
    <w:p w14:paraId="2C9FE3E3" w14:textId="77777777" w:rsidR="00B14C49" w:rsidRPr="00B14C49" w:rsidRDefault="00B14C49" w:rsidP="00B14C49">
      <w:pPr>
        <w:pStyle w:val="a4"/>
        <w:spacing w:after="120" w:line="360" w:lineRule="auto"/>
        <w:ind w:left="-908"/>
        <w:jc w:val="both"/>
        <w:rPr>
          <w:rFonts w:ascii="David" w:hAnsi="David" w:cs="David"/>
          <w:sz w:val="24"/>
          <w:szCs w:val="24"/>
          <w:rtl/>
        </w:rPr>
      </w:pPr>
    </w:p>
    <w:p w14:paraId="0CF655AF" w14:textId="77777777" w:rsidR="00B14C49" w:rsidRPr="00B14C49" w:rsidRDefault="00B14C49" w:rsidP="00B14C49">
      <w:pPr>
        <w:pStyle w:val="a4"/>
        <w:spacing w:after="120" w:line="360" w:lineRule="auto"/>
        <w:ind w:left="-908"/>
        <w:jc w:val="both"/>
        <w:rPr>
          <w:rFonts w:ascii="David" w:hAnsi="David" w:cs="David"/>
          <w:sz w:val="24"/>
          <w:szCs w:val="24"/>
          <w:rtl/>
        </w:rPr>
      </w:pPr>
      <w:r w:rsidRPr="00B14C49">
        <w:rPr>
          <w:rFonts w:ascii="David" w:hAnsi="David" w:cs="David"/>
          <w:sz w:val="24"/>
          <w:szCs w:val="24"/>
          <w:rtl/>
        </w:rPr>
        <w:t>ביהמ"ש דחה את טענת המבקש אשר לפיה קביעת שיעור דמי החבר הינה תקנה בעלת פועל תחיקתי הדורשת הליכי פרסום כחוק. נקבע כי מיסי החבר מופנים לציבור עורכי הדין בלבד והדרישה איננה יוצרת נורמה משפטית ולפיכך אין זו תקנה בת פעל תחיקתי ואין חובה לפרסמה ברשומות.</w:t>
      </w:r>
      <w:r w:rsidRPr="00B14C49">
        <w:rPr>
          <w:rFonts w:ascii="David" w:hAnsi="David" w:cs="David" w:hint="cs"/>
          <w:sz w:val="24"/>
          <w:szCs w:val="24"/>
          <w:rtl/>
        </w:rPr>
        <w:t xml:space="preserve"> </w:t>
      </w:r>
      <w:r w:rsidRPr="00B14C49">
        <w:rPr>
          <w:rFonts w:ascii="David" w:hAnsi="David" w:cs="David"/>
          <w:sz w:val="24"/>
          <w:szCs w:val="24"/>
          <w:rtl/>
        </w:rPr>
        <w:t>נדחתה טענת המבקש לפיה על המשיבה להפחית את דמי החבר כך שתקציב פעולותיה יעמוד ביחס סביר לתקציב פעולות החובה. נקבע כי מידת היחס בתקציב בין פעולות החובה של הלשכה ושאר הפעולות מסור לשיקול דעתה וכי יחס זה עומד במבחן הסבירות.</w:t>
      </w:r>
      <w:r w:rsidRPr="00B14C49">
        <w:rPr>
          <w:rFonts w:ascii="David" w:hAnsi="David" w:cs="David" w:hint="cs"/>
          <w:sz w:val="24"/>
          <w:szCs w:val="24"/>
          <w:rtl/>
        </w:rPr>
        <w:t xml:space="preserve"> </w:t>
      </w:r>
      <w:r w:rsidRPr="00B14C49">
        <w:rPr>
          <w:rFonts w:ascii="David" w:hAnsi="David" w:cs="David"/>
          <w:sz w:val="24"/>
          <w:szCs w:val="24"/>
          <w:rtl/>
        </w:rPr>
        <w:t>עוד נקבע כי דמי חבר המשולמים ללשכת עורכי דין איננו "מס" ולא "אגרה". אין ולא חייב להיות קשר בין  פעילותו של חבר  בלשכה או במקצוע  לבין הסכום שהוא משלם כדמי חבר.</w:t>
      </w:r>
      <w:r w:rsidRPr="00B14C49">
        <w:rPr>
          <w:rFonts w:ascii="David" w:hAnsi="David" w:cs="David" w:hint="cs"/>
          <w:sz w:val="24"/>
          <w:szCs w:val="24"/>
          <w:rtl/>
        </w:rPr>
        <w:t xml:space="preserve"> </w:t>
      </w:r>
      <w:r w:rsidRPr="00B14C49">
        <w:rPr>
          <w:rFonts w:ascii="David" w:hAnsi="David" w:cs="David"/>
          <w:sz w:val="24"/>
          <w:szCs w:val="24"/>
          <w:rtl/>
        </w:rPr>
        <w:t>כמו כן נדחתה טענת המבקש לפיה ביטול ההנחה למקדימים לשלם לאחר חלוף המועד הינו נוהל בלתי חוקי. נקבע כי לא מדובר בקנס למי שלא משלם את דמי החבר עד לתאריך האחרון לתשלום ואין היא מנוגדת לסעיף 93(ד) לחוק לשכת עורכי-הדין.</w:t>
      </w:r>
    </w:p>
    <w:p w14:paraId="6141C25C" w14:textId="77777777" w:rsidR="00050EDA" w:rsidRDefault="00913F7B" w:rsidP="00050EDA">
      <w:pPr>
        <w:pStyle w:val="a4"/>
        <w:spacing w:after="120" w:line="360" w:lineRule="auto"/>
        <w:ind w:left="-908"/>
        <w:rPr>
          <w:rFonts w:ascii="David" w:hAnsi="David" w:cs="David"/>
          <w:b/>
          <w:bCs/>
          <w:sz w:val="24"/>
          <w:szCs w:val="24"/>
          <w:u w:val="single"/>
          <w:rtl/>
        </w:rPr>
      </w:pPr>
      <w:r>
        <w:rPr>
          <w:rFonts w:ascii="David" w:hAnsi="David" w:cs="David" w:hint="cs"/>
          <w:b/>
          <w:bCs/>
          <w:sz w:val="28"/>
          <w:szCs w:val="28"/>
          <w:rtl/>
        </w:rPr>
        <w:t xml:space="preserve"> </w:t>
      </w:r>
    </w:p>
    <w:p w14:paraId="32CA2E92" w14:textId="77777777" w:rsidR="00050EDA" w:rsidRDefault="00050EDA" w:rsidP="00050EDA">
      <w:pPr>
        <w:pStyle w:val="a4"/>
        <w:spacing w:after="120" w:line="360" w:lineRule="auto"/>
        <w:ind w:left="-908"/>
        <w:rPr>
          <w:rFonts w:ascii="David" w:hAnsi="David" w:cs="David"/>
          <w:b/>
          <w:bCs/>
          <w:sz w:val="24"/>
          <w:szCs w:val="24"/>
          <w:u w:val="single"/>
          <w:rtl/>
        </w:rPr>
      </w:pPr>
      <w:r>
        <w:rPr>
          <w:rFonts w:ascii="David" w:hAnsi="David" w:cs="David" w:hint="cs"/>
          <w:b/>
          <w:bCs/>
          <w:sz w:val="24"/>
          <w:szCs w:val="24"/>
          <w:u w:val="single"/>
          <w:rtl/>
        </w:rPr>
        <w:t>שיעור 8, 06.12.2020</w:t>
      </w:r>
    </w:p>
    <w:p w14:paraId="11696724" w14:textId="77777777" w:rsidR="00050EDA" w:rsidRPr="00BA7C40" w:rsidRDefault="00050EDA" w:rsidP="00BA7C40">
      <w:pPr>
        <w:pStyle w:val="a4"/>
        <w:spacing w:after="120" w:line="360" w:lineRule="auto"/>
        <w:ind w:left="-908"/>
        <w:rPr>
          <w:rFonts w:ascii="David" w:hAnsi="David" w:cs="David"/>
          <w:b/>
          <w:bCs/>
          <w:sz w:val="24"/>
          <w:szCs w:val="24"/>
          <w:rtl/>
        </w:rPr>
      </w:pPr>
      <w:r>
        <w:rPr>
          <w:rFonts w:ascii="David" w:hAnsi="David" w:cs="David" w:hint="cs"/>
          <w:b/>
          <w:bCs/>
          <w:sz w:val="24"/>
          <w:szCs w:val="24"/>
          <w:rtl/>
        </w:rPr>
        <w:t xml:space="preserve">חזרה על השיעור הקודם: </w:t>
      </w:r>
      <w:r w:rsidRPr="00BA7C40">
        <w:rPr>
          <w:rFonts w:ascii="David" w:hAnsi="David" w:cs="David" w:hint="cs"/>
          <w:b/>
          <w:bCs/>
          <w:sz w:val="24"/>
          <w:szCs w:val="24"/>
          <w:rtl/>
        </w:rPr>
        <w:t xml:space="preserve">נקודות הממשק בין דיני הנזיקין וההליך המשמעתי. פס"ד נוסף בנושא: ד"ר פנחס </w:t>
      </w:r>
      <w:proofErr w:type="spellStart"/>
      <w:r w:rsidRPr="00BA7C40">
        <w:rPr>
          <w:rFonts w:ascii="David" w:hAnsi="David" w:cs="David" w:hint="cs"/>
          <w:b/>
          <w:bCs/>
          <w:sz w:val="24"/>
          <w:szCs w:val="24"/>
          <w:rtl/>
        </w:rPr>
        <w:t>פיימנסר</w:t>
      </w:r>
      <w:proofErr w:type="spellEnd"/>
      <w:r w:rsidRPr="00BA7C40">
        <w:rPr>
          <w:rFonts w:ascii="David" w:hAnsi="David" w:cs="David" w:hint="cs"/>
          <w:b/>
          <w:bCs/>
          <w:sz w:val="24"/>
          <w:szCs w:val="24"/>
          <w:rtl/>
        </w:rPr>
        <w:t xml:space="preserve"> נ' משרד הבריאות - </w:t>
      </w:r>
      <w:r w:rsidRPr="00BA7C40">
        <w:rPr>
          <w:rFonts w:ascii="David" w:hAnsi="David" w:cs="David" w:hint="cs"/>
          <w:sz w:val="24"/>
          <w:szCs w:val="24"/>
          <w:rtl/>
        </w:rPr>
        <w:t xml:space="preserve">שם השופט פסק פיצויים על הגשת הקובלנה שלא כדין שהביאה לזיכוי </w:t>
      </w:r>
      <w:r w:rsidRPr="00BA7C40">
        <w:rPr>
          <w:rFonts w:ascii="David" w:hAnsi="David" w:cs="David" w:hint="cs"/>
          <w:sz w:val="24"/>
          <w:szCs w:val="24"/>
          <w:rtl/>
        </w:rPr>
        <w:lastRenderedPageBreak/>
        <w:t xml:space="preserve">ופיצוי בגין כל ההליכים המשמעתיים. </w:t>
      </w:r>
      <w:r w:rsidR="00BA7C40" w:rsidRPr="00BA7C40">
        <w:rPr>
          <w:rFonts w:ascii="David" w:hAnsi="David" w:cs="David" w:hint="cs"/>
          <w:sz w:val="24"/>
          <w:szCs w:val="24"/>
          <w:rtl/>
        </w:rPr>
        <w:t xml:space="preserve"> </w:t>
      </w:r>
      <w:r w:rsidRPr="00BA7C40">
        <w:rPr>
          <w:rFonts w:ascii="David" w:hAnsi="David" w:cs="David" w:hint="cs"/>
          <w:sz w:val="24"/>
          <w:szCs w:val="24"/>
          <w:rtl/>
        </w:rPr>
        <w:t>לאחר מכן דיברנו על שלבים בהקמת ערכאות המשמעת שחילקנו לשלושה שלבים.</w:t>
      </w:r>
      <w:r w:rsidR="00BA7C40" w:rsidRPr="00BA7C40">
        <w:rPr>
          <w:rFonts w:ascii="David" w:hAnsi="David" w:cs="David" w:hint="cs"/>
          <w:sz w:val="24"/>
          <w:szCs w:val="24"/>
          <w:rtl/>
        </w:rPr>
        <w:t xml:space="preserve"> ועל ההיסטוריה של הקמת לשכת עורכי הדין . </w:t>
      </w:r>
    </w:p>
    <w:p w14:paraId="13A68A3A" w14:textId="77777777" w:rsidR="00050EDA" w:rsidRDefault="00050EDA" w:rsidP="00913F7B">
      <w:pPr>
        <w:pStyle w:val="a4"/>
        <w:spacing w:after="120" w:line="360" w:lineRule="auto"/>
        <w:ind w:left="-908"/>
        <w:rPr>
          <w:rFonts w:ascii="David" w:hAnsi="David" w:cs="David"/>
          <w:b/>
          <w:bCs/>
          <w:sz w:val="24"/>
          <w:szCs w:val="24"/>
          <w:rtl/>
        </w:rPr>
      </w:pPr>
    </w:p>
    <w:p w14:paraId="771184BF" w14:textId="77777777" w:rsidR="00913F7B" w:rsidRDefault="00913F7B" w:rsidP="002036BF">
      <w:pPr>
        <w:pStyle w:val="a4"/>
        <w:spacing w:after="120" w:line="360" w:lineRule="auto"/>
        <w:ind w:left="-908"/>
        <w:contextualSpacing w:val="0"/>
        <w:jc w:val="center"/>
        <w:rPr>
          <w:rFonts w:ascii="David" w:hAnsi="David" w:cs="David"/>
          <w:b/>
          <w:bCs/>
          <w:color w:val="FFC000" w:themeColor="accent4"/>
          <w:sz w:val="24"/>
          <w:szCs w:val="24"/>
          <w:u w:val="single"/>
          <w:rtl/>
        </w:rPr>
      </w:pPr>
      <w:r w:rsidRPr="00913F7B">
        <w:rPr>
          <w:rFonts w:ascii="David" w:hAnsi="David" w:cs="David" w:hint="cs"/>
          <w:b/>
          <w:bCs/>
          <w:color w:val="FFC000" w:themeColor="accent4"/>
          <w:sz w:val="24"/>
          <w:szCs w:val="24"/>
          <w:u w:val="single"/>
          <w:rtl/>
        </w:rPr>
        <w:t>התנהלות ראויה בהופעה בבית המשפט</w:t>
      </w:r>
      <w:r w:rsidR="005B32D7">
        <w:rPr>
          <w:rFonts w:ascii="David" w:hAnsi="David" w:cs="David" w:hint="cs"/>
          <w:b/>
          <w:bCs/>
          <w:color w:val="FFC000" w:themeColor="accent4"/>
          <w:sz w:val="24"/>
          <w:szCs w:val="24"/>
          <w:u w:val="single"/>
          <w:rtl/>
        </w:rPr>
        <w:t xml:space="preserve"> </w:t>
      </w:r>
    </w:p>
    <w:p w14:paraId="761E7DA2" w14:textId="77777777" w:rsidR="00913F7B" w:rsidRDefault="00913F7B" w:rsidP="002036BF">
      <w:pPr>
        <w:pStyle w:val="a4"/>
        <w:numPr>
          <w:ilvl w:val="0"/>
          <w:numId w:val="26"/>
        </w:numPr>
        <w:spacing w:after="120" w:line="360" w:lineRule="auto"/>
        <w:contextualSpacing w:val="0"/>
        <w:rPr>
          <w:rFonts w:ascii="David" w:hAnsi="David" w:cs="David"/>
          <w:b/>
          <w:bCs/>
          <w:sz w:val="24"/>
          <w:szCs w:val="24"/>
        </w:rPr>
      </w:pPr>
      <w:r>
        <w:rPr>
          <w:rFonts w:ascii="David" w:hAnsi="David" w:cs="David" w:hint="cs"/>
          <w:b/>
          <w:bCs/>
          <w:sz w:val="24"/>
          <w:szCs w:val="24"/>
          <w:rtl/>
        </w:rPr>
        <w:t>10 מצוות עשה שחלות על עורך דין</w:t>
      </w:r>
      <w:r w:rsidR="002036BF">
        <w:rPr>
          <w:rFonts w:ascii="David" w:hAnsi="David" w:cs="David" w:hint="cs"/>
          <w:b/>
          <w:bCs/>
          <w:sz w:val="24"/>
          <w:szCs w:val="24"/>
          <w:rtl/>
        </w:rPr>
        <w:t xml:space="preserve"> בהופעה בבתי משפט</w:t>
      </w:r>
    </w:p>
    <w:p w14:paraId="0AC69F93" w14:textId="77777777" w:rsidR="00187F0E" w:rsidRPr="00187F0E" w:rsidRDefault="002036BF" w:rsidP="00187F0E">
      <w:pPr>
        <w:pStyle w:val="a4"/>
        <w:numPr>
          <w:ilvl w:val="0"/>
          <w:numId w:val="27"/>
        </w:numPr>
        <w:spacing w:after="120" w:line="360" w:lineRule="auto"/>
        <w:ind w:left="-199"/>
        <w:contextualSpacing w:val="0"/>
        <w:jc w:val="both"/>
        <w:rPr>
          <w:rFonts w:ascii="David" w:hAnsi="David" w:cs="David"/>
          <w:b/>
          <w:bCs/>
          <w:sz w:val="24"/>
          <w:szCs w:val="24"/>
        </w:rPr>
      </w:pPr>
      <w:r w:rsidRPr="000942B7">
        <w:rPr>
          <w:rFonts w:ascii="David" w:hAnsi="David" w:cs="David" w:hint="cs"/>
          <w:b/>
          <w:bCs/>
          <w:sz w:val="24"/>
          <w:szCs w:val="24"/>
          <w:rtl/>
        </w:rPr>
        <w:t>הכן היטב את התיק:</w:t>
      </w:r>
      <w:r>
        <w:rPr>
          <w:rFonts w:ascii="David" w:hAnsi="David" w:cs="David" w:hint="cs"/>
          <w:sz w:val="24"/>
          <w:szCs w:val="24"/>
          <w:rtl/>
        </w:rPr>
        <w:t xml:space="preserve"> בלתי נסבל מצב בו השופט יודע את התיק טוב מעורך דין (יחד עם זאת, מומלץ שלא להעיר הערות מסוג "אם אדוני היה קורא התיק היה רואה כי</w:t>
      </w:r>
      <w:r w:rsidR="00187F0E">
        <w:rPr>
          <w:rFonts w:ascii="David" w:hAnsi="David" w:cs="David" w:hint="cs"/>
          <w:sz w:val="24"/>
          <w:szCs w:val="24"/>
          <w:rtl/>
        </w:rPr>
        <w:t>...</w:t>
      </w:r>
      <w:r>
        <w:rPr>
          <w:rFonts w:ascii="David" w:hAnsi="David" w:cs="David" w:hint="cs"/>
          <w:sz w:val="24"/>
          <w:szCs w:val="24"/>
          <w:rtl/>
        </w:rPr>
        <w:t>"</w:t>
      </w:r>
      <w:r w:rsidR="00187F0E">
        <w:rPr>
          <w:rFonts w:ascii="David" w:hAnsi="David" w:cs="David" w:hint="cs"/>
          <w:sz w:val="24"/>
          <w:szCs w:val="24"/>
          <w:rtl/>
        </w:rPr>
        <w:t xml:space="preserve"> - חוצפה מצד עורך הדין. אם עורך דין לא יודע על מה מדובר (ביחס לנספח למשל - זה כבר מותיר רושם גרוע</w:t>
      </w:r>
    </w:p>
    <w:p w14:paraId="00E4774A" w14:textId="77777777" w:rsidR="000942B7" w:rsidRPr="000942B7" w:rsidRDefault="00187F0E" w:rsidP="000942B7">
      <w:pPr>
        <w:pStyle w:val="a4"/>
        <w:numPr>
          <w:ilvl w:val="0"/>
          <w:numId w:val="27"/>
        </w:numPr>
        <w:spacing w:after="120" w:line="360" w:lineRule="auto"/>
        <w:ind w:left="-199"/>
        <w:contextualSpacing w:val="0"/>
        <w:jc w:val="both"/>
        <w:rPr>
          <w:rFonts w:ascii="David" w:hAnsi="David" w:cs="David"/>
          <w:b/>
          <w:bCs/>
          <w:sz w:val="24"/>
          <w:szCs w:val="24"/>
        </w:rPr>
      </w:pPr>
      <w:r w:rsidRPr="000942B7">
        <w:rPr>
          <w:rFonts w:ascii="David" w:hAnsi="David" w:cs="David" w:hint="cs"/>
          <w:b/>
          <w:bCs/>
          <w:sz w:val="24"/>
          <w:szCs w:val="24"/>
          <w:rtl/>
        </w:rPr>
        <w:t>הבא את התיק הנכון לדיון</w:t>
      </w:r>
      <w:r>
        <w:rPr>
          <w:rFonts w:ascii="David" w:hAnsi="David" w:cs="David" w:hint="cs"/>
          <w:sz w:val="24"/>
          <w:szCs w:val="24"/>
          <w:rtl/>
        </w:rPr>
        <w:t xml:space="preserve"> - עו"ד ממהרים ועלולים להביא את התיק הלא נכון לדיון. </w:t>
      </w:r>
      <w:r w:rsidR="000942B7">
        <w:rPr>
          <w:rFonts w:ascii="David" w:hAnsi="David" w:cs="David" w:hint="cs"/>
          <w:sz w:val="24"/>
          <w:szCs w:val="24"/>
          <w:rtl/>
        </w:rPr>
        <w:t>כשעורך דיון שואל מה אתה טוען את העד - מיד מבינים שהוא הביא את התיק הלא נכון. כשאתה יודע היכן מקומו של כל מסמך בתיק בצורה מסודרת המאפשרת את שליפתו במקום ובזמן המתאים. עם המן המשפט הישראלי התקרב מאוד למשפט הקונטיננטלי ולמשפט העברי אפילו - הם בודקים את התיק ומתערבים יותר (השופטים האנגלים לעומת זאת, היו יותר ספינקס)</w:t>
      </w:r>
    </w:p>
    <w:p w14:paraId="57C0FDCA" w14:textId="77777777" w:rsidR="002036BF" w:rsidRPr="000942B7" w:rsidRDefault="000942B7" w:rsidP="000942B7">
      <w:pPr>
        <w:pStyle w:val="a4"/>
        <w:numPr>
          <w:ilvl w:val="0"/>
          <w:numId w:val="27"/>
        </w:numPr>
        <w:spacing w:after="120" w:line="360" w:lineRule="auto"/>
        <w:ind w:left="-199"/>
        <w:contextualSpacing w:val="0"/>
        <w:jc w:val="both"/>
        <w:rPr>
          <w:rFonts w:ascii="David" w:hAnsi="David" w:cs="David"/>
          <w:b/>
          <w:bCs/>
          <w:sz w:val="24"/>
          <w:szCs w:val="24"/>
        </w:rPr>
      </w:pPr>
      <w:r w:rsidRPr="000942B7">
        <w:rPr>
          <w:rFonts w:ascii="David" w:hAnsi="David" w:cs="David" w:hint="cs"/>
          <w:b/>
          <w:bCs/>
          <w:sz w:val="24"/>
          <w:szCs w:val="24"/>
          <w:rtl/>
        </w:rPr>
        <w:t>כאשר מדובר בתיק מורכב</w:t>
      </w:r>
      <w:r>
        <w:rPr>
          <w:rFonts w:ascii="David" w:hAnsi="David" w:cs="David" w:hint="cs"/>
          <w:sz w:val="24"/>
          <w:szCs w:val="24"/>
          <w:rtl/>
        </w:rPr>
        <w:t xml:space="preserve"> (או תיק המכיל מסמכים רבים) </w:t>
      </w:r>
      <w:r w:rsidRPr="000942B7">
        <w:rPr>
          <w:rFonts w:ascii="David" w:hAnsi="David" w:cs="David" w:hint="cs"/>
          <w:b/>
          <w:bCs/>
          <w:sz w:val="24"/>
          <w:szCs w:val="24"/>
          <w:rtl/>
        </w:rPr>
        <w:t>רצוי להביא סיוע</w:t>
      </w:r>
      <w:r>
        <w:rPr>
          <w:rFonts w:ascii="David" w:hAnsi="David" w:cs="David" w:hint="cs"/>
          <w:sz w:val="24"/>
          <w:szCs w:val="24"/>
          <w:rtl/>
        </w:rPr>
        <w:t xml:space="preserve"> - חשוב להביא עו"ד נוסף, מתמחה וכדומה, לעזרה. חלק מהתקלות שקורות היום בבתי משפט אלה מתמחים שבקושי היו בתי משפט - שצריכים להכיר את קוד הדיבור, אלא ניזונים מסדרות אמריקאיות. </w:t>
      </w:r>
      <w:r w:rsidR="002036BF">
        <w:rPr>
          <w:rFonts w:ascii="David" w:hAnsi="David" w:cs="David" w:hint="cs"/>
          <w:sz w:val="24"/>
          <w:szCs w:val="24"/>
          <w:rtl/>
        </w:rPr>
        <w:t xml:space="preserve"> </w:t>
      </w:r>
    </w:p>
    <w:p w14:paraId="21D51929" w14:textId="77777777" w:rsidR="000942B7" w:rsidRPr="00633B3B" w:rsidRDefault="00633B3B" w:rsidP="000942B7">
      <w:pPr>
        <w:pStyle w:val="a4"/>
        <w:numPr>
          <w:ilvl w:val="0"/>
          <w:numId w:val="27"/>
        </w:numPr>
        <w:spacing w:after="120" w:line="360" w:lineRule="auto"/>
        <w:ind w:left="-199"/>
        <w:contextualSpacing w:val="0"/>
        <w:jc w:val="both"/>
        <w:rPr>
          <w:rFonts w:ascii="David" w:hAnsi="David" w:cs="David"/>
          <w:b/>
          <w:bCs/>
          <w:sz w:val="24"/>
          <w:szCs w:val="24"/>
        </w:rPr>
      </w:pPr>
      <w:r w:rsidRPr="00633B3B">
        <w:rPr>
          <w:rFonts w:ascii="David" w:hAnsi="David" w:cs="David" w:hint="cs"/>
          <w:b/>
          <w:bCs/>
          <w:sz w:val="24"/>
          <w:szCs w:val="24"/>
          <w:rtl/>
        </w:rPr>
        <w:t>קרא היטב את הפרוטוקולים של הדיונים הקודמים לפני הדיון הנוכחי</w:t>
      </w:r>
      <w:r>
        <w:rPr>
          <w:rFonts w:ascii="David" w:hAnsi="David" w:cs="David" w:hint="cs"/>
          <w:sz w:val="24"/>
          <w:szCs w:val="24"/>
          <w:rtl/>
        </w:rPr>
        <w:t xml:space="preserve"> - התקנות החדשות שיכנסו לתוקף ישנו את התפיסה לדיונים קצרים עם מרווחי זמן קצרים. כיום בין דיון לדיון לוקח שבועות ולפעמים גם חודשים. רענן זיכרונך, כי אם שכחת מה שנאמר על ידך או על ידי לקוחך, עלול להיות ממש לא נעים. </w:t>
      </w:r>
    </w:p>
    <w:p w14:paraId="0732F29E" w14:textId="77777777" w:rsidR="00633B3B" w:rsidRDefault="00633B3B" w:rsidP="000942B7">
      <w:pPr>
        <w:pStyle w:val="a4"/>
        <w:numPr>
          <w:ilvl w:val="0"/>
          <w:numId w:val="27"/>
        </w:numPr>
        <w:spacing w:after="120" w:line="360" w:lineRule="auto"/>
        <w:ind w:left="-199"/>
        <w:contextualSpacing w:val="0"/>
        <w:jc w:val="both"/>
        <w:rPr>
          <w:rFonts w:ascii="David" w:hAnsi="David" w:cs="David"/>
          <w:b/>
          <w:bCs/>
          <w:sz w:val="24"/>
          <w:szCs w:val="24"/>
        </w:rPr>
      </w:pPr>
      <w:r w:rsidRPr="00633B3B">
        <w:rPr>
          <w:rFonts w:ascii="David" w:hAnsi="David" w:cs="David" w:hint="cs"/>
          <w:b/>
          <w:bCs/>
          <w:sz w:val="24"/>
          <w:szCs w:val="24"/>
          <w:rtl/>
        </w:rPr>
        <w:t>לבש מדי משפט לפי התקנות</w:t>
      </w:r>
      <w:r>
        <w:rPr>
          <w:rFonts w:ascii="David" w:hAnsi="David" w:cs="David" w:hint="cs"/>
          <w:sz w:val="24"/>
          <w:szCs w:val="24"/>
          <w:rtl/>
        </w:rPr>
        <w:t xml:space="preserve"> - מאוד חשוב ולפעמים מזלזלים. מאוד מאוד חשוב. יש שופטים שלא מקפידים, אבל אלה שמקפידים רואים באי לבישת מדי המשפט כחלונות השבורים של ג'וליאני בניו יורק. ככה העסק מתחיל להידרדר. </w:t>
      </w:r>
      <w:r w:rsidRPr="00633B3B">
        <w:rPr>
          <w:rFonts w:ascii="David" w:hAnsi="David" w:cs="David" w:hint="cs"/>
          <w:sz w:val="24"/>
          <w:szCs w:val="24"/>
          <w:rtl/>
        </w:rPr>
        <w:t>ואם שכחת/מיהרת לצאת מהמשרד ולא הגעת במדי משפט - תדאג לציין זאת ולהתנצל</w:t>
      </w:r>
      <w:r>
        <w:rPr>
          <w:rFonts w:ascii="David" w:hAnsi="David" w:cs="David" w:hint="cs"/>
          <w:sz w:val="24"/>
          <w:szCs w:val="24"/>
          <w:rtl/>
        </w:rPr>
        <w:t xml:space="preserve">, אבל לא לחשוב שהשופט לא שם לב. </w:t>
      </w:r>
      <w:r>
        <w:rPr>
          <w:rFonts w:ascii="David" w:hAnsi="David" w:cs="David" w:hint="cs"/>
          <w:b/>
          <w:bCs/>
          <w:sz w:val="24"/>
          <w:szCs w:val="24"/>
          <w:rtl/>
        </w:rPr>
        <w:t>השופט נגיד יכול לבקש מהקלדנית שהפרוטוקולים יעברו דרכו ולא דרך הקלדנית - כשהעו"ד יעבר דרכו והוא מעיר לו שלא בפני כולם.</w:t>
      </w:r>
    </w:p>
    <w:p w14:paraId="48925E21" w14:textId="77777777" w:rsidR="00633B3B" w:rsidRDefault="00633B3B" w:rsidP="000942B7">
      <w:pPr>
        <w:pStyle w:val="a4"/>
        <w:numPr>
          <w:ilvl w:val="0"/>
          <w:numId w:val="27"/>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 xml:space="preserve">טען לגופו של עניין. אין מקום לשימוש בטיעונים דמגוגים - </w:t>
      </w:r>
      <w:r>
        <w:rPr>
          <w:rFonts w:ascii="David" w:hAnsi="David" w:cs="David" w:hint="cs"/>
          <w:sz w:val="24"/>
          <w:szCs w:val="24"/>
          <w:rtl/>
        </w:rPr>
        <w:t xml:space="preserve">בבית המשפט טוענים לגופו של עניין - מה אומר החוק ואיך ליישם אותו. צדק - צדק תרדוף ודין פרוטה כדין מאה - טיעונים דמגוגיים עלולים לטעון שהקייס חלש. אחרת היה טוען לגופו של עניין ואיך ליישם את החוק. </w:t>
      </w:r>
      <w:r w:rsidR="00DC4C38" w:rsidRPr="00DC4C38">
        <w:rPr>
          <w:rFonts w:ascii="David" w:hAnsi="David" w:cs="David" w:hint="cs"/>
          <w:sz w:val="24"/>
          <w:szCs w:val="24"/>
          <w:rtl/>
        </w:rPr>
        <w:t>(הסיפור מתביעות קטנות על צדק: החסיד תחנת הרכבת והגלגול הקודם)</w:t>
      </w:r>
      <w:r w:rsidR="00DC4C38">
        <w:rPr>
          <w:rFonts w:ascii="David" w:hAnsi="David" w:cs="David" w:hint="cs"/>
          <w:b/>
          <w:bCs/>
          <w:sz w:val="24"/>
          <w:szCs w:val="24"/>
          <w:rtl/>
        </w:rPr>
        <w:t xml:space="preserve">. </w:t>
      </w:r>
      <w:r w:rsidR="00DC4C38" w:rsidRPr="00DC4C38">
        <w:rPr>
          <w:rFonts w:ascii="David" w:hAnsi="David" w:cs="David" w:hint="cs"/>
          <w:sz w:val="24"/>
          <w:szCs w:val="24"/>
          <w:rtl/>
        </w:rPr>
        <w:t>לגבי צדק - בית משפט צריך לעשות משפט</w:t>
      </w:r>
      <w:r w:rsidR="00DC4C38">
        <w:rPr>
          <w:rFonts w:ascii="David" w:hAnsi="David" w:cs="David" w:hint="cs"/>
          <w:sz w:val="24"/>
          <w:szCs w:val="24"/>
          <w:rtl/>
        </w:rPr>
        <w:t xml:space="preserve"> ולא לעשות צדק. </w:t>
      </w:r>
    </w:p>
    <w:p w14:paraId="323203D0" w14:textId="77777777" w:rsidR="00633B3B" w:rsidRDefault="00DC4C38" w:rsidP="000942B7">
      <w:pPr>
        <w:pStyle w:val="a4"/>
        <w:numPr>
          <w:ilvl w:val="0"/>
          <w:numId w:val="27"/>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 xml:space="preserve">נהג בנימוס - </w:t>
      </w:r>
      <w:r w:rsidRPr="00DC4C38">
        <w:rPr>
          <w:rFonts w:ascii="David" w:hAnsi="David" w:cs="David" w:hint="cs"/>
          <w:sz w:val="24"/>
          <w:szCs w:val="24"/>
          <w:rtl/>
        </w:rPr>
        <w:t>ההשפעה של הסדרות האמריקאיות שנכנסים בצד השני לא עוזר בשום דבר, ולפעמים רק מזיק. אין מקום להיכנס בצד השני, בבא כוחו או בעדים.</w:t>
      </w:r>
      <w:r>
        <w:rPr>
          <w:rFonts w:ascii="David" w:hAnsi="David" w:cs="David" w:hint="cs"/>
          <w:b/>
          <w:bCs/>
          <w:sz w:val="24"/>
          <w:szCs w:val="24"/>
          <w:rtl/>
        </w:rPr>
        <w:t xml:space="preserve"> </w:t>
      </w:r>
    </w:p>
    <w:p w14:paraId="43C904A6" w14:textId="77777777" w:rsidR="00DC4C38" w:rsidRDefault="00DC4C38" w:rsidP="000942B7">
      <w:pPr>
        <w:pStyle w:val="a4"/>
        <w:numPr>
          <w:ilvl w:val="0"/>
          <w:numId w:val="27"/>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 xml:space="preserve">דבר בקול רם, ברור - </w:t>
      </w:r>
      <w:r w:rsidRPr="00DC4C38">
        <w:rPr>
          <w:rFonts w:ascii="David" w:hAnsi="David" w:cs="David" w:hint="cs"/>
          <w:sz w:val="24"/>
          <w:szCs w:val="24"/>
          <w:rtl/>
        </w:rPr>
        <w:t>כמו כן, לא כדאי להרבות בהתנגדויות. התפיסה השיפוטית המקובלת - ככל שעורך דין מתנגד יותר כך הוא חושש מהעד שעל הדוכן.</w:t>
      </w:r>
      <w:r>
        <w:rPr>
          <w:rFonts w:ascii="David" w:hAnsi="David" w:cs="David" w:hint="cs"/>
          <w:b/>
          <w:bCs/>
          <w:sz w:val="24"/>
          <w:szCs w:val="24"/>
          <w:rtl/>
        </w:rPr>
        <w:t xml:space="preserve"> דבר מסודר שהדברים ימצאו ביטוי גם בפרוטוקול. מאוד חשוב </w:t>
      </w:r>
      <w:proofErr w:type="spellStart"/>
      <w:r>
        <w:rPr>
          <w:rFonts w:ascii="David" w:hAnsi="David" w:cs="David" w:hint="cs"/>
          <w:b/>
          <w:bCs/>
          <w:sz w:val="24"/>
          <w:szCs w:val="24"/>
          <w:rtl/>
        </w:rPr>
        <w:t>הרישוםבפרוטוקול</w:t>
      </w:r>
      <w:proofErr w:type="spellEnd"/>
      <w:r>
        <w:rPr>
          <w:rFonts w:ascii="David" w:hAnsi="David" w:cs="David" w:hint="cs"/>
          <w:b/>
          <w:bCs/>
          <w:sz w:val="24"/>
          <w:szCs w:val="24"/>
          <w:rtl/>
        </w:rPr>
        <w:t xml:space="preserve">. </w:t>
      </w:r>
    </w:p>
    <w:p w14:paraId="11C43617" w14:textId="77777777" w:rsidR="00DC4C38" w:rsidRPr="00DC4C38" w:rsidRDefault="00DC4C38" w:rsidP="000942B7">
      <w:pPr>
        <w:pStyle w:val="a4"/>
        <w:numPr>
          <w:ilvl w:val="0"/>
          <w:numId w:val="27"/>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lastRenderedPageBreak/>
        <w:t xml:space="preserve">למד היטב את קוד הדיבור של השופט - </w:t>
      </w:r>
      <w:r>
        <w:rPr>
          <w:rFonts w:ascii="David" w:hAnsi="David" w:cs="David" w:hint="cs"/>
          <w:sz w:val="24"/>
          <w:szCs w:val="24"/>
          <w:rtl/>
        </w:rPr>
        <w:t>יש קוד דיבור לשופטים: "תודה רבה אדוני" = במילים אחרות ועדינות, נמאסת, סתום את הפה. יש עו"ד שלא מבינים את הקודים האלה וממשיכים לדבר. "אין צורך להגיב" - כששופט אומר אין צורך להגיב זה אומר שהוא לא הולך לקבל את הבקשה. למשל אם צד אחד טוען לחוסר סמכות עניינית, והצד השני רוצה להגיב, אם השופט אומר שאין צורך להגיב - זהו קוד הדיבור שהשופט לא הולך לקבל את הבקשה. "לא שכנעת אותי" - פירושו להגיד לצד לחזור בו מהבקשה, ובכך ימחוק אותו בלא צו להוצאות. אלה שלא מבינים, מנסים פשוט לשכנע. הכוונה היא עכשיו הזמן למשוך את בקשה כדי שלא יהיה צו להוצאות. כן, זה לגיטימי לחלוטין לא לחזור בך. אפשר להגיד שלא שכנע אותך, אבל יכול להיות שהוא ישכנע את ערכאת הדיבור. צריך להבין שעמידה על החלטה - יש לה מחיר: תו מחיר ליד ההחלטה שאתה יכול לערער עליה ולנסות לשכנע על ערכאת הערערו - ובינתיים לשלם הוצאות.</w:t>
      </w:r>
    </w:p>
    <w:p w14:paraId="2F5BC568" w14:textId="77777777" w:rsidR="00DC4C38" w:rsidRPr="00DC4C38" w:rsidRDefault="00DC4C38" w:rsidP="000942B7">
      <w:pPr>
        <w:pStyle w:val="a4"/>
        <w:numPr>
          <w:ilvl w:val="0"/>
          <w:numId w:val="27"/>
        </w:numPr>
        <w:spacing w:after="120" w:line="360" w:lineRule="auto"/>
        <w:ind w:left="-199"/>
        <w:contextualSpacing w:val="0"/>
        <w:jc w:val="both"/>
        <w:rPr>
          <w:rFonts w:ascii="David" w:hAnsi="David" w:cs="David"/>
          <w:b/>
          <w:bCs/>
          <w:sz w:val="24"/>
          <w:szCs w:val="24"/>
        </w:rPr>
      </w:pPr>
      <w:r>
        <w:rPr>
          <w:rFonts w:ascii="David" w:hAnsi="David" w:cs="David" w:hint="cs"/>
          <w:sz w:val="24"/>
          <w:szCs w:val="24"/>
          <w:rtl/>
        </w:rPr>
        <w:t xml:space="preserve"> </w:t>
      </w:r>
      <w:r w:rsidRPr="00DC4C38">
        <w:rPr>
          <w:rFonts w:ascii="David" w:hAnsi="David" w:cs="David" w:hint="cs"/>
          <w:b/>
          <w:bCs/>
          <w:sz w:val="24"/>
          <w:szCs w:val="24"/>
          <w:rtl/>
        </w:rPr>
        <w:t xml:space="preserve">עיין בפרוטוקול מייד עם קבלתו בתום הדיון - </w:t>
      </w:r>
      <w:r>
        <w:rPr>
          <w:rFonts w:ascii="David" w:hAnsi="David" w:cs="David" w:hint="cs"/>
          <w:sz w:val="24"/>
          <w:szCs w:val="24"/>
          <w:rtl/>
        </w:rPr>
        <w:t xml:space="preserve">במידה ויש מקום לתיקונים, עדיף שייעשו במקום בהסכמת הצד שכנגד ולא בבקשות בכתב עם תצהירים ותגובות, תוך סרבול ההליך. שופט יכול לתקן במקום, אבל אם זה נעשה בשלב מאוחר - יש צורך בבקשה בכתב, עם תצהיר, סרבול ההליך, לעיתים השופט לא זוכר כבר. </w:t>
      </w:r>
    </w:p>
    <w:p w14:paraId="6EB0F155" w14:textId="77777777" w:rsidR="00913F7B" w:rsidRDefault="002036BF" w:rsidP="002036BF">
      <w:pPr>
        <w:pStyle w:val="a4"/>
        <w:numPr>
          <w:ilvl w:val="0"/>
          <w:numId w:val="26"/>
        </w:numPr>
        <w:spacing w:after="120" w:line="360" w:lineRule="auto"/>
        <w:contextualSpacing w:val="0"/>
        <w:rPr>
          <w:rFonts w:ascii="David" w:hAnsi="David" w:cs="David"/>
          <w:b/>
          <w:bCs/>
          <w:sz w:val="24"/>
          <w:szCs w:val="24"/>
        </w:rPr>
      </w:pPr>
      <w:r>
        <w:rPr>
          <w:rFonts w:ascii="David" w:hAnsi="David" w:cs="David" w:hint="cs"/>
          <w:b/>
          <w:bCs/>
          <w:sz w:val="24"/>
          <w:szCs w:val="24"/>
          <w:rtl/>
        </w:rPr>
        <w:t>10</w:t>
      </w:r>
      <w:r w:rsidR="00913F7B">
        <w:rPr>
          <w:rFonts w:ascii="David" w:hAnsi="David" w:cs="David" w:hint="cs"/>
          <w:b/>
          <w:bCs/>
          <w:sz w:val="24"/>
          <w:szCs w:val="24"/>
          <w:rtl/>
        </w:rPr>
        <w:t xml:space="preserve"> מצוות לא תעשה</w:t>
      </w:r>
      <w:r>
        <w:rPr>
          <w:rFonts w:ascii="David" w:hAnsi="David" w:cs="David" w:hint="cs"/>
          <w:b/>
          <w:bCs/>
          <w:sz w:val="24"/>
          <w:szCs w:val="24"/>
          <w:rtl/>
        </w:rPr>
        <w:t xml:space="preserve"> שחלות על עורך דין </w:t>
      </w:r>
      <w:r w:rsidR="00913F7B">
        <w:rPr>
          <w:rFonts w:ascii="David" w:hAnsi="David" w:cs="David" w:hint="cs"/>
          <w:b/>
          <w:bCs/>
          <w:sz w:val="24"/>
          <w:szCs w:val="24"/>
          <w:rtl/>
        </w:rPr>
        <w:t xml:space="preserve"> בהופעה בבתי משפט</w:t>
      </w:r>
    </w:p>
    <w:p w14:paraId="15273FD2" w14:textId="77777777" w:rsidR="00FC6363" w:rsidRDefault="00FC6363" w:rsidP="00FC6363">
      <w:pPr>
        <w:pStyle w:val="a4"/>
        <w:numPr>
          <w:ilvl w:val="0"/>
          <w:numId w:val="28"/>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 xml:space="preserve">אל תגיש לשופט תורן בקשות סרק או בקשות לא דחופות - </w:t>
      </w:r>
      <w:r>
        <w:rPr>
          <w:rFonts w:ascii="David" w:hAnsi="David" w:cs="David" w:hint="cs"/>
          <w:sz w:val="24"/>
          <w:szCs w:val="24"/>
          <w:rtl/>
        </w:rPr>
        <w:t xml:space="preserve">מערכת המשפט בנויה בכך שתמיד יהיה שופט נגיש לכל אחד שצריך שופט עכשיו - צו הריסה, צו עיכוב יציאה מן האר, צו עיקול כספים - אין מצב שבית משפט מפסיק לעבוד ואין למי לגשת. תמיד יש שופט תורן באיזשהו מקום בכל מחוז. </w:t>
      </w:r>
      <w:r w:rsidRPr="00FC6363">
        <w:rPr>
          <w:rFonts w:ascii="David" w:hAnsi="David" w:cs="David" w:hint="cs"/>
          <w:sz w:val="24"/>
          <w:szCs w:val="24"/>
          <w:rtl/>
        </w:rPr>
        <w:t>פעמים רבות עו"ד חושבים שבגלל ששופט תורן לא מכיר את התיק, אז אפשר להגיש בקשות סרק או בקשות לא דחופות.</w:t>
      </w:r>
      <w:r>
        <w:rPr>
          <w:rFonts w:ascii="David" w:hAnsi="David" w:cs="David" w:hint="cs"/>
          <w:b/>
          <w:bCs/>
          <w:sz w:val="24"/>
          <w:szCs w:val="24"/>
          <w:rtl/>
        </w:rPr>
        <w:t xml:space="preserve"> </w:t>
      </w:r>
      <w:r w:rsidR="00E82FBE" w:rsidRPr="00E82FBE">
        <w:rPr>
          <w:rFonts w:ascii="David" w:hAnsi="David" w:cs="David" w:hint="cs"/>
          <w:sz w:val="24"/>
          <w:szCs w:val="24"/>
          <w:rtl/>
        </w:rPr>
        <w:t>הנטייה של שופט תורן היא להיענות לבקשות האלה. הבעיה היא כשלמחרת השופט תורן מתקשר לשופט שדן בתיק ומעדכן אותו. השוט של התיק אומר לו על דבר הניצול, וזה עלול להיגמר רע - בישיבת שופטים הבאה הם ידברו על זה, ועולם יעודכנו על זה שעורך הדין הספציפי הוא לא אמין. כמו שעו"ד מרכלים על שופטים, כך גם שופטים מרכלים על עו"ד.</w:t>
      </w:r>
      <w:r w:rsidR="00E82FBE">
        <w:rPr>
          <w:rFonts w:ascii="David" w:hAnsi="David" w:cs="David" w:hint="cs"/>
          <w:b/>
          <w:bCs/>
          <w:sz w:val="24"/>
          <w:szCs w:val="24"/>
          <w:rtl/>
        </w:rPr>
        <w:t xml:space="preserve"> </w:t>
      </w:r>
    </w:p>
    <w:p w14:paraId="1DC80B2C" w14:textId="77777777" w:rsidR="00E82FBE" w:rsidRDefault="00E82FBE" w:rsidP="00FC6363">
      <w:pPr>
        <w:pStyle w:val="a4"/>
        <w:numPr>
          <w:ilvl w:val="0"/>
          <w:numId w:val="28"/>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 xml:space="preserve">אל תתפרץ בתור התיקים - </w:t>
      </w:r>
      <w:r w:rsidRPr="00E82FBE">
        <w:rPr>
          <w:rFonts w:ascii="David" w:hAnsi="David" w:cs="David" w:hint="cs"/>
          <w:sz w:val="24"/>
          <w:szCs w:val="24"/>
          <w:rtl/>
        </w:rPr>
        <w:t>האפשרות היחידה להתפרץ לתור זה אם יש לך הסכם פשרה - הם יכולים להתפרץ, חלק מהעסקה בין עו"ד לשופטים, מעכנים את השופט רק בשביל לקבל תוקף.</w:t>
      </w:r>
      <w:r>
        <w:rPr>
          <w:rFonts w:ascii="David" w:hAnsi="David" w:cs="David" w:hint="cs"/>
          <w:b/>
          <w:bCs/>
          <w:sz w:val="24"/>
          <w:szCs w:val="24"/>
          <w:rtl/>
        </w:rPr>
        <w:t xml:space="preserve"> </w:t>
      </w:r>
    </w:p>
    <w:p w14:paraId="1E614D16" w14:textId="77777777" w:rsidR="00E82FBE" w:rsidRPr="00E82FBE" w:rsidRDefault="00E82FBE" w:rsidP="00FC6363">
      <w:pPr>
        <w:pStyle w:val="a4"/>
        <w:numPr>
          <w:ilvl w:val="0"/>
          <w:numId w:val="28"/>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 xml:space="preserve">אל תשקר לשופט - </w:t>
      </w:r>
      <w:r>
        <w:rPr>
          <w:rFonts w:ascii="David" w:hAnsi="David" w:cs="David" w:hint="cs"/>
          <w:sz w:val="24"/>
          <w:szCs w:val="24"/>
          <w:rtl/>
        </w:rPr>
        <w:t>פעמים רבות עו"ד נתונים תחת לחץ לקוחות - ומבקשים לדחות את הדיון למשל לפעמים עורך הדין מתפתה וכותב בקשה שקרית (כמו עו"ד שכותב שהוא במילואים, כותב שהוא היה צריך להיות בדיון אחר - והוא לא שם) - כתם.</w:t>
      </w:r>
    </w:p>
    <w:p w14:paraId="15D6FE04" w14:textId="77777777" w:rsidR="00E82FBE" w:rsidRPr="00E82FBE" w:rsidRDefault="00E82FBE" w:rsidP="00FC6363">
      <w:pPr>
        <w:pStyle w:val="a4"/>
        <w:numPr>
          <w:ilvl w:val="0"/>
          <w:numId w:val="28"/>
        </w:numPr>
        <w:spacing w:after="120" w:line="360" w:lineRule="auto"/>
        <w:ind w:left="-199"/>
        <w:contextualSpacing w:val="0"/>
        <w:jc w:val="both"/>
        <w:rPr>
          <w:rFonts w:ascii="David" w:hAnsi="David" w:cs="David"/>
          <w:b/>
          <w:bCs/>
          <w:sz w:val="24"/>
          <w:szCs w:val="24"/>
        </w:rPr>
      </w:pPr>
      <w:r w:rsidRPr="00E82FBE">
        <w:rPr>
          <w:rFonts w:ascii="David" w:hAnsi="David" w:cs="David" w:hint="cs"/>
          <w:b/>
          <w:bCs/>
          <w:sz w:val="24"/>
          <w:szCs w:val="24"/>
          <w:rtl/>
        </w:rPr>
        <w:t xml:space="preserve">אל </w:t>
      </w:r>
      <w:r>
        <w:rPr>
          <w:rFonts w:ascii="David" w:hAnsi="David" w:cs="David" w:hint="cs"/>
          <w:b/>
          <w:bCs/>
          <w:sz w:val="24"/>
          <w:szCs w:val="24"/>
          <w:rtl/>
        </w:rPr>
        <w:t>ת</w:t>
      </w:r>
      <w:r w:rsidRPr="00E82FBE">
        <w:rPr>
          <w:rFonts w:ascii="David" w:hAnsi="David" w:cs="David" w:hint="cs"/>
          <w:b/>
          <w:bCs/>
          <w:sz w:val="24"/>
          <w:szCs w:val="24"/>
          <w:rtl/>
        </w:rPr>
        <w:t>תווכח עם השופט -</w:t>
      </w:r>
      <w:r>
        <w:rPr>
          <w:rFonts w:ascii="David" w:hAnsi="David" w:cs="David" w:hint="cs"/>
          <w:sz w:val="24"/>
          <w:szCs w:val="24"/>
          <w:rtl/>
        </w:rPr>
        <w:t xml:space="preserve"> זה לא מוביל לשום מקום.</w:t>
      </w:r>
    </w:p>
    <w:p w14:paraId="73DB9BB1" w14:textId="77777777" w:rsidR="00E82FBE" w:rsidRPr="00E82FBE" w:rsidRDefault="00E82FBE" w:rsidP="00FC6363">
      <w:pPr>
        <w:pStyle w:val="a4"/>
        <w:numPr>
          <w:ilvl w:val="0"/>
          <w:numId w:val="28"/>
        </w:numPr>
        <w:spacing w:after="120" w:line="360" w:lineRule="auto"/>
        <w:ind w:left="-199"/>
        <w:contextualSpacing w:val="0"/>
        <w:jc w:val="both"/>
        <w:rPr>
          <w:rFonts w:ascii="David" w:hAnsi="David" w:cs="David"/>
          <w:b/>
          <w:bCs/>
          <w:sz w:val="24"/>
          <w:szCs w:val="24"/>
        </w:rPr>
      </w:pPr>
      <w:r w:rsidRPr="00733203">
        <w:rPr>
          <w:rFonts w:ascii="David" w:hAnsi="David" w:cs="David" w:hint="cs"/>
          <w:b/>
          <w:bCs/>
          <w:sz w:val="24"/>
          <w:szCs w:val="24"/>
          <w:rtl/>
        </w:rPr>
        <w:t>אל תזרוק אבנים על השכן כשהגג שלך עשוי זכוכית, במיוחד</w:t>
      </w:r>
      <w:r>
        <w:rPr>
          <w:rFonts w:ascii="David" w:hAnsi="David" w:cs="David" w:hint="cs"/>
          <w:sz w:val="24"/>
          <w:szCs w:val="24"/>
          <w:rtl/>
        </w:rPr>
        <w:t xml:space="preserve"> כשהאבנים הן טענות פרוצדוראליות על איחור בהגשת התצהיר, אי צירוף דרישת מסמכים וכדומה. כשהגג שלך בזכוכית וגם אתה לא תעמוד - אתה בבעיה. ודוק, זה לא פסול לטעון טענות פרוצדוראליות, אבל כשטוענים טענות כאלה, חשוב מאוד לבוק טוב את הציציות שלך. </w:t>
      </w:r>
    </w:p>
    <w:p w14:paraId="4AF0D700" w14:textId="77777777" w:rsidR="00E82FBE" w:rsidRDefault="00E82FBE" w:rsidP="00FC6363">
      <w:pPr>
        <w:pStyle w:val="a4"/>
        <w:numPr>
          <w:ilvl w:val="0"/>
          <w:numId w:val="28"/>
        </w:numPr>
        <w:spacing w:after="120" w:line="360" w:lineRule="auto"/>
        <w:ind w:left="-199"/>
        <w:contextualSpacing w:val="0"/>
        <w:jc w:val="both"/>
        <w:rPr>
          <w:rFonts w:ascii="David" w:hAnsi="David" w:cs="David"/>
          <w:b/>
          <w:bCs/>
          <w:sz w:val="24"/>
          <w:szCs w:val="24"/>
        </w:rPr>
      </w:pPr>
      <w:r w:rsidRPr="00733203">
        <w:rPr>
          <w:rFonts w:ascii="David" w:hAnsi="David" w:cs="David" w:hint="cs"/>
          <w:b/>
          <w:bCs/>
          <w:sz w:val="24"/>
          <w:szCs w:val="24"/>
          <w:rtl/>
        </w:rPr>
        <w:t>אל תתפרע באולם</w:t>
      </w:r>
      <w:r>
        <w:rPr>
          <w:rFonts w:ascii="David" w:hAnsi="David" w:cs="David" w:hint="cs"/>
          <w:sz w:val="24"/>
          <w:szCs w:val="24"/>
          <w:rtl/>
        </w:rPr>
        <w:t xml:space="preserve"> - יש עו"ד שחושבים ששיטת הפיכת השולחנות תסייע להם במבוקשם. לא עובד. כל שופט והרך שלו להתמודד עם זה.</w:t>
      </w:r>
      <w:r>
        <w:rPr>
          <w:rFonts w:ascii="David" w:hAnsi="David" w:cs="David" w:hint="cs"/>
          <w:b/>
          <w:bCs/>
          <w:sz w:val="24"/>
          <w:szCs w:val="24"/>
          <w:rtl/>
        </w:rPr>
        <w:t xml:space="preserve"> </w:t>
      </w:r>
      <w:r w:rsidRPr="00E82FBE">
        <w:rPr>
          <w:rFonts w:ascii="David" w:hAnsi="David" w:cs="David" w:hint="cs"/>
          <w:sz w:val="24"/>
          <w:szCs w:val="24"/>
          <w:rtl/>
        </w:rPr>
        <w:t xml:space="preserve">עו"ד שמתפרע, שמים את התיק שלו בסוף הערימה והוא נאלץ להמתין לסוף היום. ואם הוא סוף היום - השופט יוצא מהאולם.  למרצה הסכם עם הקלדנית - יודעת שהוא יוצא מהאולם, הצדדים באים אליה ומבררים מולה מתי הוא יחזור, והיא משיבה שלא יודעת. </w:t>
      </w:r>
      <w:r w:rsidRPr="00E82FBE">
        <w:rPr>
          <w:rFonts w:ascii="David" w:hAnsi="David" w:cs="David" w:hint="cs"/>
          <w:sz w:val="24"/>
          <w:szCs w:val="24"/>
          <w:rtl/>
        </w:rPr>
        <w:lastRenderedPageBreak/>
        <w:t>אי הודאות שהם נתונים בה זה הדבר הכי גרוע - אם הוא יחזור תוך 5, שעתיים או בכלל. הם מבקשים ממנה שמבקשים לחזור, ומבקשת להימנע מהתפרעויות. סוחב עוד חמש דקות, נכנס והעסק נרגע. לכל שופט יש את הצורה שלו. ההתפרעויות האלה באולם לא עושות רושם על השופטים.</w:t>
      </w:r>
      <w:r>
        <w:rPr>
          <w:rFonts w:ascii="David" w:hAnsi="David" w:cs="David" w:hint="cs"/>
          <w:b/>
          <w:bCs/>
          <w:sz w:val="24"/>
          <w:szCs w:val="24"/>
          <w:rtl/>
        </w:rPr>
        <w:t xml:space="preserve"> </w:t>
      </w:r>
    </w:p>
    <w:p w14:paraId="14750507" w14:textId="77777777" w:rsidR="00E82FBE" w:rsidRDefault="00E82FBE" w:rsidP="00FC6363">
      <w:pPr>
        <w:pStyle w:val="a4"/>
        <w:numPr>
          <w:ilvl w:val="0"/>
          <w:numId w:val="28"/>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 xml:space="preserve">אל תבקש להצהיר הצהרות לפרוטוקול - </w:t>
      </w:r>
      <w:r w:rsidRPr="00733203">
        <w:rPr>
          <w:rFonts w:ascii="David" w:hAnsi="David" w:cs="David" w:hint="cs"/>
          <w:sz w:val="24"/>
          <w:szCs w:val="24"/>
          <w:rtl/>
        </w:rPr>
        <w:t xml:space="preserve">פרוטוקול הדיון איננו מניפסט ואלם בית המשפט איננו הייד </w:t>
      </w:r>
      <w:proofErr w:type="spellStart"/>
      <w:r w:rsidRPr="00733203">
        <w:rPr>
          <w:rFonts w:ascii="David" w:hAnsi="David" w:cs="David" w:hint="cs"/>
          <w:sz w:val="24"/>
          <w:szCs w:val="24"/>
          <w:rtl/>
        </w:rPr>
        <w:t>פארא</w:t>
      </w:r>
      <w:proofErr w:type="spellEnd"/>
      <w:r w:rsidRPr="00733203">
        <w:rPr>
          <w:rFonts w:ascii="David" w:hAnsi="David" w:cs="David" w:hint="cs"/>
          <w:sz w:val="24"/>
          <w:szCs w:val="24"/>
          <w:rtl/>
        </w:rPr>
        <w:t>. שופט אמור ליתן החלטות. משופט מבקשים בקשות ומגיבים בתגובות.</w:t>
      </w:r>
    </w:p>
    <w:p w14:paraId="684E91D7" w14:textId="77777777" w:rsidR="00E82FBE" w:rsidRPr="00E82FBE" w:rsidRDefault="00E82FBE" w:rsidP="00FC6363">
      <w:pPr>
        <w:pStyle w:val="a4"/>
        <w:numPr>
          <w:ilvl w:val="0"/>
          <w:numId w:val="28"/>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 xml:space="preserve">אל תדרוש שכל דבר ודבר ייכתב בפרוטוקול </w:t>
      </w:r>
      <w:r w:rsidRPr="00733203">
        <w:rPr>
          <w:rFonts w:ascii="David" w:hAnsi="David" w:cs="David" w:hint="cs"/>
          <w:sz w:val="24"/>
          <w:szCs w:val="24"/>
          <w:rtl/>
        </w:rPr>
        <w:t xml:space="preserve">פ אין טעם להפסיק את מהלך הדיון כל הזמן בכדי לבוק אם מילה מסוימת נרשמה, אם לאו (אם זה חשוב - אז תבקש מינוי חברת הקלטות - כך כל דבר יירשם בפרוטוקול). </w:t>
      </w:r>
    </w:p>
    <w:p w14:paraId="293DDD11" w14:textId="77777777" w:rsidR="00E82FBE" w:rsidRDefault="00733203" w:rsidP="00FC6363">
      <w:pPr>
        <w:pStyle w:val="a4"/>
        <w:numPr>
          <w:ilvl w:val="0"/>
          <w:numId w:val="28"/>
        </w:numPr>
        <w:spacing w:after="120" w:line="360" w:lineRule="auto"/>
        <w:ind w:left="-199"/>
        <w:contextualSpacing w:val="0"/>
        <w:jc w:val="both"/>
        <w:rPr>
          <w:rFonts w:ascii="David" w:hAnsi="David" w:cs="David"/>
          <w:b/>
          <w:bCs/>
          <w:sz w:val="24"/>
          <w:szCs w:val="24"/>
        </w:rPr>
      </w:pPr>
      <w:r w:rsidRPr="00733203">
        <w:rPr>
          <w:rFonts w:ascii="David" w:hAnsi="David" w:cs="David" w:hint="cs"/>
          <w:b/>
          <w:bCs/>
          <w:sz w:val="24"/>
          <w:szCs w:val="24"/>
          <w:rtl/>
        </w:rPr>
        <w:t>אל תיתן תשובות אינסטינקטיביו</w:t>
      </w:r>
      <w:r w:rsidRPr="00733203">
        <w:rPr>
          <w:rFonts w:ascii="David" w:hAnsi="David" w:cs="David" w:hint="eastAsia"/>
          <w:b/>
          <w:bCs/>
          <w:sz w:val="24"/>
          <w:szCs w:val="24"/>
          <w:rtl/>
        </w:rPr>
        <w:t>ת</w:t>
      </w:r>
      <w:r w:rsidRPr="00733203">
        <w:rPr>
          <w:rFonts w:ascii="David" w:hAnsi="David" w:cs="David" w:hint="cs"/>
          <w:b/>
          <w:bCs/>
          <w:sz w:val="24"/>
          <w:szCs w:val="24"/>
          <w:rtl/>
        </w:rPr>
        <w:t xml:space="preserve"> להצעות פשרות של בית המשפט</w:t>
      </w:r>
      <w:r>
        <w:rPr>
          <w:rFonts w:ascii="David" w:hAnsi="David" w:cs="David" w:hint="cs"/>
          <w:sz w:val="24"/>
          <w:szCs w:val="24"/>
          <w:rtl/>
        </w:rPr>
        <w:t xml:space="preserve"> - סירוב להצעה כי זה לא יעשה צדק בתיק; דחיית ההצעה כי הלקוח לא מסכים להתפשר - עו"ד שרוצים למצוא חן בעיני בית משפט - לא צריך להשחיר את פני הלקוח שלך כי אתם לא מסכימים; דחיית ההצעה מייד עם השמעתה (ועוד בטרם שמיעת הצד שכנגד כי היא אבסורדית/לא משקפת את התיק/לא מתקבלת על הדעת; מרשי רוצה אבל אני אוסר עליו - תשובה שמגיעה לרוב כשההצעה היא בדיקת פוליגרף; אני מקבל את ההצעה במלואה, אבל צריך להוסיף 1 2 3 4. </w:t>
      </w:r>
      <w:r>
        <w:rPr>
          <w:rFonts w:ascii="David" w:hAnsi="David" w:cs="David" w:hint="cs"/>
          <w:b/>
          <w:bCs/>
          <w:sz w:val="24"/>
          <w:szCs w:val="24"/>
          <w:rtl/>
        </w:rPr>
        <w:t xml:space="preserve">לטעם המרצה, </w:t>
      </w:r>
      <w:r>
        <w:rPr>
          <w:rFonts w:ascii="David" w:hAnsi="David" w:cs="David" w:hint="cs"/>
          <w:sz w:val="24"/>
          <w:szCs w:val="24"/>
          <w:rtl/>
        </w:rPr>
        <w:t xml:space="preserve">כשית המשפט מציע הצעה, לפני כל דיון קדם משפט, צריך לבוא מוכנים אחרי שיחה עם הלקוח על רמת הציפיות של הלקוח לפשרה. זה בסיסי לשבת עם הלקוח לפני הדיון על עניין הפשרה. אם הלקוח מוכן להתפשר על 300, ובית משפט מציע 400  לא אומרים ישר כן - אחרת הצד השני יתנגד. צריך לצאת החוצה לחמש דקות להתקשר ללקוח, חוזר ואומר שעבד קשה, ובסוף קיבל את ההסכמה לבית המשפט - זה מעביר את הכדור לצד השני שיעבוד קשה גם הוא. נניח שבית המשפט יציע 200, והלקוח רוצה 300. במצבים כאלה צריך להגיד לבית משפט שזה דורש פגישה עם הלקוח - ומבקש 7 ימים מבית משפט - לגיטימי לחלוטין. גם פה ההחלטה היא של הלקוח. צריך להיזהר מזה כי זה יכול ללכת לכיוון של רשלנות מקצועית של עו"ד. </w:t>
      </w:r>
      <w:r w:rsidR="00BB731A">
        <w:rPr>
          <w:rFonts w:ascii="David" w:hAnsi="David" w:cs="David" w:hint="cs"/>
          <w:b/>
          <w:bCs/>
          <w:sz w:val="24"/>
          <w:szCs w:val="24"/>
          <w:rtl/>
        </w:rPr>
        <w:t xml:space="preserve"> כשמתקבלת ההצעה - בכל מקרה צריך לשבת עם הלקוח. אם לא - מכתב קוהרנטי וקורקטי. זו הדרך הנכונה לפעול. </w:t>
      </w:r>
    </w:p>
    <w:p w14:paraId="4556A799" w14:textId="77777777" w:rsidR="00BB731A" w:rsidRDefault="00BB731A" w:rsidP="00FC6363">
      <w:pPr>
        <w:pStyle w:val="a4"/>
        <w:numPr>
          <w:ilvl w:val="0"/>
          <w:numId w:val="28"/>
        </w:numPr>
        <w:spacing w:after="120" w:line="360" w:lineRule="auto"/>
        <w:ind w:left="-199"/>
        <w:contextualSpacing w:val="0"/>
        <w:jc w:val="both"/>
        <w:rPr>
          <w:rFonts w:ascii="David" w:hAnsi="David" w:cs="David"/>
          <w:b/>
          <w:bCs/>
          <w:sz w:val="24"/>
          <w:szCs w:val="24"/>
        </w:rPr>
      </w:pPr>
      <w:r>
        <w:rPr>
          <w:rFonts w:ascii="David" w:hAnsi="David" w:cs="David" w:hint="cs"/>
          <w:b/>
          <w:bCs/>
          <w:sz w:val="24"/>
          <w:szCs w:val="24"/>
          <w:rtl/>
        </w:rPr>
        <w:t xml:space="preserve"> אל תפריע לשופט באמצע הכתבת החלטה לקלדנית - </w:t>
      </w:r>
      <w:r>
        <w:rPr>
          <w:rFonts w:ascii="David" w:hAnsi="David" w:cs="David" w:hint="cs"/>
          <w:sz w:val="24"/>
          <w:szCs w:val="24"/>
          <w:rtl/>
        </w:rPr>
        <w:t xml:space="preserve">חוסר נימוס בולט ולא מקובל. אם ההחלטה אינה מוצאת חן בעינך, המתן לסיום הכתבת ההחלטה ואז תסתייג/תבקש עיון מחדש/תגיד שבית המשפט "טרם קם מכיסאו" - כל זמן שהוא לא קם, עדיין לא צריך ללכת לערעור. </w:t>
      </w:r>
      <w:r w:rsidR="00B0181C">
        <w:rPr>
          <w:rFonts w:ascii="David" w:hAnsi="David" w:cs="David" w:hint="cs"/>
          <w:b/>
          <w:bCs/>
          <w:sz w:val="24"/>
          <w:szCs w:val="24"/>
          <w:rtl/>
        </w:rPr>
        <w:t xml:space="preserve">אבל לא האמצע ההחלטה. </w:t>
      </w:r>
    </w:p>
    <w:p w14:paraId="28686AEE" w14:textId="77777777" w:rsidR="00103C05" w:rsidRPr="00562A33" w:rsidRDefault="00103C05" w:rsidP="00103C05">
      <w:pPr>
        <w:pStyle w:val="a4"/>
        <w:spacing w:after="120" w:line="360" w:lineRule="auto"/>
        <w:ind w:left="-548"/>
        <w:contextualSpacing w:val="0"/>
        <w:jc w:val="both"/>
        <w:rPr>
          <w:rFonts w:ascii="David" w:hAnsi="David" w:cs="David"/>
          <w:b/>
          <w:bCs/>
          <w:color w:val="538135" w:themeColor="accent6" w:themeShade="BF"/>
          <w:sz w:val="24"/>
          <w:szCs w:val="24"/>
          <w:u w:val="single"/>
          <w:rtl/>
        </w:rPr>
      </w:pPr>
      <w:r w:rsidRPr="00562A33">
        <w:rPr>
          <w:rFonts w:ascii="David" w:hAnsi="David" w:cs="David" w:hint="cs"/>
          <w:b/>
          <w:bCs/>
          <w:color w:val="538135" w:themeColor="accent6" w:themeShade="BF"/>
          <w:sz w:val="24"/>
          <w:szCs w:val="24"/>
          <w:u w:val="single"/>
          <w:rtl/>
        </w:rPr>
        <w:t xml:space="preserve">קריאה: </w:t>
      </w:r>
    </w:p>
    <w:p w14:paraId="48DAF7D7" w14:textId="77777777" w:rsidR="00913F7B" w:rsidRDefault="004605B6" w:rsidP="00103C05">
      <w:pPr>
        <w:pStyle w:val="a4"/>
        <w:spacing w:after="120" w:line="360" w:lineRule="auto"/>
        <w:ind w:left="-548"/>
        <w:contextualSpacing w:val="0"/>
        <w:jc w:val="both"/>
        <w:rPr>
          <w:rFonts w:ascii="David" w:hAnsi="David" w:cs="David"/>
          <w:b/>
          <w:bCs/>
          <w:sz w:val="24"/>
          <w:szCs w:val="24"/>
        </w:rPr>
      </w:pPr>
      <w:r>
        <w:rPr>
          <w:rFonts w:ascii="David" w:hAnsi="David" w:cs="David" w:hint="cs"/>
          <w:b/>
          <w:bCs/>
          <w:sz w:val="24"/>
          <w:szCs w:val="24"/>
          <w:rtl/>
        </w:rPr>
        <w:t xml:space="preserve">מאמר : מודל חדש לענישה משמעתית בעברות פלילית שיש בהן קלון, המשפט כרך כ' תשע"ה עמודים 145 - 169  - עמוד 5 במחברת הנוכחית. </w:t>
      </w:r>
    </w:p>
    <w:p w14:paraId="1362C29C" w14:textId="77777777" w:rsidR="00737B47" w:rsidRDefault="00737B47" w:rsidP="00737B47">
      <w:pPr>
        <w:pStyle w:val="a4"/>
        <w:spacing w:after="120" w:line="360" w:lineRule="auto"/>
        <w:ind w:left="-548"/>
        <w:jc w:val="both"/>
        <w:rPr>
          <w:rFonts w:ascii="David" w:hAnsi="David" w:cs="David"/>
          <w:sz w:val="24"/>
          <w:szCs w:val="24"/>
          <w:rtl/>
        </w:rPr>
      </w:pPr>
      <w:r>
        <w:rPr>
          <w:rFonts w:ascii="David" w:hAnsi="David" w:cs="David" w:hint="cs"/>
          <w:sz w:val="24"/>
          <w:szCs w:val="24"/>
          <w:rtl/>
        </w:rPr>
        <w:t xml:space="preserve">כפילות הליכים בדין משמעתי ובמשפט פלילי יוצרת שורה ארוכה של בעיות. לכן כותבי המאמר מציעים מודל חדש לענישה משמעתית: עבירות משמעת במעשים שיש בהם קלון: ידונו בהליך פלילי, שם הערכאה הפלילית תוכל לצרף סנקציות משמעתיות נוסף על הענישה הפלילית. </w:t>
      </w:r>
    </w:p>
    <w:p w14:paraId="4ED0836F" w14:textId="77777777" w:rsidR="00737B47" w:rsidRDefault="00737B47" w:rsidP="00737B47">
      <w:pPr>
        <w:pStyle w:val="a4"/>
        <w:spacing w:after="120" w:line="360" w:lineRule="auto"/>
        <w:ind w:left="-548"/>
        <w:jc w:val="both"/>
        <w:rPr>
          <w:rFonts w:ascii="David" w:hAnsi="David" w:cs="David"/>
          <w:sz w:val="24"/>
          <w:szCs w:val="24"/>
          <w:rtl/>
        </w:rPr>
      </w:pPr>
      <w:r>
        <w:rPr>
          <w:rFonts w:ascii="David" w:hAnsi="David" w:cs="David" w:hint="cs"/>
          <w:sz w:val="24"/>
          <w:szCs w:val="24"/>
          <w:rtl/>
        </w:rPr>
        <w:t xml:space="preserve">המודל המוצע: העברת סמכויות של הדין המשמעתי לידי בתי המשפט הרגילים הדנים בעברות פליליות של עורכי דין. איך: תיקון בחקיקה ושימוש בסמכות הטבועה שיש לבתי המשפט. ניצנים לתופעה כבר קיימים. המודל פותר את הבעיות הקיימות: בעיית עמימות מושג הקלון - קביעת הקלון ואחידותו. איחוי שני ההליכים הנפרדים. מונע בזבוז משאבים, מונע את בעיית התמשכות ההליכים בבית הדין המשמעתי </w:t>
      </w:r>
      <w:r>
        <w:rPr>
          <w:rFonts w:ascii="David" w:hAnsi="David" w:cs="David" w:hint="cs"/>
          <w:sz w:val="24"/>
          <w:szCs w:val="24"/>
          <w:rtl/>
        </w:rPr>
        <w:lastRenderedPageBreak/>
        <w:t xml:space="preserve">של הלשכה. פותר את בעיית ההפללה העצמית, פותר את בעיית שקולי הענישה. כן, לפי המודל המוצע בית המשפט יוכל להכריז על השעיה זמנית של עורך הדין, </w:t>
      </w:r>
      <w:proofErr w:type="spellStart"/>
      <w:r>
        <w:rPr>
          <w:rFonts w:ascii="David" w:hAnsi="David" w:cs="David" w:hint="cs"/>
          <w:sz w:val="24"/>
          <w:szCs w:val="24"/>
          <w:rtl/>
        </w:rPr>
        <w:t>ייפתור</w:t>
      </w:r>
      <w:proofErr w:type="spellEnd"/>
      <w:r>
        <w:rPr>
          <w:rFonts w:ascii="David" w:hAnsi="David" w:cs="David" w:hint="cs"/>
          <w:sz w:val="24"/>
          <w:szCs w:val="24"/>
          <w:rtl/>
        </w:rPr>
        <w:t xml:space="preserve"> את בעיית חוסר התיאום בין שני הגופים, ופותר את בעיית השיפוט הפנימי בידי עורכי דין חברים. </w:t>
      </w:r>
    </w:p>
    <w:p w14:paraId="304F0BF9" w14:textId="77777777" w:rsidR="00737B47" w:rsidRDefault="00737B47" w:rsidP="00737B47">
      <w:pPr>
        <w:pStyle w:val="a4"/>
        <w:spacing w:after="120" w:line="360" w:lineRule="auto"/>
        <w:ind w:left="-548"/>
        <w:jc w:val="both"/>
        <w:rPr>
          <w:rFonts w:ascii="David" w:hAnsi="David" w:cs="David"/>
          <w:sz w:val="24"/>
          <w:szCs w:val="24"/>
          <w:rtl/>
        </w:rPr>
      </w:pPr>
      <w:r w:rsidRPr="00737B47">
        <w:rPr>
          <w:rFonts w:ascii="David" w:hAnsi="David" w:cs="David" w:hint="cs"/>
          <w:b/>
          <w:bCs/>
          <w:sz w:val="24"/>
          <w:szCs w:val="24"/>
          <w:rtl/>
        </w:rPr>
        <w:t>הביקורות על המודל:</w:t>
      </w:r>
      <w:r>
        <w:rPr>
          <w:rFonts w:ascii="David" w:hAnsi="David" w:cs="David" w:hint="cs"/>
          <w:sz w:val="24"/>
          <w:szCs w:val="24"/>
          <w:rtl/>
        </w:rPr>
        <w:t xml:space="preserve"> יש הבדל בין מטרות הענישה בדין הפלילי לבין מטרות הענישה בדין המשמעתי. הביקורת השנייה: עשוי להיווצר איפה ואיפה בענישה הפלילית - עורך דין מועל בכספים לעומת אדם מועל בכספים, יכול לקבל עונש אחר ולא שוויוני. ביקורת שלישית: התנגדות הלשכה להעברת הרגולציה מידיה לידי בית המשפט. הפרופסיה. עדיין, נוכח היתרונות הם קוראים למחוקק לתקן ומקווים שגם הלשכה תהיה חברה. </w:t>
      </w:r>
    </w:p>
    <w:p w14:paraId="638B1058" w14:textId="77777777" w:rsidR="00737B47" w:rsidRDefault="00737B47" w:rsidP="00737B47">
      <w:pPr>
        <w:pStyle w:val="a4"/>
        <w:spacing w:after="120" w:line="360" w:lineRule="auto"/>
        <w:ind w:left="-548"/>
        <w:contextualSpacing w:val="0"/>
        <w:jc w:val="both"/>
        <w:rPr>
          <w:rFonts w:ascii="David" w:hAnsi="David" w:cs="David"/>
          <w:b/>
          <w:bCs/>
          <w:sz w:val="24"/>
          <w:szCs w:val="24"/>
          <w:u w:val="single"/>
          <w:rtl/>
        </w:rPr>
      </w:pPr>
      <w:r w:rsidRPr="00737B47">
        <w:rPr>
          <w:rFonts w:ascii="David" w:hAnsi="David" w:cs="David" w:hint="cs"/>
          <w:b/>
          <w:bCs/>
          <w:sz w:val="24"/>
          <w:szCs w:val="24"/>
          <w:u w:val="single"/>
          <w:rtl/>
        </w:rPr>
        <w:t>שיעור 9, 20.01.2020</w:t>
      </w:r>
    </w:p>
    <w:p w14:paraId="68FEE558" w14:textId="77777777" w:rsidR="00A03B31" w:rsidRDefault="00A03B31" w:rsidP="00103C05">
      <w:pPr>
        <w:pStyle w:val="a4"/>
        <w:spacing w:after="120" w:line="360" w:lineRule="auto"/>
        <w:ind w:left="-548"/>
        <w:contextualSpacing w:val="0"/>
        <w:jc w:val="center"/>
        <w:rPr>
          <w:rFonts w:ascii="David" w:hAnsi="David" w:cs="David"/>
          <w:b/>
          <w:bCs/>
          <w:sz w:val="24"/>
          <w:szCs w:val="24"/>
          <w:u w:val="single"/>
          <w:rtl/>
        </w:rPr>
      </w:pPr>
      <w:r>
        <w:rPr>
          <w:rFonts w:ascii="David" w:hAnsi="David" w:cs="David" w:hint="cs"/>
          <w:b/>
          <w:bCs/>
          <w:sz w:val="24"/>
          <w:szCs w:val="24"/>
          <w:u w:val="single"/>
          <w:rtl/>
        </w:rPr>
        <w:t>חזרה - חידוד התנגדויות</w:t>
      </w:r>
    </w:p>
    <w:p w14:paraId="15B157F5" w14:textId="77777777" w:rsidR="00A03B31" w:rsidRDefault="00B71166" w:rsidP="00F156D4">
      <w:pPr>
        <w:pStyle w:val="a4"/>
        <w:spacing w:after="120" w:line="360" w:lineRule="auto"/>
        <w:ind w:left="-483"/>
        <w:contextualSpacing w:val="0"/>
        <w:jc w:val="both"/>
        <w:rPr>
          <w:rFonts w:ascii="David" w:hAnsi="David" w:cs="David"/>
          <w:sz w:val="24"/>
          <w:szCs w:val="24"/>
          <w:rtl/>
        </w:rPr>
      </w:pPr>
      <w:r w:rsidRPr="00B71166">
        <w:rPr>
          <w:rFonts w:ascii="David" w:hAnsi="David" w:cs="David" w:hint="cs"/>
          <w:sz w:val="24"/>
          <w:szCs w:val="24"/>
          <w:rtl/>
        </w:rPr>
        <w:t xml:space="preserve">שופטים אינם הרגולטורים של עורכי הדין והם אינם דנים את עורכי הדין על עבירות המשמעת שלהם, מה שמאפשר מרווח פעולה חשוב לייצוג הלקוח במסירות ובנאמנות, ללא חשש שהשופט שהוא מופיע לפניו לא יוכל להטיל עליו עונשים משמעתיים. </w:t>
      </w:r>
    </w:p>
    <w:p w14:paraId="6827F884" w14:textId="191DD014" w:rsidR="008B2674" w:rsidRPr="00E47488" w:rsidRDefault="00B16051" w:rsidP="00E47488">
      <w:pPr>
        <w:pStyle w:val="a4"/>
        <w:spacing w:after="120" w:line="360" w:lineRule="auto"/>
        <w:ind w:left="-483"/>
        <w:contextualSpacing w:val="0"/>
        <w:jc w:val="both"/>
        <w:rPr>
          <w:rFonts w:ascii="David" w:hAnsi="David" w:cs="David"/>
          <w:sz w:val="24"/>
          <w:szCs w:val="24"/>
          <w:rtl/>
        </w:rPr>
      </w:pPr>
      <w:r>
        <w:rPr>
          <w:rFonts w:ascii="David" w:hAnsi="David" w:cs="David" w:hint="cs"/>
          <w:sz w:val="24"/>
          <w:szCs w:val="24"/>
          <w:rtl/>
        </w:rPr>
        <w:t xml:space="preserve">ככל שמתנגדים יותר בחקירת עד, מהמינות העד יורדת. כך, ייתכן שהשופט יפסול את השאלה, אבל הוא חושב שלו השאלה הייתה נשאלת ייתכן שזה היה ממוטט את הגרסה של העד - וזה מה שגורם לו להפריע לחקירה הנגדית. </w:t>
      </w:r>
    </w:p>
    <w:p w14:paraId="24B51540" w14:textId="77777777" w:rsidR="008B2674" w:rsidRPr="008B2674" w:rsidRDefault="008B2674" w:rsidP="008B2674">
      <w:pPr>
        <w:pStyle w:val="a4"/>
        <w:spacing w:after="120" w:line="360" w:lineRule="auto"/>
        <w:ind w:left="-483"/>
        <w:contextualSpacing w:val="0"/>
        <w:jc w:val="center"/>
        <w:rPr>
          <w:rFonts w:ascii="David" w:hAnsi="David" w:cs="David"/>
          <w:b/>
          <w:bCs/>
          <w:color w:val="FFC000" w:themeColor="accent4"/>
          <w:sz w:val="24"/>
          <w:szCs w:val="24"/>
          <w:u w:val="single"/>
          <w:rtl/>
        </w:rPr>
      </w:pPr>
      <w:r w:rsidRPr="008B2674">
        <w:rPr>
          <w:rFonts w:ascii="David" w:hAnsi="David" w:cs="David" w:hint="cs"/>
          <w:b/>
          <w:bCs/>
          <w:color w:val="FFC000" w:themeColor="accent4"/>
          <w:sz w:val="24"/>
          <w:szCs w:val="24"/>
          <w:u w:val="single"/>
          <w:rtl/>
        </w:rPr>
        <w:t>נושא 8 לסילבוס: המערכת המשמעתית של לשכת עורכי הדין -</w:t>
      </w:r>
    </w:p>
    <w:p w14:paraId="51FCF28B" w14:textId="77777777" w:rsidR="00A03B31" w:rsidRDefault="00A03B31" w:rsidP="00737B47">
      <w:pPr>
        <w:pStyle w:val="a4"/>
        <w:spacing w:after="120" w:line="360" w:lineRule="auto"/>
        <w:ind w:left="-548"/>
        <w:contextualSpacing w:val="0"/>
        <w:jc w:val="both"/>
        <w:rPr>
          <w:rFonts w:ascii="David" w:hAnsi="David" w:cs="David"/>
          <w:b/>
          <w:bCs/>
          <w:sz w:val="24"/>
          <w:szCs w:val="24"/>
          <w:u w:val="single"/>
          <w:rtl/>
        </w:rPr>
      </w:pPr>
      <w:r>
        <w:rPr>
          <w:rFonts w:ascii="David" w:hAnsi="David" w:cs="David" w:hint="cs"/>
          <w:b/>
          <w:bCs/>
          <w:sz w:val="24"/>
          <w:szCs w:val="24"/>
          <w:u w:val="single"/>
          <w:rtl/>
        </w:rPr>
        <w:t>הגשת תלונה ללשכה</w:t>
      </w:r>
    </w:p>
    <w:p w14:paraId="6FF1A479" w14:textId="77777777" w:rsidR="00A35556" w:rsidRPr="00503F44" w:rsidRDefault="00A35556" w:rsidP="00737B47">
      <w:pPr>
        <w:pStyle w:val="a4"/>
        <w:spacing w:after="120" w:line="360" w:lineRule="auto"/>
        <w:ind w:left="-548"/>
        <w:contextualSpacing w:val="0"/>
        <w:jc w:val="both"/>
        <w:rPr>
          <w:rFonts w:ascii="David" w:hAnsi="David" w:cs="David"/>
          <w:b/>
          <w:bCs/>
          <w:sz w:val="24"/>
          <w:szCs w:val="24"/>
          <w:rtl/>
        </w:rPr>
      </w:pPr>
      <w:r w:rsidRPr="00503F44">
        <w:rPr>
          <w:rFonts w:ascii="David" w:hAnsi="David" w:cs="David" w:hint="cs"/>
          <w:b/>
          <w:bCs/>
          <w:sz w:val="24"/>
          <w:szCs w:val="24"/>
          <w:rtl/>
        </w:rPr>
        <w:t>תהליך טיפול בתלונה נגד עו"ד</w:t>
      </w:r>
      <w:r w:rsidR="00503F44">
        <w:rPr>
          <w:rFonts w:ascii="David" w:hAnsi="David" w:cs="David" w:hint="cs"/>
          <w:b/>
          <w:bCs/>
          <w:sz w:val="24"/>
          <w:szCs w:val="24"/>
          <w:rtl/>
        </w:rPr>
        <w:t xml:space="preserve">: </w:t>
      </w:r>
    </w:p>
    <w:tbl>
      <w:tblPr>
        <w:tblStyle w:val="a9"/>
        <w:bidiVisual/>
        <w:tblW w:w="8840" w:type="dxa"/>
        <w:tblInd w:w="-371" w:type="dxa"/>
        <w:tblLook w:val="04A0" w:firstRow="1" w:lastRow="0" w:firstColumn="1" w:lastColumn="0" w:noHBand="0" w:noVBand="1"/>
      </w:tblPr>
      <w:tblGrid>
        <w:gridCol w:w="1482"/>
        <w:gridCol w:w="1659"/>
        <w:gridCol w:w="1659"/>
        <w:gridCol w:w="1659"/>
        <w:gridCol w:w="2381"/>
      </w:tblGrid>
      <w:tr w:rsidR="00A35556" w14:paraId="36B5A8B0" w14:textId="77777777" w:rsidTr="00A35556">
        <w:tc>
          <w:tcPr>
            <w:tcW w:w="8840" w:type="dxa"/>
            <w:gridSpan w:val="5"/>
            <w:shd w:val="clear" w:color="auto" w:fill="1F3864" w:themeFill="accent1" w:themeFillShade="80"/>
          </w:tcPr>
          <w:p w14:paraId="243F97F7" w14:textId="77777777" w:rsidR="00A35556" w:rsidRPr="00A35556" w:rsidRDefault="00A35556" w:rsidP="00A35556">
            <w:pPr>
              <w:pStyle w:val="a4"/>
              <w:spacing w:after="120" w:line="360" w:lineRule="auto"/>
              <w:ind w:left="0"/>
              <w:contextualSpacing w:val="0"/>
              <w:jc w:val="center"/>
              <w:rPr>
                <w:rFonts w:ascii="David" w:hAnsi="David" w:cs="David"/>
                <w:b/>
                <w:bCs/>
                <w:sz w:val="24"/>
                <w:szCs w:val="24"/>
                <w:rtl/>
              </w:rPr>
            </w:pPr>
            <w:r w:rsidRPr="00A35556">
              <w:rPr>
                <w:rFonts w:ascii="David" w:hAnsi="David" w:cs="David" w:hint="cs"/>
                <w:b/>
                <w:bCs/>
                <w:sz w:val="24"/>
                <w:szCs w:val="24"/>
                <w:rtl/>
              </w:rPr>
              <w:t>חובות אתיות</w:t>
            </w:r>
          </w:p>
        </w:tc>
      </w:tr>
      <w:tr w:rsidR="00A35556" w14:paraId="7B7FDE08" w14:textId="77777777" w:rsidTr="00A35556">
        <w:tc>
          <w:tcPr>
            <w:tcW w:w="1482" w:type="dxa"/>
          </w:tcPr>
          <w:p w14:paraId="72152620" w14:textId="77777777" w:rsidR="00A35556" w:rsidRPr="00A35556" w:rsidRDefault="00A35556" w:rsidP="00A35556">
            <w:pPr>
              <w:pStyle w:val="a4"/>
              <w:spacing w:after="120" w:line="360" w:lineRule="auto"/>
              <w:ind w:left="0"/>
              <w:contextualSpacing w:val="0"/>
              <w:jc w:val="center"/>
              <w:rPr>
                <w:rFonts w:ascii="David" w:hAnsi="David" w:cs="David"/>
                <w:sz w:val="24"/>
                <w:szCs w:val="24"/>
                <w:rtl/>
              </w:rPr>
            </w:pPr>
            <w:r w:rsidRPr="00A35556">
              <w:rPr>
                <w:rFonts w:ascii="David" w:hAnsi="David" w:cs="David" w:hint="cs"/>
                <w:sz w:val="24"/>
                <w:szCs w:val="24"/>
                <w:rtl/>
              </w:rPr>
              <w:t>כלפי הלקוח</w:t>
            </w:r>
          </w:p>
        </w:tc>
        <w:tc>
          <w:tcPr>
            <w:tcW w:w="1659" w:type="dxa"/>
          </w:tcPr>
          <w:p w14:paraId="306490B0" w14:textId="77777777" w:rsidR="00A35556" w:rsidRPr="00A35556" w:rsidRDefault="00A35556" w:rsidP="00A35556">
            <w:pPr>
              <w:pStyle w:val="a4"/>
              <w:spacing w:after="120" w:line="360" w:lineRule="auto"/>
              <w:ind w:left="0"/>
              <w:contextualSpacing w:val="0"/>
              <w:jc w:val="center"/>
              <w:rPr>
                <w:rFonts w:ascii="David" w:hAnsi="David" w:cs="David"/>
                <w:sz w:val="24"/>
                <w:szCs w:val="24"/>
                <w:rtl/>
              </w:rPr>
            </w:pPr>
            <w:r w:rsidRPr="00A35556">
              <w:rPr>
                <w:rFonts w:ascii="David" w:hAnsi="David" w:cs="David" w:hint="cs"/>
                <w:sz w:val="24"/>
                <w:szCs w:val="24"/>
                <w:rtl/>
              </w:rPr>
              <w:t>כלפי בית המשפט</w:t>
            </w:r>
          </w:p>
        </w:tc>
        <w:tc>
          <w:tcPr>
            <w:tcW w:w="1659" w:type="dxa"/>
          </w:tcPr>
          <w:p w14:paraId="1D0F7B8B" w14:textId="77777777" w:rsidR="00A35556" w:rsidRPr="00A35556" w:rsidRDefault="00A35556" w:rsidP="00A35556">
            <w:pPr>
              <w:pStyle w:val="a4"/>
              <w:spacing w:after="120" w:line="360" w:lineRule="auto"/>
              <w:ind w:left="0"/>
              <w:contextualSpacing w:val="0"/>
              <w:jc w:val="center"/>
              <w:rPr>
                <w:rFonts w:ascii="David" w:hAnsi="David" w:cs="David"/>
                <w:sz w:val="24"/>
                <w:szCs w:val="24"/>
                <w:rtl/>
              </w:rPr>
            </w:pPr>
            <w:r w:rsidRPr="00A35556">
              <w:rPr>
                <w:rFonts w:ascii="David" w:hAnsi="David" w:cs="David" w:hint="cs"/>
                <w:sz w:val="24"/>
                <w:szCs w:val="24"/>
                <w:rtl/>
              </w:rPr>
              <w:t xml:space="preserve">כלפי הקולגות </w:t>
            </w:r>
            <w:r w:rsidRPr="00A35556">
              <w:rPr>
                <w:rFonts w:ascii="David" w:hAnsi="David" w:cs="David" w:hint="cs"/>
                <w:sz w:val="18"/>
                <w:szCs w:val="18"/>
                <w:rtl/>
              </w:rPr>
              <w:t>(העולם הוא עגול - פעם אתה למעלה ופעם אתה למטה - יהיו פעמים שאתה תצטרך את הקולגה שלך ואתה תזדקק להסכמת הקולגה)</w:t>
            </w:r>
          </w:p>
        </w:tc>
        <w:tc>
          <w:tcPr>
            <w:tcW w:w="1659" w:type="dxa"/>
          </w:tcPr>
          <w:p w14:paraId="76034189" w14:textId="77777777" w:rsidR="00A35556" w:rsidRPr="00A35556" w:rsidRDefault="00A35556" w:rsidP="00A35556">
            <w:pPr>
              <w:pStyle w:val="a4"/>
              <w:spacing w:after="120" w:line="360" w:lineRule="auto"/>
              <w:ind w:left="0"/>
              <w:contextualSpacing w:val="0"/>
              <w:jc w:val="center"/>
              <w:rPr>
                <w:rFonts w:ascii="David" w:hAnsi="David" w:cs="David"/>
                <w:sz w:val="24"/>
                <w:szCs w:val="24"/>
                <w:rtl/>
              </w:rPr>
            </w:pPr>
            <w:r w:rsidRPr="00A35556">
              <w:rPr>
                <w:rFonts w:ascii="David" w:hAnsi="David" w:cs="David" w:hint="cs"/>
                <w:sz w:val="24"/>
                <w:szCs w:val="24"/>
                <w:rtl/>
              </w:rPr>
              <w:t>כלפי הצד שכנגד</w:t>
            </w:r>
          </w:p>
        </w:tc>
        <w:tc>
          <w:tcPr>
            <w:tcW w:w="2381" w:type="dxa"/>
          </w:tcPr>
          <w:p w14:paraId="75F60DE4" w14:textId="77777777" w:rsidR="00A35556" w:rsidRPr="00A35556" w:rsidRDefault="00A35556" w:rsidP="00A35556">
            <w:pPr>
              <w:pStyle w:val="a4"/>
              <w:spacing w:after="120" w:line="360" w:lineRule="auto"/>
              <w:ind w:left="0"/>
              <w:contextualSpacing w:val="0"/>
              <w:jc w:val="center"/>
              <w:rPr>
                <w:rFonts w:ascii="David" w:hAnsi="David" w:cs="David"/>
                <w:sz w:val="24"/>
                <w:szCs w:val="24"/>
                <w:rtl/>
              </w:rPr>
            </w:pPr>
            <w:r w:rsidRPr="00A35556">
              <w:rPr>
                <w:rFonts w:ascii="David" w:hAnsi="David" w:cs="David" w:hint="cs"/>
                <w:sz w:val="24"/>
                <w:szCs w:val="24"/>
                <w:rtl/>
              </w:rPr>
              <w:t>כלפי הפרופסיה</w:t>
            </w:r>
          </w:p>
        </w:tc>
      </w:tr>
    </w:tbl>
    <w:p w14:paraId="7375E2FF" w14:textId="77777777" w:rsidR="00A35556" w:rsidRDefault="00A35556" w:rsidP="00737B47">
      <w:pPr>
        <w:pStyle w:val="a4"/>
        <w:spacing w:after="120" w:line="360" w:lineRule="auto"/>
        <w:ind w:left="-548"/>
        <w:contextualSpacing w:val="0"/>
        <w:jc w:val="both"/>
        <w:rPr>
          <w:rFonts w:ascii="David" w:hAnsi="David" w:cs="David"/>
          <w:b/>
          <w:bCs/>
          <w:sz w:val="24"/>
          <w:szCs w:val="24"/>
          <w:u w:val="single"/>
          <w:rtl/>
        </w:rPr>
      </w:pPr>
    </w:p>
    <w:p w14:paraId="0C9247DA" w14:textId="77777777" w:rsidR="00A35556" w:rsidRDefault="00A35556" w:rsidP="00737B47">
      <w:pPr>
        <w:pStyle w:val="a4"/>
        <w:spacing w:after="120" w:line="360" w:lineRule="auto"/>
        <w:ind w:left="-548"/>
        <w:contextualSpacing w:val="0"/>
        <w:jc w:val="both"/>
        <w:rPr>
          <w:rFonts w:ascii="David" w:hAnsi="David" w:cs="David"/>
          <w:b/>
          <w:bCs/>
          <w:sz w:val="24"/>
          <w:szCs w:val="24"/>
          <w:rtl/>
        </w:rPr>
      </w:pPr>
      <w:r>
        <w:rPr>
          <w:rFonts w:ascii="David" w:hAnsi="David" w:cs="David" w:hint="cs"/>
          <w:b/>
          <w:bCs/>
          <w:sz w:val="24"/>
          <w:szCs w:val="24"/>
          <w:rtl/>
        </w:rPr>
        <w:t xml:space="preserve">כלפי הלקוח - </w:t>
      </w:r>
      <w:r w:rsidRPr="00A35556">
        <w:rPr>
          <w:rFonts w:ascii="David" w:hAnsi="David" w:cs="David" w:hint="cs"/>
          <w:sz w:val="24"/>
          <w:szCs w:val="24"/>
          <w:rtl/>
        </w:rPr>
        <w:t>במסגרת חובת הנאמנות וכו'.</w:t>
      </w:r>
      <w:r>
        <w:rPr>
          <w:rFonts w:ascii="David" w:hAnsi="David" w:cs="David" w:hint="cs"/>
          <w:b/>
          <w:bCs/>
          <w:sz w:val="24"/>
          <w:szCs w:val="24"/>
          <w:rtl/>
        </w:rPr>
        <w:t xml:space="preserve"> </w:t>
      </w:r>
    </w:p>
    <w:p w14:paraId="62DB295F" w14:textId="77777777" w:rsidR="00A35556" w:rsidRDefault="00A35556" w:rsidP="00737B47">
      <w:pPr>
        <w:pStyle w:val="a4"/>
        <w:spacing w:after="120" w:line="360" w:lineRule="auto"/>
        <w:ind w:left="-548"/>
        <w:contextualSpacing w:val="0"/>
        <w:jc w:val="both"/>
        <w:rPr>
          <w:rFonts w:ascii="David" w:hAnsi="David" w:cs="David"/>
          <w:b/>
          <w:bCs/>
          <w:sz w:val="24"/>
          <w:szCs w:val="24"/>
          <w:rtl/>
        </w:rPr>
      </w:pPr>
      <w:r>
        <w:rPr>
          <w:rFonts w:ascii="David" w:hAnsi="David" w:cs="David" w:hint="cs"/>
          <w:b/>
          <w:bCs/>
          <w:sz w:val="24"/>
          <w:szCs w:val="24"/>
          <w:rtl/>
        </w:rPr>
        <w:t xml:space="preserve">כלפי בית המשפט - </w:t>
      </w:r>
      <w:r w:rsidRPr="00A35556">
        <w:rPr>
          <w:rFonts w:ascii="David" w:hAnsi="David" w:cs="David" w:hint="cs"/>
          <w:sz w:val="24"/>
          <w:szCs w:val="24"/>
          <w:rtl/>
        </w:rPr>
        <w:t xml:space="preserve">סעיף 54. </w:t>
      </w:r>
    </w:p>
    <w:p w14:paraId="0CCEFDAD" w14:textId="77777777" w:rsidR="00A35556" w:rsidRPr="00A35556" w:rsidRDefault="00A35556" w:rsidP="00737B47">
      <w:pPr>
        <w:pStyle w:val="a4"/>
        <w:spacing w:after="120" w:line="360" w:lineRule="auto"/>
        <w:ind w:left="-548"/>
        <w:contextualSpacing w:val="0"/>
        <w:jc w:val="both"/>
        <w:rPr>
          <w:rFonts w:ascii="David" w:hAnsi="David" w:cs="David"/>
          <w:sz w:val="24"/>
          <w:szCs w:val="24"/>
          <w:rtl/>
        </w:rPr>
      </w:pPr>
      <w:r w:rsidRPr="00A35556">
        <w:rPr>
          <w:rFonts w:ascii="David" w:hAnsi="David" w:cs="David" w:hint="cs"/>
          <w:b/>
          <w:bCs/>
          <w:sz w:val="24"/>
          <w:szCs w:val="24"/>
          <w:rtl/>
        </w:rPr>
        <w:t>כלפי הקולגות</w:t>
      </w:r>
      <w:r>
        <w:rPr>
          <w:rFonts w:ascii="David" w:hAnsi="David" w:cs="David" w:hint="cs"/>
          <w:sz w:val="24"/>
          <w:szCs w:val="24"/>
          <w:rtl/>
        </w:rPr>
        <w:t xml:space="preserve"> - </w:t>
      </w:r>
      <w:r w:rsidRPr="00A35556">
        <w:rPr>
          <w:rFonts w:ascii="David" w:hAnsi="David" w:cs="David" w:hint="cs"/>
          <w:sz w:val="24"/>
          <w:szCs w:val="24"/>
          <w:rtl/>
        </w:rPr>
        <w:t xml:space="preserve">נכון להיום, אם עורך דין נמצא במצוקה של ממש והוא לא יכול לעמוד במועדים שקבע בית המשפט - אם הוא פונה לקולגה והוא מבקש הסכמה להארכה, רוב הסיכויים שביתה משפט יאשר את ההסכמה. </w:t>
      </w:r>
    </w:p>
    <w:p w14:paraId="7BE6995B" w14:textId="77777777" w:rsidR="00A35556" w:rsidRDefault="00A35556" w:rsidP="00737B47">
      <w:pPr>
        <w:pStyle w:val="a4"/>
        <w:spacing w:after="120" w:line="360" w:lineRule="auto"/>
        <w:ind w:left="-548"/>
        <w:contextualSpacing w:val="0"/>
        <w:jc w:val="both"/>
        <w:rPr>
          <w:rFonts w:ascii="David" w:hAnsi="David" w:cs="David"/>
          <w:sz w:val="24"/>
          <w:szCs w:val="24"/>
          <w:rtl/>
        </w:rPr>
      </w:pPr>
      <w:r>
        <w:rPr>
          <w:rFonts w:ascii="David" w:hAnsi="David" w:cs="David" w:hint="cs"/>
          <w:sz w:val="24"/>
          <w:szCs w:val="24"/>
          <w:rtl/>
        </w:rPr>
        <w:t xml:space="preserve"> </w:t>
      </w:r>
      <w:r w:rsidRPr="00A35556">
        <w:rPr>
          <w:rFonts w:ascii="David" w:hAnsi="David" w:cs="David" w:hint="cs"/>
          <w:b/>
          <w:bCs/>
          <w:sz w:val="24"/>
          <w:szCs w:val="24"/>
          <w:rtl/>
        </w:rPr>
        <w:t>כלפי הצד שכנגד</w:t>
      </w:r>
      <w:r>
        <w:rPr>
          <w:rFonts w:ascii="David" w:hAnsi="David" w:cs="David" w:hint="cs"/>
          <w:sz w:val="24"/>
          <w:szCs w:val="24"/>
          <w:rtl/>
        </w:rPr>
        <w:t xml:space="preserve"> - </w:t>
      </w:r>
      <w:r w:rsidRPr="00A35556">
        <w:rPr>
          <w:rFonts w:ascii="David" w:hAnsi="David" w:cs="David" w:hint="cs"/>
          <w:sz w:val="24"/>
          <w:szCs w:val="24"/>
          <w:rtl/>
        </w:rPr>
        <w:t xml:space="preserve">הפן הרביעי שכמעט ולא היה קיים עד לפני 20 שנה זה כלפי הצד שכנגד. בעבר לא החשיבות את החובות האתיות כלפי הצד שכנגד. </w:t>
      </w:r>
      <w:r>
        <w:rPr>
          <w:rFonts w:ascii="David" w:hAnsi="David" w:cs="David" w:hint="cs"/>
          <w:sz w:val="24"/>
          <w:szCs w:val="24"/>
          <w:rtl/>
        </w:rPr>
        <w:t xml:space="preserve">בעשרים השנים האחרונות התפתחה הפסיקה לכך שלעורך דין יש חובות לצד שכנגד, במיוחד כאשר הצד השני אינו מיוצג. </w:t>
      </w:r>
    </w:p>
    <w:p w14:paraId="58962B26" w14:textId="77777777" w:rsidR="00A35556" w:rsidRDefault="00A35556" w:rsidP="00737B47">
      <w:pPr>
        <w:pStyle w:val="a4"/>
        <w:spacing w:after="120" w:line="360" w:lineRule="auto"/>
        <w:ind w:left="-548"/>
        <w:contextualSpacing w:val="0"/>
        <w:jc w:val="both"/>
        <w:rPr>
          <w:rFonts w:ascii="David" w:hAnsi="David" w:cs="David"/>
          <w:sz w:val="24"/>
          <w:szCs w:val="24"/>
          <w:rtl/>
        </w:rPr>
      </w:pPr>
      <w:r w:rsidRPr="00A35556">
        <w:rPr>
          <w:rFonts w:ascii="David" w:hAnsi="David" w:cs="David" w:hint="cs"/>
          <w:b/>
          <w:bCs/>
          <w:sz w:val="24"/>
          <w:szCs w:val="24"/>
          <w:rtl/>
        </w:rPr>
        <w:lastRenderedPageBreak/>
        <w:t>כלפי הפרופסיה</w:t>
      </w:r>
      <w:r>
        <w:rPr>
          <w:rFonts w:ascii="David" w:hAnsi="David" w:cs="David" w:hint="cs"/>
          <w:sz w:val="24"/>
          <w:szCs w:val="24"/>
          <w:rtl/>
        </w:rPr>
        <w:t xml:space="preserve"> - לבסוף, חובות אתיות כלפי הפרופסיה כפרופסיה - חובות אתיות של חובת הפרסום, שכר טרחה מינימלי וחובות אתיות נוספות - כיבוד צ'קים למשל. </w:t>
      </w:r>
    </w:p>
    <w:p w14:paraId="14022AA6" w14:textId="77777777" w:rsidR="00A35556" w:rsidRDefault="00A35556" w:rsidP="00737B47">
      <w:pPr>
        <w:pStyle w:val="a4"/>
        <w:spacing w:after="120" w:line="360" w:lineRule="auto"/>
        <w:ind w:left="-548"/>
        <w:contextualSpacing w:val="0"/>
        <w:jc w:val="both"/>
        <w:rPr>
          <w:rFonts w:ascii="David" w:hAnsi="David" w:cs="David"/>
          <w:sz w:val="24"/>
          <w:szCs w:val="24"/>
          <w:rtl/>
        </w:rPr>
      </w:pPr>
      <w:r>
        <w:rPr>
          <w:rFonts w:ascii="David" w:hAnsi="David" w:cs="David" w:hint="cs"/>
          <w:sz w:val="24"/>
          <w:szCs w:val="24"/>
          <w:rtl/>
        </w:rPr>
        <w:t xml:space="preserve">אילו אם כן 5 המקורות להגשת קובלנה. </w:t>
      </w:r>
      <w:r w:rsidR="00503F44">
        <w:rPr>
          <w:rFonts w:ascii="David" w:hAnsi="David" w:cs="David" w:hint="cs"/>
          <w:sz w:val="24"/>
          <w:szCs w:val="24"/>
          <w:rtl/>
        </w:rPr>
        <w:t xml:space="preserve">לפיו, אין חובה כללית כלפי הציבור. </w:t>
      </w:r>
    </w:p>
    <w:p w14:paraId="322ACD9D" w14:textId="77777777" w:rsidR="00842E7C" w:rsidRDefault="00842E7C" w:rsidP="00737B47">
      <w:pPr>
        <w:pStyle w:val="a4"/>
        <w:spacing w:after="120" w:line="360" w:lineRule="auto"/>
        <w:ind w:left="-548"/>
        <w:contextualSpacing w:val="0"/>
        <w:jc w:val="both"/>
        <w:rPr>
          <w:rFonts w:ascii="David" w:hAnsi="David" w:cs="David"/>
          <w:b/>
          <w:bCs/>
          <w:sz w:val="24"/>
          <w:szCs w:val="24"/>
          <w:u w:val="single"/>
          <w:rtl/>
        </w:rPr>
      </w:pPr>
      <w:r>
        <w:rPr>
          <w:rFonts w:ascii="David" w:hAnsi="David" w:cs="David" w:hint="cs"/>
          <w:b/>
          <w:bCs/>
          <w:sz w:val="24"/>
          <w:szCs w:val="24"/>
          <w:u w:val="single"/>
          <w:rtl/>
        </w:rPr>
        <w:t>חלוקת העבודה בין ועדת אתיק מחוזית והארצית:</w:t>
      </w:r>
    </w:p>
    <w:p w14:paraId="2F1ED96D" w14:textId="77777777" w:rsidR="00842E7C" w:rsidRPr="00842E7C" w:rsidRDefault="00842E7C" w:rsidP="00842E7C">
      <w:pPr>
        <w:pStyle w:val="a4"/>
        <w:numPr>
          <w:ilvl w:val="0"/>
          <w:numId w:val="29"/>
        </w:numPr>
        <w:spacing w:after="120" w:line="360" w:lineRule="auto"/>
        <w:contextualSpacing w:val="0"/>
        <w:jc w:val="both"/>
        <w:rPr>
          <w:rFonts w:ascii="David" w:hAnsi="David" w:cs="David"/>
          <w:sz w:val="24"/>
          <w:szCs w:val="24"/>
        </w:rPr>
      </w:pPr>
      <w:r w:rsidRPr="00842E7C">
        <w:rPr>
          <w:rFonts w:ascii="David" w:hAnsi="David" w:cs="David" w:hint="cs"/>
          <w:sz w:val="24"/>
          <w:szCs w:val="24"/>
          <w:rtl/>
        </w:rPr>
        <w:t>התלונה נגד עורך הדין מוגשת לוועדת האתיקה המחוזית, במחוז בו מצוי משרדו של עורך הדין על גבי טופס ייעודי (בשלושה טפסים, בדואר או פקס.</w:t>
      </w:r>
    </w:p>
    <w:p w14:paraId="4D87F8D3" w14:textId="77777777" w:rsidR="00842E7C" w:rsidRPr="00842E7C" w:rsidRDefault="00842E7C" w:rsidP="00842E7C">
      <w:pPr>
        <w:pStyle w:val="a4"/>
        <w:numPr>
          <w:ilvl w:val="0"/>
          <w:numId w:val="29"/>
        </w:numPr>
        <w:spacing w:after="120" w:line="360" w:lineRule="auto"/>
        <w:contextualSpacing w:val="0"/>
        <w:jc w:val="both"/>
        <w:rPr>
          <w:rFonts w:ascii="David" w:hAnsi="David" w:cs="David"/>
          <w:sz w:val="24"/>
          <w:szCs w:val="24"/>
        </w:rPr>
      </w:pPr>
      <w:r w:rsidRPr="00842E7C">
        <w:rPr>
          <w:rFonts w:ascii="David" w:hAnsi="David" w:cs="David" w:hint="cs"/>
          <w:sz w:val="24"/>
          <w:szCs w:val="24"/>
          <w:rtl/>
        </w:rPr>
        <w:t xml:space="preserve">תלונות נגד מתמחים, עורכי דין שחברותן בלשכה הושעתה, המתייחסות לתקופה בה היו מושעים, ותלונות נגד חברי בית הדין המשמעתי של לשכת עורכי הדין, יטופלו בוועדת האתיקה הארצית. </w:t>
      </w:r>
    </w:p>
    <w:p w14:paraId="74618267" w14:textId="77777777" w:rsidR="00842E7C" w:rsidRPr="00842E7C" w:rsidRDefault="00842E7C" w:rsidP="00842E7C">
      <w:pPr>
        <w:pStyle w:val="a4"/>
        <w:numPr>
          <w:ilvl w:val="0"/>
          <w:numId w:val="29"/>
        </w:numPr>
        <w:spacing w:after="120" w:line="360" w:lineRule="auto"/>
        <w:contextualSpacing w:val="0"/>
        <w:jc w:val="both"/>
        <w:rPr>
          <w:rFonts w:ascii="David" w:hAnsi="David" w:cs="David"/>
          <w:sz w:val="24"/>
          <w:szCs w:val="24"/>
        </w:rPr>
      </w:pPr>
      <w:r w:rsidRPr="00842E7C">
        <w:rPr>
          <w:rFonts w:ascii="David" w:hAnsi="David" w:cs="David" w:hint="cs"/>
          <w:sz w:val="24"/>
          <w:szCs w:val="24"/>
          <w:rtl/>
        </w:rPr>
        <w:t>יו"ר ועדת האתיקה המחוזית רשאי שאם מדובר בחשיבות מיוחדת או עניין ציבורי - התלונה תידון בוועדת האתיקה הארצית.</w:t>
      </w:r>
    </w:p>
    <w:p w14:paraId="5BD49BC2" w14:textId="6AD79232" w:rsidR="00842E7C" w:rsidRPr="00842E7C" w:rsidRDefault="00E47488" w:rsidP="00842E7C">
      <w:pPr>
        <w:pStyle w:val="a4"/>
        <w:numPr>
          <w:ilvl w:val="0"/>
          <w:numId w:val="29"/>
        </w:numPr>
        <w:spacing w:after="120" w:line="360" w:lineRule="auto"/>
        <w:contextualSpacing w:val="0"/>
        <w:jc w:val="both"/>
        <w:rPr>
          <w:rFonts w:ascii="David" w:hAnsi="David" w:cs="David"/>
          <w:sz w:val="24"/>
          <w:szCs w:val="24"/>
        </w:rPr>
      </w:pPr>
      <w:r>
        <w:rPr>
          <w:noProof/>
        </w:rPr>
        <w:drawing>
          <wp:anchor distT="0" distB="0" distL="114300" distR="114300" simplePos="0" relativeHeight="251665408" behindDoc="0" locked="0" layoutInCell="1" allowOverlap="1" wp14:anchorId="7DB16B79" wp14:editId="6B107BED">
            <wp:simplePos x="0" y="0"/>
            <wp:positionH relativeFrom="margin">
              <wp:align>left</wp:align>
            </wp:positionH>
            <wp:positionV relativeFrom="paragraph">
              <wp:posOffset>3881755</wp:posOffset>
            </wp:positionV>
            <wp:extent cx="5374640" cy="2256155"/>
            <wp:effectExtent l="0" t="0" r="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881" t="24768" r="57621" b="4554"/>
                    <a:stretch/>
                  </pic:blipFill>
                  <pic:spPr bwMode="auto">
                    <a:xfrm>
                      <a:off x="0" y="0"/>
                      <a:ext cx="5374640" cy="2256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4E59D37" wp14:editId="395C27B1">
            <wp:simplePos x="0" y="0"/>
            <wp:positionH relativeFrom="margin">
              <wp:align>left</wp:align>
            </wp:positionH>
            <wp:positionV relativeFrom="paragraph">
              <wp:posOffset>737235</wp:posOffset>
            </wp:positionV>
            <wp:extent cx="5389880" cy="3005455"/>
            <wp:effectExtent l="0" t="0" r="1270" b="4445"/>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181" t="18347" r="56278" b="5485"/>
                    <a:stretch/>
                  </pic:blipFill>
                  <pic:spPr bwMode="auto">
                    <a:xfrm>
                      <a:off x="0" y="0"/>
                      <a:ext cx="5389880" cy="300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E7C" w:rsidRPr="00842E7C">
        <w:rPr>
          <w:rFonts w:ascii="David" w:hAnsi="David" w:cs="David" w:hint="cs"/>
          <w:sz w:val="24"/>
          <w:szCs w:val="24"/>
          <w:rtl/>
        </w:rPr>
        <w:t xml:space="preserve">ועדת אתיקה מחוזית לא תטפל בתלונה שאחד מצדדיה הוא חבר ועד מחוז או בעל תפקיד במערך הקבילה המחוזית, או במצב אחר של ניגוד עניינים, התלונה תעבור לטיפולה לש ועדת אתיקה מחוזית אחרת, כפי שיקבע יו"ר ועדת האתיקה הארצית. כן, ועדת האתיקה הארצית לא תטפל בתלונה שאחד </w:t>
      </w:r>
      <w:r w:rsidR="00842E7C" w:rsidRPr="00842E7C">
        <w:rPr>
          <w:rFonts w:ascii="David" w:hAnsi="David" w:cs="David" w:hint="cs"/>
          <w:sz w:val="24"/>
          <w:szCs w:val="24"/>
          <w:rtl/>
        </w:rPr>
        <w:lastRenderedPageBreak/>
        <w:t xml:space="preserve">מצדדיה הוא חבר הוועד המרכזי או בעל תפקיד במערך הקבילה הארצי, או בתלונה שיש לגביה מעורבות ישירה של אחד ממלאי התפרידים הנ"ל. הדיון יעבור לוועדת אתיקה  מחוזית אחרת. </w:t>
      </w:r>
    </w:p>
    <w:p w14:paraId="024CA1FB" w14:textId="77777777" w:rsidR="00A03B31" w:rsidRDefault="00A03B31" w:rsidP="00737B47">
      <w:pPr>
        <w:pStyle w:val="a4"/>
        <w:spacing w:after="120" w:line="360" w:lineRule="auto"/>
        <w:ind w:left="-548"/>
        <w:contextualSpacing w:val="0"/>
        <w:jc w:val="both"/>
        <w:rPr>
          <w:rFonts w:ascii="David" w:hAnsi="David" w:cs="David"/>
          <w:b/>
          <w:bCs/>
          <w:sz w:val="24"/>
          <w:szCs w:val="24"/>
          <w:u w:val="single"/>
          <w:rtl/>
        </w:rPr>
      </w:pPr>
      <w:r>
        <w:rPr>
          <w:rFonts w:ascii="David" w:hAnsi="David" w:cs="David" w:hint="cs"/>
          <w:b/>
          <w:bCs/>
          <w:sz w:val="24"/>
          <w:szCs w:val="24"/>
          <w:u w:val="single"/>
          <w:rtl/>
        </w:rPr>
        <w:t>עילות גניזת תלונה - כללי ניגוד עניינים</w:t>
      </w:r>
    </w:p>
    <w:p w14:paraId="50EEBFA6" w14:textId="77777777" w:rsidR="005F539C" w:rsidRDefault="005F539C" w:rsidP="00737B47">
      <w:pPr>
        <w:pStyle w:val="a4"/>
        <w:spacing w:after="120" w:line="360" w:lineRule="auto"/>
        <w:ind w:left="-548"/>
        <w:contextualSpacing w:val="0"/>
        <w:jc w:val="both"/>
        <w:rPr>
          <w:rFonts w:ascii="David" w:hAnsi="David" w:cs="David"/>
          <w:b/>
          <w:bCs/>
          <w:sz w:val="24"/>
          <w:szCs w:val="24"/>
          <w:u w:val="single"/>
          <w:rtl/>
        </w:rPr>
      </w:pPr>
      <w:r>
        <w:rPr>
          <w:rFonts w:ascii="David" w:hAnsi="David" w:cs="David" w:hint="cs"/>
          <w:b/>
          <w:bCs/>
          <w:sz w:val="24"/>
          <w:szCs w:val="24"/>
          <w:u w:val="single"/>
          <w:rtl/>
        </w:rPr>
        <w:t>חמישה נימוקי גניזה עיקריים:</w:t>
      </w:r>
    </w:p>
    <w:p w14:paraId="723B1640" w14:textId="77777777" w:rsidR="005F539C" w:rsidRPr="005F539C" w:rsidRDefault="005F539C" w:rsidP="005F539C">
      <w:pPr>
        <w:pStyle w:val="a4"/>
        <w:numPr>
          <w:ilvl w:val="0"/>
          <w:numId w:val="31"/>
        </w:numPr>
        <w:spacing w:after="120" w:line="360" w:lineRule="auto"/>
        <w:contextualSpacing w:val="0"/>
        <w:jc w:val="both"/>
        <w:rPr>
          <w:rFonts w:ascii="David" w:hAnsi="David" w:cs="David"/>
          <w:sz w:val="24"/>
          <w:szCs w:val="24"/>
        </w:rPr>
      </w:pPr>
      <w:r w:rsidRPr="005F539C">
        <w:rPr>
          <w:rFonts w:ascii="David" w:hAnsi="David" w:cs="David" w:hint="cs"/>
          <w:sz w:val="24"/>
          <w:szCs w:val="24"/>
          <w:rtl/>
        </w:rPr>
        <w:t xml:space="preserve">העדר עניין לציבור (זוטי דברים, עניין ישן ביותר (בתוך עניין לציבור ולא כעילה </w:t>
      </w:r>
      <w:proofErr w:type="spellStart"/>
      <w:r w:rsidRPr="005F539C">
        <w:rPr>
          <w:rFonts w:ascii="David" w:hAnsi="David" w:cs="David" w:hint="cs"/>
          <w:sz w:val="24"/>
          <w:szCs w:val="24"/>
          <w:rtl/>
        </w:rPr>
        <w:t>נפרת</w:t>
      </w:r>
      <w:proofErr w:type="spellEnd"/>
      <w:r w:rsidRPr="005F539C">
        <w:rPr>
          <w:rFonts w:ascii="David" w:hAnsi="David" w:cs="David" w:hint="cs"/>
          <w:sz w:val="24"/>
          <w:szCs w:val="24"/>
          <w:rtl/>
        </w:rPr>
        <w:t xml:space="preserve"> של התיישנות!) הגנה מן הצדק</w:t>
      </w:r>
    </w:p>
    <w:p w14:paraId="5FD18903" w14:textId="77777777" w:rsidR="005F539C" w:rsidRPr="005F539C" w:rsidRDefault="005F539C" w:rsidP="005F539C">
      <w:pPr>
        <w:pStyle w:val="a4"/>
        <w:numPr>
          <w:ilvl w:val="0"/>
          <w:numId w:val="31"/>
        </w:numPr>
        <w:spacing w:after="120" w:line="360" w:lineRule="auto"/>
        <w:contextualSpacing w:val="0"/>
        <w:jc w:val="both"/>
        <w:rPr>
          <w:rFonts w:ascii="David" w:hAnsi="David" w:cs="David"/>
          <w:sz w:val="24"/>
          <w:szCs w:val="24"/>
        </w:rPr>
      </w:pPr>
      <w:r w:rsidRPr="005F539C">
        <w:rPr>
          <w:rFonts w:ascii="David" w:hAnsi="David" w:cs="David" w:hint="cs"/>
          <w:sz w:val="24"/>
          <w:szCs w:val="24"/>
          <w:rtl/>
        </w:rPr>
        <w:t>הע</w:t>
      </w:r>
      <w:r w:rsidR="00FA0927">
        <w:rPr>
          <w:rFonts w:ascii="David" w:hAnsi="David" w:cs="David" w:hint="cs"/>
          <w:sz w:val="24"/>
          <w:szCs w:val="24"/>
          <w:rtl/>
        </w:rPr>
        <w:t>ד</w:t>
      </w:r>
      <w:r w:rsidRPr="005F539C">
        <w:rPr>
          <w:rFonts w:ascii="David" w:hAnsi="David" w:cs="David" w:hint="cs"/>
          <w:sz w:val="24"/>
          <w:szCs w:val="24"/>
          <w:rtl/>
        </w:rPr>
        <w:t>ר ראיות מספיקות</w:t>
      </w:r>
    </w:p>
    <w:p w14:paraId="04822A5C" w14:textId="77777777" w:rsidR="005F539C" w:rsidRPr="005F539C" w:rsidRDefault="005F539C" w:rsidP="005F539C">
      <w:pPr>
        <w:pStyle w:val="a4"/>
        <w:numPr>
          <w:ilvl w:val="0"/>
          <w:numId w:val="31"/>
        </w:numPr>
        <w:spacing w:after="120" w:line="360" w:lineRule="auto"/>
        <w:contextualSpacing w:val="0"/>
        <w:jc w:val="both"/>
        <w:rPr>
          <w:rFonts w:ascii="David" w:hAnsi="David" w:cs="David"/>
          <w:sz w:val="24"/>
          <w:szCs w:val="24"/>
        </w:rPr>
      </w:pPr>
      <w:r w:rsidRPr="005F539C">
        <w:rPr>
          <w:rFonts w:ascii="David" w:hAnsi="David" w:cs="David" w:hint="cs"/>
          <w:sz w:val="24"/>
          <w:szCs w:val="24"/>
          <w:rtl/>
        </w:rPr>
        <w:t>העדר שיתוף פעולה מצד המתלונן</w:t>
      </w:r>
    </w:p>
    <w:p w14:paraId="109FBEFA" w14:textId="77777777" w:rsidR="005F539C" w:rsidRPr="005F539C" w:rsidRDefault="005F539C" w:rsidP="005F539C">
      <w:pPr>
        <w:pStyle w:val="a4"/>
        <w:numPr>
          <w:ilvl w:val="0"/>
          <w:numId w:val="31"/>
        </w:numPr>
        <w:spacing w:after="120" w:line="360" w:lineRule="auto"/>
        <w:contextualSpacing w:val="0"/>
        <w:jc w:val="both"/>
        <w:rPr>
          <w:rFonts w:ascii="David" w:hAnsi="David" w:cs="David"/>
          <w:sz w:val="24"/>
          <w:szCs w:val="24"/>
        </w:rPr>
      </w:pPr>
      <w:r w:rsidRPr="005F539C">
        <w:rPr>
          <w:rFonts w:ascii="David" w:hAnsi="David" w:cs="David" w:hint="cs"/>
          <w:sz w:val="24"/>
          <w:szCs w:val="24"/>
          <w:rtl/>
        </w:rPr>
        <w:t xml:space="preserve">העדר עבירה אתית או שהעניין אינו מתאים לבירור בוועדת האתיקה (למשל: </w:t>
      </w:r>
      <w:r w:rsidR="00F54FFC">
        <w:rPr>
          <w:rFonts w:ascii="David" w:hAnsi="David" w:cs="David" w:hint="cs"/>
          <w:sz w:val="24"/>
          <w:szCs w:val="24"/>
          <w:rtl/>
        </w:rPr>
        <w:t xml:space="preserve">שכנים שמתלוננים על עו"ד שמשמיע מוזיקה עד שעות מאוחרות בלילה). </w:t>
      </w:r>
    </w:p>
    <w:p w14:paraId="5B6E2F19" w14:textId="77777777" w:rsidR="005F539C" w:rsidRDefault="005F539C" w:rsidP="005F539C">
      <w:pPr>
        <w:pStyle w:val="a4"/>
        <w:numPr>
          <w:ilvl w:val="0"/>
          <w:numId w:val="31"/>
        </w:numPr>
        <w:spacing w:after="120" w:line="360" w:lineRule="auto"/>
        <w:contextualSpacing w:val="0"/>
        <w:jc w:val="both"/>
        <w:rPr>
          <w:rFonts w:ascii="David" w:hAnsi="David" w:cs="David"/>
          <w:sz w:val="24"/>
          <w:szCs w:val="24"/>
        </w:rPr>
      </w:pPr>
      <w:r w:rsidRPr="005F539C">
        <w:rPr>
          <w:rFonts w:ascii="David" w:hAnsi="David" w:cs="David" w:hint="cs"/>
          <w:sz w:val="24"/>
          <w:szCs w:val="24"/>
          <w:rtl/>
        </w:rPr>
        <w:t>קיים הליך משפטי תלוי ועומד</w:t>
      </w:r>
      <w:r w:rsidR="009C01A1">
        <w:rPr>
          <w:rFonts w:ascii="David" w:hAnsi="David" w:cs="David" w:hint="cs"/>
          <w:sz w:val="24"/>
          <w:szCs w:val="24"/>
          <w:rtl/>
        </w:rPr>
        <w:t xml:space="preserve"> - לרוב </w:t>
      </w:r>
      <w:proofErr w:type="spellStart"/>
      <w:r w:rsidR="009C01A1">
        <w:rPr>
          <w:rFonts w:ascii="David" w:hAnsi="David" w:cs="David" w:hint="cs"/>
          <w:sz w:val="24"/>
          <w:szCs w:val="24"/>
          <w:rtl/>
        </w:rPr>
        <w:t>נונגע</w:t>
      </w:r>
      <w:proofErr w:type="spellEnd"/>
      <w:r w:rsidR="009C01A1">
        <w:rPr>
          <w:rFonts w:ascii="David" w:hAnsi="David" w:cs="David" w:hint="cs"/>
          <w:sz w:val="24"/>
          <w:szCs w:val="24"/>
          <w:rtl/>
        </w:rPr>
        <w:t xml:space="preserve"> </w:t>
      </w:r>
      <w:proofErr w:type="spellStart"/>
      <w:r w:rsidR="009C01A1">
        <w:rPr>
          <w:rFonts w:ascii="David" w:hAnsi="David" w:cs="David" w:hint="cs"/>
          <w:sz w:val="24"/>
          <w:szCs w:val="24"/>
          <w:rtl/>
        </w:rPr>
        <w:t>לויכוח</w:t>
      </w:r>
      <w:proofErr w:type="spellEnd"/>
      <w:r w:rsidR="009C01A1">
        <w:rPr>
          <w:rFonts w:ascii="David" w:hAnsi="David" w:cs="David" w:hint="cs"/>
          <w:sz w:val="24"/>
          <w:szCs w:val="24"/>
          <w:rtl/>
        </w:rPr>
        <w:t xml:space="preserve"> על שכר טרחה (הכוונה איננה אם מדובר בהליך פלילי) אלא לרוב מדובר בתביעת שכר טרחה או השבת שכר טרחה - וכך וועדת האתיקה לא אוהבת להתערב במקרים כאלה. </w:t>
      </w:r>
    </w:p>
    <w:p w14:paraId="2D11A75A" w14:textId="77777777" w:rsidR="0008690A" w:rsidRPr="0008690A" w:rsidRDefault="0008690A" w:rsidP="0008690A">
      <w:pPr>
        <w:spacing w:after="120" w:line="360" w:lineRule="auto"/>
        <w:ind w:left="-483"/>
        <w:jc w:val="both"/>
        <w:rPr>
          <w:rFonts w:ascii="David" w:hAnsi="David" w:cs="David"/>
          <w:b/>
          <w:bCs/>
          <w:sz w:val="24"/>
          <w:szCs w:val="24"/>
          <w:u w:val="single"/>
          <w:rtl/>
        </w:rPr>
      </w:pPr>
      <w:r w:rsidRPr="0008690A">
        <w:rPr>
          <w:rFonts w:ascii="David" w:hAnsi="David" w:cs="David" w:hint="cs"/>
          <w:b/>
          <w:bCs/>
          <w:sz w:val="24"/>
          <w:szCs w:val="24"/>
          <w:u w:val="single"/>
          <w:rtl/>
        </w:rPr>
        <w:t>איסור טיפול בגלל ניגוד עניינים</w:t>
      </w:r>
    </w:p>
    <w:p w14:paraId="194DF64C" w14:textId="77777777" w:rsidR="0008690A" w:rsidRDefault="0008690A" w:rsidP="0008690A">
      <w:pPr>
        <w:pStyle w:val="a4"/>
        <w:numPr>
          <w:ilvl w:val="0"/>
          <w:numId w:val="32"/>
        </w:numPr>
        <w:spacing w:after="120" w:line="360" w:lineRule="auto"/>
        <w:ind w:left="-199"/>
        <w:jc w:val="both"/>
        <w:rPr>
          <w:rFonts w:ascii="David" w:hAnsi="David" w:cs="David"/>
          <w:sz w:val="24"/>
          <w:szCs w:val="24"/>
        </w:rPr>
      </w:pPr>
      <w:r>
        <w:rPr>
          <w:rFonts w:ascii="David" w:hAnsi="David" w:cs="David" w:hint="cs"/>
          <w:sz w:val="24"/>
          <w:szCs w:val="24"/>
          <w:rtl/>
        </w:rPr>
        <w:t xml:space="preserve">בעל התפקיד היה מעורב בעניין נשוא התלונה בתור בא כוח, בורר, מגשר, עד, יועץ מקצועי, מומחה. </w:t>
      </w:r>
    </w:p>
    <w:p w14:paraId="5EEE89D7" w14:textId="77777777" w:rsidR="0008690A" w:rsidRDefault="0008690A" w:rsidP="0008690A">
      <w:pPr>
        <w:pStyle w:val="a4"/>
        <w:numPr>
          <w:ilvl w:val="0"/>
          <w:numId w:val="32"/>
        </w:numPr>
        <w:spacing w:after="120" w:line="360" w:lineRule="auto"/>
        <w:ind w:left="-199"/>
        <w:jc w:val="both"/>
        <w:rPr>
          <w:rFonts w:ascii="David" w:hAnsi="David" w:cs="David"/>
          <w:sz w:val="24"/>
          <w:szCs w:val="24"/>
        </w:rPr>
      </w:pPr>
      <w:r>
        <w:rPr>
          <w:rFonts w:ascii="David" w:hAnsi="David" w:cs="David" w:hint="cs"/>
          <w:sz w:val="24"/>
          <w:szCs w:val="24"/>
          <w:rtl/>
        </w:rPr>
        <w:t>בעל התפקיד הוא קרוב משפחה או חבר קרוב של אחד הצדדים לתלונה (לקוח/ עורך דין/קולגה וכו'). המבחן לחבר קרוב - הזמנה לאירועים משפחתיים - זה המבחן האובייקטיבי. הזמנה לאירועים משפחתיים</w:t>
      </w:r>
      <w:r w:rsidR="00C646EA">
        <w:rPr>
          <w:rFonts w:ascii="David" w:hAnsi="David" w:cs="David" w:hint="cs"/>
          <w:sz w:val="24"/>
          <w:szCs w:val="24"/>
          <w:rtl/>
        </w:rPr>
        <w:t xml:space="preserve"> - רלוונטי גם לפסילת שופטים למשל. </w:t>
      </w:r>
      <w:r w:rsidR="00DC5171">
        <w:rPr>
          <w:rFonts w:ascii="David" w:hAnsi="David" w:cs="David" w:hint="cs"/>
          <w:sz w:val="24"/>
          <w:szCs w:val="24"/>
          <w:rtl/>
        </w:rPr>
        <w:t xml:space="preserve">לא עצם ההזמנה אלא עצם ההגעה. </w:t>
      </w:r>
    </w:p>
    <w:p w14:paraId="002ADAD8" w14:textId="77777777" w:rsidR="0008690A" w:rsidRDefault="0008690A" w:rsidP="0008690A">
      <w:pPr>
        <w:pStyle w:val="a4"/>
        <w:numPr>
          <w:ilvl w:val="0"/>
          <w:numId w:val="32"/>
        </w:numPr>
        <w:spacing w:after="120" w:line="360" w:lineRule="auto"/>
        <w:ind w:left="-199"/>
        <w:jc w:val="both"/>
        <w:rPr>
          <w:rFonts w:ascii="David" w:hAnsi="David" w:cs="David"/>
          <w:sz w:val="24"/>
          <w:szCs w:val="24"/>
        </w:rPr>
      </w:pPr>
      <w:r>
        <w:rPr>
          <w:rFonts w:ascii="David" w:hAnsi="David" w:cs="David" w:hint="cs"/>
          <w:sz w:val="24"/>
          <w:szCs w:val="24"/>
          <w:rtl/>
        </w:rPr>
        <w:t>התלונה מעוררת שאלות הקשורות לבחירות בלשכת עורכי הדין או לפעילות הנבחרים בה, ובעל התפקיד מעורב בעצמו בבחירות או שהוא נבחר ציבור המעורב באותה פעילות</w:t>
      </w:r>
      <w:r w:rsidR="00DC5171">
        <w:rPr>
          <w:rFonts w:ascii="David" w:hAnsi="David" w:cs="David" w:hint="cs"/>
          <w:sz w:val="24"/>
          <w:szCs w:val="24"/>
          <w:rtl/>
        </w:rPr>
        <w:t xml:space="preserve"> - </w:t>
      </w:r>
    </w:p>
    <w:p w14:paraId="071A4CDD" w14:textId="77777777" w:rsidR="0008690A" w:rsidRDefault="0008690A" w:rsidP="0008690A">
      <w:pPr>
        <w:pStyle w:val="a4"/>
        <w:numPr>
          <w:ilvl w:val="0"/>
          <w:numId w:val="32"/>
        </w:numPr>
        <w:spacing w:after="120" w:line="360" w:lineRule="auto"/>
        <w:ind w:left="-199"/>
        <w:jc w:val="both"/>
        <w:rPr>
          <w:rFonts w:ascii="David" w:hAnsi="David" w:cs="David"/>
          <w:sz w:val="24"/>
          <w:szCs w:val="24"/>
        </w:rPr>
      </w:pPr>
      <w:r>
        <w:rPr>
          <w:rFonts w:ascii="David" w:hAnsi="David" w:cs="David" w:hint="cs"/>
          <w:sz w:val="24"/>
          <w:szCs w:val="24"/>
          <w:rtl/>
        </w:rPr>
        <w:t xml:space="preserve">אחד הצדדים לתלונה הוא לקוח של בעל התפקיד, </w:t>
      </w:r>
      <w:r w:rsidR="00DC5171">
        <w:rPr>
          <w:rFonts w:ascii="David" w:hAnsi="David" w:cs="David" w:hint="cs"/>
          <w:sz w:val="24"/>
          <w:szCs w:val="24"/>
          <w:rtl/>
        </w:rPr>
        <w:t>ה</w:t>
      </w:r>
      <w:r>
        <w:rPr>
          <w:rFonts w:ascii="David" w:hAnsi="David" w:cs="David" w:hint="cs"/>
          <w:sz w:val="24"/>
          <w:szCs w:val="24"/>
          <w:rtl/>
        </w:rPr>
        <w:t>וא שהיה לקוחו ב-5 השנים האחרונ</w:t>
      </w:r>
      <w:r w:rsidR="00DC5171">
        <w:rPr>
          <w:rFonts w:ascii="David" w:hAnsi="David" w:cs="David" w:hint="cs"/>
          <w:sz w:val="24"/>
          <w:szCs w:val="24"/>
          <w:rtl/>
        </w:rPr>
        <w:t xml:space="preserve">ות. 5 השנים אלה תקופת ההמתנה - מעין תקופת צינון. </w:t>
      </w:r>
    </w:p>
    <w:p w14:paraId="17037D33" w14:textId="77777777" w:rsidR="0008690A" w:rsidRDefault="0008690A" w:rsidP="0008690A">
      <w:pPr>
        <w:pStyle w:val="a4"/>
        <w:numPr>
          <w:ilvl w:val="0"/>
          <w:numId w:val="32"/>
        </w:numPr>
        <w:spacing w:after="120" w:line="360" w:lineRule="auto"/>
        <w:ind w:left="-199"/>
        <w:jc w:val="both"/>
        <w:rPr>
          <w:rFonts w:ascii="David" w:hAnsi="David" w:cs="David"/>
          <w:sz w:val="24"/>
          <w:szCs w:val="24"/>
        </w:rPr>
      </w:pPr>
      <w:r>
        <w:rPr>
          <w:rFonts w:ascii="David" w:hAnsi="David" w:cs="David" w:hint="cs"/>
          <w:sz w:val="24"/>
          <w:szCs w:val="24"/>
          <w:rtl/>
        </w:rPr>
        <w:t xml:space="preserve">אחד הצדדים לתלונה מועסק במשרד בו פועל בעל התפקיד, או היה מועסק שם ב-3 השנים האחרונות. </w:t>
      </w:r>
      <w:r w:rsidR="00DC5171">
        <w:rPr>
          <w:rFonts w:ascii="David" w:hAnsi="David" w:cs="David" w:hint="cs"/>
          <w:sz w:val="24"/>
          <w:szCs w:val="24"/>
          <w:rtl/>
        </w:rPr>
        <w:t xml:space="preserve">- תקופת צינון קצרה יותר, רק מועסק באותו משרד, לכן הוא רק שלוש שנים. </w:t>
      </w:r>
    </w:p>
    <w:p w14:paraId="7BE6D73E" w14:textId="77777777" w:rsidR="00DC5171" w:rsidRPr="00BF4509" w:rsidRDefault="00BF4509" w:rsidP="00B33D7D">
      <w:pPr>
        <w:spacing w:after="120" w:line="360" w:lineRule="auto"/>
        <w:ind w:left="-625"/>
        <w:jc w:val="both"/>
        <w:rPr>
          <w:rFonts w:ascii="David" w:hAnsi="David" w:cs="David"/>
          <w:sz w:val="24"/>
          <w:szCs w:val="24"/>
          <w:rtl/>
        </w:rPr>
      </w:pPr>
      <w:r>
        <w:rPr>
          <w:noProof/>
        </w:rPr>
        <w:drawing>
          <wp:anchor distT="0" distB="0" distL="114300" distR="114300" simplePos="0" relativeHeight="251667456" behindDoc="0" locked="0" layoutInCell="1" allowOverlap="1" wp14:anchorId="1E60844A" wp14:editId="77BFCF11">
            <wp:simplePos x="0" y="0"/>
            <wp:positionH relativeFrom="column">
              <wp:posOffset>32385</wp:posOffset>
            </wp:positionH>
            <wp:positionV relativeFrom="paragraph">
              <wp:posOffset>6985</wp:posOffset>
            </wp:positionV>
            <wp:extent cx="2524125" cy="1460500"/>
            <wp:effectExtent l="0" t="0" r="9525" b="635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4385" r="51367"/>
                    <a:stretch/>
                  </pic:blipFill>
                  <pic:spPr bwMode="auto">
                    <a:xfrm>
                      <a:off x="0" y="0"/>
                      <a:ext cx="2524125" cy="146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171" w:rsidRPr="00B33D7D">
        <w:rPr>
          <w:rFonts w:ascii="David" w:hAnsi="David" w:cs="David" w:hint="cs"/>
          <w:b/>
          <w:bCs/>
          <w:sz w:val="24"/>
          <w:szCs w:val="24"/>
          <w:rtl/>
        </w:rPr>
        <w:t>תרשים הזרימה המסכם</w:t>
      </w:r>
      <w:r w:rsidR="00DC5171">
        <w:rPr>
          <w:rFonts w:ascii="David" w:hAnsi="David" w:cs="David" w:hint="cs"/>
          <w:sz w:val="24"/>
          <w:szCs w:val="24"/>
          <w:rtl/>
        </w:rPr>
        <w:t xml:space="preserve">: התלונה מגיעה לוועדת האתיקה המחוזית (למעט המקרים הנדירים, פחות מאחוז שהולך לוועדה הארצית) - וועדת האתיקה הארצית יכולה לגנוז מידית את התלונה או שהיא יכולה לבקש דרישת תגובה (אם </w:t>
      </w:r>
      <w:proofErr w:type="spellStart"/>
      <w:r w:rsidR="00DC5171">
        <w:rPr>
          <w:rFonts w:ascii="David" w:hAnsi="David" w:cs="David" w:hint="cs"/>
          <w:sz w:val="24"/>
          <w:szCs w:val="24"/>
          <w:rtl/>
        </w:rPr>
        <w:t>הנילון</w:t>
      </w:r>
      <w:proofErr w:type="spellEnd"/>
      <w:r w:rsidR="00DC5171">
        <w:rPr>
          <w:rFonts w:ascii="David" w:hAnsi="David" w:cs="David" w:hint="cs"/>
          <w:sz w:val="24"/>
          <w:szCs w:val="24"/>
          <w:rtl/>
        </w:rPr>
        <w:t xml:space="preserve"> איננו נענה לה, זו כשלעצמה עבירה אתית, וגם אחרי דרישת התגובה, הוועדה יכולה לגנזו את התלונה, </w:t>
      </w:r>
      <w:proofErr w:type="spellStart"/>
      <w:r w:rsidR="00DC5171">
        <w:rPr>
          <w:rFonts w:ascii="David" w:hAnsi="David" w:cs="David" w:hint="cs"/>
          <w:sz w:val="24"/>
          <w:szCs w:val="24"/>
          <w:rtl/>
        </w:rPr>
        <w:t>אוא</w:t>
      </w:r>
      <w:proofErr w:type="spellEnd"/>
      <w:r w:rsidR="00DC5171">
        <w:rPr>
          <w:rFonts w:ascii="David" w:hAnsi="David" w:cs="David" w:hint="cs"/>
          <w:sz w:val="24"/>
          <w:szCs w:val="24"/>
          <w:rtl/>
        </w:rPr>
        <w:t xml:space="preserve"> שהיא יכולה להגיש קובלה (היא יכולה לגנוז את התלונה בלי תגובה, אבל בשביל להגיש קובלנה היא חייבת לקבל את דרישת התגובה. אם היא החליטה לגנוז את התלונה, הפונה יכול לפנות לוועדת האתיקה הארצית כקובל נוסף (לא ערעור) וועדת האתיקה בעצמה יכולה להגיש קובלנה.</w:t>
      </w:r>
      <w:r w:rsidRPr="00BF4509">
        <w:rPr>
          <w:noProof/>
        </w:rPr>
        <w:t xml:space="preserve"> </w:t>
      </w:r>
    </w:p>
    <w:p w14:paraId="61DC72A6" w14:textId="77777777" w:rsidR="00DC5171" w:rsidRDefault="00DC5171" w:rsidP="00B33D7D">
      <w:pPr>
        <w:spacing w:after="120" w:line="360" w:lineRule="auto"/>
        <w:ind w:left="-625"/>
        <w:jc w:val="both"/>
        <w:rPr>
          <w:rFonts w:ascii="David" w:hAnsi="David" w:cs="David"/>
          <w:sz w:val="24"/>
          <w:szCs w:val="24"/>
          <w:rtl/>
        </w:rPr>
      </w:pPr>
      <w:r w:rsidRPr="00B33D7D">
        <w:rPr>
          <w:b/>
          <w:bCs/>
          <w:noProof/>
        </w:rPr>
        <w:lastRenderedPageBreak/>
        <w:drawing>
          <wp:anchor distT="0" distB="0" distL="114300" distR="114300" simplePos="0" relativeHeight="251666432" behindDoc="0" locked="0" layoutInCell="1" allowOverlap="1" wp14:anchorId="1477A442" wp14:editId="4CE52CCD">
            <wp:simplePos x="0" y="0"/>
            <wp:positionH relativeFrom="margin">
              <wp:align>left</wp:align>
            </wp:positionH>
            <wp:positionV relativeFrom="paragraph">
              <wp:posOffset>46333</wp:posOffset>
            </wp:positionV>
            <wp:extent cx="1756410" cy="1009650"/>
            <wp:effectExtent l="0" t="0" r="0"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2717" t="20181" r="3968" b="21564"/>
                    <a:stretch/>
                  </pic:blipFill>
                  <pic:spPr bwMode="auto">
                    <a:xfrm>
                      <a:off x="0" y="0"/>
                      <a:ext cx="175641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3D7D">
        <w:rPr>
          <w:rFonts w:ascii="David" w:hAnsi="David" w:cs="David" w:hint="cs"/>
          <w:b/>
          <w:bCs/>
          <w:sz w:val="24"/>
          <w:szCs w:val="24"/>
          <w:rtl/>
        </w:rPr>
        <w:t>אם הוגשה קובלנה:</w:t>
      </w:r>
      <w:r>
        <w:rPr>
          <w:rFonts w:ascii="David" w:hAnsi="David" w:cs="David" w:hint="cs"/>
          <w:sz w:val="24"/>
          <w:szCs w:val="24"/>
          <w:rtl/>
        </w:rPr>
        <w:t xml:space="preserve"> מוגשת לבית הדין המשמעתי המחוזי ל(להיכן שנמצא המשרד לש עורך הדין לרוב), </w:t>
      </w:r>
      <w:proofErr w:type="spellStart"/>
      <w:r>
        <w:rPr>
          <w:rFonts w:ascii="David" w:hAnsi="David" w:cs="David" w:hint="cs"/>
          <w:sz w:val="24"/>
          <w:szCs w:val="24"/>
          <w:rtl/>
        </w:rPr>
        <w:t>הערערר</w:t>
      </w:r>
      <w:proofErr w:type="spellEnd"/>
      <w:r>
        <w:rPr>
          <w:rFonts w:ascii="David" w:hAnsi="David" w:cs="David" w:hint="cs"/>
          <w:sz w:val="24"/>
          <w:szCs w:val="24"/>
          <w:rtl/>
        </w:rPr>
        <w:t xml:space="preserve"> הוא לבית הדין המשמעתי הארצי, ואחר מכן ערכאת הערעור הא בית המשפט המחוזי לירושלים, ויכול לפנות בערעור ברשות לבית המשפט העליון - העליון בפס"ד חניוני חיפה נתן פרשנות מאוד מצמצמת. </w:t>
      </w:r>
    </w:p>
    <w:p w14:paraId="61273BF8" w14:textId="77777777" w:rsidR="007E7940" w:rsidRPr="007E7940" w:rsidRDefault="007E7940" w:rsidP="007E7940">
      <w:pPr>
        <w:spacing w:after="120" w:line="360" w:lineRule="auto"/>
        <w:jc w:val="center"/>
        <w:rPr>
          <w:rFonts w:ascii="David" w:hAnsi="David" w:cs="David"/>
          <w:b/>
          <w:bCs/>
          <w:color w:val="FFC000" w:themeColor="accent4"/>
          <w:sz w:val="24"/>
          <w:szCs w:val="24"/>
          <w:u w:val="single"/>
          <w:rtl/>
        </w:rPr>
      </w:pPr>
      <w:r w:rsidRPr="007E7940">
        <w:rPr>
          <w:rFonts w:ascii="David" w:hAnsi="David" w:cs="David" w:hint="cs"/>
          <w:b/>
          <w:bCs/>
          <w:color w:val="FFC000" w:themeColor="accent4"/>
          <w:sz w:val="24"/>
          <w:szCs w:val="24"/>
          <w:u w:val="single"/>
          <w:rtl/>
        </w:rPr>
        <w:t>נושא 9 לסילבוס: הרפורמה של לשכת עורכי הדין</w:t>
      </w:r>
    </w:p>
    <w:p w14:paraId="393487FD" w14:textId="77777777" w:rsidR="00DC5171" w:rsidRPr="00B33D7D" w:rsidRDefault="00DC5171" w:rsidP="007E7940">
      <w:pPr>
        <w:spacing w:after="120" w:line="360" w:lineRule="auto"/>
        <w:ind w:left="-625"/>
        <w:jc w:val="both"/>
        <w:rPr>
          <w:rFonts w:ascii="David" w:hAnsi="David" w:cs="David"/>
          <w:b/>
          <w:bCs/>
          <w:sz w:val="24"/>
          <w:szCs w:val="24"/>
          <w:rtl/>
        </w:rPr>
      </w:pPr>
      <w:r w:rsidRPr="00B33D7D">
        <w:rPr>
          <w:rFonts w:ascii="David" w:hAnsi="David" w:cs="David" w:hint="cs"/>
          <w:b/>
          <w:bCs/>
          <w:sz w:val="24"/>
          <w:szCs w:val="24"/>
          <w:rtl/>
        </w:rPr>
        <w:t>הביקורת על ההליך המשמעתי והלשכה</w:t>
      </w:r>
    </w:p>
    <w:p w14:paraId="2F51C828" w14:textId="77777777" w:rsidR="00DC5171" w:rsidRDefault="00DC5171" w:rsidP="007E7940">
      <w:pPr>
        <w:spacing w:after="120" w:line="360" w:lineRule="auto"/>
        <w:ind w:left="-625"/>
        <w:jc w:val="both"/>
        <w:rPr>
          <w:rFonts w:ascii="David" w:hAnsi="David" w:cs="David"/>
          <w:sz w:val="24"/>
          <w:szCs w:val="24"/>
          <w:rtl/>
        </w:rPr>
      </w:pPr>
      <w:r>
        <w:rPr>
          <w:rFonts w:ascii="David" w:hAnsi="David" w:cs="David" w:hint="cs"/>
          <w:sz w:val="24"/>
          <w:szCs w:val="24"/>
          <w:rtl/>
        </w:rPr>
        <w:t>אחוז התלונות שהופכות לקובלנות וודאי שלהרשעות הן אחוז מאוד נמוך - מה שהביא להרבה ביקורת מימין ומשמאל:</w:t>
      </w:r>
    </w:p>
    <w:p w14:paraId="6F7878CD" w14:textId="77777777" w:rsidR="00DC5171" w:rsidRDefault="00DC5171" w:rsidP="007E7940">
      <w:pPr>
        <w:pStyle w:val="a4"/>
        <w:numPr>
          <w:ilvl w:val="0"/>
          <w:numId w:val="33"/>
        </w:numPr>
        <w:spacing w:after="120" w:line="360" w:lineRule="auto"/>
        <w:ind w:left="-483"/>
        <w:jc w:val="both"/>
        <w:rPr>
          <w:rFonts w:ascii="David" w:hAnsi="David" w:cs="David"/>
          <w:sz w:val="24"/>
          <w:szCs w:val="24"/>
        </w:rPr>
      </w:pPr>
      <w:r>
        <w:rPr>
          <w:rFonts w:ascii="David" w:hAnsi="David" w:cs="David" w:hint="cs"/>
          <w:sz w:val="24"/>
          <w:szCs w:val="24"/>
          <w:rtl/>
        </w:rPr>
        <w:t>האקדמיה הישראלית מושפעת מאוד מהאקדמיה האמריקאית, הביקורת התמקדה בשלושה תחומים:</w:t>
      </w:r>
    </w:p>
    <w:p w14:paraId="7BBF3B3E" w14:textId="77777777" w:rsidR="00DC5171" w:rsidRDefault="00DC5171" w:rsidP="007E7940">
      <w:pPr>
        <w:pStyle w:val="a4"/>
        <w:numPr>
          <w:ilvl w:val="1"/>
          <w:numId w:val="33"/>
        </w:numPr>
        <w:spacing w:after="120" w:line="360" w:lineRule="auto"/>
        <w:ind w:left="-199"/>
        <w:jc w:val="both"/>
        <w:rPr>
          <w:rFonts w:ascii="David" w:hAnsi="David" w:cs="David"/>
          <w:sz w:val="24"/>
          <w:szCs w:val="24"/>
        </w:rPr>
      </w:pPr>
      <w:r w:rsidRPr="0019409D">
        <w:rPr>
          <w:rFonts w:ascii="David" w:hAnsi="David" w:cs="David" w:hint="cs"/>
          <w:b/>
          <w:bCs/>
          <w:sz w:val="24"/>
          <w:szCs w:val="24"/>
          <w:rtl/>
        </w:rPr>
        <w:t>בחירת הדיינים -</w:t>
      </w:r>
      <w:r>
        <w:rPr>
          <w:rFonts w:ascii="David" w:hAnsi="David" w:cs="David" w:hint="cs"/>
          <w:sz w:val="24"/>
          <w:szCs w:val="24"/>
          <w:rtl/>
        </w:rPr>
        <w:t xml:space="preserve"> הדיינים נתמנו דרך ועד המחוז, שהוא גוף פוליטי שנזקק לקולותיהם של עורכי הדין בשביל לה</w:t>
      </w:r>
      <w:r w:rsidR="00B33D7D">
        <w:rPr>
          <w:rFonts w:ascii="David" w:hAnsi="David" w:cs="David" w:hint="cs"/>
          <w:sz w:val="24"/>
          <w:szCs w:val="24"/>
          <w:rtl/>
        </w:rPr>
        <w:t>י</w:t>
      </w:r>
      <w:r>
        <w:rPr>
          <w:rFonts w:ascii="David" w:hAnsi="David" w:cs="David" w:hint="cs"/>
          <w:sz w:val="24"/>
          <w:szCs w:val="24"/>
          <w:rtl/>
        </w:rPr>
        <w:t>בחר. הביקורת אומרת שגוף שיפוטי שמורכב רק מעורכי דין, הנטייה שלו תהיה להעדיף את טובתם של עורכי הדין</w:t>
      </w:r>
      <w:r w:rsidR="00196324">
        <w:rPr>
          <w:rFonts w:ascii="David" w:hAnsi="David" w:cs="David" w:hint="cs"/>
          <w:sz w:val="24"/>
          <w:szCs w:val="24"/>
          <w:rtl/>
        </w:rPr>
        <w:t xml:space="preserve">. </w:t>
      </w:r>
      <w:r>
        <w:rPr>
          <w:rFonts w:ascii="David" w:hAnsi="David" w:cs="David" w:hint="cs"/>
          <w:sz w:val="24"/>
          <w:szCs w:val="24"/>
          <w:rtl/>
        </w:rPr>
        <w:t xml:space="preserve"> 1302/96 סיעת עצמאות נ' לשכת עורכי הדין - </w:t>
      </w:r>
      <w:r w:rsidR="00B33D7D">
        <w:rPr>
          <w:rFonts w:ascii="David" w:hAnsi="David" w:cs="David" w:hint="cs"/>
          <w:sz w:val="24"/>
          <w:szCs w:val="24"/>
          <w:rtl/>
        </w:rPr>
        <w:t>שם עלתה ביקורת רבה על דרך בחירת הדיינים.</w:t>
      </w:r>
    </w:p>
    <w:p w14:paraId="7250B394" w14:textId="77777777" w:rsidR="00B33D7D" w:rsidRDefault="00B33D7D" w:rsidP="007E7940">
      <w:pPr>
        <w:pStyle w:val="a4"/>
        <w:numPr>
          <w:ilvl w:val="1"/>
          <w:numId w:val="33"/>
        </w:numPr>
        <w:spacing w:after="120" w:line="360" w:lineRule="auto"/>
        <w:ind w:left="-199"/>
        <w:jc w:val="both"/>
        <w:rPr>
          <w:rFonts w:ascii="David" w:hAnsi="David" w:cs="David"/>
          <w:sz w:val="24"/>
          <w:szCs w:val="24"/>
        </w:rPr>
      </w:pPr>
      <w:r w:rsidRPr="00B33D7D">
        <w:rPr>
          <w:rFonts w:ascii="David" w:hAnsi="David" w:cs="David" w:hint="cs"/>
          <w:b/>
          <w:bCs/>
          <w:sz w:val="24"/>
          <w:szCs w:val="24"/>
          <w:rtl/>
        </w:rPr>
        <w:t>הכללת נציג הציבור בין חברי בית הדין -</w:t>
      </w:r>
      <w:r>
        <w:rPr>
          <w:rFonts w:ascii="David" w:hAnsi="David" w:cs="David" w:hint="cs"/>
          <w:sz w:val="24"/>
          <w:szCs w:val="24"/>
          <w:rtl/>
        </w:rPr>
        <w:t xml:space="preserve"> נציג ציבור שאיננו עורך דין - אדם מן היישוב. הייתה ביקורת על כך שבארץ אין נציג ציבור בין עורכי הדין ששומרים על עצמם</w:t>
      </w:r>
    </w:p>
    <w:p w14:paraId="1D0630ED" w14:textId="77777777" w:rsidR="00B33D7D" w:rsidRPr="00DC5171" w:rsidRDefault="00B33D7D" w:rsidP="007E7940">
      <w:pPr>
        <w:pStyle w:val="a4"/>
        <w:numPr>
          <w:ilvl w:val="1"/>
          <w:numId w:val="33"/>
        </w:numPr>
        <w:spacing w:after="120" w:line="360" w:lineRule="auto"/>
        <w:ind w:left="-199"/>
        <w:jc w:val="both"/>
        <w:rPr>
          <w:rFonts w:ascii="David" w:hAnsi="David" w:cs="David"/>
          <w:sz w:val="24"/>
          <w:szCs w:val="24"/>
          <w:rtl/>
        </w:rPr>
      </w:pPr>
      <w:r w:rsidRPr="00B33D7D">
        <w:rPr>
          <w:rFonts w:ascii="David" w:hAnsi="David" w:cs="David" w:hint="cs"/>
          <w:b/>
          <w:bCs/>
          <w:sz w:val="24"/>
          <w:szCs w:val="24"/>
          <w:rtl/>
        </w:rPr>
        <w:t>פומביות הדיון  -</w:t>
      </w:r>
      <w:r>
        <w:rPr>
          <w:rFonts w:ascii="David" w:hAnsi="David" w:cs="David" w:hint="cs"/>
          <w:sz w:val="24"/>
          <w:szCs w:val="24"/>
          <w:rtl/>
        </w:rPr>
        <w:t xml:space="preserve"> עד שנת 2000 הדיון לא היה פומבי לכן התחושה הייתה שנעשו דברים שפוגעים בציבור. ניסו לתקוף את העניין בשמחה ניר נ' לשכת עורכי הדין 484/86. </w:t>
      </w:r>
    </w:p>
    <w:p w14:paraId="118FA6D4" w14:textId="77777777" w:rsidR="00A03B31" w:rsidRPr="007E7940" w:rsidRDefault="007E7940" w:rsidP="00737B47">
      <w:pPr>
        <w:pStyle w:val="a4"/>
        <w:spacing w:after="120" w:line="360" w:lineRule="auto"/>
        <w:ind w:left="-548"/>
        <w:contextualSpacing w:val="0"/>
        <w:jc w:val="both"/>
        <w:rPr>
          <w:rFonts w:ascii="David" w:hAnsi="David" w:cs="David"/>
          <w:b/>
          <w:bCs/>
          <w:color w:val="538135" w:themeColor="accent6" w:themeShade="BF"/>
          <w:sz w:val="24"/>
          <w:szCs w:val="24"/>
          <w:u w:val="single"/>
          <w:rtl/>
        </w:rPr>
      </w:pPr>
      <w:r w:rsidRPr="007E7940">
        <w:rPr>
          <w:rFonts w:ascii="David" w:hAnsi="David" w:cs="David" w:hint="cs"/>
          <w:b/>
          <w:bCs/>
          <w:color w:val="538135" w:themeColor="accent6" w:themeShade="BF"/>
          <w:sz w:val="24"/>
          <w:szCs w:val="24"/>
          <w:u w:val="single"/>
          <w:rtl/>
        </w:rPr>
        <w:t>קריאה</w:t>
      </w:r>
    </w:p>
    <w:p w14:paraId="4EFFC55E" w14:textId="77777777" w:rsidR="00B33D7D" w:rsidRDefault="00B33D7D" w:rsidP="00B33D7D">
      <w:pPr>
        <w:pStyle w:val="a4"/>
        <w:numPr>
          <w:ilvl w:val="0"/>
          <w:numId w:val="34"/>
        </w:numPr>
        <w:spacing w:after="120" w:line="360" w:lineRule="auto"/>
        <w:contextualSpacing w:val="0"/>
        <w:jc w:val="both"/>
        <w:rPr>
          <w:rFonts w:ascii="David" w:hAnsi="David" w:cs="David"/>
          <w:b/>
          <w:bCs/>
          <w:sz w:val="24"/>
          <w:szCs w:val="24"/>
          <w:highlight w:val="yellow"/>
          <w:u w:val="single"/>
        </w:rPr>
      </w:pPr>
      <w:proofErr w:type="spellStart"/>
      <w:r w:rsidRPr="00583643">
        <w:rPr>
          <w:rFonts w:ascii="David" w:hAnsi="David" w:cs="David" w:hint="cs"/>
          <w:b/>
          <w:bCs/>
          <w:sz w:val="24"/>
          <w:szCs w:val="24"/>
          <w:highlight w:val="yellow"/>
          <w:u w:val="single"/>
          <w:rtl/>
        </w:rPr>
        <w:t>על"ע</w:t>
      </w:r>
      <w:proofErr w:type="spellEnd"/>
      <w:r w:rsidRPr="00583643">
        <w:rPr>
          <w:rFonts w:ascii="David" w:hAnsi="David" w:cs="David" w:hint="cs"/>
          <w:b/>
          <w:bCs/>
          <w:sz w:val="24"/>
          <w:szCs w:val="24"/>
          <w:highlight w:val="yellow"/>
          <w:u w:val="single"/>
          <w:rtl/>
        </w:rPr>
        <w:t xml:space="preserve"> (י-ם) 19/08 עו"ד עדי </w:t>
      </w:r>
      <w:proofErr w:type="spellStart"/>
      <w:r w:rsidRPr="00583643">
        <w:rPr>
          <w:rFonts w:ascii="David" w:hAnsi="David" w:cs="David" w:hint="cs"/>
          <w:b/>
          <w:bCs/>
          <w:sz w:val="24"/>
          <w:szCs w:val="24"/>
          <w:highlight w:val="yellow"/>
          <w:u w:val="single"/>
          <w:rtl/>
        </w:rPr>
        <w:t>דאמנט</w:t>
      </w:r>
      <w:proofErr w:type="spellEnd"/>
      <w:r w:rsidRPr="00583643">
        <w:rPr>
          <w:rFonts w:ascii="David" w:hAnsi="David" w:cs="David" w:hint="cs"/>
          <w:b/>
          <w:bCs/>
          <w:sz w:val="24"/>
          <w:szCs w:val="24"/>
          <w:highlight w:val="yellow"/>
          <w:u w:val="single"/>
          <w:rtl/>
        </w:rPr>
        <w:t xml:space="preserve"> נ' לשכת עו"ד - ועד מחוז חיפה</w:t>
      </w:r>
    </w:p>
    <w:p w14:paraId="45438363" w14:textId="77777777" w:rsidR="00AD3FC9" w:rsidRPr="00AD3FC9" w:rsidRDefault="00AD3FC9" w:rsidP="00AD3FC9">
      <w:pPr>
        <w:shd w:val="clear" w:color="auto" w:fill="FFFFFF"/>
        <w:spacing w:before="120" w:after="0" w:line="360" w:lineRule="auto"/>
        <w:ind w:left="-483"/>
        <w:jc w:val="both"/>
        <w:rPr>
          <w:rFonts w:ascii="David" w:eastAsia="Times New Roman" w:hAnsi="David" w:cs="David"/>
          <w:color w:val="000000"/>
          <w:sz w:val="24"/>
          <w:szCs w:val="24"/>
        </w:rPr>
      </w:pPr>
      <w:r w:rsidRPr="00AD3FC9">
        <w:rPr>
          <w:rFonts w:ascii="FrankRuehl" w:eastAsia="Times New Roman" w:hAnsi="FrankRuehl" w:cs="FrankRuehl"/>
          <w:color w:val="000000"/>
          <w:sz w:val="26"/>
          <w:szCs w:val="26"/>
          <w:rtl/>
        </w:rPr>
        <w:t> </w:t>
      </w:r>
      <w:r w:rsidRPr="00AD3FC9">
        <w:rPr>
          <w:rFonts w:ascii="David" w:eastAsia="Times New Roman" w:hAnsi="David" w:cs="David"/>
          <w:color w:val="000000"/>
          <w:sz w:val="24"/>
          <w:szCs w:val="24"/>
          <w:rtl/>
        </w:rPr>
        <w:t>בימ"ש המחוזי דחה את ערעור המערער על פס"ד של ביה"ד המשמעתי הארצי של לשכת עוה"ד בו הושעה המערער בפועל ל-3 חודשים. בימ"ש פסק כי ביה"ד הארצי איזן נכונה את מכלול השיקולים הנדרשים, העונש שהוטל מאוזן וראוי ואינו חמור במידה המצדיקה את התערבותו.</w:t>
      </w:r>
    </w:p>
    <w:p w14:paraId="4A143771" w14:textId="77777777" w:rsidR="00AD3FC9" w:rsidRPr="00AD3FC9" w:rsidRDefault="00AD3FC9" w:rsidP="00AD3FC9">
      <w:pPr>
        <w:shd w:val="clear" w:color="auto" w:fill="FFFFFF"/>
        <w:spacing w:before="120" w:after="0" w:line="360" w:lineRule="auto"/>
        <w:ind w:left="-483"/>
        <w:jc w:val="both"/>
        <w:rPr>
          <w:rFonts w:ascii="David" w:eastAsia="Times New Roman" w:hAnsi="David" w:cs="David"/>
          <w:color w:val="000000"/>
          <w:sz w:val="24"/>
          <w:szCs w:val="24"/>
          <w:rtl/>
        </w:rPr>
      </w:pPr>
      <w:r w:rsidRPr="00AD3FC9">
        <w:rPr>
          <w:rFonts w:ascii="David" w:eastAsia="Times New Roman" w:hAnsi="David" w:cs="David"/>
          <w:color w:val="000000"/>
          <w:sz w:val="24"/>
          <w:szCs w:val="24"/>
          <w:rtl/>
        </w:rPr>
        <w:t>ערעור המערער על פס"ד של ביה"ד המשמעתי הארצי של לשכת עוה"ד (להלן: ביה"ד הארצי) במסגרתו נגזר על המערער עונש של השעיה בפועל לשלושה חודשים. כן הותר על כנו עונש השעיה על תנאי ל-12 חודשים שנגזר על המערער בביה"ד המשמעתי המחוזי. הרקע למתן פסה"ד הנו קובלנה המייחסת למערער עבירות משמעתיות של אי שמירה על כבוד מקצוע עריכת הדין, התנהגות שאינה הולמת את מקצוע עריכת הדין וחוסר נאמנות ומסירות ללקוח.</w:t>
      </w:r>
    </w:p>
    <w:p w14:paraId="049FD906" w14:textId="77777777" w:rsidR="00AD3FC9" w:rsidRPr="00AD3FC9" w:rsidRDefault="00AD3FC9" w:rsidP="00AD3FC9">
      <w:pPr>
        <w:shd w:val="clear" w:color="auto" w:fill="FFFFFF"/>
        <w:spacing w:before="120" w:after="0" w:line="360" w:lineRule="auto"/>
        <w:ind w:left="-483"/>
        <w:jc w:val="both"/>
        <w:rPr>
          <w:rFonts w:ascii="David" w:eastAsia="Times New Roman" w:hAnsi="David" w:cs="David"/>
          <w:color w:val="000000"/>
          <w:sz w:val="24"/>
          <w:szCs w:val="24"/>
          <w:rtl/>
        </w:rPr>
      </w:pPr>
      <w:r w:rsidRPr="00AD3FC9">
        <w:rPr>
          <w:rFonts w:ascii="David" w:eastAsia="Times New Roman" w:hAnsi="David" w:cs="David"/>
          <w:color w:val="000000"/>
          <w:sz w:val="24"/>
          <w:szCs w:val="24"/>
          <w:rtl/>
        </w:rPr>
        <w:t>בית המשפט המחוזי דחה את הערעור ופסק כי:</w:t>
      </w:r>
    </w:p>
    <w:p w14:paraId="03556F09" w14:textId="77777777" w:rsidR="00AD3FC9" w:rsidRPr="00AD3FC9" w:rsidRDefault="00AD3FC9" w:rsidP="00AD3FC9">
      <w:pPr>
        <w:shd w:val="clear" w:color="auto" w:fill="FFFFFF"/>
        <w:spacing w:before="120" w:after="0" w:line="360" w:lineRule="auto"/>
        <w:ind w:left="-483"/>
        <w:jc w:val="both"/>
        <w:rPr>
          <w:rFonts w:ascii="David" w:eastAsia="Times New Roman" w:hAnsi="David" w:cs="David"/>
          <w:color w:val="000000"/>
          <w:sz w:val="24"/>
          <w:szCs w:val="24"/>
          <w:rtl/>
        </w:rPr>
      </w:pPr>
      <w:r w:rsidRPr="00AD3FC9">
        <w:rPr>
          <w:rFonts w:ascii="David" w:eastAsia="Times New Roman" w:hAnsi="David" w:cs="David"/>
          <w:color w:val="000000"/>
          <w:sz w:val="24"/>
          <w:szCs w:val="24"/>
          <w:rtl/>
        </w:rPr>
        <w:t xml:space="preserve">ככלל, מידת התערבות בימ"ש בפסיקה </w:t>
      </w:r>
      <w:proofErr w:type="spellStart"/>
      <w:r w:rsidRPr="00AD3FC9">
        <w:rPr>
          <w:rFonts w:ascii="David" w:eastAsia="Times New Roman" w:hAnsi="David" w:cs="David"/>
          <w:color w:val="000000"/>
          <w:sz w:val="24"/>
          <w:szCs w:val="24"/>
          <w:rtl/>
        </w:rPr>
        <w:t>העונשית</w:t>
      </w:r>
      <w:proofErr w:type="spellEnd"/>
      <w:r w:rsidRPr="00AD3FC9">
        <w:rPr>
          <w:rFonts w:ascii="David" w:eastAsia="Times New Roman" w:hAnsi="David" w:cs="David"/>
          <w:color w:val="000000"/>
          <w:sz w:val="24"/>
          <w:szCs w:val="24"/>
          <w:rtl/>
        </w:rPr>
        <w:t xml:space="preserve"> של ביה"ד המשמעתי ראוי שתהיה מצומצמת. התערבות בימ"ש תעשה רק במקרים בהם נמצא כי ה</w:t>
      </w:r>
      <w:r w:rsidR="00D21DB9">
        <w:rPr>
          <w:rFonts w:ascii="David" w:eastAsia="Times New Roman" w:hAnsi="David" w:cs="David" w:hint="cs"/>
          <w:color w:val="000000"/>
          <w:sz w:val="24"/>
          <w:szCs w:val="24"/>
          <w:rtl/>
        </w:rPr>
        <w:t>י</w:t>
      </w:r>
      <w:r w:rsidRPr="00AD3FC9">
        <w:rPr>
          <w:rFonts w:ascii="David" w:eastAsia="Times New Roman" w:hAnsi="David" w:cs="David"/>
          <w:color w:val="000000"/>
          <w:sz w:val="24"/>
          <w:szCs w:val="24"/>
          <w:rtl/>
        </w:rPr>
        <w:t>יתה חריגה מרמת הענישה הראויה או בנסיבות מיוחדות. על</w:t>
      </w:r>
    </w:p>
    <w:p w14:paraId="7F91540E" w14:textId="77777777" w:rsidR="00AD3FC9" w:rsidRPr="00AD3FC9" w:rsidRDefault="00AD3FC9" w:rsidP="00AD3FC9">
      <w:pPr>
        <w:shd w:val="clear" w:color="auto" w:fill="FFFFFF"/>
        <w:spacing w:before="120" w:after="0" w:line="360" w:lineRule="auto"/>
        <w:ind w:left="-483"/>
        <w:jc w:val="both"/>
        <w:rPr>
          <w:rFonts w:ascii="David" w:eastAsia="Times New Roman" w:hAnsi="David" w:cs="David"/>
          <w:color w:val="000000"/>
          <w:sz w:val="24"/>
          <w:szCs w:val="24"/>
          <w:rtl/>
        </w:rPr>
      </w:pPr>
      <w:r w:rsidRPr="00AD3FC9">
        <w:rPr>
          <w:rFonts w:ascii="David" w:eastAsia="Times New Roman" w:hAnsi="David" w:cs="David"/>
          <w:color w:val="000000"/>
          <w:sz w:val="24"/>
          <w:szCs w:val="24"/>
          <w:rtl/>
        </w:rPr>
        <w:t>בימ"ש לבחון אם נעשה איזון ראוי בין האינטרס הציבורי לאינטרס של הנאשם בדין המשמעתי ולהביא בחשבון את מכלול השיקולים הרלוונטיים לעונש, בהם השיקולים האישיים של הנאשם והאינטרס הציבורי שביסוד ההליך המשמעתי בכלל, ובפרט לזה הנוגע לציבור עוה"ד.</w:t>
      </w:r>
    </w:p>
    <w:p w14:paraId="0552883D" w14:textId="77777777" w:rsidR="00AD3FC9" w:rsidRPr="00AD3FC9" w:rsidRDefault="00AD3FC9" w:rsidP="00AD3FC9">
      <w:pPr>
        <w:shd w:val="clear" w:color="auto" w:fill="FFFFFF"/>
        <w:spacing w:before="120" w:after="0" w:line="360" w:lineRule="auto"/>
        <w:ind w:left="-483"/>
        <w:jc w:val="both"/>
        <w:rPr>
          <w:rFonts w:ascii="David" w:eastAsia="Times New Roman" w:hAnsi="David" w:cs="David"/>
          <w:color w:val="000000"/>
          <w:sz w:val="24"/>
          <w:szCs w:val="24"/>
          <w:rtl/>
        </w:rPr>
      </w:pPr>
      <w:r w:rsidRPr="00AD3FC9">
        <w:rPr>
          <w:rFonts w:ascii="David" w:eastAsia="Times New Roman" w:hAnsi="David" w:cs="David"/>
          <w:color w:val="000000"/>
          <w:sz w:val="24"/>
          <w:szCs w:val="24"/>
          <w:rtl/>
        </w:rPr>
        <w:lastRenderedPageBreak/>
        <w:t xml:space="preserve">המעשים בהם הורשע המערער אינם קלים, וחומרה מיוחדת נודעת נוכח עברו המשמעתי המכביד של המערער בעבירות מאותו סוג. ביה"ד הארצי התחשב בכמות ההרשעות הקודמות שהיו למערער ובעובדה שיש ביניהן דמיון. מנגד הביא בחשבון את שיקולי הענישה הכלליים ובהם את חובת ציבור עוה"ד כלפי לקוחותיהם, את החובה לשמור על אמון הציבור במקצוע עריכת הדין ואת הנזק הרב שנגרם למקצוע עריכת הדין ולמרקם היחסים בין עו"ד ללקוח. ביה"ד הביא בחשבון כי מתחייבת ענישה של השעיה בפועל, במיוחד כאשר מדובר במקרה חוזר ונשנה. ביה"ד התחשב </w:t>
      </w:r>
      <w:proofErr w:type="spellStart"/>
      <w:r w:rsidRPr="00AD3FC9">
        <w:rPr>
          <w:rFonts w:ascii="David" w:eastAsia="Times New Roman" w:hAnsi="David" w:cs="David"/>
          <w:color w:val="000000"/>
          <w:sz w:val="24"/>
          <w:szCs w:val="24"/>
          <w:rtl/>
        </w:rPr>
        <w:t>לקולא</w:t>
      </w:r>
      <w:proofErr w:type="spellEnd"/>
      <w:r w:rsidRPr="00AD3FC9">
        <w:rPr>
          <w:rFonts w:ascii="David" w:eastAsia="Times New Roman" w:hAnsi="David" w:cs="David"/>
          <w:color w:val="000000"/>
          <w:sz w:val="24"/>
          <w:szCs w:val="24"/>
          <w:rtl/>
        </w:rPr>
        <w:t xml:space="preserve"> בעובדה שבעבירה המשמעתית בה הורשע המערער אין פגיעה בטוהר המידות, בחרטה הכנה שהביע המערער ובשיקול השיקומי. על בסיס מכלול שיקולים אלה ראה לנכון ביה"ד הארצי להשית על המערער עונש של השעיה בפועל לתקופה קצרה יותר מזו שסברה דעת המיעוט בביה"ד המשמעתי המחוזי.</w:t>
      </w:r>
    </w:p>
    <w:p w14:paraId="4A414CF9" w14:textId="77777777" w:rsidR="00AD3FC9" w:rsidRPr="00AD3FC9" w:rsidRDefault="00AD3FC9" w:rsidP="00AD3FC9">
      <w:pPr>
        <w:shd w:val="clear" w:color="auto" w:fill="FFFFFF"/>
        <w:spacing w:before="120" w:after="0" w:line="360" w:lineRule="auto"/>
        <w:ind w:left="-483"/>
        <w:jc w:val="both"/>
        <w:rPr>
          <w:rFonts w:ascii="David" w:eastAsia="Times New Roman" w:hAnsi="David" w:cs="David"/>
          <w:color w:val="000000"/>
          <w:sz w:val="24"/>
          <w:szCs w:val="24"/>
          <w:rtl/>
        </w:rPr>
      </w:pPr>
      <w:r w:rsidRPr="00AD3FC9">
        <w:rPr>
          <w:rFonts w:ascii="David" w:eastAsia="Times New Roman" w:hAnsi="David" w:cs="David"/>
          <w:color w:val="000000"/>
          <w:sz w:val="24"/>
          <w:szCs w:val="24"/>
          <w:rtl/>
        </w:rPr>
        <w:t xml:space="preserve">צדק ביה"ד בכך שראה כנסיבה לחומרה את עברו המשמעתי המכביד של המערער בעבירות משמעתיות מאותו סוג כאשר בכולם קיבל עונש על תנאי בלבד. נראה כי עונש ההשעיה בפועל שהוטל עתה על המערער מביא לביטוי נכון את האינטרס הציבורי החשוב כל כך בעבירות משמעת של עו"ד. אכן, בעניינו של המערער הצטברו מספר נסיבות </w:t>
      </w:r>
      <w:proofErr w:type="spellStart"/>
      <w:r w:rsidRPr="00AD3FC9">
        <w:rPr>
          <w:rFonts w:ascii="David" w:eastAsia="Times New Roman" w:hAnsi="David" w:cs="David"/>
          <w:color w:val="000000"/>
          <w:sz w:val="24"/>
          <w:szCs w:val="24"/>
          <w:rtl/>
        </w:rPr>
        <w:t>לקולא</w:t>
      </w:r>
      <w:proofErr w:type="spellEnd"/>
      <w:r w:rsidRPr="00AD3FC9">
        <w:rPr>
          <w:rFonts w:ascii="David" w:eastAsia="Times New Roman" w:hAnsi="David" w:cs="David"/>
          <w:color w:val="000000"/>
          <w:sz w:val="24"/>
          <w:szCs w:val="24"/>
          <w:rtl/>
        </w:rPr>
        <w:t>, עם זאת נראה כי לשיקולים אלה ניתן ביטוי נכון בתקופת ההשעיה הקצרה יחסית שהוטלה. הטלת עונש השעיה על עו"ד הינה עניין חמור וקשה, אולם נראה כי ביה"ד הארצי איזן נכונה את מכלול השיקולים הנדרשים, העונש שהוטל מאוזן וראוי ואינו חמור במידה המצדיקה התערבות של בימ"ש.</w:t>
      </w:r>
      <w:bookmarkStart w:id="1" w:name="ABSTRACT_END"/>
      <w:bookmarkEnd w:id="1"/>
    </w:p>
    <w:p w14:paraId="4632CADE" w14:textId="77777777" w:rsidR="00B33D7D" w:rsidRPr="00391922" w:rsidRDefault="00B33D7D" w:rsidP="00B33D7D">
      <w:pPr>
        <w:pStyle w:val="a4"/>
        <w:numPr>
          <w:ilvl w:val="0"/>
          <w:numId w:val="34"/>
        </w:numPr>
        <w:spacing w:after="120" w:line="360" w:lineRule="auto"/>
        <w:contextualSpacing w:val="0"/>
        <w:jc w:val="both"/>
        <w:rPr>
          <w:rFonts w:ascii="David" w:hAnsi="David" w:cs="David"/>
          <w:b/>
          <w:bCs/>
          <w:sz w:val="24"/>
          <w:szCs w:val="24"/>
          <w:highlight w:val="cyan"/>
          <w:u w:val="single"/>
        </w:rPr>
      </w:pPr>
      <w:proofErr w:type="spellStart"/>
      <w:r w:rsidRPr="00391922">
        <w:rPr>
          <w:rFonts w:ascii="David" w:hAnsi="David" w:cs="David" w:hint="cs"/>
          <w:b/>
          <w:bCs/>
          <w:sz w:val="24"/>
          <w:szCs w:val="24"/>
          <w:highlight w:val="cyan"/>
          <w:u w:val="single"/>
          <w:rtl/>
        </w:rPr>
        <w:t>בר"ש</w:t>
      </w:r>
      <w:proofErr w:type="spellEnd"/>
      <w:r w:rsidRPr="00391922">
        <w:rPr>
          <w:rFonts w:ascii="David" w:hAnsi="David" w:cs="David" w:hint="cs"/>
          <w:b/>
          <w:bCs/>
          <w:sz w:val="24"/>
          <w:szCs w:val="24"/>
          <w:highlight w:val="cyan"/>
          <w:u w:val="single"/>
          <w:rtl/>
        </w:rPr>
        <w:t xml:space="preserve"> 6588/09 עדי </w:t>
      </w:r>
      <w:proofErr w:type="spellStart"/>
      <w:r w:rsidRPr="00391922">
        <w:rPr>
          <w:rFonts w:ascii="David" w:hAnsi="David" w:cs="David" w:hint="cs"/>
          <w:b/>
          <w:bCs/>
          <w:sz w:val="24"/>
          <w:szCs w:val="24"/>
          <w:highlight w:val="cyan"/>
          <w:u w:val="single"/>
          <w:rtl/>
        </w:rPr>
        <w:t>דיאמנט</w:t>
      </w:r>
      <w:proofErr w:type="spellEnd"/>
      <w:r w:rsidRPr="00391922">
        <w:rPr>
          <w:rFonts w:ascii="David" w:hAnsi="David" w:cs="David" w:hint="cs"/>
          <w:b/>
          <w:bCs/>
          <w:sz w:val="24"/>
          <w:szCs w:val="24"/>
          <w:highlight w:val="cyan"/>
          <w:u w:val="single"/>
          <w:rtl/>
        </w:rPr>
        <w:t xml:space="preserve"> נ' לשכת עורכי הדין - ועד מחוז חיפה</w:t>
      </w:r>
    </w:p>
    <w:p w14:paraId="259D7B65" w14:textId="77777777" w:rsidR="00AD3FC9" w:rsidRPr="00AD3FC9" w:rsidRDefault="00AD3FC9" w:rsidP="00391922">
      <w:pPr>
        <w:pStyle w:val="a4"/>
        <w:spacing w:after="120" w:line="360" w:lineRule="auto"/>
        <w:ind w:left="-483"/>
        <w:contextualSpacing w:val="0"/>
        <w:jc w:val="both"/>
        <w:rPr>
          <w:rFonts w:ascii="David" w:eastAsia="Times New Roman" w:hAnsi="David" w:cs="David"/>
          <w:color w:val="000000"/>
          <w:sz w:val="24"/>
          <w:szCs w:val="24"/>
          <w:rtl/>
        </w:rPr>
      </w:pPr>
      <w:r w:rsidRPr="00AD3FC9">
        <w:rPr>
          <w:rFonts w:ascii="David" w:eastAsia="Times New Roman" w:hAnsi="David" w:cs="David" w:hint="cs"/>
          <w:color w:val="000000"/>
          <w:sz w:val="24"/>
          <w:szCs w:val="24"/>
          <w:rtl/>
        </w:rPr>
        <w:t xml:space="preserve">בקשת רשות ערעור על פס"ד של בת המשפט המחוזי בירושלים. ההרשעה על מספר עבירות משמעת ביסודן:  </w:t>
      </w:r>
      <w:r w:rsidRPr="00AD3FC9">
        <w:rPr>
          <w:rFonts w:ascii="David" w:eastAsia="Times New Roman" w:hAnsi="David" w:cs="David"/>
          <w:color w:val="000000"/>
          <w:sz w:val="24"/>
          <w:szCs w:val="24"/>
          <w:rtl/>
        </w:rPr>
        <w:t>תלונה של לקוח, שמסר את עניינו לטיפול המבקש בשנת 2001, אך זה לא טופל עד להגשת התלונה בשנת 2005. ההודאה ניתנה במסגרת הסדר טיעון, שלא כלל עונש מוסכם. ביום 26.3.08 גזרה הערכאה הראשונה על המבקש (ברוב דעות של שני חברי בית הדין) השעיה על תנאי של שנים עשר חודשים, והשית עליו הוצאות בסך 3,500 ₪. דעת המיעוט (של אב בית הדין) הציעה לגזור על המבקש תשעה חודשי השעיה בפועל (ובנוסף הפעלה בחופף של עונשי השעיה מותנים קודמים), עונש השעיה על תנאי והוצאות בסך 1,000 ₪. ערעור שהגיש המשיב לבית הדין המשמעתי הארצי התקבל באופן חלקי, ועונשו של המבקש הועמד על השעיה בפועל למשך שלושה חודשים, השעיה על תנאי ותשלום הוצאות בסך 3,500 ₪</w:t>
      </w:r>
      <w:r w:rsidRPr="00AD3FC9">
        <w:rPr>
          <w:rFonts w:ascii="David" w:eastAsia="Times New Roman" w:hAnsi="David" w:cs="David"/>
          <w:color w:val="000000"/>
          <w:sz w:val="24"/>
          <w:szCs w:val="24"/>
        </w:rPr>
        <w:t>.</w:t>
      </w:r>
    </w:p>
    <w:p w14:paraId="259395E1" w14:textId="77777777" w:rsidR="00AD3FC9" w:rsidRPr="00AD3FC9" w:rsidRDefault="00AD3FC9" w:rsidP="00391922">
      <w:pPr>
        <w:pStyle w:val="a4"/>
        <w:spacing w:after="120" w:line="360" w:lineRule="auto"/>
        <w:ind w:left="-483"/>
        <w:contextualSpacing w:val="0"/>
        <w:jc w:val="both"/>
        <w:rPr>
          <w:rFonts w:ascii="David" w:eastAsia="Times New Roman" w:hAnsi="David" w:cs="David"/>
          <w:color w:val="000000"/>
          <w:sz w:val="24"/>
          <w:szCs w:val="24"/>
          <w:rtl/>
        </w:rPr>
      </w:pPr>
      <w:r w:rsidRPr="00AD3FC9">
        <w:rPr>
          <w:rFonts w:ascii="David" w:eastAsia="Times New Roman" w:hAnsi="David" w:cs="David"/>
          <w:color w:val="000000"/>
          <w:sz w:val="24"/>
          <w:szCs w:val="24"/>
        </w:rPr>
        <w:t>  </w:t>
      </w:r>
      <w:r w:rsidRPr="00AD3FC9">
        <w:rPr>
          <w:rFonts w:ascii="David" w:eastAsia="Times New Roman" w:hAnsi="David" w:cs="David"/>
          <w:color w:val="000000"/>
          <w:sz w:val="24"/>
          <w:szCs w:val="24"/>
          <w:rtl/>
        </w:rPr>
        <w:t>כלפי פסק דין זה הגיש המבקש ערעור לבית המשפט המחוזי. בערעור נטען נגד חומרת העונש, בפרט נוכח נסיבותיו האישיות של המבקש. עוד טען המבקש, כי לאחר שניתנו פסקי הדין בערכאות המשמעתיות התגלו לו מספר פסקי דין אזרחיים, בהם הוטלה על אב בית הדין בערכאה הראשונה אחריות בגין רשלנות מקצועית, הכוללים כנטען אמירות "אתיות" משמעותיות לחובתו. נטען, כי לא היה מקום לשבץ אותו עורך דין כאב בית דין משמעתי, וכי אילו רקע זה היה ידוע לחברי בית הדין הארצי, לא היו מאמצים את חוות דעתו. כן נטען לפגמים דיוניים בערכאה הראשונה. בדיון שנערך בבית המשפט המחוזי (ביום 18.5.09), "חזר בו המערער מכל הטענות שהעלה כלפי אב בית הדין המשמעתי" (פסקה 5 לפסק הדין נשוא בקשה זו). ואולם, ביום 27.5.09, לאחר הדיון בבית המשפט המחוזי, אך טרם מתן פסק הדין, הגיש המבקש לבית המשפט "הודעה ובקשה דחופה</w:t>
      </w:r>
      <w:r w:rsidRPr="00AD3FC9">
        <w:rPr>
          <w:rFonts w:ascii="David" w:eastAsia="Times New Roman" w:hAnsi="David" w:cs="David"/>
          <w:color w:val="000000"/>
          <w:sz w:val="24"/>
          <w:szCs w:val="24"/>
        </w:rPr>
        <w:t>".</w:t>
      </w:r>
    </w:p>
    <w:p w14:paraId="29E99774" w14:textId="77777777" w:rsidR="00AD3FC9" w:rsidRPr="00AD3FC9" w:rsidRDefault="00AD3FC9" w:rsidP="00391922">
      <w:pPr>
        <w:pStyle w:val="a4"/>
        <w:spacing w:after="120" w:line="360" w:lineRule="auto"/>
        <w:ind w:left="-483"/>
        <w:contextualSpacing w:val="0"/>
        <w:jc w:val="both"/>
        <w:rPr>
          <w:rFonts w:ascii="David" w:eastAsia="Times New Roman" w:hAnsi="David" w:cs="David"/>
          <w:color w:val="000000"/>
          <w:sz w:val="24"/>
          <w:szCs w:val="24"/>
          <w:rtl/>
        </w:rPr>
      </w:pPr>
      <w:r w:rsidRPr="00AD3FC9">
        <w:rPr>
          <w:rFonts w:ascii="David" w:eastAsia="Times New Roman" w:hAnsi="David" w:cs="David"/>
          <w:color w:val="000000"/>
          <w:sz w:val="24"/>
          <w:szCs w:val="24"/>
          <w:rtl/>
        </w:rPr>
        <w:t>בבקשה הנוכחית מתמקד המבקש בעיקר בשתי טענות: (1) כי נפלה בעניינו תקלה, בגינה נתן בית המשפט המחוזי פסק דין שעה שלא כל החומר הרלבנטי עמד לנגד עיניו; (2) כי נוכח פסק הדין בעניין </w:t>
      </w:r>
      <w:proofErr w:type="spellStart"/>
      <w:r w:rsidRPr="00AD3FC9">
        <w:rPr>
          <w:rFonts w:ascii="David" w:eastAsia="Times New Roman" w:hAnsi="David" w:cs="David"/>
          <w:color w:val="000000"/>
          <w:sz w:val="24"/>
          <w:szCs w:val="24"/>
          <w:rtl/>
        </w:rPr>
        <w:t>קולקר</w:t>
      </w:r>
      <w:proofErr w:type="spellEnd"/>
      <w:r w:rsidRPr="00AD3FC9">
        <w:rPr>
          <w:rFonts w:ascii="David" w:eastAsia="Times New Roman" w:hAnsi="David" w:cs="David"/>
          <w:color w:val="000000"/>
          <w:sz w:val="24"/>
          <w:szCs w:val="24"/>
          <w:rtl/>
        </w:rPr>
        <w:t xml:space="preserve"> היה מקום לבטל את פסק דינה של הערכאה הראשונה. עוד נדרש המבקש לפגמים דיוניים שנפלו, כנטען, </w:t>
      </w:r>
      <w:r w:rsidRPr="00AD3FC9">
        <w:rPr>
          <w:rFonts w:ascii="David" w:eastAsia="Times New Roman" w:hAnsi="David" w:cs="David"/>
          <w:color w:val="000000"/>
          <w:sz w:val="24"/>
          <w:szCs w:val="24"/>
          <w:rtl/>
        </w:rPr>
        <w:lastRenderedPageBreak/>
        <w:t>בערכאה הראשונה</w:t>
      </w:r>
      <w:r w:rsidRPr="00AD3FC9">
        <w:rPr>
          <w:rFonts w:ascii="David" w:eastAsia="Times New Roman" w:hAnsi="David" w:cs="David"/>
          <w:color w:val="000000"/>
          <w:sz w:val="24"/>
          <w:szCs w:val="24"/>
        </w:rPr>
        <w:t xml:space="preserve"> (</w:t>
      </w:r>
      <w:r w:rsidRPr="00AD3FC9">
        <w:rPr>
          <w:rFonts w:ascii="David" w:eastAsia="Times New Roman" w:hAnsi="David" w:cs="David"/>
          <w:color w:val="000000"/>
          <w:sz w:val="24"/>
          <w:szCs w:val="24"/>
          <w:rtl/>
        </w:rPr>
        <w:t>ובין היתר</w:t>
      </w:r>
      <w:r w:rsidRPr="00AD3FC9">
        <w:rPr>
          <w:rFonts w:ascii="David" w:eastAsia="Times New Roman" w:hAnsi="David" w:cs="David"/>
          <w:color w:val="000000"/>
          <w:sz w:val="24"/>
          <w:szCs w:val="24"/>
        </w:rPr>
        <w:t xml:space="preserve">, </w:t>
      </w:r>
      <w:r w:rsidRPr="00AD3FC9">
        <w:rPr>
          <w:rFonts w:ascii="David" w:eastAsia="Times New Roman" w:hAnsi="David" w:cs="David"/>
          <w:color w:val="000000"/>
          <w:sz w:val="24"/>
          <w:szCs w:val="24"/>
          <w:rtl/>
        </w:rPr>
        <w:t>מתן גזר הדין כתשעה חודשים לאחר הדיון בניגוד </w:t>
      </w:r>
      <w:hyperlink r:id="rId18" w:tgtFrame="blank" w:history="1">
        <w:r w:rsidRPr="00AD3FC9">
          <w:rPr>
            <w:rFonts w:ascii="David" w:eastAsia="Times New Roman" w:hAnsi="David" w:cs="David"/>
            <w:color w:val="000000"/>
            <w:sz w:val="24"/>
            <w:szCs w:val="24"/>
            <w:rtl/>
          </w:rPr>
          <w:t>לסעיף 43</w:t>
        </w:r>
      </w:hyperlink>
      <w:r w:rsidRPr="00AD3FC9">
        <w:rPr>
          <w:rFonts w:ascii="David" w:eastAsia="Times New Roman" w:hAnsi="David" w:cs="David"/>
          <w:color w:val="000000"/>
          <w:sz w:val="24"/>
          <w:szCs w:val="24"/>
        </w:rPr>
        <w:t> </w:t>
      </w:r>
      <w:r w:rsidRPr="00AD3FC9">
        <w:rPr>
          <w:rFonts w:ascii="David" w:eastAsia="Times New Roman" w:hAnsi="David" w:cs="David"/>
          <w:color w:val="000000"/>
          <w:sz w:val="24"/>
          <w:szCs w:val="24"/>
          <w:rtl/>
        </w:rPr>
        <w:t>ל</w:t>
      </w:r>
      <w:hyperlink r:id="rId19" w:tgtFrame="blank" w:history="1">
        <w:r w:rsidRPr="00AD3FC9">
          <w:rPr>
            <w:rFonts w:ascii="David" w:eastAsia="Times New Roman" w:hAnsi="David" w:cs="David"/>
            <w:color w:val="000000"/>
            <w:sz w:val="24"/>
            <w:szCs w:val="24"/>
            <w:rtl/>
          </w:rPr>
          <w:t>כללי לשכת עורכי הדין (סדרי הדין בבתי הדין המשמעתיים)</w:t>
        </w:r>
      </w:hyperlink>
      <w:r w:rsidRPr="00AD3FC9">
        <w:rPr>
          <w:rFonts w:ascii="David" w:eastAsia="Times New Roman" w:hAnsi="David" w:cs="David"/>
          <w:color w:val="000000"/>
          <w:sz w:val="24"/>
          <w:szCs w:val="24"/>
        </w:rPr>
        <w:t> </w:t>
      </w:r>
      <w:r w:rsidRPr="00AD3FC9">
        <w:rPr>
          <w:rFonts w:ascii="David" w:eastAsia="Times New Roman" w:hAnsi="David" w:cs="David"/>
          <w:color w:val="000000"/>
          <w:sz w:val="24"/>
          <w:szCs w:val="24"/>
          <w:rtl/>
        </w:rPr>
        <w:t>תשכ"ב - 1962). כן נטען באשר לנסיבותיו האישיות הקשות של המבקש, ולצורך בשמירה על מראית פני הצדק</w:t>
      </w:r>
      <w:r w:rsidRPr="00AD3FC9">
        <w:rPr>
          <w:rFonts w:ascii="David" w:eastAsia="Times New Roman" w:hAnsi="David" w:cs="David"/>
          <w:color w:val="000000"/>
          <w:sz w:val="24"/>
          <w:szCs w:val="24"/>
        </w:rPr>
        <w:t>.</w:t>
      </w:r>
    </w:p>
    <w:p w14:paraId="01641842" w14:textId="77777777" w:rsidR="00AD3FC9" w:rsidRPr="00AD3FC9" w:rsidRDefault="00AD3FC9" w:rsidP="00391922">
      <w:pPr>
        <w:pStyle w:val="a4"/>
        <w:spacing w:after="120" w:line="360" w:lineRule="auto"/>
        <w:ind w:left="-483"/>
        <w:contextualSpacing w:val="0"/>
        <w:jc w:val="both"/>
        <w:rPr>
          <w:rFonts w:ascii="David" w:eastAsia="Times New Roman" w:hAnsi="David" w:cs="David"/>
          <w:color w:val="000000"/>
          <w:sz w:val="24"/>
          <w:szCs w:val="24"/>
        </w:rPr>
      </w:pPr>
      <w:r w:rsidRPr="00AD3FC9">
        <w:rPr>
          <w:rFonts w:ascii="David" w:eastAsia="Times New Roman" w:hAnsi="David" w:cs="David" w:hint="cs"/>
          <w:color w:val="000000"/>
          <w:sz w:val="24"/>
          <w:szCs w:val="24"/>
          <w:rtl/>
        </w:rPr>
        <w:t xml:space="preserve">בית המשפט דוחה את הבקשה מאחר והמקרה הנוכחי אינו נמצא במסגרת המקרים החריגים בהם תתקבל רשות ערעור על פסק </w:t>
      </w:r>
      <w:proofErr w:type="spellStart"/>
      <w:r w:rsidRPr="00AD3FC9">
        <w:rPr>
          <w:rFonts w:ascii="David" w:eastAsia="Times New Roman" w:hAnsi="David" w:cs="David" w:hint="cs"/>
          <w:color w:val="000000"/>
          <w:sz w:val="24"/>
          <w:szCs w:val="24"/>
          <w:rtl/>
        </w:rPr>
        <w:t>דיןנו</w:t>
      </w:r>
      <w:proofErr w:type="spellEnd"/>
      <w:r w:rsidRPr="00AD3FC9">
        <w:rPr>
          <w:rFonts w:ascii="David" w:eastAsia="Times New Roman" w:hAnsi="David" w:cs="David" w:hint="cs"/>
          <w:color w:val="000000"/>
          <w:sz w:val="24"/>
          <w:szCs w:val="24"/>
          <w:rtl/>
        </w:rPr>
        <w:t xml:space="preserve"> של בית המשפט המחוזי בירושלים. </w:t>
      </w:r>
      <w:r w:rsidRPr="00AD3FC9">
        <w:rPr>
          <w:rFonts w:ascii="David" w:eastAsia="Times New Roman" w:hAnsi="David" w:cs="David"/>
          <w:color w:val="000000"/>
          <w:sz w:val="24"/>
          <w:szCs w:val="24"/>
          <w:rtl/>
        </w:rPr>
        <w:t>בשונה מעניין </w:t>
      </w:r>
      <w:proofErr w:type="spellStart"/>
      <w:r w:rsidRPr="00AD3FC9">
        <w:rPr>
          <w:rFonts w:ascii="David" w:eastAsia="Times New Roman" w:hAnsi="David" w:cs="David"/>
          <w:color w:val="000000"/>
          <w:sz w:val="24"/>
          <w:szCs w:val="24"/>
          <w:rtl/>
        </w:rPr>
        <w:t>קולקר</w:t>
      </w:r>
      <w:proofErr w:type="spellEnd"/>
      <w:r w:rsidRPr="00AD3FC9">
        <w:rPr>
          <w:rFonts w:ascii="David" w:eastAsia="Times New Roman" w:hAnsi="David" w:cs="David"/>
          <w:color w:val="000000"/>
          <w:sz w:val="24"/>
          <w:szCs w:val="24"/>
        </w:rPr>
        <w:t xml:space="preserve">, </w:t>
      </w:r>
      <w:r w:rsidRPr="00AD3FC9">
        <w:rPr>
          <w:rFonts w:ascii="David" w:eastAsia="Times New Roman" w:hAnsi="David" w:cs="David"/>
          <w:color w:val="000000"/>
          <w:sz w:val="24"/>
          <w:szCs w:val="24"/>
          <w:rtl/>
        </w:rPr>
        <w:t xml:space="preserve">הורשע המבקש בערכאה הראשונה על פי הודאתו (ואין </w:t>
      </w:r>
      <w:proofErr w:type="spellStart"/>
      <w:r w:rsidRPr="00AD3FC9">
        <w:rPr>
          <w:rFonts w:ascii="David" w:eastAsia="Times New Roman" w:hAnsi="David" w:cs="David"/>
          <w:color w:val="000000"/>
          <w:sz w:val="24"/>
          <w:szCs w:val="24"/>
          <w:rtl/>
        </w:rPr>
        <w:t>איפוא</w:t>
      </w:r>
      <w:proofErr w:type="spellEnd"/>
      <w:r w:rsidRPr="00AD3FC9">
        <w:rPr>
          <w:rFonts w:ascii="David" w:eastAsia="Times New Roman" w:hAnsi="David" w:cs="David"/>
          <w:color w:val="000000"/>
          <w:sz w:val="24"/>
          <w:szCs w:val="24"/>
          <w:rtl/>
        </w:rPr>
        <w:t xml:space="preserve"> יתרון לערכאה הדיונית), אב בית הדין שם נותר בדעת מיעוט, והעונש שבסופו של דבר הושת על המבקש בערעור בבית הדין הארצי - הוכרע על ידי הרכב שאין לגביו טענה</w:t>
      </w:r>
      <w:r w:rsidRPr="00AD3FC9">
        <w:rPr>
          <w:rFonts w:ascii="David" w:eastAsia="Times New Roman" w:hAnsi="David" w:cs="David"/>
          <w:color w:val="000000"/>
          <w:sz w:val="24"/>
          <w:szCs w:val="24"/>
        </w:rPr>
        <w:t>.</w:t>
      </w:r>
    </w:p>
    <w:p w14:paraId="78034AA7" w14:textId="77777777" w:rsidR="00583643" w:rsidRDefault="00B33D7D" w:rsidP="00583643">
      <w:pPr>
        <w:pStyle w:val="a4"/>
        <w:numPr>
          <w:ilvl w:val="0"/>
          <w:numId w:val="34"/>
        </w:numPr>
        <w:spacing w:after="120" w:line="360" w:lineRule="auto"/>
        <w:contextualSpacing w:val="0"/>
        <w:jc w:val="both"/>
        <w:rPr>
          <w:rFonts w:ascii="David" w:hAnsi="David" w:cs="David"/>
          <w:b/>
          <w:bCs/>
          <w:sz w:val="24"/>
          <w:szCs w:val="24"/>
          <w:u w:val="single"/>
        </w:rPr>
      </w:pPr>
      <w:proofErr w:type="spellStart"/>
      <w:r>
        <w:rPr>
          <w:rFonts w:ascii="David" w:hAnsi="David" w:cs="David" w:hint="cs"/>
          <w:b/>
          <w:bCs/>
          <w:sz w:val="24"/>
          <w:szCs w:val="24"/>
          <w:u w:val="single"/>
          <w:rtl/>
        </w:rPr>
        <w:t>על"ע</w:t>
      </w:r>
      <w:proofErr w:type="spellEnd"/>
      <w:r>
        <w:rPr>
          <w:rFonts w:ascii="David" w:hAnsi="David" w:cs="David" w:hint="cs"/>
          <w:b/>
          <w:bCs/>
          <w:sz w:val="24"/>
          <w:szCs w:val="24"/>
          <w:u w:val="single"/>
          <w:rtl/>
        </w:rPr>
        <w:t xml:space="preserve"> (י-ם) 7008/09 הוועד המחוזי של לשכת עו"ד בת"א  יפו נ' עו"ד דוד גבאי</w:t>
      </w:r>
      <w:r w:rsidR="00583643">
        <w:rPr>
          <w:rFonts w:ascii="David" w:hAnsi="David" w:cs="David" w:hint="cs"/>
          <w:b/>
          <w:bCs/>
          <w:sz w:val="24"/>
          <w:szCs w:val="24"/>
          <w:u w:val="single"/>
          <w:rtl/>
        </w:rPr>
        <w:t xml:space="preserve"> - </w:t>
      </w:r>
    </w:p>
    <w:p w14:paraId="3153EF17" w14:textId="77777777" w:rsidR="00583643" w:rsidRPr="00583643" w:rsidRDefault="00583643" w:rsidP="00583643">
      <w:pPr>
        <w:pStyle w:val="a4"/>
        <w:spacing w:after="120" w:line="360" w:lineRule="auto"/>
        <w:ind w:left="-199"/>
        <w:contextualSpacing w:val="0"/>
        <w:jc w:val="both"/>
        <w:rPr>
          <w:rFonts w:ascii="David" w:hAnsi="David" w:cs="David"/>
          <w:b/>
          <w:bCs/>
          <w:sz w:val="24"/>
          <w:szCs w:val="24"/>
          <w:u w:val="single"/>
        </w:rPr>
      </w:pPr>
      <w:r w:rsidRPr="00583643">
        <w:rPr>
          <w:rFonts w:ascii="David" w:eastAsia="Times New Roman" w:hAnsi="David" w:cs="David"/>
          <w:color w:val="000000"/>
          <w:sz w:val="24"/>
          <w:szCs w:val="24"/>
          <w:rtl/>
        </w:rPr>
        <w:t>ערעור שהגיש הוועד המחוזי של לשכת עורכי הדין על פסק דינו של בית הדין המשמעתי הארצי. בניגוד להסכם עד המדינה שחתם המשיב עם הפרקליטות, לא פנתה האחרונה ללשכה ולא ידעה אותה בדבר העבירות מושא ההסכם. משנודע ללשכה על הפרשה, כ- 12 שנים לאחר חתימת ההסכם, הוגשו קובלנות אשר נדחו בבית הדין המחוזי ובארצי.</w:t>
      </w:r>
    </w:p>
    <w:p w14:paraId="7C08257C" w14:textId="77777777" w:rsidR="00583643" w:rsidRPr="00636732" w:rsidRDefault="00583643" w:rsidP="00583643">
      <w:pPr>
        <w:spacing w:before="120" w:after="0" w:line="360" w:lineRule="auto"/>
        <w:ind w:left="-199"/>
        <w:jc w:val="both"/>
        <w:rPr>
          <w:rFonts w:ascii="David" w:eastAsia="Times New Roman" w:hAnsi="David" w:cs="David"/>
          <w:color w:val="000000"/>
          <w:sz w:val="24"/>
          <w:szCs w:val="24"/>
          <w:rtl/>
        </w:rPr>
      </w:pPr>
      <w:r w:rsidRPr="00636732">
        <w:rPr>
          <w:rFonts w:ascii="David" w:eastAsia="Times New Roman" w:hAnsi="David" w:cs="David"/>
          <w:color w:val="000000"/>
          <w:sz w:val="24"/>
          <w:szCs w:val="24"/>
          <w:rtl/>
        </w:rPr>
        <w:t xml:space="preserve">בית המשפט המחוזי ביטל את החלטות בתי הדין, הורה על החזרת הדיון לבית הדין המשמעתי המחוזי </w:t>
      </w:r>
      <w:r w:rsidRPr="004B5D61">
        <w:rPr>
          <w:rFonts w:ascii="David" w:eastAsia="Times New Roman" w:hAnsi="David" w:cs="David"/>
          <w:b/>
          <w:bCs/>
          <w:color w:val="000000"/>
          <w:sz w:val="24"/>
          <w:szCs w:val="24"/>
          <w:rtl/>
        </w:rPr>
        <w:t>ופסק כי:</w:t>
      </w:r>
      <w:r>
        <w:rPr>
          <w:rFonts w:ascii="David" w:eastAsia="Times New Roman" w:hAnsi="David" w:cs="David" w:hint="cs"/>
          <w:color w:val="000000"/>
          <w:sz w:val="24"/>
          <w:szCs w:val="24"/>
          <w:rtl/>
        </w:rPr>
        <w:t xml:space="preserve"> </w:t>
      </w:r>
      <w:r w:rsidRPr="00636732">
        <w:rPr>
          <w:rFonts w:ascii="David" w:eastAsia="Times New Roman" w:hAnsi="David" w:cs="David"/>
          <w:color w:val="000000"/>
          <w:sz w:val="24"/>
          <w:szCs w:val="24"/>
          <w:rtl/>
        </w:rPr>
        <w:t>לנוכח מחדלה של הפרקליטות, נקט המשיב בצעד חד צדדי שהשיג למעשה את מטרת ההסכם והודיע ללשכה על התליית רישיונו. יחד עם זאת, מעשהו של המשיב לא הוביל לתוצאה במלואה גם בכך שלא ננקט נגדו הליך משמעתי וגם בכך שהוא לא השלים את 10 שנות ההשעיה בהתאם להסכם. בנסיבות אלה לא הייתה הצדקה לבטל כליל את הקובלנה נגד המשיב אלא להתאים את ההליך המשמעתי החדש להסדר הטיעון, תוך התחשבות מלאה בתקופת ה"השעיה העצמית" שהמשיב קיבל על עצמו הלכה למעשה.</w:t>
      </w:r>
    </w:p>
    <w:p w14:paraId="5F9307F9" w14:textId="77777777" w:rsidR="00583643" w:rsidRDefault="00583643" w:rsidP="00583643">
      <w:pPr>
        <w:spacing w:before="120" w:after="0" w:line="360" w:lineRule="auto"/>
        <w:ind w:left="-199"/>
        <w:jc w:val="both"/>
        <w:rPr>
          <w:rFonts w:ascii="David" w:eastAsia="Times New Roman" w:hAnsi="David" w:cs="David"/>
          <w:color w:val="000000"/>
          <w:sz w:val="24"/>
          <w:szCs w:val="24"/>
          <w:rtl/>
        </w:rPr>
      </w:pPr>
      <w:r w:rsidRPr="00636732">
        <w:rPr>
          <w:rFonts w:ascii="David" w:eastAsia="Times New Roman" w:hAnsi="David" w:cs="David"/>
          <w:color w:val="000000"/>
          <w:sz w:val="24"/>
          <w:szCs w:val="24"/>
          <w:rtl/>
        </w:rPr>
        <w:t>שגה בית הדין כאשר קבע כי יש להשית על המשיב עונש של השעיה לתקופה החסרה להשלמת תקופת ההשעיה על פי הסכם עד המדינה. סעיף 68 ל</w:t>
      </w:r>
      <w:hyperlink r:id="rId20" w:history="1">
        <w:r w:rsidRPr="002D07B3">
          <w:rPr>
            <w:rFonts w:ascii="David" w:eastAsia="Times New Roman" w:hAnsi="David" w:cs="David"/>
            <w:color w:val="800080"/>
            <w:sz w:val="24"/>
            <w:szCs w:val="24"/>
            <w:u w:val="single"/>
            <w:rtl/>
          </w:rPr>
          <w:t>חוק לשכת עורכי הדין</w:t>
        </w:r>
      </w:hyperlink>
      <w:r w:rsidRPr="00636732">
        <w:rPr>
          <w:rFonts w:ascii="David" w:eastAsia="Times New Roman" w:hAnsi="David" w:cs="David"/>
          <w:color w:val="000000"/>
          <w:sz w:val="24"/>
          <w:szCs w:val="24"/>
          <w:rtl/>
        </w:rPr>
        <w:t> קובע כי בית הדין המשמעתי מוסמך להטיל על "נאשם שהורשע בשל עבירת משמעת" עונש של "השעיה לתקופה קצובה שלא תעלה על עשר שנים". משביטל בית הדין למשמעת את הקובלנה שהגישה הלשכה לא היה זה בסמכותו להורות על השעייתו של המשיב מחברות בלשכה.</w:t>
      </w:r>
    </w:p>
    <w:p w14:paraId="26A5B419" w14:textId="77777777" w:rsidR="00B33D7D" w:rsidRDefault="00B33D7D" w:rsidP="00B33D7D">
      <w:pPr>
        <w:pStyle w:val="a4"/>
        <w:numPr>
          <w:ilvl w:val="0"/>
          <w:numId w:val="34"/>
        </w:numPr>
        <w:spacing w:after="120" w:line="360" w:lineRule="auto"/>
        <w:contextualSpacing w:val="0"/>
        <w:jc w:val="both"/>
        <w:rPr>
          <w:rFonts w:ascii="David" w:hAnsi="David" w:cs="David"/>
          <w:b/>
          <w:bCs/>
          <w:sz w:val="24"/>
          <w:szCs w:val="24"/>
          <w:u w:val="single"/>
        </w:rPr>
      </w:pPr>
      <w:proofErr w:type="spellStart"/>
      <w:r>
        <w:rPr>
          <w:rFonts w:ascii="David" w:hAnsi="David" w:cs="David" w:hint="cs"/>
          <w:b/>
          <w:bCs/>
          <w:sz w:val="24"/>
          <w:szCs w:val="24"/>
          <w:u w:val="single"/>
          <w:rtl/>
        </w:rPr>
        <w:t>על"ע</w:t>
      </w:r>
      <w:proofErr w:type="spellEnd"/>
      <w:r>
        <w:rPr>
          <w:rFonts w:ascii="David" w:hAnsi="David" w:cs="David" w:hint="cs"/>
          <w:b/>
          <w:bCs/>
          <w:sz w:val="24"/>
          <w:szCs w:val="24"/>
          <w:u w:val="single"/>
          <w:rtl/>
        </w:rPr>
        <w:t xml:space="preserve"> (י-ם) הועד המחוזי של לשכת עו"ד בת"א יפו נ' עו"ד בנרי</w:t>
      </w:r>
    </w:p>
    <w:p w14:paraId="3DFAF85A" w14:textId="77777777" w:rsidR="00583643" w:rsidRPr="004B5D61" w:rsidRDefault="00583643" w:rsidP="00583643">
      <w:pPr>
        <w:pStyle w:val="a4"/>
        <w:spacing w:after="120" w:line="360" w:lineRule="auto"/>
        <w:ind w:left="-341"/>
        <w:jc w:val="both"/>
        <w:rPr>
          <w:rFonts w:ascii="David" w:hAnsi="David" w:cs="David"/>
          <w:b/>
          <w:bCs/>
          <w:color w:val="C00000"/>
          <w:sz w:val="24"/>
          <w:szCs w:val="24"/>
        </w:rPr>
      </w:pPr>
      <w:r w:rsidRPr="004B5D61">
        <w:rPr>
          <w:rFonts w:ascii="David" w:eastAsia="Times New Roman" w:hAnsi="David" w:cs="David"/>
          <w:color w:val="000000"/>
          <w:sz w:val="24"/>
          <w:szCs w:val="24"/>
          <w:rtl/>
        </w:rPr>
        <w:t>ניתן פסק הדין של ביה"ד המשמעתי הארצי של לשכת עורכי הדין. הוועד המחוזי הגיש ערעור, ולאחר מכן הגיש גם המשיב ערעור. הוועד המחוזי הגיש בקשה למחיקת ערעורו של המשיב על הסף מחמת שזה הוגש באיחור. לטענת המשיב, ניתן להגיש ערעור שכנגד על פסק דין של ביה"ד המשמעתי הארצי. ואם כך, כי אז ערעורו הוגש במועד. הוועד המחוזי גורס כי אין זכות להגשת ערעור שכנגד לאחר המועד היחיד הקבוע בדין להגשת ערעור על פסק דין של ביה"ד המשמעתי הארצי.</w:t>
      </w:r>
      <w:r>
        <w:rPr>
          <w:rFonts w:ascii="David" w:eastAsia="Times New Roman" w:hAnsi="David" w:cs="David" w:hint="cs"/>
          <w:color w:val="000000"/>
          <w:sz w:val="24"/>
          <w:szCs w:val="24"/>
          <w:rtl/>
        </w:rPr>
        <w:t xml:space="preserve"> </w:t>
      </w:r>
    </w:p>
    <w:p w14:paraId="6016634B" w14:textId="77777777" w:rsidR="00583643" w:rsidRDefault="00583643" w:rsidP="00583643">
      <w:pPr>
        <w:pStyle w:val="a4"/>
        <w:spacing w:after="120" w:line="360" w:lineRule="auto"/>
        <w:ind w:left="-341"/>
        <w:jc w:val="both"/>
        <w:rPr>
          <w:rFonts w:ascii="David" w:eastAsia="Times New Roman" w:hAnsi="David" w:cs="David"/>
          <w:color w:val="000000"/>
          <w:sz w:val="24"/>
          <w:szCs w:val="24"/>
          <w:rtl/>
        </w:rPr>
      </w:pPr>
      <w:r w:rsidRPr="004B5D61">
        <w:rPr>
          <w:rFonts w:ascii="David" w:eastAsia="Times New Roman" w:hAnsi="David" w:cs="David"/>
          <w:b/>
          <w:bCs/>
          <w:color w:val="000000"/>
          <w:sz w:val="24"/>
          <w:szCs w:val="24"/>
          <w:rtl/>
        </w:rPr>
        <w:t xml:space="preserve">ביהמ"ש המחוזי קיבל את הבקשה </w:t>
      </w:r>
      <w:proofErr w:type="spellStart"/>
      <w:r w:rsidRPr="004B5D61">
        <w:rPr>
          <w:rFonts w:ascii="David" w:eastAsia="Times New Roman" w:hAnsi="David" w:cs="David"/>
          <w:b/>
          <w:bCs/>
          <w:color w:val="000000"/>
          <w:sz w:val="24"/>
          <w:szCs w:val="24"/>
          <w:rtl/>
        </w:rPr>
        <w:t>בקובעו</w:t>
      </w:r>
      <w:proofErr w:type="spellEnd"/>
      <w:r w:rsidRPr="004B5D61">
        <w:rPr>
          <w:rFonts w:ascii="David" w:eastAsia="Times New Roman" w:hAnsi="David" w:cs="David"/>
          <w:b/>
          <w:bCs/>
          <w:color w:val="000000"/>
          <w:sz w:val="24"/>
          <w:szCs w:val="24"/>
          <w:rtl/>
        </w:rPr>
        <w:t>:</w:t>
      </w:r>
      <w:r w:rsidRPr="004B5D61">
        <w:rPr>
          <w:rFonts w:ascii="David" w:eastAsia="Times New Roman" w:hAnsi="David" w:cs="David" w:hint="cs"/>
          <w:color w:val="000000"/>
          <w:sz w:val="24"/>
          <w:szCs w:val="24"/>
          <w:rtl/>
        </w:rPr>
        <w:t xml:space="preserve"> </w:t>
      </w:r>
      <w:r w:rsidRPr="004B5D61">
        <w:rPr>
          <w:rFonts w:ascii="David" w:eastAsia="Times New Roman" w:hAnsi="David" w:cs="David"/>
          <w:color w:val="000000"/>
          <w:sz w:val="24"/>
          <w:szCs w:val="24"/>
          <w:rtl/>
        </w:rPr>
        <w:t xml:space="preserve">ערעור שכנגד במובן תקנה 434 </w:t>
      </w:r>
      <w:proofErr w:type="spellStart"/>
      <w:r w:rsidRPr="004B5D61">
        <w:rPr>
          <w:rFonts w:ascii="David" w:eastAsia="Times New Roman" w:hAnsi="David" w:cs="David"/>
          <w:color w:val="000000"/>
          <w:sz w:val="24"/>
          <w:szCs w:val="24"/>
          <w:rtl/>
        </w:rPr>
        <w:t>לתקסד"א</w:t>
      </w:r>
      <w:proofErr w:type="spellEnd"/>
      <w:r w:rsidRPr="004B5D61">
        <w:rPr>
          <w:rFonts w:ascii="David" w:eastAsia="Times New Roman" w:hAnsi="David" w:cs="David"/>
          <w:color w:val="000000"/>
          <w:sz w:val="24"/>
          <w:szCs w:val="24"/>
          <w:rtl/>
        </w:rPr>
        <w:t xml:space="preserve">, לא ניתן להגיש לא בהליכים פליליים ולא בהליכים משמעתיים לפי חוק לשכת עורכי הדין. כאשר מדובר בהליכים פליליים, </w:t>
      </w:r>
      <w:proofErr w:type="spellStart"/>
      <w:r w:rsidRPr="004B5D61">
        <w:rPr>
          <w:rFonts w:ascii="David" w:eastAsia="Times New Roman" w:hAnsi="David" w:cs="David"/>
          <w:color w:val="000000"/>
          <w:sz w:val="24"/>
          <w:szCs w:val="24"/>
          <w:rtl/>
        </w:rPr>
        <w:t>חסד"פ</w:t>
      </w:r>
      <w:proofErr w:type="spellEnd"/>
      <w:r w:rsidRPr="004B5D61">
        <w:rPr>
          <w:rFonts w:ascii="David" w:eastAsia="Times New Roman" w:hAnsi="David" w:cs="David"/>
          <w:color w:val="000000"/>
          <w:sz w:val="24"/>
          <w:szCs w:val="24"/>
          <w:rtl/>
        </w:rPr>
        <w:t xml:space="preserve"> אינו מכיר במושג "ערעור שכנגד" אלא דורש שערעורי שני הצדדים על פסק הדין של הערכאה הראשונה יוגשו תוך 45 יום מנתינתו. בהתאם לכך הובהר כי בהליכים פליליים לא מתקיים הליך כזה של ערעור שכנגד. הדין המשמעתי מסווג כדין כעין-פלילי. בהתאם לכך הודגש הדמיון שבין </w:t>
      </w:r>
      <w:r w:rsidRPr="004B5D61">
        <w:rPr>
          <w:rFonts w:ascii="David" w:eastAsia="Times New Roman" w:hAnsi="David" w:cs="David"/>
          <w:color w:val="000000"/>
          <w:sz w:val="24"/>
          <w:szCs w:val="24"/>
          <w:rtl/>
        </w:rPr>
        <w:lastRenderedPageBreak/>
        <w:t>הדיון המשמעתי לבין הדיון הפלילי והצורך להימנע מדימוי הדיון המשמעתי לדיון האזרחי וכלליו, תוך שאיפה לקבוע את סדרי הדין בדיון המשמעתי בהשראת סדרי הדין בהליך הפלילי.</w:t>
      </w:r>
    </w:p>
    <w:p w14:paraId="55EC22D7" w14:textId="77777777" w:rsidR="00583643" w:rsidRDefault="00583643" w:rsidP="00583643">
      <w:pPr>
        <w:pStyle w:val="a4"/>
        <w:spacing w:after="120" w:line="360" w:lineRule="auto"/>
        <w:ind w:left="-341"/>
        <w:jc w:val="both"/>
        <w:rPr>
          <w:rFonts w:ascii="David" w:eastAsia="Times New Roman" w:hAnsi="David" w:cs="David"/>
          <w:color w:val="000000"/>
          <w:sz w:val="24"/>
          <w:szCs w:val="24"/>
          <w:rtl/>
        </w:rPr>
      </w:pPr>
      <w:r w:rsidRPr="002D07B3">
        <w:rPr>
          <w:rFonts w:ascii="David" w:eastAsia="Times New Roman" w:hAnsi="David" w:cs="David"/>
          <w:color w:val="000000"/>
          <w:sz w:val="24"/>
          <w:szCs w:val="24"/>
          <w:rtl/>
        </w:rPr>
        <w:t xml:space="preserve">גם אילו ניתן היה לראות בערעור הנדון ערעור בעל אופי אזרחי או כעין-אזרחי, עדיין לא היה מקום להכיר בזכות להגשת ערעור שכנגד בגדרו. ההלכה היא כי כאשר מדובר בהליך שאינו מוסדר במישרין </w:t>
      </w:r>
      <w:proofErr w:type="spellStart"/>
      <w:r w:rsidRPr="002D07B3">
        <w:rPr>
          <w:rFonts w:ascii="David" w:eastAsia="Times New Roman" w:hAnsi="David" w:cs="David"/>
          <w:color w:val="000000"/>
          <w:sz w:val="24"/>
          <w:szCs w:val="24"/>
          <w:rtl/>
        </w:rPr>
        <w:t>בתקסד"א</w:t>
      </w:r>
      <w:proofErr w:type="spellEnd"/>
      <w:r w:rsidRPr="002D07B3">
        <w:rPr>
          <w:rFonts w:ascii="David" w:eastAsia="Times New Roman" w:hAnsi="David" w:cs="David"/>
          <w:color w:val="000000"/>
          <w:sz w:val="24"/>
          <w:szCs w:val="24"/>
          <w:rtl/>
        </w:rPr>
        <w:t xml:space="preserve">, הנכונות להתיר הגשת ערעור שכנגד בגדרו מותנית בכך שאין הוא ענין שנוהגים בו לפי סדר דין אחר. תקנות בתי המשפט (סדרי דין בערעור לבית המשפט העליון לפי חוק לשכת עורכי הדין) אינן כוללות הוראת "סל" בדבר פנייה </w:t>
      </w:r>
      <w:proofErr w:type="spellStart"/>
      <w:r w:rsidRPr="002D07B3">
        <w:rPr>
          <w:rFonts w:ascii="David" w:eastAsia="Times New Roman" w:hAnsi="David" w:cs="David"/>
          <w:color w:val="000000"/>
          <w:sz w:val="24"/>
          <w:szCs w:val="24"/>
          <w:rtl/>
        </w:rPr>
        <w:t>לתקסד"א</w:t>
      </w:r>
      <w:proofErr w:type="spellEnd"/>
      <w:r w:rsidRPr="002D07B3">
        <w:rPr>
          <w:rFonts w:ascii="David" w:eastAsia="Times New Roman" w:hAnsi="David" w:cs="David"/>
          <w:color w:val="000000"/>
          <w:sz w:val="24"/>
          <w:szCs w:val="24"/>
          <w:rtl/>
        </w:rPr>
        <w:t xml:space="preserve"> בעניינים שלא זכו בהן להסדר מפורש. בנוסף, המועד להגשת ערעור על פסק דין של ביה"ד המשמעתי הארצי נבדל מהמועד להגשת ערעור על פסק דין לפי </w:t>
      </w:r>
      <w:proofErr w:type="spellStart"/>
      <w:r w:rsidRPr="002D07B3">
        <w:rPr>
          <w:rFonts w:ascii="David" w:eastAsia="Times New Roman" w:hAnsi="David" w:cs="David"/>
          <w:color w:val="000000"/>
          <w:sz w:val="24"/>
          <w:szCs w:val="24"/>
          <w:rtl/>
        </w:rPr>
        <w:t>תקסד"א</w:t>
      </w:r>
      <w:proofErr w:type="spellEnd"/>
      <w:r w:rsidRPr="002D07B3">
        <w:rPr>
          <w:rFonts w:ascii="David" w:eastAsia="Times New Roman" w:hAnsi="David" w:cs="David"/>
          <w:color w:val="000000"/>
          <w:sz w:val="24"/>
          <w:szCs w:val="24"/>
          <w:rtl/>
        </w:rPr>
        <w:t xml:space="preserve"> הן במשך התקופה והן במקור הנורמטיבי בו נקבעה. כבר נפסק כי כאשר המועד להגשת הערעור נקבע בגוף החוק הרי שהדבר מצביע על הכוונה שכל הליך של תקיפה יוגש תוך אותו מועד.</w:t>
      </w:r>
    </w:p>
    <w:p w14:paraId="5F016FD7" w14:textId="77777777" w:rsidR="00583643" w:rsidRPr="004B5D61" w:rsidRDefault="00583643" w:rsidP="00583643">
      <w:pPr>
        <w:pStyle w:val="a4"/>
        <w:spacing w:after="120" w:line="360" w:lineRule="auto"/>
        <w:ind w:left="-341"/>
        <w:jc w:val="both"/>
        <w:rPr>
          <w:rFonts w:ascii="David" w:hAnsi="David" w:cs="David"/>
          <w:b/>
          <w:bCs/>
          <w:color w:val="C00000"/>
          <w:sz w:val="24"/>
          <w:szCs w:val="24"/>
          <w:rtl/>
        </w:rPr>
      </w:pPr>
      <w:r w:rsidRPr="002D07B3">
        <w:rPr>
          <w:rFonts w:ascii="David" w:eastAsia="Times New Roman" w:hAnsi="David" w:cs="David"/>
          <w:color w:val="000000"/>
          <w:sz w:val="24"/>
          <w:szCs w:val="24"/>
          <w:rtl/>
        </w:rPr>
        <w:t>המסקנה הנה אפוא כי המשיב הגיש את ערעורו באיחור, וכי אין בידיו להצדיק את האיחור בטענה הרואה בערעורו ערעור שכנגד. הדבר מעורר את הצורך לדון בבקשה החלופית של המשיב, והיא שביהמ"ש יאריך את המועד להגשת הערעור עד ליום הגשתו בפועל. הארכת מועד להגשת ערעור על פסק דין של ביה"ד המשמעתי הארצי מותנית בקיומם של "טעמים מיוחדים שיירשמו". בענייננו, לא הוצג טעם מיוחד להארכת המועד. המשיב לא הוכיח את טענתו לפיה בביהמ"ש העליון לא נדחה מעולם ערעור שכנגד בשל איחור בהגשתו. נהפוך הוא. בנוסף, טעות של בעל דין בהבנת המצב המשפטי בנוגע לספירת המועדים אינה מהווה טעם מיוחד להארכת מועד. גם קיומו של ערעור תלוי</w:t>
      </w:r>
      <w:r>
        <w:rPr>
          <w:rFonts w:ascii="David" w:eastAsia="Times New Roman" w:hAnsi="David" w:cs="David" w:hint="cs"/>
          <w:color w:val="000000"/>
          <w:sz w:val="24"/>
          <w:szCs w:val="24"/>
          <w:rtl/>
        </w:rPr>
        <w:t xml:space="preserve"> </w:t>
      </w:r>
      <w:r w:rsidRPr="002D07B3">
        <w:rPr>
          <w:rFonts w:ascii="David" w:eastAsia="Times New Roman" w:hAnsi="David" w:cs="David"/>
          <w:color w:val="000000"/>
          <w:sz w:val="24"/>
          <w:szCs w:val="24"/>
          <w:rtl/>
        </w:rPr>
        <w:t>ועומד על אותו פסק דין אינו מהווה כשלעצמו טעם מיוחד להארכת מועד להגשת ערעור על ידי הצד שכנגד.</w:t>
      </w:r>
    </w:p>
    <w:p w14:paraId="552C6DDC" w14:textId="77777777" w:rsidR="00B33D7D" w:rsidRDefault="00B33D7D" w:rsidP="00B33D7D">
      <w:pPr>
        <w:pStyle w:val="a4"/>
        <w:numPr>
          <w:ilvl w:val="0"/>
          <w:numId w:val="34"/>
        </w:numPr>
        <w:spacing w:after="120" w:line="360" w:lineRule="auto"/>
        <w:contextualSpacing w:val="0"/>
        <w:jc w:val="both"/>
        <w:rPr>
          <w:rFonts w:ascii="David" w:hAnsi="David" w:cs="David"/>
          <w:b/>
          <w:bCs/>
          <w:sz w:val="24"/>
          <w:szCs w:val="24"/>
          <w:u w:val="single"/>
        </w:rPr>
      </w:pPr>
      <w:proofErr w:type="spellStart"/>
      <w:r w:rsidRPr="00583643">
        <w:rPr>
          <w:rFonts w:ascii="David" w:hAnsi="David" w:cs="David" w:hint="cs"/>
          <w:b/>
          <w:bCs/>
          <w:sz w:val="24"/>
          <w:szCs w:val="24"/>
          <w:highlight w:val="cyan"/>
          <w:u w:val="single"/>
          <w:rtl/>
        </w:rPr>
        <w:t>בר"ש</w:t>
      </w:r>
      <w:proofErr w:type="spellEnd"/>
      <w:r w:rsidRPr="00583643">
        <w:rPr>
          <w:rFonts w:ascii="David" w:hAnsi="David" w:cs="David" w:hint="cs"/>
          <w:b/>
          <w:bCs/>
          <w:sz w:val="24"/>
          <w:szCs w:val="24"/>
          <w:highlight w:val="cyan"/>
          <w:u w:val="single"/>
          <w:rtl/>
        </w:rPr>
        <w:t xml:space="preserve"> 1958/09 עו"ד ניקי ברי נ' הועד המחוזי של לשכת עו"ד בישראל</w:t>
      </w:r>
    </w:p>
    <w:p w14:paraId="247F7A33" w14:textId="77777777" w:rsidR="00583643" w:rsidRPr="00B100FD" w:rsidRDefault="00583643" w:rsidP="00583643">
      <w:pPr>
        <w:pStyle w:val="a4"/>
        <w:spacing w:after="120" w:line="360" w:lineRule="auto"/>
        <w:ind w:left="-188"/>
        <w:jc w:val="both"/>
        <w:rPr>
          <w:rFonts w:ascii="David" w:eastAsia="Times New Roman" w:hAnsi="David" w:cs="David"/>
          <w:color w:val="000000"/>
          <w:sz w:val="24"/>
          <w:szCs w:val="24"/>
          <w:rtl/>
        </w:rPr>
      </w:pPr>
      <w:r w:rsidRPr="00B100FD">
        <w:rPr>
          <w:rFonts w:ascii="David" w:eastAsia="Times New Roman" w:hAnsi="David" w:cs="David"/>
          <w:color w:val="000000"/>
          <w:sz w:val="24"/>
          <w:szCs w:val="24"/>
          <w:rtl/>
        </w:rPr>
        <w:t xml:space="preserve">המבקש הורשע בשלוש עבירות בביה"ד המשמעתי המחוזי של לשכת עוה"ד, ומשתיים מהן זוכה בביה"ד המשמעתי הארצי. בחלוף התקופה להגשת הערעור העיקרי, הגיש המבקש לבימ"ש המחוזי ערעור על פסה"ד של ביה"ד המשמעתי הארצי אותו הכתיר כ"ערעור שכנגד". בימ"ש המחוזי מחק את ערעור המבקש, ודחה את בקשתו להארכת מועד להגשת הערעור. מכאן </w:t>
      </w:r>
      <w:proofErr w:type="spellStart"/>
      <w:r w:rsidRPr="00B100FD">
        <w:rPr>
          <w:rFonts w:ascii="David" w:eastAsia="Times New Roman" w:hAnsi="David" w:cs="David"/>
          <w:color w:val="000000"/>
          <w:sz w:val="24"/>
          <w:szCs w:val="24"/>
          <w:rtl/>
        </w:rPr>
        <w:t>הבר"ע</w:t>
      </w:r>
      <w:proofErr w:type="spellEnd"/>
      <w:r w:rsidRPr="00B100FD">
        <w:rPr>
          <w:rFonts w:ascii="David" w:eastAsia="Times New Roman" w:hAnsi="David" w:cs="David"/>
          <w:color w:val="000000"/>
          <w:sz w:val="24"/>
          <w:szCs w:val="24"/>
          <w:rtl/>
        </w:rPr>
        <w:t>.</w:t>
      </w:r>
    </w:p>
    <w:p w14:paraId="497FB1DF" w14:textId="77777777" w:rsidR="00583643" w:rsidRPr="00B100FD" w:rsidRDefault="00583643" w:rsidP="00583643">
      <w:pPr>
        <w:pStyle w:val="a4"/>
        <w:spacing w:after="120" w:line="360" w:lineRule="auto"/>
        <w:ind w:left="-188"/>
        <w:jc w:val="both"/>
        <w:rPr>
          <w:rFonts w:ascii="David" w:eastAsia="Times New Roman" w:hAnsi="David" w:cs="David"/>
          <w:color w:val="000000"/>
          <w:sz w:val="24"/>
          <w:szCs w:val="24"/>
          <w:rtl/>
        </w:rPr>
      </w:pPr>
      <w:r w:rsidRPr="00B100FD">
        <w:rPr>
          <w:rFonts w:ascii="David" w:eastAsia="Times New Roman" w:hAnsi="David" w:cs="David"/>
          <w:color w:val="000000"/>
          <w:sz w:val="24"/>
          <w:szCs w:val="24"/>
          <w:rtl/>
        </w:rPr>
        <w:t xml:space="preserve">בית המשפט העליון (השופט א' רובינשטיין) דחה את </w:t>
      </w:r>
      <w:proofErr w:type="spellStart"/>
      <w:r w:rsidRPr="00B100FD">
        <w:rPr>
          <w:rFonts w:ascii="David" w:eastAsia="Times New Roman" w:hAnsi="David" w:cs="David"/>
          <w:color w:val="000000"/>
          <w:sz w:val="24"/>
          <w:szCs w:val="24"/>
          <w:rtl/>
        </w:rPr>
        <w:t>הבר"ע</w:t>
      </w:r>
      <w:proofErr w:type="spellEnd"/>
      <w:r w:rsidRPr="00B100FD">
        <w:rPr>
          <w:rFonts w:ascii="David" w:eastAsia="Times New Roman" w:hAnsi="David" w:cs="David"/>
          <w:color w:val="000000"/>
          <w:sz w:val="24"/>
          <w:szCs w:val="24"/>
          <w:rtl/>
        </w:rPr>
        <w:t xml:space="preserve"> ופסק כי:</w:t>
      </w:r>
    </w:p>
    <w:p w14:paraId="42D78C75" w14:textId="77777777" w:rsidR="00583643" w:rsidRPr="00B100FD" w:rsidRDefault="00583643" w:rsidP="00583643">
      <w:pPr>
        <w:pStyle w:val="a4"/>
        <w:spacing w:after="120" w:line="360" w:lineRule="auto"/>
        <w:ind w:left="-188"/>
        <w:jc w:val="both"/>
        <w:rPr>
          <w:rFonts w:ascii="David" w:eastAsia="Times New Roman" w:hAnsi="David" w:cs="David"/>
          <w:color w:val="000000"/>
          <w:sz w:val="24"/>
          <w:szCs w:val="24"/>
          <w:rtl/>
        </w:rPr>
      </w:pPr>
      <w:r w:rsidRPr="00B100FD">
        <w:rPr>
          <w:rFonts w:ascii="David" w:eastAsia="Times New Roman" w:hAnsi="David" w:cs="David"/>
          <w:color w:val="000000"/>
          <w:sz w:val="24"/>
          <w:szCs w:val="24"/>
          <w:rtl/>
        </w:rPr>
        <w:t>בעניין ערעורי לשכת עוה"ד חל שינוי בחוק לשכת עורכי הדין, לפיו היה ערעור שלישי (בזכות) לבימ"ש העליון ובתיקון מס' 32, נותר ערעור בזכות בגלגול שלישי, אך הועבר לבימ"ש המחוזי בירושלים; לפיכך, בימ"ש העליון עשוי להידרש לתיקי לשכת עוה"ד אלה אך בגדר רשות ערעור על פס"ד של בימ"ש המחוזי בשבתו כערכאת ערעור על ביה"ד המשמעתי הארצי, כבענייננו. רשות ערעור בתיקים כאלה תינתן במשורה שבמשורה, במקרים חריגים ביותר שיכללו שאלות עקרוניות בעלות חשיבות משפטית או ציבורית, בגדרי "מהדורה מחמירה" של הלכת חניון חיפה.</w:t>
      </w:r>
    </w:p>
    <w:p w14:paraId="6234332D" w14:textId="77777777" w:rsidR="00583643" w:rsidRPr="00B100FD" w:rsidRDefault="00583643" w:rsidP="00583643">
      <w:pPr>
        <w:pStyle w:val="a4"/>
        <w:spacing w:after="120" w:line="360" w:lineRule="auto"/>
        <w:ind w:left="-188"/>
        <w:jc w:val="both"/>
        <w:rPr>
          <w:rFonts w:ascii="David" w:eastAsia="Times New Roman" w:hAnsi="David" w:cs="David"/>
          <w:color w:val="000000"/>
          <w:sz w:val="24"/>
          <w:szCs w:val="24"/>
        </w:rPr>
      </w:pPr>
      <w:r w:rsidRPr="00B100FD">
        <w:rPr>
          <w:rFonts w:ascii="David" w:eastAsia="Times New Roman" w:hAnsi="David" w:cs="David"/>
          <w:color w:val="000000"/>
          <w:sz w:val="24"/>
          <w:szCs w:val="24"/>
          <w:rtl/>
        </w:rPr>
        <w:t>בענייננו אמנם הנושא הספציפי נדון רק בגלגול שני ("ערעור ראשון"), שהרי שאלת הערעור עלתה רק בשלב הערעור, לכן תיתכן התייחסות "מרווחת" יותר; אך כבר נפסק שעצם העובדה כי בפס"ד של ערכאת ערעור מצויים שינוי, תוספת או אף הכרעה חדשה שלא נכללה בהחלטת הערכאה הראשונה, אין בה די כדי להוציא את המקרה מגדר גלגול שלישי ולהקנות זכות ערעור.</w:t>
      </w:r>
    </w:p>
    <w:p w14:paraId="079C3AEA" w14:textId="77777777" w:rsidR="00B33D7D" w:rsidRDefault="00B33D7D" w:rsidP="00B33D7D">
      <w:pPr>
        <w:pStyle w:val="a4"/>
        <w:numPr>
          <w:ilvl w:val="0"/>
          <w:numId w:val="34"/>
        </w:numPr>
        <w:spacing w:after="120" w:line="360" w:lineRule="auto"/>
        <w:contextualSpacing w:val="0"/>
        <w:jc w:val="both"/>
        <w:rPr>
          <w:rFonts w:ascii="David" w:hAnsi="David" w:cs="David"/>
          <w:b/>
          <w:bCs/>
          <w:color w:val="FF0000"/>
          <w:sz w:val="24"/>
          <w:szCs w:val="24"/>
          <w:u w:val="single"/>
        </w:rPr>
      </w:pPr>
      <w:proofErr w:type="spellStart"/>
      <w:r w:rsidRPr="004139B5">
        <w:rPr>
          <w:rFonts w:ascii="David" w:hAnsi="David" w:cs="David" w:hint="cs"/>
          <w:b/>
          <w:bCs/>
          <w:sz w:val="24"/>
          <w:szCs w:val="24"/>
          <w:u w:val="single"/>
          <w:rtl/>
        </w:rPr>
        <w:t>על"ע</w:t>
      </w:r>
      <w:proofErr w:type="spellEnd"/>
      <w:r w:rsidRPr="004139B5">
        <w:rPr>
          <w:rFonts w:ascii="David" w:hAnsi="David" w:cs="David" w:hint="cs"/>
          <w:b/>
          <w:bCs/>
          <w:sz w:val="24"/>
          <w:szCs w:val="24"/>
          <w:u w:val="single"/>
          <w:rtl/>
        </w:rPr>
        <w:t xml:space="preserve"> (י-ם) 6/08 עו"ד יעקב פודים נ' הועד המחוז של לשכת עו"ד</w:t>
      </w:r>
    </w:p>
    <w:p w14:paraId="0F8CD643" w14:textId="77777777" w:rsidR="00583643" w:rsidRDefault="004139B5" w:rsidP="00583643">
      <w:pPr>
        <w:pStyle w:val="a4"/>
        <w:spacing w:after="120" w:line="360" w:lineRule="auto"/>
        <w:ind w:left="-188"/>
        <w:contextualSpacing w:val="0"/>
        <w:jc w:val="both"/>
        <w:rPr>
          <w:rFonts w:ascii="David" w:eastAsia="Times New Roman" w:hAnsi="David" w:cs="David"/>
          <w:color w:val="000000"/>
          <w:sz w:val="24"/>
          <w:szCs w:val="24"/>
          <w:rtl/>
        </w:rPr>
      </w:pPr>
      <w:r>
        <w:rPr>
          <w:rFonts w:ascii="David" w:eastAsia="Times New Roman" w:hAnsi="David" w:cs="David" w:hint="cs"/>
          <w:color w:val="000000"/>
          <w:sz w:val="24"/>
          <w:szCs w:val="24"/>
          <w:rtl/>
        </w:rPr>
        <w:t>בקשה</w:t>
      </w:r>
      <w:r w:rsidR="00583643" w:rsidRPr="004139B5">
        <w:rPr>
          <w:rFonts w:ascii="David" w:eastAsia="Times New Roman" w:hAnsi="David" w:cs="David" w:hint="cs"/>
          <w:color w:val="000000"/>
          <w:sz w:val="24"/>
          <w:szCs w:val="24"/>
          <w:rtl/>
        </w:rPr>
        <w:t xml:space="preserve"> דחופה לביטול החלטה ועיכוב ביצוע, שסורבה משלושה נימוקים:  (א) הגם שאין חובה שבדין להגיש עיקרי טיעון בהליך זה </w:t>
      </w:r>
      <w:r w:rsidRPr="004139B5">
        <w:rPr>
          <w:rFonts w:ascii="David" w:eastAsia="Times New Roman" w:hAnsi="David" w:cs="David" w:hint="cs"/>
          <w:color w:val="000000"/>
          <w:sz w:val="24"/>
          <w:szCs w:val="24"/>
          <w:rtl/>
        </w:rPr>
        <w:t xml:space="preserve">המערער הגיש אותם באיחור עקב טעות שבתום לב כך לדבריו - ממול, לבית המשפט הזכות המוקנית לייעל את מהלך הדיון בהתחשב בקהל המתדיינים הנרחב והעצום הזקוק לשירותיו של בית המשפט (ב) המערער התעלם במופגן מההחלטה השיפוטית, תוך התנצלות </w:t>
      </w:r>
      <w:r w:rsidRPr="004139B5">
        <w:rPr>
          <w:rFonts w:ascii="David" w:eastAsia="Times New Roman" w:hAnsi="David" w:cs="David" w:hint="cs"/>
          <w:color w:val="000000"/>
          <w:sz w:val="24"/>
          <w:szCs w:val="24"/>
          <w:rtl/>
        </w:rPr>
        <w:lastRenderedPageBreak/>
        <w:t xml:space="preserve">בלתי משכנעת שנאמרה מן הפה אל החוץ (ג) השופט עדיין אינו סבור י מחיקת הערעור גובלת בעיוות דין, בוודאי לאור התנהלותו התמוהה והוא עומד מאחורי  החלטתו.  </w:t>
      </w:r>
    </w:p>
    <w:p w14:paraId="2904851C" w14:textId="77777777" w:rsidR="00B33D7D" w:rsidRPr="00583643" w:rsidRDefault="00B33D7D" w:rsidP="00B33D7D">
      <w:pPr>
        <w:pStyle w:val="a4"/>
        <w:numPr>
          <w:ilvl w:val="0"/>
          <w:numId w:val="34"/>
        </w:numPr>
        <w:spacing w:after="120" w:line="360" w:lineRule="auto"/>
        <w:contextualSpacing w:val="0"/>
        <w:jc w:val="both"/>
        <w:rPr>
          <w:rFonts w:ascii="David" w:hAnsi="David" w:cs="David"/>
          <w:b/>
          <w:bCs/>
          <w:sz w:val="24"/>
          <w:szCs w:val="24"/>
          <w:highlight w:val="cyan"/>
          <w:u w:val="single"/>
        </w:rPr>
      </w:pPr>
      <w:proofErr w:type="spellStart"/>
      <w:r w:rsidRPr="00583643">
        <w:rPr>
          <w:rFonts w:ascii="David" w:hAnsi="David" w:cs="David" w:hint="cs"/>
          <w:b/>
          <w:bCs/>
          <w:sz w:val="24"/>
          <w:szCs w:val="24"/>
          <w:highlight w:val="cyan"/>
          <w:u w:val="single"/>
          <w:rtl/>
        </w:rPr>
        <w:t>בר"ש</w:t>
      </w:r>
      <w:proofErr w:type="spellEnd"/>
      <w:r w:rsidRPr="00583643">
        <w:rPr>
          <w:rFonts w:ascii="David" w:hAnsi="David" w:cs="David" w:hint="cs"/>
          <w:b/>
          <w:bCs/>
          <w:sz w:val="24"/>
          <w:szCs w:val="24"/>
          <w:highlight w:val="cyan"/>
          <w:u w:val="single"/>
          <w:rtl/>
        </w:rPr>
        <w:t xml:space="preserve"> 5700/09 עו"ד יעקב נ' הועד המחוזי של לשכת עו"ד בירושלים</w:t>
      </w:r>
    </w:p>
    <w:p w14:paraId="2D734290" w14:textId="77777777" w:rsidR="00583643" w:rsidRPr="00B100FD" w:rsidRDefault="00583643" w:rsidP="00821256">
      <w:pPr>
        <w:pStyle w:val="a4"/>
        <w:spacing w:after="120" w:line="360" w:lineRule="auto"/>
        <w:ind w:left="-483"/>
        <w:jc w:val="both"/>
        <w:rPr>
          <w:rFonts w:ascii="David" w:hAnsi="David" w:cs="David"/>
          <w:b/>
          <w:bCs/>
          <w:color w:val="C00000"/>
          <w:sz w:val="24"/>
          <w:szCs w:val="24"/>
        </w:rPr>
      </w:pPr>
      <w:r w:rsidRPr="00B100FD">
        <w:rPr>
          <w:rFonts w:ascii="David" w:hAnsi="David" w:cs="David"/>
          <w:sz w:val="24"/>
          <w:szCs w:val="24"/>
          <w:rtl/>
        </w:rPr>
        <w:t>ביה"ד המשמעתי הארצי של לשכת עורכי הדין דחה את ערעור המבקש על פסק דינו של ביה"ד המשמעתי המחוזי, בו הורשע המבקש בעבירות של פגיעה בכבוד המקצוע ועשיית מעשים שאינם</w:t>
      </w:r>
      <w:r>
        <w:rPr>
          <w:rFonts w:ascii="David" w:hAnsi="David" w:cs="David" w:hint="cs"/>
          <w:sz w:val="24"/>
          <w:szCs w:val="24"/>
          <w:rtl/>
        </w:rPr>
        <w:t xml:space="preserve">. </w:t>
      </w:r>
      <w:r w:rsidRPr="00B100FD">
        <w:rPr>
          <w:rFonts w:ascii="David" w:hAnsi="David" w:cs="David"/>
          <w:sz w:val="24"/>
          <w:szCs w:val="24"/>
          <w:rtl/>
        </w:rPr>
        <w:t>הולמים ונגזרו עליו 3 חודשי השעיה וקנס בסך 5,000 ₪. המבקש ערער לביהמ"ש המחוזי בירושלים. ביהמ"ש המחוזי מחק את הערעור, לאחר שהמבקש לא הגיש עיקרי טיעון במועד (לאחר הארכה שניתנה לו). המבקש הגיש בקשה לביטול ההחלטה הראשונה, אך ביהמ"ש דחה את הבקשה. כלפי החלטה זו הוגשה הבקשה למתן רשות לערער. נטען, כי בהעדר הוראה שבדין המחייבת הגשת עיקרי טיעון, לא היה מקום לסנקציה שהשית ביהמ"ש המחוזי על אי הגשתם.</w:t>
      </w:r>
    </w:p>
    <w:p w14:paraId="39CD5B6A" w14:textId="77777777" w:rsidR="00583643" w:rsidRDefault="00583643" w:rsidP="00175FD7">
      <w:pPr>
        <w:pStyle w:val="a4"/>
        <w:spacing w:after="0" w:line="360" w:lineRule="auto"/>
        <w:ind w:left="-482"/>
        <w:contextualSpacing w:val="0"/>
        <w:jc w:val="both"/>
        <w:rPr>
          <w:rFonts w:ascii="David" w:hAnsi="David" w:cs="David"/>
          <w:sz w:val="24"/>
          <w:szCs w:val="24"/>
          <w:rtl/>
        </w:rPr>
      </w:pPr>
    </w:p>
    <w:p w14:paraId="1638C7D4" w14:textId="77777777" w:rsidR="00583643" w:rsidRDefault="00583643" w:rsidP="00821256">
      <w:pPr>
        <w:pStyle w:val="a4"/>
        <w:spacing w:after="120" w:line="360" w:lineRule="auto"/>
        <w:ind w:left="-483"/>
        <w:jc w:val="both"/>
        <w:rPr>
          <w:rFonts w:ascii="David" w:hAnsi="David" w:cs="David"/>
          <w:b/>
          <w:bCs/>
          <w:color w:val="C00000"/>
          <w:sz w:val="24"/>
          <w:szCs w:val="24"/>
          <w:rtl/>
        </w:rPr>
      </w:pPr>
      <w:r w:rsidRPr="00391922">
        <w:rPr>
          <w:rFonts w:ascii="David" w:hAnsi="David" w:cs="David"/>
          <w:b/>
          <w:bCs/>
          <w:sz w:val="24"/>
          <w:szCs w:val="24"/>
          <w:rtl/>
        </w:rPr>
        <w:t xml:space="preserve">ביהמ"ש העליון דחה את הבקשה </w:t>
      </w:r>
      <w:proofErr w:type="spellStart"/>
      <w:r w:rsidRPr="00391922">
        <w:rPr>
          <w:rFonts w:ascii="David" w:hAnsi="David" w:cs="David"/>
          <w:b/>
          <w:bCs/>
          <w:sz w:val="24"/>
          <w:szCs w:val="24"/>
          <w:rtl/>
        </w:rPr>
        <w:t>בקובעו</w:t>
      </w:r>
      <w:proofErr w:type="spellEnd"/>
      <w:r w:rsidRPr="00B100FD">
        <w:rPr>
          <w:rFonts w:ascii="David" w:hAnsi="David" w:cs="David"/>
          <w:sz w:val="24"/>
          <w:szCs w:val="24"/>
          <w:rtl/>
        </w:rPr>
        <w:t>:</w:t>
      </w:r>
      <w:r>
        <w:rPr>
          <w:rFonts w:ascii="David" w:hAnsi="David" w:cs="David" w:hint="cs"/>
          <w:sz w:val="24"/>
          <w:szCs w:val="24"/>
          <w:rtl/>
        </w:rPr>
        <w:t xml:space="preserve"> </w:t>
      </w:r>
      <w:r w:rsidRPr="002D07B3">
        <w:rPr>
          <w:rFonts w:ascii="David" w:hAnsi="David" w:cs="David"/>
          <w:sz w:val="24"/>
          <w:szCs w:val="24"/>
          <w:rtl/>
        </w:rPr>
        <w:t>אמות המידה למתן רשות ערעור בגלגול רביעי על החלטות ביהמ"ש המחוזי בירושלים לפי סעיף 71 לחוק לשכת עורכי הדין, הותוו לאחרונה בפרשת ניק ברי. נפסק, כי רשות ערעור בתיקים כאלה תינתן במשורה שבמשורה, שכן גלגול רביעי בתיק הוא מותרות דיוניים שבימ"ש זה אינו יכול להעניקם, נוכח העומס המוטל עליו, אלא במקרים חריגים ביותר, ועל אלה לכלול שאלות עקרוניות בעלות חשיבות משפטית או ציבורית. כ"כ - בגדר "מהדורה מחמירה" של הלכת חניון חיפה. המקרה הנדון, שאינו מעורר שאלה בעלת חשיבות משפטית או ציבורית, אינו בא בגדרי חריגים אלה.</w:t>
      </w:r>
    </w:p>
    <w:p w14:paraId="1B56CD16" w14:textId="77777777" w:rsidR="00583643" w:rsidRPr="00B100FD" w:rsidRDefault="00583643" w:rsidP="00821256">
      <w:pPr>
        <w:pStyle w:val="a4"/>
        <w:spacing w:after="120" w:line="360" w:lineRule="auto"/>
        <w:ind w:left="-483"/>
        <w:jc w:val="both"/>
        <w:rPr>
          <w:rFonts w:ascii="David" w:hAnsi="David" w:cs="David"/>
          <w:b/>
          <w:bCs/>
          <w:color w:val="C00000"/>
          <w:sz w:val="24"/>
          <w:szCs w:val="24"/>
          <w:rtl/>
        </w:rPr>
      </w:pPr>
    </w:p>
    <w:p w14:paraId="6C0679E4" w14:textId="77777777" w:rsidR="00583643" w:rsidRDefault="00583643" w:rsidP="00821256">
      <w:pPr>
        <w:pStyle w:val="a4"/>
        <w:spacing w:after="120" w:line="360" w:lineRule="auto"/>
        <w:ind w:left="-483"/>
        <w:jc w:val="both"/>
        <w:rPr>
          <w:rFonts w:ascii="David" w:hAnsi="David" w:cs="David"/>
          <w:b/>
          <w:bCs/>
          <w:color w:val="C00000"/>
          <w:sz w:val="24"/>
          <w:szCs w:val="24"/>
          <w:rtl/>
        </w:rPr>
      </w:pPr>
      <w:r w:rsidRPr="002D07B3">
        <w:rPr>
          <w:rFonts w:ascii="David" w:hAnsi="David" w:cs="David"/>
          <w:sz w:val="24"/>
          <w:szCs w:val="24"/>
          <w:rtl/>
        </w:rPr>
        <w:t xml:space="preserve">אך אף לגופו של עניין, לא נמצאה עילה להתערב בפסק דינו של ביהמ"ש המחוזי. ביהמ"ש לא קבע כי קיימת בדין חובה להגיש עיקרי טיעון. ואולם, לא רק בערעורים אזרחיים, שבהם ישנה חובת עיקרי טיעון, אלא גם בערעורים פליליים, אין כל מניעה להורות מפי הרכב, דן יחיד או רשם, לשם ייעול השמיעה וחיסכון בזמן שיפוטי, על הגשת עיקרי טיעון. פרקטיקה זו נוהגת בבימ"ש זה בתיקים המתאימים, ונהגה גם בערעורי לשכת עורכי הדין שנדונו כאן. ובמקרה הנדון, יפה עשה ביהמ"ש שהורה על עיקרי טיעון. ומכל מקום, אילו סבר המבקש בזמן אמת, ולו בטעות, כי אין חובה ואין הצדקה להגשת עיקרי טיעון, יכול היה להגיש בקשה לביהמ"ש. התעלמות מהחלטה מפורשת של בית המשפט (בפרט לאחר הארכה שניתנה) אינה אופציה לגיטימית, וכאשר מביטים על טיב </w:t>
      </w:r>
      <w:proofErr w:type="spellStart"/>
      <w:r w:rsidRPr="002D07B3">
        <w:rPr>
          <w:rFonts w:ascii="David" w:hAnsi="David" w:cs="David"/>
          <w:sz w:val="24"/>
          <w:szCs w:val="24"/>
          <w:rtl/>
        </w:rPr>
        <w:t>המאטריה</w:t>
      </w:r>
      <w:proofErr w:type="spellEnd"/>
      <w:r w:rsidRPr="002D07B3">
        <w:rPr>
          <w:rFonts w:ascii="David" w:hAnsi="David" w:cs="David"/>
          <w:sz w:val="24"/>
          <w:szCs w:val="24"/>
          <w:rtl/>
        </w:rPr>
        <w:t xml:space="preserve"> בה עסקינן - דין משמעתי הנועד להבטיח התנהגות הולמת של עורכי דין - להתנהלות זו חומרה יתירה.</w:t>
      </w:r>
    </w:p>
    <w:p w14:paraId="4F7F02CF" w14:textId="77777777" w:rsidR="00B33D7D" w:rsidRPr="00AD3FC9" w:rsidRDefault="00B33D7D" w:rsidP="00175FD7">
      <w:pPr>
        <w:pStyle w:val="a4"/>
        <w:numPr>
          <w:ilvl w:val="0"/>
          <w:numId w:val="34"/>
        </w:numPr>
        <w:spacing w:after="120" w:line="360" w:lineRule="auto"/>
        <w:ind w:left="-483"/>
        <w:contextualSpacing w:val="0"/>
        <w:jc w:val="both"/>
        <w:rPr>
          <w:rFonts w:ascii="David" w:hAnsi="David" w:cs="David"/>
          <w:b/>
          <w:bCs/>
          <w:sz w:val="24"/>
          <w:szCs w:val="24"/>
          <w:u w:val="single"/>
        </w:rPr>
      </w:pPr>
      <w:proofErr w:type="spellStart"/>
      <w:r w:rsidRPr="00AD3FC9">
        <w:rPr>
          <w:rFonts w:ascii="David" w:hAnsi="David" w:cs="David" w:hint="cs"/>
          <w:b/>
          <w:bCs/>
          <w:sz w:val="24"/>
          <w:szCs w:val="24"/>
          <w:u w:val="single"/>
          <w:rtl/>
        </w:rPr>
        <w:t>על"ע</w:t>
      </w:r>
      <w:proofErr w:type="spellEnd"/>
      <w:r w:rsidRPr="00AD3FC9">
        <w:rPr>
          <w:rFonts w:ascii="David" w:hAnsi="David" w:cs="David" w:hint="cs"/>
          <w:b/>
          <w:bCs/>
          <w:sz w:val="24"/>
          <w:szCs w:val="24"/>
          <w:u w:val="single"/>
          <w:rtl/>
        </w:rPr>
        <w:t xml:space="preserve"> (י-ם) 10/08 הועד המחוזי של לשכת עו"ד בת"א נ' עו"ד מירי טל</w:t>
      </w:r>
    </w:p>
    <w:p w14:paraId="569B9717" w14:textId="77777777" w:rsidR="00AD3FC9" w:rsidRPr="00AD3FC9" w:rsidRDefault="00AD3FC9" w:rsidP="00175FD7">
      <w:pPr>
        <w:shd w:val="clear" w:color="auto" w:fill="FFFFFF"/>
        <w:spacing w:before="120" w:after="0" w:line="320" w:lineRule="atLeast"/>
        <w:ind w:left="-483"/>
        <w:jc w:val="both"/>
        <w:rPr>
          <w:rFonts w:ascii="David" w:hAnsi="David" w:cs="David"/>
          <w:sz w:val="24"/>
          <w:szCs w:val="24"/>
        </w:rPr>
      </w:pPr>
      <w:r w:rsidRPr="00AD3FC9">
        <w:rPr>
          <w:rFonts w:ascii="David" w:hAnsi="David" w:cs="David"/>
          <w:sz w:val="24"/>
          <w:szCs w:val="24"/>
          <w:rtl/>
        </w:rPr>
        <w:t>נדחה ערעורה של עורכת-דין על פסק-דינו של בית הדין המשמעתי הארצי לפיו, בין היתר, הוצאת המחאה בידיעה כי הינה נטולת כיסוי מהווה עבירה אתית. ביהמ"ש קיבל את ערעורה של הלשכה והעמיד את עונשה של המשיבה על 12 במקום 6 חודשי השעיה שנקבעו לה.</w:t>
      </w:r>
    </w:p>
    <w:p w14:paraId="2A0029AB" w14:textId="77777777" w:rsidR="00AD3FC9" w:rsidRPr="00AD3FC9" w:rsidRDefault="00AD3FC9" w:rsidP="00175FD7">
      <w:pPr>
        <w:shd w:val="clear" w:color="auto" w:fill="FFFFFF"/>
        <w:spacing w:before="120" w:after="0" w:line="320" w:lineRule="atLeast"/>
        <w:ind w:left="-483"/>
        <w:jc w:val="both"/>
        <w:rPr>
          <w:rFonts w:ascii="David" w:hAnsi="David" w:cs="David"/>
          <w:sz w:val="24"/>
          <w:szCs w:val="24"/>
          <w:rtl/>
        </w:rPr>
      </w:pPr>
      <w:r w:rsidRPr="00AD3FC9">
        <w:rPr>
          <w:rFonts w:ascii="David" w:hAnsi="David" w:cs="David"/>
          <w:sz w:val="24"/>
          <w:szCs w:val="24"/>
          <w:rtl/>
        </w:rPr>
        <w:t>הדדיים על פסק-דינו של בית הדין המשמעתי הארצי אשר קבע כי אי תשלום שכר עבודה לעורכת הדין השכירה שעבדה אצל המשיבה, מהווה התנהגות שאינה הולמת וכי חרף העובדה שהמתלוננ</w:t>
      </w:r>
      <w:r w:rsidRPr="00AD3FC9">
        <w:rPr>
          <w:rFonts w:ascii="David" w:hAnsi="David" w:cs="David" w:hint="cs"/>
          <w:sz w:val="24"/>
          <w:szCs w:val="24"/>
          <w:rtl/>
        </w:rPr>
        <w:t xml:space="preserve">ת </w:t>
      </w:r>
      <w:r w:rsidRPr="00AD3FC9">
        <w:rPr>
          <w:rFonts w:ascii="David" w:hAnsi="David" w:cs="David"/>
          <w:sz w:val="24"/>
          <w:szCs w:val="24"/>
          <w:rtl/>
        </w:rPr>
        <w:t>והמשיבה הסכימו שההמחאה לא תוצג לפירעון, עצם הוצאתה תוך ידיעה כי הנה נטולת כיסוי מכוננת עבירה אתית של התנהגות שאינה הולמת.</w:t>
      </w:r>
    </w:p>
    <w:p w14:paraId="634B5691" w14:textId="77777777" w:rsidR="00AD3FC9" w:rsidRPr="00AD3FC9" w:rsidRDefault="00AD3FC9" w:rsidP="00175FD7">
      <w:pPr>
        <w:shd w:val="clear" w:color="auto" w:fill="FFFFFF"/>
        <w:spacing w:before="120" w:after="0" w:line="320" w:lineRule="atLeast"/>
        <w:ind w:left="-483"/>
        <w:jc w:val="both"/>
        <w:rPr>
          <w:rFonts w:ascii="David" w:hAnsi="David" w:cs="David"/>
          <w:sz w:val="24"/>
          <w:szCs w:val="24"/>
          <w:rtl/>
        </w:rPr>
      </w:pPr>
      <w:r w:rsidRPr="00AD3FC9">
        <w:rPr>
          <w:rFonts w:ascii="David" w:hAnsi="David" w:cs="David"/>
          <w:sz w:val="24"/>
          <w:szCs w:val="24"/>
          <w:rtl/>
        </w:rPr>
        <w:t>בית המשפט המחוזי קיבל באופן חלקי את ערעור המערער, דחה את ערעור המשיבה ופסק כי:</w:t>
      </w:r>
    </w:p>
    <w:p w14:paraId="5C44E386" w14:textId="77777777" w:rsidR="00AD3FC9" w:rsidRDefault="00AD3FC9" w:rsidP="00175FD7">
      <w:pPr>
        <w:shd w:val="clear" w:color="auto" w:fill="FFFFFF"/>
        <w:spacing w:before="120" w:after="0" w:line="320" w:lineRule="atLeast"/>
        <w:ind w:left="-483"/>
        <w:jc w:val="both"/>
        <w:rPr>
          <w:rFonts w:ascii="David" w:hAnsi="David" w:cs="David"/>
          <w:sz w:val="24"/>
          <w:szCs w:val="24"/>
          <w:rtl/>
        </w:rPr>
      </w:pPr>
      <w:r w:rsidRPr="00AD3FC9">
        <w:rPr>
          <w:rFonts w:ascii="David" w:hAnsi="David" w:cs="David"/>
          <w:sz w:val="24"/>
          <w:szCs w:val="24"/>
          <w:rtl/>
        </w:rPr>
        <w:lastRenderedPageBreak/>
        <w:t>המשיבה לא הציגה תשתית ראייתית הולמת ומשכנעת, שבכוחה לבסס את טענותיה בדבר מצבה הכלכלי ונסיבותיה האישיות הקשות. למשיבה עבר משמעתי בלתי זניח, מה גם שיצרה רושם בלתי אמין בפני בית הדין המחוזי.  אף אי מינוי סנגור למשיבה על-ידי בית הדין המחוזי הנו מוצדק, ואין בו כדי לבסס טעם מספיק לקבלת הערעור.    הגם שהמערער עתר לגזור על המשיבה עונש השעיה בפועל למשך מספר שנים, באיזון הראוי בין האינטרסים יש להעמיד את עונשה של המשיבה על 12 חודשי השעיה בפועל, חלף עונש ההשעיה של 6 חודשים שנגזר עליה.</w:t>
      </w:r>
    </w:p>
    <w:p w14:paraId="59D96644" w14:textId="77777777" w:rsidR="00AD3FC9" w:rsidRPr="00AD3FC9" w:rsidRDefault="00AD3FC9" w:rsidP="00175FD7">
      <w:pPr>
        <w:shd w:val="clear" w:color="auto" w:fill="FFFFFF"/>
        <w:spacing w:before="120" w:after="0" w:line="320" w:lineRule="atLeast"/>
        <w:ind w:left="-483"/>
        <w:jc w:val="both"/>
        <w:rPr>
          <w:rFonts w:ascii="David" w:hAnsi="David" w:cs="David"/>
          <w:sz w:val="24"/>
          <w:szCs w:val="24"/>
          <w:rtl/>
        </w:rPr>
      </w:pPr>
    </w:p>
    <w:p w14:paraId="04352FB3" w14:textId="77777777" w:rsidR="00B33D7D" w:rsidRPr="00AD3FC9" w:rsidRDefault="00B33D7D" w:rsidP="00175FD7">
      <w:pPr>
        <w:pStyle w:val="a4"/>
        <w:numPr>
          <w:ilvl w:val="0"/>
          <w:numId w:val="34"/>
        </w:numPr>
        <w:spacing w:after="120" w:line="360" w:lineRule="auto"/>
        <w:ind w:left="-483"/>
        <w:contextualSpacing w:val="0"/>
        <w:jc w:val="both"/>
        <w:rPr>
          <w:rFonts w:ascii="David" w:hAnsi="David" w:cs="David"/>
          <w:b/>
          <w:bCs/>
          <w:sz w:val="24"/>
          <w:szCs w:val="24"/>
          <w:u w:val="single"/>
        </w:rPr>
      </w:pPr>
      <w:proofErr w:type="spellStart"/>
      <w:r w:rsidRPr="00AD3FC9">
        <w:rPr>
          <w:rFonts w:ascii="David" w:hAnsi="David" w:cs="David" w:hint="cs"/>
          <w:b/>
          <w:bCs/>
          <w:sz w:val="24"/>
          <w:szCs w:val="24"/>
          <w:u w:val="single"/>
          <w:rtl/>
        </w:rPr>
        <w:t>על"ע</w:t>
      </w:r>
      <w:proofErr w:type="spellEnd"/>
      <w:r w:rsidRPr="00AD3FC9">
        <w:rPr>
          <w:rFonts w:ascii="David" w:hAnsi="David" w:cs="David" w:hint="cs"/>
          <w:b/>
          <w:bCs/>
          <w:sz w:val="24"/>
          <w:szCs w:val="24"/>
          <w:u w:val="single"/>
          <w:rtl/>
        </w:rPr>
        <w:t xml:space="preserve"> (י-ם) 7009/09 עו"ד מור גרטי נ' פרקליט המדינה</w:t>
      </w:r>
    </w:p>
    <w:p w14:paraId="07739636" w14:textId="77777777" w:rsidR="00583643" w:rsidRPr="002D5D5D" w:rsidRDefault="004139B5" w:rsidP="00175FD7">
      <w:pPr>
        <w:spacing w:after="120" w:line="360" w:lineRule="auto"/>
        <w:ind w:left="-483"/>
        <w:jc w:val="both"/>
        <w:rPr>
          <w:rFonts w:ascii="David" w:hAnsi="David" w:cs="David"/>
          <w:sz w:val="24"/>
          <w:szCs w:val="24"/>
          <w:rtl/>
        </w:rPr>
      </w:pPr>
      <w:r w:rsidRPr="002D5D5D">
        <w:rPr>
          <w:rFonts w:ascii="David" w:hAnsi="David" w:cs="David" w:hint="cs"/>
          <w:sz w:val="24"/>
          <w:szCs w:val="24"/>
          <w:rtl/>
        </w:rPr>
        <w:t>"ה</w:t>
      </w:r>
      <w:r w:rsidRPr="002D5D5D">
        <w:rPr>
          <w:rFonts w:ascii="David" w:hAnsi="David" w:cs="David"/>
          <w:sz w:val="24"/>
          <w:szCs w:val="24"/>
          <w:rtl/>
        </w:rPr>
        <w:t>מערער, עו"ד, זייף תו חניה לרכב נכה והשתמש בו. מעשים כאלה פוגעים בשמו הטוב של מקצוע עריכת הדין ובאמון שרוחש הציבור לעורכי הדין, גם כשאין הם מתבצעים במסגרת מילוי תפקידיו המקצועיים של עורך הדין. זיוף עומד בניגוד קוטבי ליושרה המצופה ממקצוע עריכת הדין</w:t>
      </w:r>
      <w:r w:rsidRPr="002D5D5D">
        <w:rPr>
          <w:rFonts w:ascii="David" w:hAnsi="David" w:cs="David"/>
          <w:sz w:val="24"/>
          <w:szCs w:val="24"/>
        </w:rPr>
        <w:t>."</w:t>
      </w:r>
    </w:p>
    <w:p w14:paraId="78564139" w14:textId="77777777" w:rsidR="004139B5" w:rsidRPr="002D5D5D" w:rsidRDefault="004139B5" w:rsidP="00175FD7">
      <w:pPr>
        <w:spacing w:after="120" w:line="360" w:lineRule="auto"/>
        <w:ind w:left="-483"/>
        <w:jc w:val="both"/>
        <w:rPr>
          <w:rFonts w:ascii="David" w:hAnsi="David" w:cs="David"/>
          <w:sz w:val="24"/>
          <w:szCs w:val="24"/>
          <w:rtl/>
        </w:rPr>
      </w:pPr>
      <w:r w:rsidRPr="002D5D5D">
        <w:rPr>
          <w:rFonts w:ascii="David" w:hAnsi="David" w:cs="David"/>
          <w:sz w:val="24"/>
          <w:szCs w:val="24"/>
          <w:rtl/>
        </w:rPr>
        <w:t xml:space="preserve">"ערעור על פסק דינו של ביה"ד המשמעתי הארצי של לשכת עורכי הדין, בו התקבל באופן חלקי ערעור של המערער על פסק דינו של ביה"ד המשמעתי המחוזי. ביה"ד המחוזי הרשיע את המערער ע"פ הודאתו, במסגרת הסדר טיעון, בעבירה של התנהגות שאינה הולמת את מקצוע עריכת הדין, בגין זיוף תו חניה לרכב נכה, וגזר עליו (ברוב דעות) עונש של 3 שנות השעיה מלשכת עורכי הדין, מתוכן שנה בפועל ושנתיים על-תנאי. </w:t>
      </w:r>
    </w:p>
    <w:p w14:paraId="20111CF9" w14:textId="77777777" w:rsidR="004139B5" w:rsidRPr="002D5D5D" w:rsidRDefault="004139B5" w:rsidP="00175FD7">
      <w:pPr>
        <w:spacing w:after="120" w:line="360" w:lineRule="auto"/>
        <w:ind w:left="-483"/>
        <w:jc w:val="both"/>
        <w:rPr>
          <w:rFonts w:ascii="David" w:hAnsi="David" w:cs="David"/>
          <w:sz w:val="24"/>
          <w:szCs w:val="24"/>
          <w:rtl/>
        </w:rPr>
      </w:pPr>
      <w:r w:rsidRPr="002D5D5D">
        <w:rPr>
          <w:rFonts w:ascii="David" w:hAnsi="David" w:cs="David"/>
          <w:sz w:val="24"/>
          <w:szCs w:val="24"/>
          <w:rtl/>
        </w:rPr>
        <w:t xml:space="preserve">ביה"ד הארצי הקל בעונש, והעמיד את תקופת ההשעיה בפועל על 5 חודשים. המערער טוען כי גם לאחר הקלה זו, נותר העונש שהוטל עליו חמור יתר על המידה ובלתי מידתי. לפיכך מבקש הוא שביהמ"ש יתערב בעונש ויעמיד את כולו על השעיה על-תנאי. </w:t>
      </w:r>
    </w:p>
    <w:p w14:paraId="4B913A46" w14:textId="77777777" w:rsidR="002D5D5D" w:rsidRPr="002D5D5D" w:rsidRDefault="004139B5" w:rsidP="00175FD7">
      <w:pPr>
        <w:spacing w:after="120" w:line="360" w:lineRule="auto"/>
        <w:ind w:left="-483"/>
        <w:jc w:val="both"/>
        <w:rPr>
          <w:rFonts w:ascii="David" w:hAnsi="David" w:cs="David"/>
          <w:sz w:val="24"/>
          <w:szCs w:val="24"/>
          <w:rtl/>
        </w:rPr>
      </w:pPr>
      <w:r w:rsidRPr="002D5D5D">
        <w:rPr>
          <w:rFonts w:ascii="David" w:hAnsi="David" w:cs="David"/>
          <w:b/>
          <w:bCs/>
          <w:sz w:val="24"/>
          <w:szCs w:val="24"/>
          <w:rtl/>
        </w:rPr>
        <w:t xml:space="preserve">ביהמ"ש המחוזי דחה את הערעור </w:t>
      </w:r>
      <w:proofErr w:type="spellStart"/>
      <w:r w:rsidRPr="002D5D5D">
        <w:rPr>
          <w:rFonts w:ascii="David" w:hAnsi="David" w:cs="David"/>
          <w:b/>
          <w:bCs/>
          <w:sz w:val="24"/>
          <w:szCs w:val="24"/>
          <w:rtl/>
        </w:rPr>
        <w:t>בקובעו</w:t>
      </w:r>
      <w:proofErr w:type="spellEnd"/>
      <w:r w:rsidRPr="002D5D5D">
        <w:rPr>
          <w:rFonts w:ascii="David" w:hAnsi="David" w:cs="David"/>
          <w:b/>
          <w:bCs/>
          <w:sz w:val="24"/>
          <w:szCs w:val="24"/>
          <w:rtl/>
        </w:rPr>
        <w:t>:</w:t>
      </w:r>
      <w:r w:rsidRPr="002D5D5D">
        <w:rPr>
          <w:rFonts w:ascii="David" w:hAnsi="David" w:cs="David"/>
          <w:sz w:val="24"/>
          <w:szCs w:val="24"/>
          <w:rtl/>
        </w:rPr>
        <w:t xml:space="preserve"> המערער ביצע עבירה חמורה של זיוף מסמך הנועד להגנתם של נכים, ולאחריה עבירה נוספת של שימוש באותו מסמך מזויף לצורך הימנעות מתשלום אגרת חניה בה היה חייב ע"פ דין. זיוף מסמך בכוונה לקבל באמצעותו דבר הנו עבירה פלילית שעונשה המרבי 3 שנות מאסר. בדומה לכך עונשו של מי שמשתמש במסמך מזויף תוך ידיעה שהוא מזויף. המערער ביצע את שתי אלו: גם זייף את תו הנכה, וגם עשה בו שימוש מספר פעמים על מנת להיפטר במרמה מתשלום בו היה מחויב (דבר המהווה כשלעצמו עבירת קבלת דבר במרמה). כאשר עבירות מעין אלו מבוצעות ע"י עורך דין, האמור לשמש סמל ודוגמה לטוהר המידות ולכיבוד החוק, חומרתן כפולה ומכופלת ומחייבת תגובה </w:t>
      </w:r>
      <w:proofErr w:type="spellStart"/>
      <w:r w:rsidRPr="002D5D5D">
        <w:rPr>
          <w:rFonts w:ascii="David" w:hAnsi="David" w:cs="David"/>
          <w:sz w:val="24"/>
          <w:szCs w:val="24"/>
          <w:rtl/>
        </w:rPr>
        <w:t>עונשית</w:t>
      </w:r>
      <w:proofErr w:type="spellEnd"/>
      <w:r w:rsidRPr="002D5D5D">
        <w:rPr>
          <w:rFonts w:ascii="David" w:hAnsi="David" w:cs="David"/>
          <w:sz w:val="24"/>
          <w:szCs w:val="24"/>
          <w:rtl/>
        </w:rPr>
        <w:t xml:space="preserve"> הולמת וממשית. כפי שנפסק, עורך הדין מייצג את שלטון החוק. מכאן, שפגיעה בחוק ע"י עו"ד, ובמיוחד כזו שדבק בה דופי מוסרי קשה, הינה חמורה במיוחד משהיא מסכנת את אמון הציבור בשלטון החוק. בנסיבות כאלו, הטלת עונש הכולל בתוכו רכיב של השעיה בפועל, אינה חורגת ממדיניות הענישה הראויה אף אם המרמה והכזב לא בוצעו כלפי לקוחותיו של עורך הדין או כלפי ביהמ"ש. </w:t>
      </w:r>
    </w:p>
    <w:p w14:paraId="1D7563A7" w14:textId="77777777" w:rsidR="004139B5" w:rsidRPr="002D5D5D" w:rsidRDefault="004139B5" w:rsidP="00175FD7">
      <w:pPr>
        <w:spacing w:after="120" w:line="360" w:lineRule="auto"/>
        <w:ind w:left="-483"/>
        <w:jc w:val="both"/>
        <w:rPr>
          <w:rFonts w:ascii="David" w:hAnsi="David" w:cs="David"/>
          <w:sz w:val="24"/>
          <w:szCs w:val="24"/>
          <w:rtl/>
        </w:rPr>
      </w:pPr>
      <w:r w:rsidRPr="002D5D5D">
        <w:rPr>
          <w:rFonts w:ascii="David" w:hAnsi="David" w:cs="David"/>
          <w:sz w:val="24"/>
          <w:szCs w:val="24"/>
          <w:rtl/>
        </w:rPr>
        <w:t xml:space="preserve">ביהמ"ש העליון ציין כי תופעות של פגיעה בטוהר המידות על ידי עורכי דין אינן כה נדירות, כפי שצריך היה להיות, ומחובתו של ביהמ"ש הוא לתמוך במוסדות השיפוט הפנימי של הלשכה, כשאלה מוצאים לנכון לעצור בעד תופעה מסוכנת זאת ע"י הטלת עונשים של ממש. אכן, מעשים דוגמת אלה שביצע המערער פוגעים בשמו הטוב של מקצוע עריכת הדין ובאמון שרוחש הציבור לעורכי הדין, גם כשאין הם מתבצעים במסגרת מילוי תפקידיו המקצועיים של עורך הדין. מטרותיה הייחודיות של הענישה המשמעתית, שלהבדיל מהענישה הפלילית שמה במוקד את השמירה על כבודו ומעמדו של מקצוע עריכת הדין בעיני הציבור, מקפלות בתוכן מגמת החמרה בענישה, </w:t>
      </w:r>
      <w:proofErr w:type="spellStart"/>
      <w:r w:rsidRPr="002D5D5D">
        <w:rPr>
          <w:rFonts w:ascii="David" w:hAnsi="David" w:cs="David"/>
          <w:sz w:val="24"/>
          <w:szCs w:val="24"/>
          <w:rtl/>
        </w:rPr>
        <w:t>בודאי</w:t>
      </w:r>
      <w:proofErr w:type="spellEnd"/>
      <w:r w:rsidRPr="002D5D5D">
        <w:rPr>
          <w:rFonts w:ascii="David" w:hAnsi="David" w:cs="David"/>
          <w:sz w:val="24"/>
          <w:szCs w:val="24"/>
          <w:rtl/>
        </w:rPr>
        <w:t xml:space="preserve"> במקרים של זיוף, ואין זה משנה מהו המסמך שזויף, שהרי כל זיוף עומד בניגוד קוטבי ליושרה המצופה ממקצוע עריכת הדין. לא כל שכן שעה </w:t>
      </w:r>
      <w:r w:rsidRPr="002D5D5D">
        <w:rPr>
          <w:rFonts w:ascii="David" w:hAnsi="David" w:cs="David"/>
          <w:sz w:val="24"/>
          <w:szCs w:val="24"/>
          <w:rtl/>
        </w:rPr>
        <w:lastRenderedPageBreak/>
        <w:t xml:space="preserve">שהזיוף הוא של תעודה רשמית שנועדה להקל על מצוקה של אוכלוסיית הנכים, שהיא </w:t>
      </w:r>
      <w:proofErr w:type="spellStart"/>
      <w:r w:rsidRPr="002D5D5D">
        <w:rPr>
          <w:rFonts w:ascii="David" w:hAnsi="David" w:cs="David"/>
          <w:sz w:val="24"/>
          <w:szCs w:val="24"/>
          <w:rtl/>
        </w:rPr>
        <w:t>אוכלוסיה</w:t>
      </w:r>
      <w:proofErr w:type="spellEnd"/>
      <w:r w:rsidRPr="002D5D5D">
        <w:rPr>
          <w:rFonts w:ascii="David" w:hAnsi="David" w:cs="David"/>
          <w:sz w:val="24"/>
          <w:szCs w:val="24"/>
          <w:rtl/>
        </w:rPr>
        <w:t xml:space="preserve"> חלשה ומוגבלת. התחזות לנכה מצד עורך דין בריא ושלם, תוך כדי זיוף תעודה רשמית ושימוש בה, הנה מעשה מביש ומכוער. שיעורו הנמוך של הרווח הכספי שהופק, לפי טענת המערער, ממעשיו אלו, לא זו בלבד שאינו מקטין את חומרתם אלא מלמד עד היכן הגיע הזלזול של המערער בחוק, בחובת ניקיון הכפיים המוגברת שלו כעו"ד, ובמעמד הרגיש והמיוחד של ציבור הנכים. בכל מקרה, הנתון המכריע בהקשר זה אינו מספר השימושים בתו המזויף או היקף הרווח הכספי שצמח מכך, אלא עצם הנכונות של עו"ד לזייף מסמך רשמי ולעשות בו שימוש לאחר תכנון ומחשבה. אכן, לזכות המערער ניצבים מספר נתונים המצדיקים התחשבות והקלה בעונש. אלה נשקלו ע"י כל הגורמים שנדרשו לעניין. החלטתן של שתי ערכאות השיפוט המשמעתיות לפיה כוחן של הנסיבות המקלות הוא אך להפחתת משך ההשעיה בפועל, אינה חורגת ממדיניות הענישה הראויה. גישת בתי הדין המשמעתיים עולה בקנה אחד עם ההלכה הפסוקה, הקובעת כי בתחום הדין המשמעתי, שיקולי השיקום והתחשבות בנסיבות אישיות זוכים למשקל מועט יחסית, שכן העיקר הוא בחתירה להגנה על התדמית הראויה של העיסוק בעריכת דין ועל אמון הציבור בעורכי הדין</w:t>
      </w:r>
      <w:r w:rsidRPr="002D5D5D">
        <w:rPr>
          <w:rFonts w:ascii="David" w:hAnsi="David" w:cs="David"/>
          <w:sz w:val="24"/>
          <w:szCs w:val="24"/>
        </w:rPr>
        <w:t>."</w:t>
      </w:r>
    </w:p>
    <w:p w14:paraId="3B7CB770" w14:textId="77777777" w:rsidR="00583643" w:rsidRDefault="00583643" w:rsidP="00175FD7">
      <w:pPr>
        <w:spacing w:after="120" w:line="360" w:lineRule="auto"/>
        <w:ind w:left="-483"/>
        <w:jc w:val="both"/>
        <w:rPr>
          <w:rFonts w:ascii="David" w:hAnsi="David" w:cs="David"/>
          <w:b/>
          <w:bCs/>
          <w:sz w:val="24"/>
          <w:szCs w:val="24"/>
          <w:u w:val="single"/>
          <w:rtl/>
        </w:rPr>
      </w:pPr>
      <w:r w:rsidRPr="002D5D5D">
        <w:rPr>
          <w:rFonts w:ascii="David" w:hAnsi="David" w:cs="David" w:hint="cs"/>
          <w:b/>
          <w:bCs/>
          <w:sz w:val="24"/>
          <w:szCs w:val="24"/>
          <w:u w:val="single"/>
          <w:rtl/>
        </w:rPr>
        <w:t>שיעור 10, 27.12.2020</w:t>
      </w:r>
    </w:p>
    <w:p w14:paraId="3A961F40" w14:textId="77777777" w:rsidR="00391922" w:rsidRDefault="007E7940" w:rsidP="00391922">
      <w:pPr>
        <w:spacing w:after="120" w:line="360" w:lineRule="auto"/>
        <w:ind w:left="-199"/>
        <w:jc w:val="center"/>
        <w:rPr>
          <w:rFonts w:ascii="David" w:hAnsi="David" w:cs="David"/>
          <w:b/>
          <w:bCs/>
          <w:color w:val="FFC000" w:themeColor="accent4"/>
          <w:sz w:val="24"/>
          <w:szCs w:val="24"/>
          <w:u w:val="single"/>
          <w:rtl/>
        </w:rPr>
      </w:pPr>
      <w:r>
        <w:rPr>
          <w:rFonts w:ascii="David" w:hAnsi="David" w:cs="David" w:hint="cs"/>
          <w:b/>
          <w:bCs/>
          <w:color w:val="FFC000" w:themeColor="accent4"/>
          <w:sz w:val="24"/>
          <w:szCs w:val="24"/>
          <w:u w:val="single"/>
          <w:rtl/>
        </w:rPr>
        <w:t xml:space="preserve">המשך נושא 9 לסילבוס: </w:t>
      </w:r>
      <w:r w:rsidR="00391922" w:rsidRPr="00391922">
        <w:rPr>
          <w:rFonts w:ascii="David" w:hAnsi="David" w:cs="David" w:hint="cs"/>
          <w:b/>
          <w:bCs/>
          <w:color w:val="FFC000" w:themeColor="accent4"/>
          <w:sz w:val="24"/>
          <w:szCs w:val="24"/>
          <w:u w:val="single"/>
          <w:rtl/>
        </w:rPr>
        <w:t>הרפורמה בהליך משמעתי של הלשכה והטיפול בעבירות פליליות שיש בהן קלון</w:t>
      </w:r>
    </w:p>
    <w:p w14:paraId="2C39B2BE" w14:textId="77777777" w:rsidR="008129E3" w:rsidRPr="000B4B7C" w:rsidRDefault="008129E3" w:rsidP="001302BE">
      <w:pPr>
        <w:pStyle w:val="a4"/>
        <w:numPr>
          <w:ilvl w:val="0"/>
          <w:numId w:val="35"/>
        </w:numPr>
        <w:spacing w:after="120" w:line="360" w:lineRule="auto"/>
        <w:ind w:left="-199"/>
        <w:rPr>
          <w:rFonts w:ascii="David" w:hAnsi="David" w:cs="David"/>
          <w:sz w:val="24"/>
          <w:szCs w:val="24"/>
          <w:u w:val="single"/>
        </w:rPr>
      </w:pPr>
      <w:r w:rsidRPr="000B4B7C">
        <w:rPr>
          <w:rFonts w:ascii="David" w:hAnsi="David" w:cs="David" w:hint="cs"/>
          <w:sz w:val="24"/>
          <w:szCs w:val="24"/>
          <w:u w:val="single"/>
          <w:rtl/>
        </w:rPr>
        <w:t>הרפורמה בהליך המשמעתי של הלשכה</w:t>
      </w:r>
    </w:p>
    <w:p w14:paraId="3C8AEA5B" w14:textId="77777777" w:rsidR="000B4B7C" w:rsidRDefault="000B4B7C" w:rsidP="00175FD7">
      <w:pPr>
        <w:pStyle w:val="a4"/>
        <w:spacing w:after="120" w:line="360" w:lineRule="auto"/>
        <w:ind w:left="-199"/>
        <w:jc w:val="both"/>
        <w:rPr>
          <w:rFonts w:ascii="David" w:hAnsi="David" w:cs="David"/>
          <w:sz w:val="24"/>
          <w:szCs w:val="24"/>
          <w:rtl/>
        </w:rPr>
      </w:pPr>
      <w:r>
        <w:rPr>
          <w:rFonts w:ascii="David" w:hAnsi="David" w:cs="David" w:hint="cs"/>
          <w:sz w:val="24"/>
          <w:szCs w:val="24"/>
          <w:rtl/>
        </w:rPr>
        <w:t xml:space="preserve">בסוף  יוני 2008 התקבל בכנסת תיקון חשוב </w:t>
      </w:r>
      <w:proofErr w:type="spellStart"/>
      <w:r>
        <w:rPr>
          <w:rFonts w:ascii="David" w:hAnsi="David" w:cs="David" w:hint="cs"/>
          <w:sz w:val="24"/>
          <w:szCs w:val="24"/>
          <w:rtl/>
        </w:rPr>
        <w:t>לחק</w:t>
      </w:r>
      <w:proofErr w:type="spellEnd"/>
      <w:r>
        <w:rPr>
          <w:rFonts w:ascii="David" w:hAnsi="David" w:cs="David" w:hint="cs"/>
          <w:sz w:val="24"/>
          <w:szCs w:val="24"/>
          <w:rtl/>
        </w:rPr>
        <w:t xml:space="preserve"> לשכת עורכי הדין (לא 2000!) המבצע רפורמה יסודית במבנה הדין המשמעתי (תיקון מס' 32 לחוק. הרפורמה נכנסה לתוקף ב-01.2010</w:t>
      </w:r>
    </w:p>
    <w:p w14:paraId="384D7BE7" w14:textId="77777777" w:rsidR="000B4B7C" w:rsidRDefault="000B4B7C" w:rsidP="000B4B7C">
      <w:pPr>
        <w:pStyle w:val="a4"/>
        <w:spacing w:after="120" w:line="360" w:lineRule="auto"/>
        <w:ind w:left="161"/>
        <w:rPr>
          <w:rFonts w:ascii="David" w:hAnsi="David" w:cs="David"/>
          <w:sz w:val="24"/>
          <w:szCs w:val="24"/>
          <w:rtl/>
        </w:rPr>
      </w:pPr>
    </w:p>
    <w:p w14:paraId="0F971467" w14:textId="77777777" w:rsidR="000B4B7C" w:rsidRDefault="000B4B7C" w:rsidP="001302BE">
      <w:pPr>
        <w:pStyle w:val="a4"/>
        <w:numPr>
          <w:ilvl w:val="2"/>
          <w:numId w:val="33"/>
        </w:numPr>
        <w:spacing w:after="120" w:line="360" w:lineRule="auto"/>
        <w:ind w:left="-199"/>
        <w:jc w:val="both"/>
        <w:rPr>
          <w:rFonts w:ascii="David" w:hAnsi="David" w:cs="David"/>
          <w:sz w:val="24"/>
          <w:szCs w:val="24"/>
        </w:rPr>
      </w:pPr>
      <w:r>
        <w:rPr>
          <w:rFonts w:ascii="David" w:hAnsi="David" w:cs="David" w:hint="cs"/>
          <w:sz w:val="24"/>
          <w:szCs w:val="24"/>
          <w:rtl/>
        </w:rPr>
        <w:t xml:space="preserve">ראשית, לפי החוק החדש חברי בית הין המשמעתי לא יבחרו עוד בבחירות כלליות אלא ימונו על ידי ועדת מינויים שתורכב משופט בדימוס (שימנה שר המשפטים בהתייעצות עם ראש הלשכה), שני </w:t>
      </w:r>
      <w:proofErr w:type="spellStart"/>
      <w:r>
        <w:rPr>
          <w:rFonts w:ascii="David" w:hAnsi="David" w:cs="David" w:hint="cs"/>
          <w:sz w:val="24"/>
          <w:szCs w:val="24"/>
          <w:rtl/>
        </w:rPr>
        <w:t>חבאי</w:t>
      </w:r>
      <w:proofErr w:type="spellEnd"/>
      <w:r>
        <w:rPr>
          <w:rFonts w:ascii="David" w:hAnsi="David" w:cs="David" w:hint="cs"/>
          <w:sz w:val="24"/>
          <w:szCs w:val="24"/>
          <w:rtl/>
        </w:rPr>
        <w:t xml:space="preserve"> לשכה מן השירות הציבורי  שימנה שר המשפטים, שני חברים שתמנה המועצה הארצית ושני חברים שימנה הועד המרכזי  או ועד המחוז הרלוונטי (לפי העניין הנדון). </w:t>
      </w:r>
    </w:p>
    <w:p w14:paraId="31F671D6" w14:textId="77777777" w:rsidR="000B4B7C" w:rsidRDefault="000B4B7C" w:rsidP="001302BE">
      <w:pPr>
        <w:pStyle w:val="a4"/>
        <w:numPr>
          <w:ilvl w:val="2"/>
          <w:numId w:val="33"/>
        </w:numPr>
        <w:spacing w:after="120" w:line="360" w:lineRule="auto"/>
        <w:ind w:left="-199"/>
        <w:jc w:val="both"/>
        <w:rPr>
          <w:rFonts w:ascii="David" w:hAnsi="David" w:cs="David"/>
          <w:sz w:val="24"/>
          <w:szCs w:val="24"/>
        </w:rPr>
      </w:pPr>
      <w:r>
        <w:rPr>
          <w:rFonts w:ascii="David" w:hAnsi="David" w:cs="David" w:hint="cs"/>
          <w:sz w:val="24"/>
          <w:szCs w:val="24"/>
          <w:rtl/>
        </w:rPr>
        <w:t>הסמכות להגיש קובלנה הועברה  מוועדי המחוז ומהוועד המרכזי (שהם גופים נבחרים) לידי ועדות האתיקה. ל</w:t>
      </w:r>
      <w:r w:rsidR="00175FD7">
        <w:rPr>
          <w:rFonts w:ascii="David" w:hAnsi="David" w:cs="David" w:hint="cs"/>
          <w:sz w:val="24"/>
          <w:szCs w:val="24"/>
          <w:rtl/>
        </w:rPr>
        <w:t>ו</w:t>
      </w:r>
      <w:r>
        <w:rPr>
          <w:rFonts w:ascii="David" w:hAnsi="David" w:cs="David" w:hint="cs"/>
          <w:sz w:val="24"/>
          <w:szCs w:val="24"/>
          <w:rtl/>
        </w:rPr>
        <w:t xml:space="preserve">ועדת המינויים סמכות לאשר או לפסול את החברים בוועדות האתיקה. </w:t>
      </w:r>
      <w:proofErr w:type="spellStart"/>
      <w:r>
        <w:rPr>
          <w:rFonts w:ascii="David" w:hAnsi="David" w:cs="David" w:hint="cs"/>
          <w:sz w:val="24"/>
          <w:szCs w:val="24"/>
          <w:rtl/>
        </w:rPr>
        <w:t>בועדות</w:t>
      </w:r>
      <w:proofErr w:type="spellEnd"/>
      <w:r>
        <w:rPr>
          <w:rFonts w:ascii="David" w:hAnsi="David" w:cs="David" w:hint="cs"/>
          <w:sz w:val="24"/>
          <w:szCs w:val="24"/>
          <w:rtl/>
        </w:rPr>
        <w:t xml:space="preserve"> האתיקה מכהנים גם נציגי ציבור שהם משפטנים לא פעילים (הפשרה שבין המדינה לבין לשכת עורכי הדין - מצד אחד משפטנים ומצד שני אינם עורכי דין פעילים - לרוב פרופסורים למשפטים ולא עוסקים כעורכי דין). כן, מספר נציגי הציבור לא יפחת מאחד ולא יעלה על רבע מהחברים בוועדת האתיקה. במקביל נקבעו תנאי כשירות לחברי בתי הדין ולחברי ועדות האתיקה וכללים באשר להפסקת כהונה.</w:t>
      </w:r>
    </w:p>
    <w:p w14:paraId="5679DDFB" w14:textId="77777777" w:rsidR="000B4B7C" w:rsidRDefault="000B4B7C" w:rsidP="001302BE">
      <w:pPr>
        <w:pStyle w:val="a4"/>
        <w:numPr>
          <w:ilvl w:val="2"/>
          <w:numId w:val="33"/>
        </w:numPr>
        <w:spacing w:after="120" w:line="360" w:lineRule="auto"/>
        <w:ind w:left="-199"/>
        <w:jc w:val="both"/>
        <w:rPr>
          <w:rFonts w:ascii="David" w:hAnsi="David" w:cs="David"/>
          <w:sz w:val="24"/>
          <w:szCs w:val="24"/>
        </w:rPr>
      </w:pPr>
      <w:r>
        <w:rPr>
          <w:rFonts w:ascii="David" w:hAnsi="David" w:cs="David" w:hint="cs"/>
          <w:sz w:val="24"/>
          <w:szCs w:val="24"/>
          <w:rtl/>
        </w:rPr>
        <w:t>כן נקבע שכל ועדת אתיקה תמנה לעצמה פרקליט בשכר, אשר ירכז את פעילותה בן בשלב הטיפול בתלונות והן בשלב ההעמדה לדין. מינויו של הפרקליט מו גם הפסקת כהונתו מחייבים אישור של ועדת המינויים. כך תובטח עצמאותו המקצועית של הפרקליט.</w:t>
      </w:r>
    </w:p>
    <w:p w14:paraId="1C45CBB7" w14:textId="77777777" w:rsidR="000B4B7C" w:rsidRDefault="000B4B7C" w:rsidP="001302BE">
      <w:pPr>
        <w:pStyle w:val="a4"/>
        <w:numPr>
          <w:ilvl w:val="2"/>
          <w:numId w:val="33"/>
        </w:numPr>
        <w:spacing w:after="120" w:line="360" w:lineRule="auto"/>
        <w:ind w:left="-199"/>
        <w:jc w:val="both"/>
        <w:rPr>
          <w:rFonts w:ascii="David" w:hAnsi="David" w:cs="David"/>
          <w:sz w:val="24"/>
          <w:szCs w:val="24"/>
        </w:rPr>
      </w:pPr>
      <w:r>
        <w:rPr>
          <w:rFonts w:ascii="David" w:hAnsi="David" w:cs="David" w:hint="cs"/>
          <w:sz w:val="24"/>
          <w:szCs w:val="24"/>
          <w:rtl/>
        </w:rPr>
        <w:t xml:space="preserve">הדיון בתי הדין המשמעתיים יתקיים בדרך כלל בדלתיים פתוחות, ורק במקרים מתאימים יסגרו הדלתיים. לפי דרישת הלשכה, נקבע שלבתי הדין תהיה סמכות להורות על סגירת הדלתיים אם "הדיון הפומבי עלול להביא לפגיעה ממשית בעניינו המקצועי של  הנאשם או בעניינו של אדם אחר, במידה העולה על הנדרש מהעניין הציבורי שבפרסום". ההחלטה בעניין זה מסורה לבית הדין המשמעתי, </w:t>
      </w:r>
      <w:r>
        <w:rPr>
          <w:rFonts w:ascii="David" w:hAnsi="David" w:cs="David" w:hint="cs"/>
          <w:sz w:val="24"/>
          <w:szCs w:val="24"/>
          <w:rtl/>
        </w:rPr>
        <w:lastRenderedPageBreak/>
        <w:t>ונתונה לערעור. ההסכמה לפתיחת הדלתיים החליפה  את דרישת משרד המשפטים למנות נציגי ציבור לבתי הדין - דרישה לה התנגדה הלשכה בתוקף.</w:t>
      </w:r>
    </w:p>
    <w:p w14:paraId="3CA4E3AD" w14:textId="77777777" w:rsidR="000B4B7C" w:rsidRDefault="000B4B7C" w:rsidP="001302BE">
      <w:pPr>
        <w:pStyle w:val="a4"/>
        <w:numPr>
          <w:ilvl w:val="2"/>
          <w:numId w:val="33"/>
        </w:numPr>
        <w:spacing w:after="120" w:line="360" w:lineRule="auto"/>
        <w:ind w:left="-199"/>
        <w:jc w:val="both"/>
        <w:rPr>
          <w:rFonts w:ascii="David" w:hAnsi="David" w:cs="David"/>
          <w:sz w:val="24"/>
          <w:szCs w:val="24"/>
        </w:rPr>
      </w:pPr>
      <w:r>
        <w:rPr>
          <w:rFonts w:ascii="David" w:hAnsi="David" w:cs="David" w:hint="cs"/>
          <w:sz w:val="24"/>
          <w:szCs w:val="24"/>
          <w:rtl/>
        </w:rPr>
        <w:t xml:space="preserve">תיקון חשוב נוסף היא הקביעה שגזר הדין של השעיה מן הלשכה יבוצע מיידית אלא אם כן יעוכב ביצועו על ידי ערכאת הערעור (ובניגוד למצב הקודם כשהשעיה הייתה נדחית אוטומטי עד לאחר כל הליכי הערעור).  </w:t>
      </w:r>
      <w:r>
        <w:rPr>
          <w:rFonts w:ascii="David" w:hAnsi="David" w:cs="David" w:hint="cs"/>
          <w:b/>
          <w:bCs/>
          <w:sz w:val="24"/>
          <w:szCs w:val="24"/>
          <w:rtl/>
        </w:rPr>
        <w:t xml:space="preserve">הערעור הטכני הזה הוריד את מספר </w:t>
      </w:r>
      <w:r w:rsidR="006B6E15">
        <w:rPr>
          <w:rFonts w:ascii="David" w:hAnsi="David" w:cs="David" w:hint="cs"/>
          <w:b/>
          <w:bCs/>
          <w:sz w:val="24"/>
          <w:szCs w:val="24"/>
          <w:rtl/>
        </w:rPr>
        <w:t>הערעורים</w:t>
      </w:r>
      <w:r>
        <w:rPr>
          <w:rFonts w:ascii="David" w:hAnsi="David" w:cs="David" w:hint="cs"/>
          <w:b/>
          <w:bCs/>
          <w:sz w:val="24"/>
          <w:szCs w:val="24"/>
          <w:rtl/>
        </w:rPr>
        <w:t xml:space="preserve">, כי פעם עורך דין ביקש עיכוב ביצוע אוטומטי באמצעות הגשת הערעור. </w:t>
      </w:r>
    </w:p>
    <w:p w14:paraId="1CBF4688" w14:textId="77777777" w:rsidR="00D76F4A" w:rsidRDefault="00D76F4A" w:rsidP="001302BE">
      <w:pPr>
        <w:pStyle w:val="a4"/>
        <w:numPr>
          <w:ilvl w:val="2"/>
          <w:numId w:val="33"/>
        </w:numPr>
        <w:spacing w:after="120" w:line="360" w:lineRule="auto"/>
        <w:ind w:left="-199"/>
        <w:jc w:val="both"/>
        <w:rPr>
          <w:rFonts w:ascii="David" w:hAnsi="David" w:cs="David"/>
          <w:sz w:val="24"/>
          <w:szCs w:val="24"/>
        </w:rPr>
      </w:pPr>
      <w:r>
        <w:rPr>
          <w:rFonts w:ascii="David" w:hAnsi="David" w:cs="David" w:hint="cs"/>
          <w:sz w:val="24"/>
          <w:szCs w:val="24"/>
          <w:rtl/>
        </w:rPr>
        <w:t xml:space="preserve">הסדר חשוב נקבע בהוראת החוק לפיה "ועדת אתיקה מחוזית לא תפעל בסתירה להחלטת ועדת האתיקה הארצית". בכך מקבע החוק מבנה הירארכי לפעולתן של ועדת האתיקה שהיה חסר. עוד מסדיר החוק את מעמדה של </w:t>
      </w:r>
      <w:proofErr w:type="spellStart"/>
      <w:r>
        <w:rPr>
          <w:rFonts w:ascii="David" w:hAnsi="David" w:cs="David" w:hint="cs"/>
          <w:sz w:val="24"/>
          <w:szCs w:val="24"/>
          <w:rtl/>
        </w:rPr>
        <w:t>חוודת</w:t>
      </w:r>
      <w:proofErr w:type="spellEnd"/>
      <w:r>
        <w:rPr>
          <w:rFonts w:ascii="David" w:hAnsi="David" w:cs="David" w:hint="cs"/>
          <w:sz w:val="24"/>
          <w:szCs w:val="24"/>
          <w:rtl/>
        </w:rPr>
        <w:t xml:space="preserve"> עת מקדימה של ועדות האתיקה. גם בעניין זה נקבע מבנה הירארכי לפיו חוות דעת מקדימה של ועדת האתיקה הארצית תחייב את כל ועדות האתיקה המחוזיות. מבנה הירארכי מבטיח שלא תהיה מדיניות אכיפה שונה במחוזות השונים ובוועדה הארצית - מצב שהיה קיים לפני התיקון בו לכל מחוז הייתה מדיניות אכיפה שונה, מה שהביא לשוני בתפיסה האתית של עורכי דין במחוזות שונים. הדוגמאות הבולטות היו תשלום שעות נוספות לעורכי הדין שלו - האם זו עבירה אתית? היו ועדות במחוזות שאמרו שזה עניין של דיני עבודה והיו ועדות אתיות </w:t>
      </w:r>
      <w:r w:rsidR="00317297">
        <w:rPr>
          <w:rFonts w:ascii="David" w:hAnsi="David" w:cs="David" w:hint="cs"/>
          <w:sz w:val="24"/>
          <w:szCs w:val="24"/>
          <w:rtl/>
        </w:rPr>
        <w:t xml:space="preserve">שחשבו אחרת. </w:t>
      </w:r>
    </w:p>
    <w:p w14:paraId="71018B59" w14:textId="77777777" w:rsidR="00317297" w:rsidRDefault="00317297" w:rsidP="00317297">
      <w:pPr>
        <w:pStyle w:val="a4"/>
        <w:spacing w:after="120" w:line="360" w:lineRule="auto"/>
        <w:ind w:left="368"/>
        <w:jc w:val="both"/>
        <w:rPr>
          <w:rFonts w:ascii="David" w:hAnsi="David" w:cs="David"/>
          <w:sz w:val="24"/>
          <w:szCs w:val="24"/>
          <w:rtl/>
        </w:rPr>
      </w:pPr>
    </w:p>
    <w:p w14:paraId="634BBB28" w14:textId="77777777" w:rsidR="008129E3" w:rsidRPr="00545AED" w:rsidRDefault="00317297" w:rsidP="001302BE">
      <w:pPr>
        <w:pStyle w:val="a4"/>
        <w:numPr>
          <w:ilvl w:val="0"/>
          <w:numId w:val="35"/>
        </w:numPr>
        <w:spacing w:after="120" w:line="360" w:lineRule="auto"/>
        <w:ind w:left="-483"/>
        <w:rPr>
          <w:rFonts w:ascii="David" w:hAnsi="David" w:cs="David"/>
          <w:b/>
          <w:bCs/>
          <w:sz w:val="24"/>
          <w:szCs w:val="24"/>
          <w:u w:val="single"/>
        </w:rPr>
      </w:pPr>
      <w:r w:rsidRPr="00545AED">
        <w:rPr>
          <w:rFonts w:ascii="David" w:hAnsi="David" w:cs="David" w:hint="cs"/>
          <w:b/>
          <w:bCs/>
          <w:sz w:val="24"/>
          <w:szCs w:val="24"/>
          <w:u w:val="single"/>
          <w:rtl/>
        </w:rPr>
        <w:t>מו</w:t>
      </w:r>
      <w:r w:rsidR="008129E3" w:rsidRPr="00545AED">
        <w:rPr>
          <w:rFonts w:ascii="David" w:hAnsi="David" w:cs="David" w:hint="cs"/>
          <w:b/>
          <w:bCs/>
          <w:sz w:val="24"/>
          <w:szCs w:val="24"/>
          <w:u w:val="single"/>
          <w:rtl/>
        </w:rPr>
        <w:t>דל חדש לענישה משמעתית בעבירות פליליות שיש בהן קלון</w:t>
      </w:r>
    </w:p>
    <w:p w14:paraId="6B57E809" w14:textId="77777777" w:rsidR="00545AED" w:rsidRPr="00545AED" w:rsidRDefault="00545AED" w:rsidP="00175FD7">
      <w:pPr>
        <w:pStyle w:val="a4"/>
        <w:spacing w:after="120" w:line="360" w:lineRule="auto"/>
        <w:ind w:left="-483"/>
        <w:jc w:val="both"/>
        <w:rPr>
          <w:rFonts w:ascii="David" w:hAnsi="David" w:cs="David"/>
          <w:sz w:val="24"/>
          <w:szCs w:val="24"/>
          <w:rtl/>
        </w:rPr>
      </w:pPr>
      <w:r w:rsidRPr="00545AED">
        <w:rPr>
          <w:rFonts w:ascii="David" w:hAnsi="David" w:cs="David" w:hint="cs"/>
          <w:sz w:val="24"/>
          <w:szCs w:val="24"/>
          <w:rtl/>
        </w:rPr>
        <w:t xml:space="preserve">מה שקורה במקרים כאלה, הוא שיש עבירות ליליות שיש בהן קלון - עור ך דין שלח ידו בפיקדון של הלקוח - עבירה פלילית </w:t>
      </w:r>
      <w:proofErr w:type="spellStart"/>
      <w:r w:rsidRPr="00545AED">
        <w:rPr>
          <w:rFonts w:ascii="David" w:hAnsi="David" w:cs="David" w:hint="cs"/>
          <w:sz w:val="24"/>
          <w:szCs w:val="24"/>
          <w:rtl/>
        </w:rPr>
        <w:t>חמוה</w:t>
      </w:r>
      <w:proofErr w:type="spellEnd"/>
      <w:r w:rsidRPr="00545AED">
        <w:rPr>
          <w:rFonts w:ascii="David" w:hAnsi="David" w:cs="David" w:hint="cs"/>
          <w:sz w:val="24"/>
          <w:szCs w:val="24"/>
          <w:rtl/>
        </w:rPr>
        <w:t xml:space="preserve">, גניבה בידי מורשה, אבל היא גם עבירה משמעתית. מה שקורה היום הוא שבמצב שכזה המשטרה חוקרת את עורך הדין, </w:t>
      </w:r>
      <w:proofErr w:type="spellStart"/>
      <w:r w:rsidRPr="00545AED">
        <w:rPr>
          <w:rFonts w:ascii="David" w:hAnsi="David" w:cs="David" w:hint="cs"/>
          <w:sz w:val="24"/>
          <w:szCs w:val="24"/>
          <w:rtl/>
        </w:rPr>
        <w:t>הפרליטות</w:t>
      </w:r>
      <w:proofErr w:type="spellEnd"/>
      <w:r w:rsidRPr="00545AED">
        <w:rPr>
          <w:rFonts w:ascii="David" w:hAnsi="David" w:cs="David" w:hint="cs"/>
          <w:sz w:val="24"/>
          <w:szCs w:val="24"/>
          <w:rtl/>
        </w:rPr>
        <w:t xml:space="preserve"> מגישה כתב אישום, עורך הדין מועמד לדין פלילי בפני בית המשפט ודנים אותו בהליך הפלילי בלבד. אחרי שהורשע בהליך הפלילי, אז מתחיל הליך נוסף: הליך משמעתי נוסף לבחינת איזה עונש משמעתי לתת לו נוסף על העונש הפלילי. </w:t>
      </w:r>
    </w:p>
    <w:p w14:paraId="266DA0CD" w14:textId="77777777" w:rsidR="00545AED" w:rsidRDefault="00545AED" w:rsidP="00175FD7">
      <w:pPr>
        <w:pStyle w:val="a4"/>
        <w:spacing w:after="120" w:line="360" w:lineRule="auto"/>
        <w:ind w:left="-483"/>
        <w:jc w:val="both"/>
        <w:rPr>
          <w:rFonts w:ascii="David" w:hAnsi="David" w:cs="David"/>
          <w:sz w:val="24"/>
          <w:szCs w:val="24"/>
          <w:rtl/>
        </w:rPr>
      </w:pPr>
      <w:r w:rsidRPr="00545AED">
        <w:rPr>
          <w:rFonts w:ascii="David" w:hAnsi="David" w:cs="David" w:hint="cs"/>
          <w:sz w:val="24"/>
          <w:szCs w:val="24"/>
          <w:rtl/>
        </w:rPr>
        <w:t>מספר בעיות במצב הזה:</w:t>
      </w:r>
    </w:p>
    <w:p w14:paraId="56BE91F1" w14:textId="77777777" w:rsidR="004800B0" w:rsidRPr="004800B0" w:rsidRDefault="004800B0" w:rsidP="00175FD7">
      <w:pPr>
        <w:pStyle w:val="a4"/>
        <w:numPr>
          <w:ilvl w:val="3"/>
          <w:numId w:val="33"/>
        </w:numPr>
        <w:spacing w:after="120" w:line="360" w:lineRule="auto"/>
        <w:ind w:left="-58"/>
        <w:jc w:val="both"/>
        <w:rPr>
          <w:rFonts w:ascii="David" w:hAnsi="David" w:cs="David"/>
          <w:color w:val="C00000"/>
          <w:sz w:val="24"/>
          <w:szCs w:val="24"/>
        </w:rPr>
      </w:pPr>
      <w:r w:rsidRPr="004800B0">
        <w:rPr>
          <w:rFonts w:ascii="David" w:hAnsi="David" w:cs="David" w:hint="cs"/>
          <w:color w:val="C00000"/>
          <w:sz w:val="24"/>
          <w:szCs w:val="24"/>
          <w:rtl/>
        </w:rPr>
        <w:t>חסר גם לדעתי</w:t>
      </w:r>
    </w:p>
    <w:p w14:paraId="67F1B09A" w14:textId="77777777" w:rsidR="00FF43B6" w:rsidRDefault="00FF43B6" w:rsidP="00175FD7">
      <w:pPr>
        <w:pStyle w:val="a4"/>
        <w:numPr>
          <w:ilvl w:val="3"/>
          <w:numId w:val="33"/>
        </w:numPr>
        <w:spacing w:after="120" w:line="360" w:lineRule="auto"/>
        <w:ind w:left="-58"/>
        <w:jc w:val="both"/>
        <w:rPr>
          <w:rFonts w:ascii="David" w:hAnsi="David" w:cs="David"/>
          <w:sz w:val="24"/>
          <w:szCs w:val="24"/>
        </w:rPr>
      </w:pPr>
      <w:r>
        <w:rPr>
          <w:rFonts w:ascii="David" w:hAnsi="David" w:cs="David" w:hint="cs"/>
          <w:sz w:val="24"/>
          <w:szCs w:val="24"/>
          <w:rtl/>
        </w:rPr>
        <w:t xml:space="preserve">אי אפשר להחמיר בבית דין משמעתי יותר ממה שבית משפט השלון החמיר איתו. </w:t>
      </w:r>
    </w:p>
    <w:p w14:paraId="3E10ECEC" w14:textId="77777777" w:rsidR="00FF43B6" w:rsidRDefault="00FF43B6" w:rsidP="00175FD7">
      <w:pPr>
        <w:pStyle w:val="a4"/>
        <w:numPr>
          <w:ilvl w:val="3"/>
          <w:numId w:val="33"/>
        </w:numPr>
        <w:spacing w:after="120" w:line="360" w:lineRule="auto"/>
        <w:ind w:left="-58"/>
        <w:jc w:val="both"/>
        <w:rPr>
          <w:rFonts w:ascii="David" w:hAnsi="David" w:cs="David"/>
          <w:sz w:val="24"/>
          <w:szCs w:val="24"/>
        </w:rPr>
      </w:pPr>
      <w:r>
        <w:rPr>
          <w:rFonts w:ascii="David" w:hAnsi="David" w:cs="David" w:hint="cs"/>
          <w:sz w:val="24"/>
          <w:szCs w:val="24"/>
          <w:rtl/>
        </w:rPr>
        <w:t xml:space="preserve">בעיה נוספת שעולה במאמר - עניין השאלה הזמנית - מהיום שהוגש כתב אישום ועד להרשעה. יש שאלה זמנית, הוגש כתב אישום פלילי בביתה משפט, שמייחס לעורך הדין גניבה וכו'. על בית הדין לשקול מה סיכויי ההרשעה </w:t>
      </w:r>
      <w:r w:rsidR="004800B0" w:rsidRPr="004800B0">
        <w:rPr>
          <w:rFonts w:ascii="David" w:hAnsi="David" w:cs="David" w:hint="cs"/>
          <w:color w:val="C00000"/>
          <w:sz w:val="24"/>
          <w:szCs w:val="24"/>
          <w:rtl/>
        </w:rPr>
        <w:t>.... חסר</w:t>
      </w:r>
    </w:p>
    <w:p w14:paraId="2A5DDF92" w14:textId="77777777" w:rsidR="004800B0" w:rsidRPr="004800B0" w:rsidRDefault="004800B0" w:rsidP="001302BE">
      <w:pPr>
        <w:spacing w:after="0" w:line="360" w:lineRule="auto"/>
        <w:ind w:left="-625"/>
        <w:jc w:val="both"/>
        <w:rPr>
          <w:rFonts w:ascii="Arial" w:hAnsi="Arial" w:cs="David"/>
          <w:sz w:val="24"/>
          <w:szCs w:val="24"/>
          <w:u w:val="single"/>
          <w:rtl/>
        </w:rPr>
      </w:pPr>
      <w:r w:rsidRPr="004800B0">
        <w:rPr>
          <w:rFonts w:ascii="Arial" w:hAnsi="Arial" w:cs="David" w:hint="cs"/>
          <w:sz w:val="24"/>
          <w:szCs w:val="24"/>
          <w:u w:val="single"/>
          <w:rtl/>
        </w:rPr>
        <w:t>הבעיות והקשיים בדין הקיים</w:t>
      </w:r>
    </w:p>
    <w:p w14:paraId="6E56A29A" w14:textId="77777777" w:rsidR="004800B0" w:rsidRPr="004800B0" w:rsidRDefault="004800B0" w:rsidP="00175FD7">
      <w:pPr>
        <w:numPr>
          <w:ilvl w:val="0"/>
          <w:numId w:val="36"/>
        </w:numPr>
        <w:spacing w:after="0" w:line="360" w:lineRule="auto"/>
        <w:ind w:left="-199" w:hanging="280"/>
        <w:jc w:val="both"/>
        <w:rPr>
          <w:rFonts w:ascii="Arial" w:hAnsi="Arial" w:cs="David"/>
          <w:sz w:val="24"/>
          <w:szCs w:val="24"/>
        </w:rPr>
      </w:pPr>
      <w:r w:rsidRPr="004800B0">
        <w:rPr>
          <w:rFonts w:ascii="Arial" w:hAnsi="Arial" w:cs="David" w:hint="cs"/>
          <w:sz w:val="24"/>
          <w:szCs w:val="24"/>
          <w:rtl/>
        </w:rPr>
        <w:t>עמימות מושג הקלון</w:t>
      </w:r>
    </w:p>
    <w:p w14:paraId="0CA8E17D" w14:textId="77777777" w:rsidR="004800B0" w:rsidRPr="004800B0" w:rsidRDefault="004800B0" w:rsidP="00175FD7">
      <w:pPr>
        <w:numPr>
          <w:ilvl w:val="0"/>
          <w:numId w:val="36"/>
        </w:numPr>
        <w:spacing w:after="0" w:line="360" w:lineRule="auto"/>
        <w:ind w:left="-199" w:hanging="280"/>
        <w:jc w:val="both"/>
        <w:rPr>
          <w:rFonts w:ascii="Arial" w:hAnsi="Arial" w:cs="David"/>
          <w:sz w:val="24"/>
          <w:szCs w:val="24"/>
        </w:rPr>
      </w:pPr>
      <w:r w:rsidRPr="004800B0">
        <w:rPr>
          <w:rFonts w:ascii="Arial" w:hAnsi="Arial" w:cs="David" w:hint="cs"/>
          <w:sz w:val="24"/>
          <w:szCs w:val="24"/>
          <w:rtl/>
        </w:rPr>
        <w:t xml:space="preserve">בעיית ניהול ההליך </w:t>
      </w:r>
      <w:proofErr w:type="spellStart"/>
      <w:r w:rsidRPr="004800B0">
        <w:rPr>
          <w:rFonts w:ascii="Arial" w:hAnsi="Arial" w:cs="David" w:hint="cs"/>
          <w:sz w:val="24"/>
          <w:szCs w:val="24"/>
          <w:rtl/>
        </w:rPr>
        <w:t>מנק</w:t>
      </w:r>
      <w:proofErr w:type="spellEnd"/>
      <w:r w:rsidRPr="004800B0">
        <w:rPr>
          <w:rFonts w:ascii="Arial" w:hAnsi="Arial" w:cs="David" w:hint="cs"/>
          <w:sz w:val="24"/>
          <w:szCs w:val="24"/>
          <w:rtl/>
        </w:rPr>
        <w:t xml:space="preserve">' מבטו ש לעורך הדין </w:t>
      </w:r>
      <w:proofErr w:type="spellStart"/>
      <w:r w:rsidRPr="004800B0">
        <w:rPr>
          <w:rFonts w:ascii="Arial" w:hAnsi="Arial" w:cs="David" w:hint="cs"/>
          <w:sz w:val="24"/>
          <w:szCs w:val="24"/>
          <w:rtl/>
        </w:rPr>
        <w:t>הנילון</w:t>
      </w:r>
      <w:proofErr w:type="spellEnd"/>
      <w:r w:rsidRPr="004800B0">
        <w:rPr>
          <w:rFonts w:ascii="Arial" w:hAnsi="Arial" w:cs="David" w:hint="cs"/>
          <w:sz w:val="24"/>
          <w:szCs w:val="24"/>
          <w:rtl/>
        </w:rPr>
        <w:t>.</w:t>
      </w:r>
    </w:p>
    <w:p w14:paraId="45DF2F7C" w14:textId="77777777" w:rsidR="004800B0" w:rsidRPr="004800B0" w:rsidRDefault="004800B0" w:rsidP="00175FD7">
      <w:pPr>
        <w:numPr>
          <w:ilvl w:val="0"/>
          <w:numId w:val="36"/>
        </w:numPr>
        <w:spacing w:after="0" w:line="360" w:lineRule="auto"/>
        <w:ind w:left="-199" w:hanging="280"/>
        <w:jc w:val="both"/>
        <w:rPr>
          <w:rFonts w:ascii="Arial" w:hAnsi="Arial" w:cs="David"/>
          <w:sz w:val="24"/>
          <w:szCs w:val="24"/>
        </w:rPr>
      </w:pPr>
      <w:r w:rsidRPr="004800B0">
        <w:rPr>
          <w:rFonts w:ascii="Arial" w:hAnsi="Arial" w:cs="David" w:hint="cs"/>
          <w:sz w:val="24"/>
          <w:szCs w:val="24"/>
          <w:rtl/>
        </w:rPr>
        <w:t>בזבוז משאבים כלל מערכתי.</w:t>
      </w:r>
    </w:p>
    <w:p w14:paraId="1E2D6EEE" w14:textId="77777777" w:rsidR="004800B0" w:rsidRPr="004800B0" w:rsidRDefault="004800B0" w:rsidP="00175FD7">
      <w:pPr>
        <w:numPr>
          <w:ilvl w:val="0"/>
          <w:numId w:val="36"/>
        </w:numPr>
        <w:spacing w:after="0" w:line="360" w:lineRule="auto"/>
        <w:ind w:left="-199" w:hanging="280"/>
        <w:jc w:val="both"/>
        <w:rPr>
          <w:rFonts w:ascii="Arial" w:hAnsi="Arial" w:cs="David"/>
          <w:sz w:val="24"/>
          <w:szCs w:val="24"/>
        </w:rPr>
      </w:pPr>
      <w:r w:rsidRPr="004800B0">
        <w:rPr>
          <w:rFonts w:ascii="Arial" w:hAnsi="Arial" w:cs="David" w:hint="cs"/>
          <w:sz w:val="24"/>
          <w:szCs w:val="24"/>
          <w:rtl/>
        </w:rPr>
        <w:t xml:space="preserve">התמשכות הליכים ופגיעה בכל מערכת הדין המשמעתי </w:t>
      </w:r>
      <w:r w:rsidRPr="004800B0">
        <w:rPr>
          <w:rFonts w:ascii="Arial" w:hAnsi="Arial" w:cs="David"/>
          <w:sz w:val="24"/>
          <w:szCs w:val="24"/>
          <w:rtl/>
        </w:rPr>
        <w:t>–</w:t>
      </w:r>
      <w:r w:rsidRPr="004800B0">
        <w:rPr>
          <w:rFonts w:ascii="Arial" w:hAnsi="Arial" w:cs="David" w:hint="cs"/>
          <w:sz w:val="24"/>
          <w:szCs w:val="24"/>
          <w:rtl/>
        </w:rPr>
        <w:t xml:space="preserve"> התיקים הללו הם רק 3% מסך כל התיקים אך הנפח של שעות הדיון הם תופסים הוא רב (פי 5). </w:t>
      </w:r>
    </w:p>
    <w:p w14:paraId="500573DB" w14:textId="77777777" w:rsidR="004800B0" w:rsidRPr="004800B0" w:rsidRDefault="004800B0" w:rsidP="00175FD7">
      <w:pPr>
        <w:numPr>
          <w:ilvl w:val="0"/>
          <w:numId w:val="36"/>
        </w:numPr>
        <w:spacing w:after="0" w:line="360" w:lineRule="auto"/>
        <w:ind w:left="-199" w:hanging="280"/>
        <w:jc w:val="both"/>
        <w:rPr>
          <w:rFonts w:ascii="Arial" w:hAnsi="Arial" w:cs="David"/>
          <w:sz w:val="24"/>
          <w:szCs w:val="24"/>
        </w:rPr>
      </w:pPr>
      <w:r w:rsidRPr="004800B0">
        <w:rPr>
          <w:rFonts w:ascii="Arial" w:hAnsi="Arial" w:cs="David" w:hint="cs"/>
          <w:sz w:val="24"/>
          <w:szCs w:val="24"/>
          <w:rtl/>
        </w:rPr>
        <w:t>הקלות בעונשים לאור הענישה הכפולה.</w:t>
      </w:r>
    </w:p>
    <w:p w14:paraId="7C3A78C3" w14:textId="77777777" w:rsidR="004800B0" w:rsidRPr="004800B0" w:rsidRDefault="004800B0" w:rsidP="00175FD7">
      <w:pPr>
        <w:numPr>
          <w:ilvl w:val="0"/>
          <w:numId w:val="36"/>
        </w:numPr>
        <w:spacing w:after="0" w:line="360" w:lineRule="auto"/>
        <w:ind w:left="-199" w:hanging="280"/>
        <w:jc w:val="both"/>
        <w:rPr>
          <w:rFonts w:ascii="Arial" w:hAnsi="Arial" w:cs="David"/>
          <w:sz w:val="24"/>
          <w:szCs w:val="24"/>
        </w:rPr>
      </w:pPr>
      <w:r w:rsidRPr="004800B0">
        <w:rPr>
          <w:rFonts w:ascii="Arial" w:hAnsi="Arial" w:cs="David" w:hint="cs"/>
          <w:sz w:val="24"/>
          <w:szCs w:val="24"/>
          <w:rtl/>
        </w:rPr>
        <w:t>בעיית ההשעיה הזמנית עד למתן פסק דין פלילי חלוט.</w:t>
      </w:r>
    </w:p>
    <w:p w14:paraId="6A37D9BB" w14:textId="77777777" w:rsidR="004800B0" w:rsidRPr="004800B0" w:rsidRDefault="004800B0" w:rsidP="00175FD7">
      <w:pPr>
        <w:numPr>
          <w:ilvl w:val="0"/>
          <w:numId w:val="36"/>
        </w:numPr>
        <w:spacing w:after="0" w:line="360" w:lineRule="auto"/>
        <w:ind w:left="-199" w:hanging="280"/>
        <w:jc w:val="both"/>
        <w:rPr>
          <w:rFonts w:ascii="Arial" w:hAnsi="Arial" w:cs="David"/>
          <w:sz w:val="24"/>
          <w:szCs w:val="24"/>
        </w:rPr>
      </w:pPr>
      <w:r w:rsidRPr="004800B0">
        <w:rPr>
          <w:rFonts w:ascii="Arial" w:hAnsi="Arial" w:cs="David" w:hint="cs"/>
          <w:sz w:val="24"/>
          <w:szCs w:val="24"/>
          <w:rtl/>
        </w:rPr>
        <w:t>בעיית חוסר תיאום בין הגורמים השונים</w:t>
      </w:r>
      <w:r w:rsidR="006E36F6">
        <w:rPr>
          <w:rFonts w:ascii="Arial" w:hAnsi="Arial" w:cs="David" w:hint="cs"/>
          <w:sz w:val="24"/>
          <w:szCs w:val="24"/>
          <w:rtl/>
        </w:rPr>
        <w:t xml:space="preserve"> - מקרים בהם הפרקליטות מגישה כתב אישום פלילי, אבל הפרקליטות לא עדכנה את לשכת עורכי הדין והרישיון לא נשלל. </w:t>
      </w:r>
    </w:p>
    <w:p w14:paraId="7BA8D5BD" w14:textId="77777777" w:rsidR="004800B0" w:rsidRDefault="004800B0" w:rsidP="00175FD7">
      <w:pPr>
        <w:numPr>
          <w:ilvl w:val="0"/>
          <w:numId w:val="36"/>
        </w:numPr>
        <w:spacing w:after="0" w:line="360" w:lineRule="auto"/>
        <w:ind w:left="-199" w:hanging="280"/>
        <w:jc w:val="both"/>
        <w:rPr>
          <w:rFonts w:ascii="Arial" w:hAnsi="Arial" w:cs="David"/>
          <w:sz w:val="24"/>
          <w:szCs w:val="24"/>
        </w:rPr>
      </w:pPr>
      <w:r w:rsidRPr="004800B0">
        <w:rPr>
          <w:rFonts w:ascii="Arial" w:hAnsi="Arial" w:cs="David" w:hint="cs"/>
          <w:sz w:val="24"/>
          <w:szCs w:val="24"/>
          <w:rtl/>
        </w:rPr>
        <w:lastRenderedPageBreak/>
        <w:t>הבעייתיות בשיפוט על ידי חברי</w:t>
      </w:r>
      <w:r w:rsidR="006E36F6">
        <w:rPr>
          <w:rFonts w:ascii="Arial" w:hAnsi="Arial" w:cs="David" w:hint="cs"/>
          <w:sz w:val="24"/>
          <w:szCs w:val="24"/>
          <w:rtl/>
        </w:rPr>
        <w:t xml:space="preserve"> - דיברנו בעבר. גם ככה יש בעיה של עו"ד דנים עו"ד. בעיה אקוטית יותר בעבירות פליליות, למה שחברים למקצוע יקבעו מה רף הפעילות הראויה בעבירות פליליות?</w:t>
      </w:r>
    </w:p>
    <w:p w14:paraId="171CA8B3" w14:textId="77777777" w:rsidR="006E36F6" w:rsidRDefault="006E36F6" w:rsidP="006E36F6">
      <w:pPr>
        <w:spacing w:after="0" w:line="360" w:lineRule="auto"/>
        <w:jc w:val="both"/>
        <w:rPr>
          <w:rFonts w:ascii="Arial" w:hAnsi="Arial" w:cs="David"/>
          <w:sz w:val="24"/>
          <w:szCs w:val="24"/>
          <w:rtl/>
        </w:rPr>
      </w:pPr>
      <w:r>
        <w:rPr>
          <w:rFonts w:ascii="Arial" w:hAnsi="Arial" w:cs="David" w:hint="cs"/>
          <w:sz w:val="24"/>
          <w:szCs w:val="24"/>
          <w:rtl/>
        </w:rPr>
        <w:t>לכן המאמר מציע מודל חדש:</w:t>
      </w:r>
    </w:p>
    <w:p w14:paraId="4180AA60" w14:textId="77777777" w:rsidR="006E36F6" w:rsidRDefault="006E36F6" w:rsidP="009F6A15">
      <w:pPr>
        <w:pStyle w:val="a4"/>
        <w:numPr>
          <w:ilvl w:val="0"/>
          <w:numId w:val="6"/>
        </w:numPr>
        <w:spacing w:after="120" w:line="360" w:lineRule="auto"/>
        <w:ind w:left="509" w:hanging="357"/>
        <w:contextualSpacing w:val="0"/>
        <w:jc w:val="both"/>
        <w:rPr>
          <w:rFonts w:ascii="Arial" w:hAnsi="Arial" w:cs="David"/>
          <w:sz w:val="24"/>
          <w:szCs w:val="24"/>
        </w:rPr>
      </w:pPr>
      <w:r>
        <w:rPr>
          <w:rFonts w:ascii="Arial" w:hAnsi="Arial" w:cs="David" w:hint="cs"/>
          <w:sz w:val="24"/>
          <w:szCs w:val="24"/>
          <w:rtl/>
        </w:rPr>
        <w:t xml:space="preserve">העברת הסמכויות של הדין המשמעתי לידי מערכת בתי המשפט שדנה </w:t>
      </w:r>
      <w:proofErr w:type="spellStart"/>
      <w:r>
        <w:rPr>
          <w:rFonts w:ascii="Arial" w:hAnsi="Arial" w:cs="David" w:hint="cs"/>
          <w:sz w:val="24"/>
          <w:szCs w:val="24"/>
          <w:rtl/>
        </w:rPr>
        <w:t>בעבירו</w:t>
      </w:r>
      <w:proofErr w:type="spellEnd"/>
      <w:r>
        <w:rPr>
          <w:rFonts w:ascii="Arial" w:hAnsi="Arial" w:cs="David" w:hint="cs"/>
          <w:sz w:val="24"/>
          <w:szCs w:val="24"/>
          <w:rtl/>
        </w:rPr>
        <w:t xml:space="preserve"> פליליות של עורכי דין. מעבר לסמכויות הענישה הרגילות שיש לשופט, יהיה לו גם אפשרות לשלול רישיון לעסוק במקצוע. כך, בית המשפט יעסוק בעבירות פליליות (כולל השלכות משמעתיות) ובית הדין המשמעתי ידון רק בעבירות משמעתיות. במאמר, הכותבים מעלים את הטענה שיש להחיל את הכלל על כלל בעלי המקצועות </w:t>
      </w:r>
      <w:proofErr w:type="spellStart"/>
      <w:r>
        <w:rPr>
          <w:rFonts w:ascii="Arial" w:hAnsi="Arial" w:cs="David" w:hint="cs"/>
          <w:sz w:val="24"/>
          <w:szCs w:val="24"/>
          <w:rtl/>
        </w:rPr>
        <w:t>הטטוטוריים</w:t>
      </w:r>
      <w:proofErr w:type="spellEnd"/>
      <w:r>
        <w:rPr>
          <w:rFonts w:ascii="Arial" w:hAnsi="Arial" w:cs="David" w:hint="cs"/>
          <w:sz w:val="24"/>
          <w:szCs w:val="24"/>
          <w:rtl/>
        </w:rPr>
        <w:t xml:space="preserve">. אם הם מובאים לבית המשפט בכתב אישום פלילי ויש קלון בהרשעה, לבית המשפט תהיה הסמכות לשלול את הרישיון לעסוק במקצוע. זו התפיסה של המאמר. </w:t>
      </w:r>
    </w:p>
    <w:p w14:paraId="428A8C7C" w14:textId="77777777" w:rsidR="007E7940" w:rsidRPr="007E7940" w:rsidRDefault="007E7940" w:rsidP="007E7940">
      <w:pPr>
        <w:pStyle w:val="a4"/>
        <w:spacing w:after="120" w:line="360" w:lineRule="auto"/>
        <w:ind w:left="-766"/>
        <w:contextualSpacing w:val="0"/>
        <w:jc w:val="both"/>
        <w:rPr>
          <w:rFonts w:ascii="Arial" w:hAnsi="Arial" w:cs="David"/>
          <w:b/>
          <w:bCs/>
          <w:color w:val="538135" w:themeColor="accent6" w:themeShade="BF"/>
          <w:sz w:val="24"/>
          <w:szCs w:val="24"/>
          <w:u w:val="single"/>
        </w:rPr>
      </w:pPr>
      <w:r w:rsidRPr="007E7940">
        <w:rPr>
          <w:rFonts w:ascii="Arial" w:hAnsi="Arial" w:cs="David" w:hint="cs"/>
          <w:b/>
          <w:bCs/>
          <w:color w:val="538135" w:themeColor="accent6" w:themeShade="BF"/>
          <w:sz w:val="24"/>
          <w:szCs w:val="24"/>
          <w:u w:val="single"/>
          <w:rtl/>
        </w:rPr>
        <w:t>קריאה</w:t>
      </w:r>
    </w:p>
    <w:p w14:paraId="583C578D" w14:textId="77777777" w:rsidR="008D2CB6" w:rsidRPr="007E7940" w:rsidRDefault="0050547A" w:rsidP="007E7940">
      <w:pPr>
        <w:pStyle w:val="a4"/>
        <w:numPr>
          <w:ilvl w:val="0"/>
          <w:numId w:val="37"/>
        </w:numPr>
        <w:spacing w:after="120" w:line="360" w:lineRule="auto"/>
        <w:ind w:left="-483"/>
        <w:jc w:val="both"/>
        <w:rPr>
          <w:rFonts w:ascii="David" w:hAnsi="David" w:cs="David"/>
          <w:b/>
          <w:bCs/>
          <w:sz w:val="24"/>
          <w:szCs w:val="24"/>
        </w:rPr>
      </w:pPr>
      <w:r w:rsidRPr="008D2CB6">
        <w:rPr>
          <w:rFonts w:ascii="David" w:hAnsi="David" w:cs="David" w:hint="cs"/>
          <w:b/>
          <w:bCs/>
          <w:sz w:val="24"/>
          <w:szCs w:val="24"/>
          <w:rtl/>
        </w:rPr>
        <w:t xml:space="preserve">עלי </w:t>
      </w:r>
      <w:proofErr w:type="spellStart"/>
      <w:r w:rsidRPr="008D2CB6">
        <w:rPr>
          <w:rFonts w:ascii="David" w:hAnsi="David" w:cs="David" w:hint="cs"/>
          <w:b/>
          <w:bCs/>
          <w:sz w:val="24"/>
          <w:szCs w:val="24"/>
          <w:rtl/>
        </w:rPr>
        <w:t>זלצסרג</w:t>
      </w:r>
      <w:proofErr w:type="spellEnd"/>
      <w:r w:rsidRPr="008D2CB6">
        <w:rPr>
          <w:rFonts w:ascii="David" w:hAnsi="David" w:cs="David" w:hint="cs"/>
          <w:b/>
          <w:bCs/>
          <w:sz w:val="24"/>
          <w:szCs w:val="24"/>
          <w:rtl/>
        </w:rPr>
        <w:t xml:space="preserve"> "קשר המשפטנים בישראל, על לשכת עו"ד ובעלי בריתה" המשפטים לב (1) 49</w:t>
      </w:r>
      <w:r w:rsidR="007E7940">
        <w:rPr>
          <w:rFonts w:ascii="David" w:hAnsi="David" w:cs="David" w:hint="cs"/>
          <w:b/>
          <w:bCs/>
          <w:sz w:val="24"/>
          <w:szCs w:val="24"/>
          <w:rtl/>
        </w:rPr>
        <w:t xml:space="preserve"> - </w:t>
      </w:r>
      <w:r w:rsidR="008D2CB6" w:rsidRPr="007E7940">
        <w:rPr>
          <w:rFonts w:ascii="David" w:hAnsi="David" w:cs="David"/>
          <w:sz w:val="24"/>
          <w:szCs w:val="24"/>
          <w:rtl/>
        </w:rPr>
        <w:t>הסדרת המקצוע מעוגנת בחוק לשכת עורכי הדין שנכנס לתוקף ב-1962. עד אז היו שתי מסגרות ארגוניות נפרדות של עו"ד, המועצה המשפטית (גוף סטטוטורי) והסתדרות עורכי הדין היהודיים - גוף וולנטרי. ה</w:t>
      </w:r>
      <w:r w:rsidR="004A73A1" w:rsidRPr="007E7940">
        <w:rPr>
          <w:rFonts w:ascii="David" w:hAnsi="David" w:cs="David" w:hint="cs"/>
          <w:sz w:val="24"/>
          <w:szCs w:val="24"/>
          <w:rtl/>
        </w:rPr>
        <w:t>א</w:t>
      </w:r>
      <w:r w:rsidR="008D2CB6" w:rsidRPr="007E7940">
        <w:rPr>
          <w:rFonts w:ascii="David" w:hAnsi="David" w:cs="David"/>
          <w:sz w:val="24"/>
          <w:szCs w:val="24"/>
          <w:rtl/>
        </w:rPr>
        <w:t xml:space="preserve">תיקה המקצועית הייתה אז בידיו של זקן השופטים עד לקום המדינה, ומקום המדינה - עברה לשר המשפטים. היסטורית הגילדות החל משנות העשרים: המונופול (ייחוד מתן שירותים משפטיים, ייחוד הלשכה); האוטונומיה (המונופול בסמכויות הלשכה, האוטונומיה המוסדית).  התוצאה מכל אלה היא שעורכי דין הם בעלי מונופול נרחב על השירותים המשפטיים, ומנהלים את ענייניהם באופן אוטונומי. עמוד 62:  התובנה הראשונה של המאמר: הדרת </w:t>
      </w:r>
      <w:r w:rsidR="008D2CB6" w:rsidRPr="007E7940">
        <w:rPr>
          <w:rFonts w:ascii="David" w:hAnsi="David" w:cs="David"/>
          <w:b/>
          <w:bCs/>
          <w:sz w:val="24"/>
          <w:szCs w:val="24"/>
          <w:rtl/>
        </w:rPr>
        <w:t>המקצועית של עריכת הדין בישראל היא חסרת תקדים מבחינת מידת האוטונומיה של לשכת עורכי הדין ומבחינת היקף המונופול  שיש ל על השירותים המשפטיים בארץ - גם בהשוואה למקצועות אחרים בארץ וגם לעורכי דין במדינות אחרות. למה? רטוריקה שמנסה לתרץ את המעמד הייחודי,</w:t>
      </w:r>
      <w:r w:rsidR="008D2CB6" w:rsidRPr="007E7940">
        <w:rPr>
          <w:rFonts w:ascii="David" w:hAnsi="David" w:cs="David"/>
          <w:sz w:val="24"/>
          <w:szCs w:val="24"/>
          <w:rtl/>
        </w:rPr>
        <w:t xml:space="preserve"> סיבות היסטוריות של מנדט ששאבנו מהמנדט, לובי חזק בכנסת (הרבה ח"כים שהם עו"ד, תקופת הייסוד: אתוס מוסדות המדינה - הקמת הלשכה כחלק מהפרויקט  החשוב (החוק נחקק גם אחרי שהייתה ביקורת על האתיקה של עורכי הדין בישראל וניסיונות לחזק את הגילדה - ביקורת שנשמעה משרי המשפטים פנחס רוזן ודב יוסף, והיועמ"ש חיים כהן),</w:t>
      </w:r>
    </w:p>
    <w:p w14:paraId="1DF78FEC" w14:textId="77777777" w:rsidR="009F6A15" w:rsidRPr="004E143C" w:rsidRDefault="009F6A15" w:rsidP="007E7940">
      <w:pPr>
        <w:pStyle w:val="a4"/>
        <w:numPr>
          <w:ilvl w:val="0"/>
          <w:numId w:val="37"/>
        </w:numPr>
        <w:spacing w:after="120" w:line="360" w:lineRule="auto"/>
        <w:ind w:left="-341"/>
        <w:rPr>
          <w:rFonts w:ascii="David" w:hAnsi="David" w:cs="David"/>
          <w:b/>
          <w:bCs/>
          <w:sz w:val="24"/>
          <w:szCs w:val="24"/>
          <w:highlight w:val="yellow"/>
        </w:rPr>
      </w:pPr>
      <w:r w:rsidRPr="004E143C">
        <w:rPr>
          <w:rFonts w:ascii="David" w:hAnsi="David" w:cs="David" w:hint="cs"/>
          <w:b/>
          <w:bCs/>
          <w:sz w:val="24"/>
          <w:szCs w:val="24"/>
          <w:highlight w:val="yellow"/>
          <w:rtl/>
        </w:rPr>
        <w:t>ת"ט 181882/09 מוזס נ' לשכת עו"ד</w:t>
      </w:r>
    </w:p>
    <w:p w14:paraId="3D590017" w14:textId="77777777" w:rsidR="0050547A" w:rsidRPr="009F6A15" w:rsidRDefault="0050547A" w:rsidP="007E7940">
      <w:pPr>
        <w:pStyle w:val="a4"/>
        <w:numPr>
          <w:ilvl w:val="0"/>
          <w:numId w:val="37"/>
        </w:numPr>
        <w:spacing w:after="120" w:line="360" w:lineRule="auto"/>
        <w:ind w:left="-341"/>
        <w:rPr>
          <w:rFonts w:ascii="David" w:hAnsi="David" w:cs="David"/>
          <w:strike/>
          <w:sz w:val="24"/>
          <w:szCs w:val="24"/>
        </w:rPr>
      </w:pPr>
      <w:proofErr w:type="spellStart"/>
      <w:r w:rsidRPr="009F6A15">
        <w:rPr>
          <w:rFonts w:ascii="David" w:hAnsi="David" w:cs="David" w:hint="cs"/>
          <w:strike/>
          <w:sz w:val="24"/>
          <w:szCs w:val="24"/>
          <w:rtl/>
        </w:rPr>
        <w:t>בד"מ</w:t>
      </w:r>
      <w:proofErr w:type="spellEnd"/>
      <w:r w:rsidRPr="009F6A15">
        <w:rPr>
          <w:rFonts w:ascii="David" w:hAnsi="David" w:cs="David" w:hint="cs"/>
          <w:strike/>
          <w:sz w:val="24"/>
          <w:szCs w:val="24"/>
          <w:rtl/>
        </w:rPr>
        <w:t xml:space="preserve"> (ת"א) 59/00</w:t>
      </w:r>
    </w:p>
    <w:p w14:paraId="1A654468" w14:textId="77777777" w:rsidR="0050547A" w:rsidRPr="009F6A15" w:rsidRDefault="0050547A" w:rsidP="007E7940">
      <w:pPr>
        <w:pStyle w:val="a4"/>
        <w:numPr>
          <w:ilvl w:val="0"/>
          <w:numId w:val="37"/>
        </w:numPr>
        <w:spacing w:after="120" w:line="360" w:lineRule="auto"/>
        <w:ind w:left="-341"/>
        <w:rPr>
          <w:rFonts w:ascii="David" w:hAnsi="David" w:cs="David"/>
          <w:strike/>
          <w:sz w:val="24"/>
          <w:szCs w:val="24"/>
        </w:rPr>
      </w:pPr>
      <w:r w:rsidRPr="009F6A15">
        <w:rPr>
          <w:rFonts w:ascii="David" w:hAnsi="David" w:cs="David" w:hint="cs"/>
          <w:strike/>
          <w:sz w:val="24"/>
          <w:szCs w:val="24"/>
          <w:rtl/>
        </w:rPr>
        <w:t>בד"א 129/01</w:t>
      </w:r>
    </w:p>
    <w:p w14:paraId="39FDF949" w14:textId="77777777" w:rsidR="0050547A" w:rsidRPr="009F6A15" w:rsidRDefault="0050547A" w:rsidP="007E7940">
      <w:pPr>
        <w:pStyle w:val="a4"/>
        <w:numPr>
          <w:ilvl w:val="0"/>
          <w:numId w:val="37"/>
        </w:numPr>
        <w:spacing w:after="120" w:line="360" w:lineRule="auto"/>
        <w:ind w:left="-341"/>
        <w:rPr>
          <w:rFonts w:ascii="David" w:hAnsi="David" w:cs="David"/>
          <w:strike/>
          <w:sz w:val="24"/>
          <w:szCs w:val="24"/>
        </w:rPr>
      </w:pPr>
      <w:proofErr w:type="spellStart"/>
      <w:r w:rsidRPr="009F6A15">
        <w:rPr>
          <w:rFonts w:ascii="David" w:hAnsi="David" w:cs="David" w:hint="cs"/>
          <w:strike/>
          <w:sz w:val="24"/>
          <w:szCs w:val="24"/>
          <w:rtl/>
        </w:rPr>
        <w:t>על"ע</w:t>
      </w:r>
      <w:proofErr w:type="spellEnd"/>
      <w:r w:rsidRPr="009F6A15">
        <w:rPr>
          <w:rFonts w:ascii="David" w:hAnsi="David" w:cs="David" w:hint="cs"/>
          <w:strike/>
          <w:sz w:val="24"/>
          <w:szCs w:val="24"/>
          <w:rtl/>
        </w:rPr>
        <w:t xml:space="preserve"> 10982/04 עו"ד רוני </w:t>
      </w:r>
      <w:proofErr w:type="spellStart"/>
      <w:r w:rsidRPr="009F6A15">
        <w:rPr>
          <w:rFonts w:ascii="David" w:hAnsi="David" w:cs="David" w:hint="cs"/>
          <w:strike/>
          <w:sz w:val="24"/>
          <w:szCs w:val="24"/>
          <w:rtl/>
        </w:rPr>
        <w:t>גורסקי</w:t>
      </w:r>
      <w:proofErr w:type="spellEnd"/>
      <w:r w:rsidRPr="009F6A15">
        <w:rPr>
          <w:rFonts w:ascii="David" w:hAnsi="David" w:cs="David" w:hint="cs"/>
          <w:strike/>
          <w:sz w:val="24"/>
          <w:szCs w:val="24"/>
          <w:rtl/>
        </w:rPr>
        <w:t xml:space="preserve"> נ' הועד המחוזי ת"א</w:t>
      </w:r>
    </w:p>
    <w:p w14:paraId="5F514580" w14:textId="77777777" w:rsidR="006C0BB9" w:rsidRPr="00FD525B" w:rsidRDefault="0050547A" w:rsidP="007E7940">
      <w:pPr>
        <w:pStyle w:val="a4"/>
        <w:numPr>
          <w:ilvl w:val="0"/>
          <w:numId w:val="37"/>
        </w:numPr>
        <w:spacing w:after="120" w:line="360" w:lineRule="auto"/>
        <w:ind w:left="-341"/>
        <w:jc w:val="both"/>
        <w:rPr>
          <w:rFonts w:ascii="David" w:hAnsi="David" w:cs="David"/>
          <w:b/>
          <w:bCs/>
          <w:sz w:val="24"/>
          <w:szCs w:val="24"/>
        </w:rPr>
      </w:pPr>
      <w:r w:rsidRPr="008D2CB6">
        <w:rPr>
          <w:rFonts w:ascii="David" w:hAnsi="David" w:cs="David" w:hint="cs"/>
          <w:b/>
          <w:bCs/>
          <w:sz w:val="24"/>
          <w:szCs w:val="24"/>
          <w:rtl/>
        </w:rPr>
        <w:t>בד"א 111/98</w:t>
      </w:r>
      <w:r w:rsidR="003D7409">
        <w:rPr>
          <w:rFonts w:ascii="David" w:hAnsi="David" w:cs="David" w:hint="cs"/>
          <w:b/>
          <w:bCs/>
          <w:sz w:val="24"/>
          <w:szCs w:val="24"/>
          <w:rtl/>
        </w:rPr>
        <w:t xml:space="preserve"> - </w:t>
      </w:r>
      <w:r w:rsidR="003D7409">
        <w:rPr>
          <w:rFonts w:ascii="David" w:eastAsia="Times New Roman" w:hAnsi="David" w:cs="David" w:hint="cs"/>
          <w:color w:val="000000"/>
          <w:sz w:val="24"/>
          <w:szCs w:val="24"/>
          <w:rtl/>
        </w:rPr>
        <w:t>נגד</w:t>
      </w:r>
      <w:r w:rsidR="00DF3DB6" w:rsidRPr="003D7409">
        <w:rPr>
          <w:rFonts w:ascii="David" w:eastAsia="Times New Roman" w:hAnsi="David" w:cs="David"/>
          <w:color w:val="000000"/>
          <w:sz w:val="24"/>
          <w:szCs w:val="24"/>
          <w:rtl/>
        </w:rPr>
        <w:t xml:space="preserve"> עו"ד פלוני </w:t>
      </w:r>
      <w:r w:rsidR="003D7409">
        <w:rPr>
          <w:rFonts w:ascii="David" w:eastAsia="Times New Roman" w:hAnsi="David" w:cs="David" w:hint="cs"/>
          <w:color w:val="000000"/>
          <w:sz w:val="24"/>
          <w:szCs w:val="24"/>
          <w:rtl/>
        </w:rPr>
        <w:t>(</w:t>
      </w:r>
      <w:r w:rsidR="00DF3DB6" w:rsidRPr="003D7409">
        <w:rPr>
          <w:rFonts w:ascii="David" w:eastAsia="Times New Roman" w:hAnsi="David" w:cs="David"/>
          <w:color w:val="000000"/>
          <w:sz w:val="24"/>
          <w:szCs w:val="24"/>
          <w:rtl/>
        </w:rPr>
        <w:t>"המערער"</w:t>
      </w:r>
      <w:r w:rsidR="003D7409">
        <w:rPr>
          <w:rFonts w:ascii="David" w:eastAsia="Times New Roman" w:hAnsi="David" w:cs="David" w:hint="cs"/>
          <w:color w:val="000000"/>
          <w:sz w:val="24"/>
          <w:szCs w:val="24"/>
          <w:rtl/>
        </w:rPr>
        <w:t>)</w:t>
      </w:r>
      <w:r w:rsidR="00DF3DB6" w:rsidRPr="003D7409">
        <w:rPr>
          <w:rFonts w:ascii="David" w:eastAsia="Times New Roman" w:hAnsi="David" w:cs="David"/>
          <w:color w:val="000000"/>
          <w:sz w:val="24"/>
          <w:szCs w:val="24"/>
          <w:rtl/>
        </w:rPr>
        <w:t xml:space="preserve"> הוגש כתב קובלנה על פיו הזניח את הטיפול בענייני המתלונן, לא דיווח למתלונן חרף דרישותיו ודרישות בתו של המתלונן ובא כוחה, על כספים שגבה עבורו, ולא העביר למתלונן את כל הכספים שגבה. כן הואשם כי לחץ על המתלונן להגיע להסכם למכירת דירתו של אחד החייבים ולקבל סכום קטן של 12,000 ש"ח לסילוק חוב העולה על 100,000 ש"ח.</w:t>
      </w:r>
      <w:r w:rsidR="003D7409">
        <w:rPr>
          <w:rFonts w:ascii="David" w:hAnsi="David" w:cs="David" w:hint="cs"/>
          <w:b/>
          <w:bCs/>
          <w:sz w:val="24"/>
          <w:szCs w:val="24"/>
          <w:rtl/>
        </w:rPr>
        <w:t xml:space="preserve"> בית הדין קמא </w:t>
      </w:r>
      <w:r w:rsidR="003D7409" w:rsidRPr="003D7409">
        <w:rPr>
          <w:rFonts w:ascii="David" w:eastAsia="Times New Roman" w:hAnsi="David" w:cs="David" w:hint="cs"/>
          <w:color w:val="000000"/>
          <w:sz w:val="24"/>
          <w:szCs w:val="24"/>
          <w:rtl/>
        </w:rPr>
        <w:t>זיכה אותו</w:t>
      </w:r>
      <w:r w:rsidR="00DF3DB6" w:rsidRPr="003D7409">
        <w:rPr>
          <w:rFonts w:ascii="David" w:eastAsia="Times New Roman" w:hAnsi="David" w:cs="David"/>
          <w:color w:val="000000"/>
          <w:sz w:val="24"/>
          <w:szCs w:val="24"/>
          <w:rtl/>
        </w:rPr>
        <w:t xml:space="preserve"> מהעבירות </w:t>
      </w:r>
      <w:r w:rsidR="003D7409" w:rsidRPr="003D7409">
        <w:rPr>
          <w:rFonts w:ascii="David" w:eastAsia="Times New Roman" w:hAnsi="David" w:cs="David" w:hint="cs"/>
          <w:color w:val="000000"/>
          <w:sz w:val="24"/>
          <w:szCs w:val="24"/>
          <w:rtl/>
        </w:rPr>
        <w:t xml:space="preserve">של </w:t>
      </w:r>
      <w:r w:rsidR="00DF3DB6" w:rsidRPr="003D7409">
        <w:rPr>
          <w:rFonts w:ascii="David" w:eastAsia="Times New Roman" w:hAnsi="David" w:cs="David"/>
          <w:color w:val="000000"/>
          <w:sz w:val="24"/>
          <w:szCs w:val="24"/>
          <w:rtl/>
        </w:rPr>
        <w:t>הפעלת לחץ על המתלונן להגיע להסדר, ומהעבירה של הזנחת הטיפול בענייני המתלונן, אך הרשיעו בעבירות של אי דיווח למתלונן על סכומי הגביה, ואי העברת כל כספי הגביה למתלונן.</w:t>
      </w:r>
    </w:p>
    <w:p w14:paraId="4BE4337D" w14:textId="77777777" w:rsidR="00DF3DB6" w:rsidRPr="00DF3DB6" w:rsidRDefault="00DB42F6" w:rsidP="007E7940">
      <w:pPr>
        <w:pStyle w:val="a4"/>
        <w:spacing w:after="120" w:line="360" w:lineRule="auto"/>
        <w:ind w:left="-341"/>
        <w:jc w:val="both"/>
        <w:rPr>
          <w:rFonts w:ascii="David" w:hAnsi="David" w:cs="David"/>
          <w:sz w:val="24"/>
          <w:szCs w:val="24"/>
          <w:rtl/>
        </w:rPr>
      </w:pPr>
      <w:r>
        <w:rPr>
          <w:rFonts w:ascii="David" w:hAnsi="David" w:cs="David" w:hint="cs"/>
          <w:b/>
          <w:bCs/>
          <w:sz w:val="24"/>
          <w:szCs w:val="24"/>
          <w:rtl/>
        </w:rPr>
        <w:t xml:space="preserve">ההתערבות היחידה של ערכאת הערעור: </w:t>
      </w:r>
      <w:r w:rsidR="00DF3DB6" w:rsidRPr="00DF3DB6">
        <w:rPr>
          <w:rFonts w:ascii="David" w:eastAsia="Times New Roman" w:hAnsi="David" w:cs="David"/>
          <w:color w:val="000000"/>
          <w:sz w:val="24"/>
          <w:szCs w:val="24"/>
          <w:rtl/>
        </w:rPr>
        <w:t>בתיק קמא לא התקיימה</w:t>
      </w:r>
      <w:r w:rsidR="003D7409">
        <w:rPr>
          <w:rFonts w:ascii="Times New Roman" w:eastAsia="Times New Roman" w:hAnsi="Times New Roman" w:cs="Times New Roman" w:hint="cs"/>
          <w:color w:val="000000"/>
          <w:sz w:val="20"/>
          <w:szCs w:val="20"/>
          <w:rtl/>
        </w:rPr>
        <w:t xml:space="preserve"> </w:t>
      </w:r>
      <w:r w:rsidR="00DF3DB6" w:rsidRPr="00DF3DB6">
        <w:rPr>
          <w:rFonts w:ascii="David" w:eastAsia="Times New Roman" w:hAnsi="David" w:cs="David"/>
          <w:color w:val="000000"/>
          <w:sz w:val="24"/>
          <w:szCs w:val="24"/>
          <w:rtl/>
        </w:rPr>
        <w:t xml:space="preserve">בנפרד הקראה, ובמועד שנקבע לשמיעת ההוכחות, נתבקש המערער להשיב לאישום. מיד לאחר מכן נשמע התיק. </w:t>
      </w:r>
      <w:r w:rsidR="00DF3DB6" w:rsidRPr="00DF3DB6">
        <w:rPr>
          <w:rFonts w:ascii="David" w:eastAsia="Times New Roman" w:hAnsi="David" w:cs="David"/>
          <w:b/>
          <w:bCs/>
          <w:color w:val="000000"/>
          <w:sz w:val="24"/>
          <w:szCs w:val="24"/>
          <w:rtl/>
        </w:rPr>
        <w:t xml:space="preserve">לחברי בי"ד זה נראה, </w:t>
      </w:r>
      <w:r w:rsidR="00DF3DB6" w:rsidRPr="00DF3DB6">
        <w:rPr>
          <w:rFonts w:ascii="David" w:eastAsia="Times New Roman" w:hAnsi="David" w:cs="David"/>
          <w:b/>
          <w:bCs/>
          <w:color w:val="000000"/>
          <w:sz w:val="24"/>
          <w:szCs w:val="24"/>
          <w:rtl/>
        </w:rPr>
        <w:lastRenderedPageBreak/>
        <w:t>כי לכאורה נפגעו זכויות המערער מקיום ההליך בצורה זו, ואף כי בחוק ובתקנות לא נקבע כי יש לקיים הקראה בנפרד תוך שמירה על רווח זמן בין ההקראה ובין המועד בו נקבע התיק להוכחות, נהוג בבתי המשפט לקיים הקראה ורק לאחריה לקבוע מועד לשמיעת הראיות</w:t>
      </w:r>
      <w:r w:rsidR="00DF3DB6" w:rsidRPr="00DF3DB6">
        <w:rPr>
          <w:rFonts w:ascii="David" w:eastAsia="Times New Roman" w:hAnsi="David" w:cs="David"/>
          <w:color w:val="000000"/>
          <w:sz w:val="24"/>
          <w:szCs w:val="24"/>
          <w:rtl/>
        </w:rPr>
        <w:t>.</w:t>
      </w:r>
      <w:r>
        <w:rPr>
          <w:rFonts w:ascii="David" w:hAnsi="David" w:cs="David" w:hint="cs"/>
          <w:b/>
          <w:bCs/>
          <w:sz w:val="24"/>
          <w:szCs w:val="24"/>
          <w:rtl/>
        </w:rPr>
        <w:t xml:space="preserve"> </w:t>
      </w:r>
      <w:r>
        <w:rPr>
          <w:rFonts w:ascii="David" w:hAnsi="David" w:cs="David" w:hint="cs"/>
          <w:sz w:val="24"/>
          <w:szCs w:val="24"/>
          <w:rtl/>
        </w:rPr>
        <w:t xml:space="preserve">כלומר, המערער לא מחה </w:t>
      </w:r>
      <w:r w:rsidR="00DF3DB6" w:rsidRPr="00DF3DB6">
        <w:rPr>
          <w:rFonts w:ascii="David" w:eastAsia="Times New Roman" w:hAnsi="David" w:cs="David"/>
          <w:color w:val="000000"/>
          <w:sz w:val="24"/>
          <w:szCs w:val="24"/>
          <w:rtl/>
        </w:rPr>
        <w:t>על קיום ההקראה במועד שנקבע לשמיעת הראיות, ועל כן, בסיכומו של דבר, לא נראה לנו כיום לפסול את אופן קיום הדיון בעניינו. דעתנו הייתה שונה אילו מחה המערער בפני בית-דין קמא והיה מתנגד בשעתו לקיום הדיון מיד לאחר ההקראה.</w:t>
      </w:r>
    </w:p>
    <w:p w14:paraId="0C982325" w14:textId="77777777" w:rsidR="00DB42F6" w:rsidRDefault="00DB42F6" w:rsidP="007E7940">
      <w:pPr>
        <w:shd w:val="clear" w:color="auto" w:fill="FFFFFF"/>
        <w:spacing w:after="0" w:line="360" w:lineRule="auto"/>
        <w:ind w:left="-341"/>
        <w:jc w:val="both"/>
        <w:rPr>
          <w:rFonts w:ascii="David" w:eastAsia="Times New Roman" w:hAnsi="David" w:cs="David"/>
          <w:color w:val="000000"/>
          <w:sz w:val="24"/>
          <w:szCs w:val="24"/>
          <w:rtl/>
        </w:rPr>
      </w:pPr>
      <w:r>
        <w:rPr>
          <w:rFonts w:ascii="David" w:eastAsia="Times New Roman" w:hAnsi="David" w:cs="David" w:hint="cs"/>
          <w:color w:val="000000"/>
          <w:sz w:val="24"/>
          <w:szCs w:val="24"/>
          <w:rtl/>
        </w:rPr>
        <w:t>כן התלבטה ערכאת הערעור</w:t>
      </w:r>
      <w:r w:rsidR="00DF3DB6" w:rsidRPr="00DF3DB6">
        <w:rPr>
          <w:rFonts w:ascii="David" w:eastAsia="Times New Roman" w:hAnsi="David" w:cs="David"/>
          <w:color w:val="000000"/>
          <w:sz w:val="24"/>
          <w:szCs w:val="24"/>
          <w:rtl/>
        </w:rPr>
        <w:t xml:space="preserve"> בשאלה אם לא הטיל בית-הדין קמא עונש כבד מדי על המערער, וזאת לאחר שזיכה אותו משני פרטי אישום והרשיע אותו בפרט אישום אחד בלבד(הגם שהוא כולל שתי עבירות).אכן לחובת המערער 3 הרשעות קודמות</w:t>
      </w:r>
      <w:r>
        <w:rPr>
          <w:rFonts w:ascii="David" w:eastAsia="Times New Roman" w:hAnsi="David" w:cs="David" w:hint="cs"/>
          <w:color w:val="000000"/>
          <w:sz w:val="24"/>
          <w:szCs w:val="24"/>
          <w:rtl/>
        </w:rPr>
        <w:t xml:space="preserve"> ו</w:t>
      </w:r>
      <w:r w:rsidR="00DF3DB6" w:rsidRPr="00DF3DB6">
        <w:rPr>
          <w:rFonts w:ascii="David" w:eastAsia="Times New Roman" w:hAnsi="David" w:cs="David"/>
          <w:color w:val="000000"/>
          <w:sz w:val="24"/>
          <w:szCs w:val="24"/>
          <w:rtl/>
        </w:rPr>
        <w:t xml:space="preserve">קשה </w:t>
      </w:r>
      <w:r>
        <w:rPr>
          <w:rFonts w:ascii="David" w:eastAsia="Times New Roman" w:hAnsi="David" w:cs="David" w:hint="cs"/>
          <w:color w:val="000000"/>
          <w:sz w:val="24"/>
          <w:szCs w:val="24"/>
          <w:rtl/>
        </w:rPr>
        <w:t>לערעור</w:t>
      </w:r>
      <w:r w:rsidR="00DF3DB6" w:rsidRPr="00DF3DB6">
        <w:rPr>
          <w:rFonts w:ascii="David" w:eastAsia="Times New Roman" w:hAnsi="David" w:cs="David"/>
          <w:color w:val="000000"/>
          <w:sz w:val="24"/>
          <w:szCs w:val="24"/>
          <w:rtl/>
        </w:rPr>
        <w:t xml:space="preserve">ו </w:t>
      </w:r>
      <w:proofErr w:type="spellStart"/>
      <w:r w:rsidR="00DF3DB6" w:rsidRPr="00DF3DB6">
        <w:rPr>
          <w:rFonts w:ascii="David" w:eastAsia="Times New Roman" w:hAnsi="David" w:cs="David"/>
          <w:color w:val="000000"/>
          <w:sz w:val="24"/>
          <w:szCs w:val="24"/>
          <w:rtl/>
        </w:rPr>
        <w:t>לאמר</w:t>
      </w:r>
      <w:proofErr w:type="spellEnd"/>
      <w:r w:rsidR="00DF3DB6" w:rsidRPr="00DF3DB6">
        <w:rPr>
          <w:rFonts w:ascii="David" w:eastAsia="Times New Roman" w:hAnsi="David" w:cs="David"/>
          <w:color w:val="000000"/>
          <w:sz w:val="24"/>
          <w:szCs w:val="24"/>
          <w:rtl/>
        </w:rPr>
        <w:t xml:space="preserve"> כי המערער למד לקח מהתנהגותו המוטעית בעבר, ומהעונשים שהוטלו עליו בעקבות התנהגות זו, ואכן אנו סבורים שהיה מקום להטיל עליו  בגין העבירות בהן הורשע בתיק זה עונש של השעיה בפועל.</w:t>
      </w:r>
    </w:p>
    <w:p w14:paraId="43890906" w14:textId="77777777" w:rsidR="00DF3DB6" w:rsidRPr="00DF3DB6" w:rsidRDefault="00DF3DB6" w:rsidP="007E7940">
      <w:pPr>
        <w:shd w:val="clear" w:color="auto" w:fill="FFFFFF"/>
        <w:spacing w:after="0" w:line="360" w:lineRule="auto"/>
        <w:ind w:left="-341"/>
        <w:jc w:val="both"/>
        <w:rPr>
          <w:rFonts w:ascii="David" w:eastAsia="Times New Roman" w:hAnsi="David" w:cs="David"/>
          <w:color w:val="000000"/>
          <w:sz w:val="24"/>
          <w:szCs w:val="24"/>
          <w:rtl/>
        </w:rPr>
      </w:pPr>
      <w:r w:rsidRPr="00DF3DB6">
        <w:rPr>
          <w:rFonts w:ascii="David" w:eastAsia="Times New Roman" w:hAnsi="David" w:cs="David"/>
          <w:color w:val="000000"/>
          <w:sz w:val="24"/>
          <w:szCs w:val="24"/>
          <w:rtl/>
        </w:rPr>
        <w:t xml:space="preserve">עם זאת סבורים </w:t>
      </w:r>
      <w:r w:rsidR="00DB42F6">
        <w:rPr>
          <w:rFonts w:ascii="David" w:eastAsia="Times New Roman" w:hAnsi="David" w:cs="David" w:hint="cs"/>
          <w:color w:val="000000"/>
          <w:sz w:val="24"/>
          <w:szCs w:val="24"/>
          <w:rtl/>
        </w:rPr>
        <w:t>הם</w:t>
      </w:r>
      <w:r w:rsidRPr="00DF3DB6">
        <w:rPr>
          <w:rFonts w:ascii="David" w:eastAsia="Times New Roman" w:hAnsi="David" w:cs="David"/>
          <w:color w:val="000000"/>
          <w:sz w:val="24"/>
          <w:szCs w:val="24"/>
          <w:rtl/>
        </w:rPr>
        <w:t>, כי יש מקום להתחשב במצבו האישי של המערער, בעובדה, כי הינו מנהל משרד עצמאי, שסגירתו למשך שנה שלמה יכולה להביא לחיסולו, בכך שזוכה משני פרטי אישום וכן בכך שנקבע בהכרעת הדין (סעיף 20) כי ".. לא ניתן להגיד, כי הנאשם התכוון במזיד לגנוב או להעלים את כספי הלקוח"</w:t>
      </w:r>
      <w:r w:rsidR="00DB42F6">
        <w:rPr>
          <w:rFonts w:ascii="David" w:eastAsia="Times New Roman" w:hAnsi="David" w:cs="David" w:hint="cs"/>
          <w:color w:val="000000"/>
          <w:sz w:val="24"/>
          <w:szCs w:val="24"/>
          <w:rtl/>
        </w:rPr>
        <w:t xml:space="preserve"> </w:t>
      </w:r>
      <w:r w:rsidRPr="00DF3DB6">
        <w:rPr>
          <w:rFonts w:ascii="David" w:eastAsia="Times New Roman" w:hAnsi="David" w:cs="David"/>
          <w:color w:val="000000"/>
          <w:sz w:val="24"/>
          <w:szCs w:val="24"/>
          <w:rtl/>
        </w:rPr>
        <w:t> </w:t>
      </w:r>
      <w:r w:rsidR="00DB42F6">
        <w:rPr>
          <w:rFonts w:ascii="Times New Roman" w:eastAsia="Times New Roman" w:hAnsi="Times New Roman" w:cs="Times New Roman" w:hint="cs"/>
          <w:color w:val="000000"/>
          <w:sz w:val="20"/>
          <w:szCs w:val="20"/>
          <w:rtl/>
        </w:rPr>
        <w:t>"</w:t>
      </w:r>
      <w:r w:rsidRPr="00DF3DB6">
        <w:rPr>
          <w:rFonts w:ascii="David" w:eastAsia="Times New Roman" w:hAnsi="David" w:cs="David"/>
          <w:color w:val="000000"/>
          <w:sz w:val="24"/>
          <w:szCs w:val="24"/>
          <w:rtl/>
        </w:rPr>
        <w:t xml:space="preserve"> לאחר ששקלנו את כל השיקולים </w:t>
      </w:r>
      <w:proofErr w:type="spellStart"/>
      <w:r w:rsidRPr="00DF3DB6">
        <w:rPr>
          <w:rFonts w:ascii="David" w:eastAsia="Times New Roman" w:hAnsi="David" w:cs="David"/>
          <w:color w:val="000000"/>
          <w:sz w:val="24"/>
          <w:szCs w:val="24"/>
          <w:rtl/>
        </w:rPr>
        <w:t>לקולא</w:t>
      </w:r>
      <w:proofErr w:type="spellEnd"/>
      <w:r w:rsidRPr="00DF3DB6">
        <w:rPr>
          <w:rFonts w:ascii="David" w:eastAsia="Times New Roman" w:hAnsi="David" w:cs="David"/>
          <w:color w:val="000000"/>
          <w:sz w:val="24"/>
          <w:szCs w:val="24"/>
          <w:rtl/>
        </w:rPr>
        <w:t xml:space="preserve"> </w:t>
      </w:r>
      <w:proofErr w:type="spellStart"/>
      <w:r w:rsidRPr="00DF3DB6">
        <w:rPr>
          <w:rFonts w:ascii="David" w:eastAsia="Times New Roman" w:hAnsi="David" w:cs="David"/>
          <w:color w:val="000000"/>
          <w:sz w:val="24"/>
          <w:szCs w:val="24"/>
          <w:rtl/>
        </w:rPr>
        <w:t>ולחומרא</w:t>
      </w:r>
      <w:proofErr w:type="spellEnd"/>
      <w:r w:rsidRPr="00DF3DB6">
        <w:rPr>
          <w:rFonts w:ascii="David" w:eastAsia="Times New Roman" w:hAnsi="David" w:cs="David"/>
          <w:color w:val="000000"/>
          <w:sz w:val="24"/>
          <w:szCs w:val="24"/>
          <w:rtl/>
        </w:rPr>
        <w:t xml:space="preserve">, נראה לנו כי העונש ההולם בנסיבות מקרה זה הינו 6 חדשי השעיה בפועל ושנתיים השעיה ע"ת למשך 3 שנים, ואנו מורים לתקן את גזה"ד בהתאם ולקבוע כי במקום עונש השעיה של שנה יבוא עונש השעיה של 6 חדשים, ובמקום עונש השעיה ע"ת לשנה למשך שנתיים, יבוא עונש של השעיה למשך שנתיים על תנאי, לשלוש שנים החל מהיום. סכום ההוצאות כפי שנקבע </w:t>
      </w:r>
      <w:proofErr w:type="spellStart"/>
      <w:r w:rsidRPr="00DF3DB6">
        <w:rPr>
          <w:rFonts w:ascii="David" w:eastAsia="Times New Roman" w:hAnsi="David" w:cs="David"/>
          <w:color w:val="000000"/>
          <w:sz w:val="24"/>
          <w:szCs w:val="24"/>
          <w:rtl/>
        </w:rPr>
        <w:t>ישאר</w:t>
      </w:r>
      <w:proofErr w:type="spellEnd"/>
      <w:r w:rsidRPr="00DF3DB6">
        <w:rPr>
          <w:rFonts w:ascii="David" w:eastAsia="Times New Roman" w:hAnsi="David" w:cs="David"/>
          <w:color w:val="000000"/>
          <w:sz w:val="24"/>
          <w:szCs w:val="24"/>
          <w:rtl/>
        </w:rPr>
        <w:t xml:space="preserve"> בעינו.</w:t>
      </w:r>
      <w:r w:rsidR="00DB42F6">
        <w:rPr>
          <w:rFonts w:ascii="Times New Roman" w:eastAsia="Times New Roman" w:hAnsi="Times New Roman" w:cs="Times New Roman" w:hint="cs"/>
          <w:color w:val="000000"/>
          <w:sz w:val="20"/>
          <w:szCs w:val="20"/>
          <w:rtl/>
        </w:rPr>
        <w:t>"</w:t>
      </w:r>
    </w:p>
    <w:p w14:paraId="7B2C0910" w14:textId="77777777" w:rsidR="00DF3DB6" w:rsidRDefault="00DF3DB6" w:rsidP="001302BE">
      <w:pPr>
        <w:shd w:val="clear" w:color="auto" w:fill="FFFFFF"/>
        <w:spacing w:after="0" w:line="300" w:lineRule="atLeast"/>
        <w:jc w:val="both"/>
        <w:rPr>
          <w:rFonts w:ascii="David" w:hAnsi="David" w:cs="David"/>
          <w:b/>
          <w:bCs/>
          <w:sz w:val="24"/>
          <w:szCs w:val="24"/>
          <w:rtl/>
        </w:rPr>
      </w:pPr>
      <w:r w:rsidRPr="00DF3DB6">
        <w:rPr>
          <w:rFonts w:ascii="David" w:eastAsia="Times New Roman" w:hAnsi="David" w:cs="David"/>
          <w:color w:val="000000"/>
          <w:sz w:val="24"/>
          <w:szCs w:val="24"/>
          <w:rtl/>
        </w:rPr>
        <w:t> </w:t>
      </w:r>
      <w:r w:rsidRPr="00DF3DB6">
        <w:rPr>
          <w:rFonts w:ascii="David" w:eastAsia="Times New Roman" w:hAnsi="David" w:cs="David"/>
          <w:color w:val="FFFFFF"/>
          <w:sz w:val="2"/>
          <w:szCs w:val="2"/>
          <w:rtl/>
        </w:rPr>
        <w:t>512</w:t>
      </w:r>
    </w:p>
    <w:p w14:paraId="63649B81" w14:textId="77777777" w:rsidR="0050547A" w:rsidRDefault="0050547A" w:rsidP="007E7940">
      <w:pPr>
        <w:pStyle w:val="a4"/>
        <w:numPr>
          <w:ilvl w:val="0"/>
          <w:numId w:val="37"/>
        </w:numPr>
        <w:spacing w:after="120" w:line="360" w:lineRule="auto"/>
        <w:ind w:left="-483"/>
        <w:rPr>
          <w:rFonts w:ascii="David" w:hAnsi="David" w:cs="David"/>
          <w:b/>
          <w:bCs/>
          <w:sz w:val="24"/>
          <w:szCs w:val="24"/>
        </w:rPr>
      </w:pPr>
      <w:r w:rsidRPr="008D2CB6">
        <w:rPr>
          <w:rFonts w:ascii="David" w:hAnsi="David" w:cs="David" w:hint="cs"/>
          <w:b/>
          <w:bCs/>
          <w:sz w:val="24"/>
          <w:szCs w:val="24"/>
          <w:rtl/>
        </w:rPr>
        <w:t xml:space="preserve">בג"צ 957/89 פ"ד מד(4) 431 </w:t>
      </w:r>
    </w:p>
    <w:p w14:paraId="25AE84E6" w14:textId="77777777" w:rsidR="009F6A15" w:rsidRPr="009F6A15" w:rsidRDefault="009F6A15" w:rsidP="007E7940">
      <w:pPr>
        <w:numPr>
          <w:ilvl w:val="0"/>
          <w:numId w:val="38"/>
        </w:numPr>
        <w:spacing w:after="0" w:line="360" w:lineRule="auto"/>
        <w:ind w:left="-483" w:hanging="280"/>
        <w:jc w:val="both"/>
        <w:rPr>
          <w:rFonts w:ascii="David" w:hAnsi="David" w:cs="David"/>
          <w:sz w:val="24"/>
          <w:szCs w:val="24"/>
        </w:rPr>
      </w:pPr>
      <w:r>
        <w:rPr>
          <w:rFonts w:ascii="David" w:hAnsi="David" w:cs="David" w:hint="cs"/>
          <w:b/>
          <w:bCs/>
          <w:sz w:val="24"/>
          <w:szCs w:val="24"/>
          <w:rtl/>
        </w:rPr>
        <w:t xml:space="preserve">מהמחברת של שירן איובי: </w:t>
      </w:r>
      <w:r w:rsidRPr="009F6A15">
        <w:rPr>
          <w:rFonts w:ascii="David" w:hAnsi="David" w:cs="David"/>
          <w:b/>
          <w:bCs/>
          <w:sz w:val="24"/>
          <w:szCs w:val="24"/>
          <w:rtl/>
        </w:rPr>
        <w:t>החמרה בקשר למידת ההוכחה הנדרשת לצורך הרשעה בהליך המשמעתי</w:t>
      </w:r>
      <w:r w:rsidRPr="009F6A15">
        <w:rPr>
          <w:rFonts w:ascii="David" w:hAnsi="David" w:cs="David"/>
          <w:sz w:val="24"/>
          <w:szCs w:val="24"/>
          <w:rtl/>
        </w:rPr>
        <w:t xml:space="preserve"> – למדנו את הגישות השונות של בית המשפט העליון בקשר ל</w:t>
      </w:r>
      <w:r w:rsidRPr="009F6A15">
        <w:rPr>
          <w:rFonts w:ascii="David" w:hAnsi="David" w:cs="David" w:hint="cs"/>
          <w:sz w:val="24"/>
          <w:szCs w:val="24"/>
          <w:rtl/>
        </w:rPr>
        <w:t>דרגת ההוכחה הנדרשת של עובדי מדינה ב</w:t>
      </w:r>
      <w:r w:rsidRPr="009F6A15">
        <w:rPr>
          <w:rFonts w:ascii="David" w:hAnsi="David" w:cs="David"/>
          <w:sz w:val="24"/>
          <w:szCs w:val="24"/>
          <w:rtl/>
        </w:rPr>
        <w:t>הליך משמעתי של עובדי המדינה (</w:t>
      </w:r>
      <w:proofErr w:type="spellStart"/>
      <w:r w:rsidRPr="009F6A15">
        <w:rPr>
          <w:rFonts w:ascii="David" w:hAnsi="David" w:cs="David"/>
          <w:sz w:val="24"/>
          <w:szCs w:val="24"/>
          <w:rtl/>
        </w:rPr>
        <w:t>אזוט</w:t>
      </w:r>
      <w:proofErr w:type="spellEnd"/>
      <w:r w:rsidRPr="009F6A15">
        <w:rPr>
          <w:rFonts w:ascii="David" w:hAnsi="David" w:cs="David"/>
          <w:sz w:val="24"/>
          <w:szCs w:val="24"/>
          <w:rtl/>
        </w:rPr>
        <w:t xml:space="preserve">, בכרך, </w:t>
      </w:r>
      <w:proofErr w:type="spellStart"/>
      <w:r w:rsidRPr="009F6A15">
        <w:rPr>
          <w:rFonts w:ascii="David" w:hAnsi="David" w:cs="David"/>
          <w:sz w:val="24"/>
          <w:szCs w:val="24"/>
          <w:rtl/>
        </w:rPr>
        <w:t>גלאור</w:t>
      </w:r>
      <w:proofErr w:type="spellEnd"/>
      <w:r w:rsidRPr="009F6A15">
        <w:rPr>
          <w:rFonts w:ascii="David" w:hAnsi="David" w:cs="David"/>
          <w:sz w:val="24"/>
          <w:szCs w:val="24"/>
          <w:rtl/>
        </w:rPr>
        <w:t>).</w:t>
      </w:r>
      <w:r w:rsidRPr="009F6A15">
        <w:rPr>
          <w:rFonts w:ascii="David" w:hAnsi="David" w:cs="David" w:hint="cs"/>
          <w:sz w:val="24"/>
          <w:szCs w:val="24"/>
          <w:rtl/>
        </w:rPr>
        <w:t xml:space="preserve"> ביה"ד המשמעתי של לשכת עורכי הדין הקיש מפסקי דין אלו העוסקים בהליך משמעתי של עובדי מדינה </w:t>
      </w:r>
      <w:r w:rsidRPr="009F6A15">
        <w:rPr>
          <w:rFonts w:ascii="David" w:hAnsi="David" w:cs="David"/>
          <w:sz w:val="24"/>
          <w:szCs w:val="24"/>
          <w:rtl/>
        </w:rPr>
        <w:t>–</w:t>
      </w:r>
      <w:r w:rsidRPr="009F6A15">
        <w:rPr>
          <w:rFonts w:ascii="David" w:hAnsi="David" w:cs="David" w:hint="cs"/>
          <w:sz w:val="24"/>
          <w:szCs w:val="24"/>
          <w:rtl/>
        </w:rPr>
        <w:t xml:space="preserve"> אל דרגת ההוכחה הנדרשת בהליכים משפטיים של עורכי דין. </w:t>
      </w:r>
      <w:proofErr w:type="spellStart"/>
      <w:r w:rsidRPr="009F6A15">
        <w:rPr>
          <w:rFonts w:ascii="David" w:hAnsi="David" w:cs="David" w:hint="cs"/>
          <w:sz w:val="24"/>
          <w:szCs w:val="24"/>
          <w:highlight w:val="green"/>
          <w:rtl/>
        </w:rPr>
        <w:t>בעל"ע</w:t>
      </w:r>
      <w:proofErr w:type="spellEnd"/>
      <w:r w:rsidRPr="009F6A15">
        <w:rPr>
          <w:rFonts w:ascii="David" w:hAnsi="David" w:cs="David" w:hint="cs"/>
          <w:sz w:val="24"/>
          <w:szCs w:val="24"/>
          <w:highlight w:val="green"/>
          <w:rtl/>
        </w:rPr>
        <w:t xml:space="preserve"> 2/70</w:t>
      </w:r>
      <w:r w:rsidRPr="009F6A15">
        <w:rPr>
          <w:rFonts w:ascii="David" w:hAnsi="David" w:cs="David" w:hint="cs"/>
          <w:sz w:val="24"/>
          <w:szCs w:val="24"/>
          <w:rtl/>
        </w:rPr>
        <w:t xml:space="preserve"> </w:t>
      </w:r>
      <w:proofErr w:type="spellStart"/>
      <w:r w:rsidRPr="009F6A15">
        <w:rPr>
          <w:rFonts w:ascii="David" w:hAnsi="David" w:cs="David" w:hint="cs"/>
          <w:sz w:val="24"/>
          <w:szCs w:val="24"/>
          <w:highlight w:val="green"/>
          <w:rtl/>
        </w:rPr>
        <w:t>ועל"ע</w:t>
      </w:r>
      <w:proofErr w:type="spellEnd"/>
      <w:r w:rsidRPr="009F6A15">
        <w:rPr>
          <w:rFonts w:ascii="David" w:hAnsi="David" w:cs="David" w:hint="cs"/>
          <w:sz w:val="24"/>
          <w:szCs w:val="24"/>
          <w:highlight w:val="green"/>
          <w:rtl/>
        </w:rPr>
        <w:t xml:space="preserve"> 8/81</w:t>
      </w:r>
      <w:r w:rsidRPr="009F6A15">
        <w:rPr>
          <w:rFonts w:ascii="David" w:hAnsi="David" w:cs="David" w:hint="cs"/>
          <w:sz w:val="24"/>
          <w:szCs w:val="24"/>
          <w:rtl/>
        </w:rPr>
        <w:t xml:space="preserve"> נקבע כי דרגת ההוכחה הנדרשת בהליכים משפטיים בלשכת עורכי הדין אינה זהה לדרגת ההוכחה הנדרשת בהליך הפלילי. </w:t>
      </w:r>
      <w:r w:rsidRPr="009F6A15">
        <w:rPr>
          <w:rFonts w:ascii="David" w:hAnsi="David" w:cs="David"/>
          <w:sz w:val="24"/>
          <w:szCs w:val="24"/>
          <w:rtl/>
        </w:rPr>
        <w:t xml:space="preserve">כשהשאלה מגיעה לבית הדין המשמעתי של לשכת עורכי הדין לדיון, </w:t>
      </w:r>
      <w:proofErr w:type="spellStart"/>
      <w:r w:rsidRPr="009F6A15">
        <w:rPr>
          <w:rFonts w:ascii="David" w:hAnsi="David" w:cs="David"/>
          <w:sz w:val="24"/>
          <w:szCs w:val="24"/>
          <w:rtl/>
        </w:rPr>
        <w:t>ב</w:t>
      </w:r>
      <w:r w:rsidRPr="009F6A15">
        <w:rPr>
          <w:rFonts w:ascii="David" w:hAnsi="David" w:cs="David"/>
          <w:sz w:val="24"/>
          <w:szCs w:val="24"/>
          <w:highlight w:val="green"/>
          <w:rtl/>
        </w:rPr>
        <w:t>בד"מ</w:t>
      </w:r>
      <w:proofErr w:type="spellEnd"/>
      <w:r w:rsidRPr="009F6A15">
        <w:rPr>
          <w:rFonts w:ascii="David" w:hAnsi="David" w:cs="David"/>
          <w:sz w:val="24"/>
          <w:szCs w:val="24"/>
          <w:highlight w:val="green"/>
          <w:rtl/>
        </w:rPr>
        <w:t xml:space="preserve"> 59/00 הוועד המחוזי נ' </w:t>
      </w:r>
      <w:proofErr w:type="spellStart"/>
      <w:r w:rsidRPr="009F6A15">
        <w:rPr>
          <w:rFonts w:ascii="David" w:hAnsi="David" w:cs="David"/>
          <w:sz w:val="24"/>
          <w:szCs w:val="24"/>
          <w:highlight w:val="green"/>
          <w:rtl/>
        </w:rPr>
        <w:t>ר.ג</w:t>
      </w:r>
      <w:proofErr w:type="spellEnd"/>
      <w:r w:rsidRPr="009F6A15">
        <w:rPr>
          <w:rFonts w:ascii="David" w:hAnsi="David" w:cs="David"/>
          <w:sz w:val="24"/>
          <w:szCs w:val="24"/>
          <w:highlight w:val="green"/>
          <w:rtl/>
        </w:rPr>
        <w:t>.</w:t>
      </w:r>
      <w:r w:rsidRPr="009F6A15">
        <w:rPr>
          <w:rFonts w:ascii="David" w:hAnsi="David" w:cs="David"/>
          <w:sz w:val="24"/>
          <w:szCs w:val="24"/>
          <w:rtl/>
        </w:rPr>
        <w:t xml:space="preserve"> סבר הדיין מנחם קליין שיש לאמץ את הגישה של השופט לוין כך שדרגת ההוכחה הנדרשת גבוהה מזו הנדרשת בהליך אזרחי, אך גם לא מגיעה כדי מעל לספק סביר. על פסק דין זה הוגש ערעור לבית הדין הארצי, </w:t>
      </w:r>
      <w:proofErr w:type="spellStart"/>
      <w:r w:rsidRPr="009F6A15">
        <w:rPr>
          <w:rFonts w:ascii="David" w:hAnsi="David" w:cs="David"/>
          <w:sz w:val="24"/>
          <w:szCs w:val="24"/>
          <w:rtl/>
        </w:rPr>
        <w:t>ב</w:t>
      </w:r>
      <w:r w:rsidRPr="009F6A15">
        <w:rPr>
          <w:rFonts w:ascii="David" w:hAnsi="David" w:cs="David"/>
          <w:sz w:val="24"/>
          <w:szCs w:val="24"/>
          <w:highlight w:val="green"/>
          <w:rtl/>
        </w:rPr>
        <w:t>בד"מ</w:t>
      </w:r>
      <w:proofErr w:type="spellEnd"/>
      <w:r w:rsidRPr="009F6A15">
        <w:rPr>
          <w:rFonts w:ascii="David" w:hAnsi="David" w:cs="David"/>
          <w:sz w:val="24"/>
          <w:szCs w:val="24"/>
          <w:highlight w:val="green"/>
          <w:rtl/>
        </w:rPr>
        <w:t xml:space="preserve"> 129/01 </w:t>
      </w:r>
      <w:proofErr w:type="spellStart"/>
      <w:r w:rsidRPr="009F6A15">
        <w:rPr>
          <w:rFonts w:ascii="David" w:hAnsi="David" w:cs="David"/>
          <w:sz w:val="24"/>
          <w:szCs w:val="24"/>
          <w:highlight w:val="green"/>
          <w:rtl/>
        </w:rPr>
        <w:t>ר.ג</w:t>
      </w:r>
      <w:proofErr w:type="spellEnd"/>
      <w:r w:rsidRPr="009F6A15">
        <w:rPr>
          <w:rFonts w:ascii="David" w:hAnsi="David" w:cs="David"/>
          <w:sz w:val="24"/>
          <w:szCs w:val="24"/>
          <w:highlight w:val="green"/>
          <w:rtl/>
        </w:rPr>
        <w:t>. נ' הוועד המחוזי</w:t>
      </w:r>
      <w:r w:rsidRPr="009F6A15">
        <w:rPr>
          <w:rFonts w:ascii="David" w:hAnsi="David" w:cs="David"/>
          <w:sz w:val="24"/>
          <w:szCs w:val="24"/>
          <w:rtl/>
        </w:rPr>
        <w:t xml:space="preserve">, שם נקבע כי גישתו של שמגר היא הנכונה ולכן </w:t>
      </w:r>
      <w:r w:rsidRPr="009F6A15">
        <w:rPr>
          <w:rFonts w:ascii="David" w:hAnsi="David" w:cs="David"/>
          <w:sz w:val="24"/>
          <w:szCs w:val="24"/>
          <w:highlight w:val="yellow"/>
          <w:rtl/>
        </w:rPr>
        <w:t>נדרשת רמת הוכחה מעבר לספק סביר</w:t>
      </w:r>
      <w:r w:rsidRPr="009F6A15">
        <w:rPr>
          <w:rFonts w:ascii="David" w:hAnsi="David" w:cs="David"/>
          <w:sz w:val="24"/>
          <w:szCs w:val="24"/>
          <w:rtl/>
        </w:rPr>
        <w:t xml:space="preserve">. </w:t>
      </w:r>
      <w:r w:rsidRPr="009F6A15">
        <w:rPr>
          <w:rFonts w:ascii="David" w:hAnsi="David" w:cs="David" w:hint="cs"/>
          <w:sz w:val="24"/>
          <w:szCs w:val="24"/>
          <w:rtl/>
        </w:rPr>
        <w:t xml:space="preserve">הסיבה היא בכך שעובדי מדינה אם יסולקו מתפקידם יוכלו להשתמש בכישורם ולעבוד בתפקידים אחרים ובמקומות אחרים, אבל עורכי דין אם יושעו מתפקידם לצמיתות לא יוכלו לשמש עוד כעורכי דין כלל מה שמוביל לפגיעה קשה בחופש העיסוק של אותם עורכי דין. </w:t>
      </w:r>
      <w:proofErr w:type="spellStart"/>
      <w:r w:rsidRPr="009F6A15">
        <w:rPr>
          <w:rFonts w:ascii="David" w:hAnsi="David" w:cs="David"/>
          <w:sz w:val="24"/>
          <w:szCs w:val="24"/>
          <w:rtl/>
        </w:rPr>
        <w:t>ב</w:t>
      </w:r>
      <w:r w:rsidRPr="009F6A15">
        <w:rPr>
          <w:rFonts w:ascii="David" w:hAnsi="David" w:cs="David"/>
          <w:sz w:val="24"/>
          <w:szCs w:val="24"/>
          <w:highlight w:val="green"/>
          <w:rtl/>
        </w:rPr>
        <w:t>על"ע</w:t>
      </w:r>
      <w:proofErr w:type="spellEnd"/>
      <w:r w:rsidRPr="009F6A15">
        <w:rPr>
          <w:rFonts w:ascii="David" w:hAnsi="David" w:cs="David"/>
          <w:sz w:val="24"/>
          <w:szCs w:val="24"/>
          <w:highlight w:val="green"/>
          <w:rtl/>
        </w:rPr>
        <w:t xml:space="preserve"> 10982/04 עו"ד רוני </w:t>
      </w:r>
      <w:proofErr w:type="spellStart"/>
      <w:r w:rsidRPr="009F6A15">
        <w:rPr>
          <w:rFonts w:ascii="David" w:hAnsi="David" w:cs="David"/>
          <w:sz w:val="24"/>
          <w:szCs w:val="24"/>
          <w:highlight w:val="green"/>
          <w:rtl/>
        </w:rPr>
        <w:t>גורסקי</w:t>
      </w:r>
      <w:proofErr w:type="spellEnd"/>
      <w:r w:rsidRPr="009F6A15">
        <w:rPr>
          <w:rFonts w:ascii="David" w:hAnsi="David" w:cs="David"/>
          <w:sz w:val="24"/>
          <w:szCs w:val="24"/>
          <w:highlight w:val="green"/>
          <w:rtl/>
        </w:rPr>
        <w:t xml:space="preserve"> נ' הוועד המחוזי</w:t>
      </w:r>
      <w:r w:rsidRPr="009F6A15">
        <w:rPr>
          <w:rFonts w:ascii="David" w:hAnsi="David" w:cs="David"/>
          <w:sz w:val="24"/>
          <w:szCs w:val="24"/>
          <w:rtl/>
        </w:rPr>
        <w:t xml:space="preserve">, בפסיקה של בית המשפט העליון, נמנע השופט אדמונד לוי מלהכריע ואמר כי מה שקבע בית הדין הארצי יישאר בתוקפו. </w:t>
      </w:r>
    </w:p>
    <w:p w14:paraId="332D27A6" w14:textId="77777777" w:rsidR="009F6A15" w:rsidRPr="009F6A15" w:rsidRDefault="009F6A15" w:rsidP="009F6A15">
      <w:pPr>
        <w:spacing w:after="120" w:line="360" w:lineRule="auto"/>
        <w:rPr>
          <w:rFonts w:ascii="David" w:hAnsi="David" w:cs="David"/>
          <w:b/>
          <w:bCs/>
          <w:sz w:val="24"/>
          <w:szCs w:val="24"/>
        </w:rPr>
      </w:pPr>
    </w:p>
    <w:p w14:paraId="2CF93AC7" w14:textId="77777777" w:rsidR="00E47488" w:rsidRDefault="00E47488" w:rsidP="007E7940">
      <w:pPr>
        <w:spacing w:after="120" w:line="360" w:lineRule="auto"/>
        <w:ind w:left="-483"/>
        <w:rPr>
          <w:rFonts w:ascii="David" w:hAnsi="David" w:cs="David"/>
          <w:b/>
          <w:bCs/>
          <w:sz w:val="24"/>
          <w:szCs w:val="24"/>
          <w:u w:val="single"/>
          <w:rtl/>
        </w:rPr>
      </w:pPr>
    </w:p>
    <w:p w14:paraId="6656D8B4" w14:textId="726F255C" w:rsidR="0050547A" w:rsidRPr="00DA4D84" w:rsidRDefault="00DA4D84" w:rsidP="007E7940">
      <w:pPr>
        <w:spacing w:after="120" w:line="360" w:lineRule="auto"/>
        <w:ind w:left="-483"/>
        <w:rPr>
          <w:rFonts w:ascii="David" w:hAnsi="David" w:cs="David"/>
          <w:b/>
          <w:bCs/>
          <w:sz w:val="24"/>
          <w:szCs w:val="24"/>
          <w:u w:val="single"/>
          <w:rtl/>
        </w:rPr>
      </w:pPr>
      <w:r w:rsidRPr="00DA4D84">
        <w:rPr>
          <w:rFonts w:ascii="David" w:hAnsi="David" w:cs="David" w:hint="cs"/>
          <w:b/>
          <w:bCs/>
          <w:sz w:val="24"/>
          <w:szCs w:val="24"/>
          <w:u w:val="single"/>
          <w:rtl/>
        </w:rPr>
        <w:lastRenderedPageBreak/>
        <w:t>שיעור 11, 03.01.2021</w:t>
      </w:r>
    </w:p>
    <w:p w14:paraId="2CC46395" w14:textId="77777777" w:rsidR="00DA4D84" w:rsidRDefault="007E7940" w:rsidP="000F6D09">
      <w:pPr>
        <w:spacing w:after="120" w:line="360" w:lineRule="auto"/>
        <w:jc w:val="center"/>
        <w:rPr>
          <w:rFonts w:ascii="David" w:hAnsi="David" w:cs="David"/>
          <w:b/>
          <w:bCs/>
          <w:color w:val="FFC000" w:themeColor="accent4"/>
          <w:sz w:val="24"/>
          <w:szCs w:val="24"/>
          <w:u w:val="single"/>
          <w:rtl/>
        </w:rPr>
      </w:pPr>
      <w:r>
        <w:rPr>
          <w:rFonts w:ascii="David" w:hAnsi="David" w:cs="David" w:hint="cs"/>
          <w:b/>
          <w:bCs/>
          <w:color w:val="FFC000" w:themeColor="accent4"/>
          <w:sz w:val="24"/>
          <w:szCs w:val="24"/>
          <w:u w:val="single"/>
          <w:rtl/>
        </w:rPr>
        <w:t xml:space="preserve">נושא 12 לסילבוס: </w:t>
      </w:r>
      <w:r w:rsidR="00DA4D84" w:rsidRPr="000F6D09">
        <w:rPr>
          <w:rFonts w:ascii="David" w:hAnsi="David" w:cs="David" w:hint="cs"/>
          <w:b/>
          <w:bCs/>
          <w:color w:val="FFC000" w:themeColor="accent4"/>
          <w:sz w:val="24"/>
          <w:szCs w:val="24"/>
          <w:u w:val="single"/>
          <w:rtl/>
        </w:rPr>
        <w:t>הפליליזציה של ההליך המשמעתי</w:t>
      </w:r>
    </w:p>
    <w:p w14:paraId="052D1E14" w14:textId="77777777" w:rsidR="000F6D09" w:rsidRPr="00DE7A75" w:rsidRDefault="00703708" w:rsidP="007E7940">
      <w:pPr>
        <w:pStyle w:val="a4"/>
        <w:numPr>
          <w:ilvl w:val="0"/>
          <w:numId w:val="39"/>
        </w:numPr>
        <w:spacing w:after="120" w:line="360" w:lineRule="auto"/>
        <w:ind w:left="-483"/>
        <w:rPr>
          <w:rFonts w:ascii="David" w:hAnsi="David" w:cs="David"/>
          <w:b/>
          <w:bCs/>
          <w:sz w:val="24"/>
          <w:szCs w:val="24"/>
          <w:u w:val="single"/>
        </w:rPr>
      </w:pPr>
      <w:r w:rsidRPr="00DE7A75">
        <w:rPr>
          <w:rFonts w:ascii="David" w:hAnsi="David" w:cs="David" w:hint="cs"/>
          <w:b/>
          <w:bCs/>
          <w:sz w:val="24"/>
          <w:szCs w:val="24"/>
          <w:u w:val="single"/>
          <w:rtl/>
        </w:rPr>
        <w:t>תהליך הפליליזציה ומקורה</w:t>
      </w:r>
    </w:p>
    <w:p w14:paraId="2EE79BAA" w14:textId="77777777" w:rsidR="00703708" w:rsidRPr="00DE7A75" w:rsidRDefault="00703708" w:rsidP="007E7940">
      <w:pPr>
        <w:pStyle w:val="a4"/>
        <w:spacing w:after="120" w:line="360" w:lineRule="auto"/>
        <w:ind w:left="-483"/>
        <w:jc w:val="both"/>
        <w:rPr>
          <w:rFonts w:ascii="David" w:hAnsi="David" w:cs="David"/>
          <w:sz w:val="24"/>
          <w:szCs w:val="24"/>
          <w:rtl/>
        </w:rPr>
      </w:pPr>
      <w:r w:rsidRPr="00DE7A75">
        <w:rPr>
          <w:rFonts w:ascii="David" w:hAnsi="David" w:cs="David" w:hint="cs"/>
          <w:sz w:val="24"/>
          <w:szCs w:val="24"/>
          <w:rtl/>
        </w:rPr>
        <w:t>בתחילת הסמסטר ראינו שמקובל לחלק את הסכסוכים המשפטיים שמגיעים לבתי משפט לשלושה: פלילי אזרחי ו</w:t>
      </w:r>
      <w:r w:rsidR="005A6930" w:rsidRPr="00DE7A75">
        <w:rPr>
          <w:rFonts w:ascii="David" w:hAnsi="David" w:cs="David" w:hint="cs"/>
          <w:sz w:val="24"/>
          <w:szCs w:val="24"/>
          <w:rtl/>
        </w:rPr>
        <w:t xml:space="preserve">ציבורי (מנהלי חוקתי). כמובן שיש נקודות נושקות ביניהם: למשל בין ההליך הפלילי לאזרחי. השאלה שנשאלה הייתה היכן נמקם את הדין המשמעתי. ואכן, פס"ד </w:t>
      </w:r>
      <w:proofErr w:type="spellStart"/>
      <w:r w:rsidR="005A6930" w:rsidRPr="00DE7A75">
        <w:rPr>
          <w:rFonts w:ascii="David" w:hAnsi="David" w:cs="David" w:hint="cs"/>
          <w:sz w:val="24"/>
          <w:szCs w:val="24"/>
          <w:rtl/>
        </w:rPr>
        <w:t>צימוקין</w:t>
      </w:r>
      <w:proofErr w:type="spellEnd"/>
      <w:r w:rsidR="005A6930" w:rsidRPr="00DE7A75">
        <w:rPr>
          <w:rFonts w:ascii="David" w:hAnsi="David" w:cs="David" w:hint="cs"/>
          <w:sz w:val="24"/>
          <w:szCs w:val="24"/>
          <w:rtl/>
        </w:rPr>
        <w:t xml:space="preserve"> עסק בסוגיה בשנות החמישים. </w:t>
      </w:r>
    </w:p>
    <w:p w14:paraId="064B9DA8" w14:textId="77777777" w:rsidR="00DE7A75" w:rsidRDefault="00DE7A75" w:rsidP="007E7940">
      <w:pPr>
        <w:pStyle w:val="a4"/>
        <w:spacing w:after="120" w:line="360" w:lineRule="auto"/>
        <w:ind w:left="-483"/>
        <w:jc w:val="both"/>
        <w:rPr>
          <w:rFonts w:ascii="David" w:hAnsi="David" w:cs="David"/>
          <w:sz w:val="24"/>
          <w:szCs w:val="24"/>
          <w:rtl/>
        </w:rPr>
      </w:pPr>
      <w:r w:rsidRPr="00DE7A75">
        <w:rPr>
          <w:rFonts w:ascii="David" w:hAnsi="David" w:cs="David" w:hint="cs"/>
          <w:sz w:val="24"/>
          <w:szCs w:val="24"/>
          <w:rtl/>
        </w:rPr>
        <w:t xml:space="preserve">בשני העשורים האחרונים התגבשה תפיסה שהדין המשמעתי הוא ענף בדין הפלילי - מה שנקרא הפליליזציה בהליך המשמעתי. זה מה שעשוי לתת תשובה לשאלה למה מספר התלונות שמתקבלות הוא נמוך - הנטייה היא לזכות. </w:t>
      </w:r>
      <w:r>
        <w:rPr>
          <w:rFonts w:ascii="David" w:hAnsi="David" w:cs="David" w:hint="cs"/>
          <w:sz w:val="24"/>
          <w:szCs w:val="24"/>
          <w:rtl/>
        </w:rPr>
        <w:t xml:space="preserve">תהליך הפליליזציה תורך רבות להעצמת מעמד הנאשם מההליך - ככל שהוא מושפע </w:t>
      </w:r>
      <w:proofErr w:type="spellStart"/>
      <w:r>
        <w:rPr>
          <w:rFonts w:ascii="David" w:hAnsi="David" w:cs="David" w:hint="cs"/>
          <w:sz w:val="24"/>
          <w:szCs w:val="24"/>
          <w:rtl/>
        </w:rPr>
        <w:t>יודתר</w:t>
      </w:r>
      <w:proofErr w:type="spellEnd"/>
      <w:r>
        <w:rPr>
          <w:rFonts w:ascii="David" w:hAnsi="David" w:cs="David" w:hint="cs"/>
          <w:sz w:val="24"/>
          <w:szCs w:val="24"/>
          <w:rtl/>
        </w:rPr>
        <w:t xml:space="preserve"> מעקרונות ההליך הפלילי, כך מעמד הנאשם עדיף.</w:t>
      </w:r>
    </w:p>
    <w:p w14:paraId="1DEBE1CB" w14:textId="77777777" w:rsidR="00DE7A75" w:rsidRDefault="00DE7A75" w:rsidP="007E7940">
      <w:pPr>
        <w:pStyle w:val="a4"/>
        <w:numPr>
          <w:ilvl w:val="5"/>
          <w:numId w:val="33"/>
        </w:numPr>
        <w:spacing w:after="120" w:line="360" w:lineRule="auto"/>
        <w:ind w:left="-199"/>
        <w:jc w:val="both"/>
        <w:rPr>
          <w:rFonts w:ascii="David" w:hAnsi="David" w:cs="David"/>
          <w:sz w:val="24"/>
          <w:szCs w:val="24"/>
        </w:rPr>
      </w:pPr>
      <w:r w:rsidRPr="007E7940">
        <w:rPr>
          <w:rFonts w:ascii="David" w:hAnsi="David" w:cs="David" w:hint="cs"/>
          <w:b/>
          <w:bCs/>
          <w:sz w:val="24"/>
          <w:szCs w:val="24"/>
          <w:rtl/>
        </w:rPr>
        <w:t>צורנית -</w:t>
      </w:r>
      <w:r>
        <w:rPr>
          <w:rFonts w:ascii="David" w:hAnsi="David" w:cs="David" w:hint="cs"/>
          <w:sz w:val="24"/>
          <w:szCs w:val="24"/>
          <w:rtl/>
        </w:rPr>
        <w:t xml:space="preserve"> קובלנה משמעתית דומה הרבה יותר צורנית לכתב אישום מאשר לעתירה בציבורי או לכתב תביעה באזרחי. ראינו זאת גם בטבלה של נקודות ממשק צורניות בין ההליך המשמעתי להליך הפלילי. לדוגמא ראינו למשל שבהליך אזרחי בפסק הדין ייקבעו גם האחריות הנזיקית או החוזית וגם את גובה הפיצוי - לעומת הדין הפלילי בו מפצלים לעניי האשמה ולעניין העונש - וכך גם בהליכים משמעתיים. </w:t>
      </w:r>
    </w:p>
    <w:p w14:paraId="7D41DF37" w14:textId="77777777" w:rsidR="00DE7A75" w:rsidRDefault="00DE7A75" w:rsidP="007E7940">
      <w:pPr>
        <w:pStyle w:val="a4"/>
        <w:numPr>
          <w:ilvl w:val="5"/>
          <w:numId w:val="33"/>
        </w:numPr>
        <w:spacing w:after="120" w:line="360" w:lineRule="auto"/>
        <w:ind w:left="-199" w:hanging="357"/>
        <w:contextualSpacing w:val="0"/>
        <w:jc w:val="both"/>
        <w:rPr>
          <w:rFonts w:ascii="David" w:hAnsi="David" w:cs="David"/>
          <w:sz w:val="24"/>
          <w:szCs w:val="24"/>
        </w:rPr>
      </w:pPr>
      <w:r w:rsidRPr="007E7940">
        <w:rPr>
          <w:rFonts w:ascii="David" w:hAnsi="David" w:cs="David" w:hint="cs"/>
          <w:b/>
          <w:bCs/>
          <w:sz w:val="24"/>
          <w:szCs w:val="24"/>
          <w:rtl/>
        </w:rPr>
        <w:t>העצמת מעמד הנאשם -</w:t>
      </w:r>
      <w:r>
        <w:rPr>
          <w:rFonts w:ascii="David" w:hAnsi="David" w:cs="David" w:hint="cs"/>
          <w:sz w:val="24"/>
          <w:szCs w:val="24"/>
          <w:rtl/>
        </w:rPr>
        <w:t xml:space="preserve"> הכרה בזכויות:</w:t>
      </w:r>
    </w:p>
    <w:p w14:paraId="631D4334" w14:textId="77777777" w:rsidR="00DE7A75" w:rsidRDefault="00DE7A75" w:rsidP="007E7940">
      <w:pPr>
        <w:pStyle w:val="a4"/>
        <w:numPr>
          <w:ilvl w:val="6"/>
          <w:numId w:val="33"/>
        </w:numPr>
        <w:spacing w:after="120" w:line="360" w:lineRule="auto"/>
        <w:ind w:left="-58" w:hanging="357"/>
        <w:contextualSpacing w:val="0"/>
        <w:jc w:val="both"/>
        <w:rPr>
          <w:rFonts w:ascii="David" w:hAnsi="David" w:cs="David"/>
          <w:sz w:val="24"/>
          <w:szCs w:val="24"/>
        </w:rPr>
      </w:pPr>
      <w:r w:rsidRPr="00DE7A75">
        <w:rPr>
          <w:rFonts w:ascii="David" w:hAnsi="David" w:cs="David" w:hint="cs"/>
          <w:b/>
          <w:bCs/>
          <w:sz w:val="24"/>
          <w:szCs w:val="24"/>
          <w:rtl/>
        </w:rPr>
        <w:t>הכרה בזכות השתיקה של הנאשם -</w:t>
      </w:r>
      <w:r>
        <w:rPr>
          <w:rFonts w:ascii="David" w:hAnsi="David" w:cs="David" w:hint="cs"/>
          <w:sz w:val="24"/>
          <w:szCs w:val="24"/>
          <w:rtl/>
        </w:rPr>
        <w:t xml:space="preserve"> שנים רבות היה מקובל שעליו היה להגיב על התלונות המוגשות נגדו ולא הייתה לו זכות שתיקה. יתירה מכך, עוד שלא הגיב לטענות הלשכה שלא השיב -  עצם אי מתן התגובה היווה עבירה אתית. ההלכה הזו הלכה ונשחקה ועם השנים בתי הדין המשמעתיים אמרו שייתכן שלפנייה הראשונה של הלשכה יש להגיב, אבל עם זאת זה לא אומר שאסור לו לשתוק בהמשך. בד"א 68/00). </w:t>
      </w:r>
    </w:p>
    <w:p w14:paraId="74A81667" w14:textId="77777777" w:rsidR="00DE7A75" w:rsidRDefault="00F266EB" w:rsidP="007E7940">
      <w:pPr>
        <w:pStyle w:val="a4"/>
        <w:numPr>
          <w:ilvl w:val="6"/>
          <w:numId w:val="33"/>
        </w:numPr>
        <w:spacing w:after="120" w:line="360" w:lineRule="auto"/>
        <w:ind w:left="-58" w:hanging="357"/>
        <w:contextualSpacing w:val="0"/>
        <w:jc w:val="both"/>
        <w:rPr>
          <w:rFonts w:ascii="David" w:hAnsi="David" w:cs="David"/>
          <w:sz w:val="24"/>
          <w:szCs w:val="24"/>
        </w:rPr>
      </w:pPr>
      <w:r>
        <w:rPr>
          <w:rFonts w:ascii="David" w:hAnsi="David" w:cs="David" w:hint="cs"/>
          <w:sz w:val="24"/>
          <w:szCs w:val="24"/>
          <w:rtl/>
        </w:rPr>
        <w:t xml:space="preserve">עזות, בכרך, גלאון  - תפיסתו של דב לוין, שמגר וזמיר. שם זה נשאר בצריך עיון. </w:t>
      </w:r>
      <w:r>
        <w:rPr>
          <w:rFonts w:ascii="David" w:hAnsi="David" w:cs="David" w:hint="cs"/>
          <w:b/>
          <w:bCs/>
          <w:sz w:val="24"/>
          <w:szCs w:val="24"/>
          <w:rtl/>
        </w:rPr>
        <w:t xml:space="preserve">החמרה בקשר למידת ההוכרחה הנדרשת לצורך הרשעה בהליך משמעתי - </w:t>
      </w:r>
      <w:r>
        <w:rPr>
          <w:rFonts w:ascii="David" w:hAnsi="David" w:cs="David" w:hint="cs"/>
          <w:sz w:val="24"/>
          <w:szCs w:val="24"/>
          <w:rtl/>
        </w:rPr>
        <w:t xml:space="preserve"> נקבע המבחן של שמגר - השוואת הרשעה בהליך משמעתי לדין משמעתי: מעל לכל ספק סביר. (השתלשלות הפסיקה המתוארת לעיל)</w:t>
      </w:r>
    </w:p>
    <w:p w14:paraId="6F705890" w14:textId="77777777" w:rsidR="00F266EB" w:rsidRDefault="00F266EB" w:rsidP="007E7940">
      <w:pPr>
        <w:pStyle w:val="a4"/>
        <w:numPr>
          <w:ilvl w:val="6"/>
          <w:numId w:val="33"/>
        </w:numPr>
        <w:spacing w:after="120" w:line="360" w:lineRule="auto"/>
        <w:ind w:left="-58" w:hanging="357"/>
        <w:contextualSpacing w:val="0"/>
        <w:jc w:val="both"/>
        <w:rPr>
          <w:rFonts w:ascii="David" w:hAnsi="David" w:cs="David"/>
          <w:sz w:val="24"/>
          <w:szCs w:val="24"/>
        </w:rPr>
      </w:pPr>
      <w:r w:rsidRPr="007E7940">
        <w:rPr>
          <w:rFonts w:ascii="David" w:hAnsi="David" w:cs="David" w:hint="cs"/>
          <w:b/>
          <w:bCs/>
          <w:sz w:val="24"/>
          <w:szCs w:val="24"/>
          <w:rtl/>
        </w:rPr>
        <w:t>קבלת טענת סיכון כפול -</w:t>
      </w:r>
      <w:r>
        <w:rPr>
          <w:rFonts w:ascii="David" w:hAnsi="David" w:cs="David" w:hint="cs"/>
          <w:sz w:val="24"/>
          <w:szCs w:val="24"/>
          <w:rtl/>
        </w:rPr>
        <w:t xml:space="preserve"> </w:t>
      </w:r>
      <w:r w:rsidR="007752E9">
        <w:rPr>
          <w:rFonts w:ascii="David" w:hAnsi="David" w:cs="David" w:hint="cs"/>
          <w:sz w:val="24"/>
          <w:szCs w:val="24"/>
          <w:rtl/>
        </w:rPr>
        <w:t xml:space="preserve">לא מדובר בסיכון שפול שנובע מכך שעל אותו מעשה או מחדל מעמידים הן בפני הליך פלילי והן לפי הליך משמעתי (ס' 80 לחוק לשכת עורכי הדין - אין טענת סיכון כפול כזה גם אם הוא זוכה בהליך פלילי, זה גם אמר פס"ד </w:t>
      </w:r>
      <w:proofErr w:type="spellStart"/>
      <w:r w:rsidR="007752E9">
        <w:rPr>
          <w:rFonts w:ascii="David" w:hAnsi="David" w:cs="David" w:hint="cs"/>
          <w:sz w:val="24"/>
          <w:szCs w:val="24"/>
          <w:rtl/>
        </w:rPr>
        <w:t>צימוקין</w:t>
      </w:r>
      <w:proofErr w:type="spellEnd"/>
      <w:r w:rsidR="007752E9">
        <w:rPr>
          <w:rFonts w:ascii="David" w:hAnsi="David" w:cs="David" w:hint="cs"/>
          <w:sz w:val="24"/>
          <w:szCs w:val="24"/>
          <w:rtl/>
        </w:rPr>
        <w:t xml:space="preserve">). אלא, טענת הסיכון הכפול נוגעת שעו"ד עמדה לדין משמעתי, הקובל חזר בו, ועכשיו הוא מעמיד אותו שוב בגין אותו מעשה. במשך השנים לא ראו בזה בעיה של סיכון כפול - כמו שאדם יכל להגיש תביעה אזרחית, למחוק אותה - הזכות לא פקעה, כך היה גם בהליכים משמעתיים - יכל להגיש תלונה לבטל אותה ולחזור ולהגיש תלונה נוספת. מאז המצב השתנה: </w:t>
      </w:r>
      <w:proofErr w:type="spellStart"/>
      <w:r w:rsidR="007752E9">
        <w:rPr>
          <w:rFonts w:ascii="David" w:hAnsi="David" w:cs="David" w:hint="cs"/>
          <w:sz w:val="24"/>
          <w:szCs w:val="24"/>
          <w:rtl/>
        </w:rPr>
        <w:t>בד"ע</w:t>
      </w:r>
      <w:proofErr w:type="spellEnd"/>
      <w:r w:rsidR="007752E9">
        <w:rPr>
          <w:rFonts w:ascii="David" w:hAnsi="David" w:cs="David" w:hint="cs"/>
          <w:sz w:val="24"/>
          <w:szCs w:val="24"/>
          <w:rtl/>
        </w:rPr>
        <w:t xml:space="preserve"> 53/95, וגם ב-86/01, שם קיבלו בהליכים המשמעתיים את המבחנים שנקבעו בהליכים הפליליים בקשר לסיכון כפול (ס' 5 לחסד"פ) ומשקפים את הפסיקה הפלילי: ע"פ </w:t>
      </w:r>
      <w:proofErr w:type="spellStart"/>
      <w:r w:rsidR="007752E9">
        <w:rPr>
          <w:rFonts w:ascii="David" w:hAnsi="David" w:cs="David" w:hint="cs"/>
          <w:sz w:val="24"/>
          <w:szCs w:val="24"/>
          <w:rtl/>
        </w:rPr>
        <w:t>מנינג</w:t>
      </w:r>
      <w:proofErr w:type="spellEnd"/>
      <w:r w:rsidR="007752E9">
        <w:rPr>
          <w:rFonts w:ascii="David" w:hAnsi="David" w:cs="David" w:hint="cs"/>
          <w:sz w:val="24"/>
          <w:szCs w:val="24"/>
          <w:rtl/>
        </w:rPr>
        <w:t xml:space="preserve"> נ' היועמ"ש. </w:t>
      </w:r>
    </w:p>
    <w:p w14:paraId="440282ED" w14:textId="77777777" w:rsidR="00CF2115" w:rsidRDefault="00CF2115" w:rsidP="007E7940">
      <w:pPr>
        <w:pStyle w:val="a4"/>
        <w:numPr>
          <w:ilvl w:val="6"/>
          <w:numId w:val="33"/>
        </w:numPr>
        <w:spacing w:after="120" w:line="360" w:lineRule="auto"/>
        <w:ind w:left="-58" w:hanging="357"/>
        <w:contextualSpacing w:val="0"/>
        <w:jc w:val="both"/>
        <w:rPr>
          <w:rFonts w:ascii="David" w:hAnsi="David" w:cs="David"/>
          <w:sz w:val="24"/>
          <w:szCs w:val="24"/>
        </w:rPr>
      </w:pPr>
      <w:r w:rsidRPr="007E7940">
        <w:rPr>
          <w:rFonts w:ascii="David" w:hAnsi="David" w:cs="David" w:hint="cs"/>
          <w:b/>
          <w:bCs/>
          <w:sz w:val="24"/>
          <w:szCs w:val="24"/>
          <w:rtl/>
        </w:rPr>
        <w:t>החמרה לעניין היסוד הנפשי הדרוש בהליכים משמעתיים</w:t>
      </w:r>
      <w:r>
        <w:rPr>
          <w:rFonts w:ascii="David" w:hAnsi="David" w:cs="David" w:hint="cs"/>
          <w:sz w:val="24"/>
          <w:szCs w:val="24"/>
          <w:rtl/>
        </w:rPr>
        <w:t xml:space="preserve"> -  הגישה בעבר הייתה שעבירות משמעת הן עבירות </w:t>
      </w:r>
      <w:proofErr w:type="spellStart"/>
      <w:r>
        <w:rPr>
          <w:rFonts w:ascii="David" w:hAnsi="David" w:cs="David" w:hint="cs"/>
          <w:sz w:val="24"/>
          <w:szCs w:val="24"/>
          <w:rtl/>
        </w:rPr>
        <w:t>תוצאתיות</w:t>
      </w:r>
      <w:proofErr w:type="spellEnd"/>
      <w:r>
        <w:rPr>
          <w:rFonts w:ascii="David" w:hAnsi="David" w:cs="David" w:hint="cs"/>
          <w:sz w:val="24"/>
          <w:szCs w:val="24"/>
          <w:rtl/>
        </w:rPr>
        <w:t xml:space="preserve"> - ומרגע שבוצעה העבירה, היה ניתן להפעיל הליכים משמעתיים.  התפיסה בעבר </w:t>
      </w:r>
      <w:proofErr w:type="spellStart"/>
      <w:r>
        <w:rPr>
          <w:rFonts w:ascii="David" w:hAnsi="David" w:cs="David" w:hint="cs"/>
          <w:sz w:val="24"/>
          <w:szCs w:val="24"/>
          <w:rtl/>
        </w:rPr>
        <w:t>ייתה</w:t>
      </w:r>
      <w:proofErr w:type="spellEnd"/>
      <w:r>
        <w:rPr>
          <w:rFonts w:ascii="David" w:hAnsi="David" w:cs="David" w:hint="cs"/>
          <w:sz w:val="24"/>
          <w:szCs w:val="24"/>
          <w:rtl/>
        </w:rPr>
        <w:t xml:space="preserve"> לעניין התוצאה. היום התפיסה השתנתה - בודקים את הסיבה, בודקים את המצב הנפשי </w:t>
      </w:r>
      <w:r>
        <w:rPr>
          <w:rFonts w:ascii="David" w:hAnsi="David" w:cs="David" w:hint="cs"/>
          <w:sz w:val="24"/>
          <w:szCs w:val="24"/>
          <w:rtl/>
        </w:rPr>
        <w:lastRenderedPageBreak/>
        <w:t>שלו. בשנות השישים לא הסתכלו על היסוד הנפשי - עצם זה שאתהה מבלבל בין דלת שירותים ללשכת שופט - רק על זה הוא צריך להיות מועמד לדין משמעתי - למשל. זו הייתה הגישה בעבר. (</w:t>
      </w:r>
      <w:proofErr w:type="spellStart"/>
      <w:r>
        <w:rPr>
          <w:rFonts w:ascii="David" w:hAnsi="David" w:cs="David" w:hint="cs"/>
          <w:sz w:val="24"/>
          <w:szCs w:val="24"/>
          <w:rtl/>
        </w:rPr>
        <w:t>בס"א</w:t>
      </w:r>
      <w:proofErr w:type="spellEnd"/>
      <w:r>
        <w:rPr>
          <w:rFonts w:ascii="David" w:hAnsi="David" w:cs="David" w:hint="cs"/>
          <w:sz w:val="24"/>
          <w:szCs w:val="24"/>
          <w:rtl/>
        </w:rPr>
        <w:t xml:space="preserve"> 38/96 והתחזק ב-26/97) שם נקבע שברוב עבירות המשמעת יש צורך בכוונת זדון לצורך הרשעה. ב-39/99 הוא זוכה כי לא הוכח היסוד הנפשי. כך, זו לא רק טענת הגנה, אלא היסוד הנפשי צריך להיות מוכח על ידי הקובל. </w:t>
      </w:r>
    </w:p>
    <w:p w14:paraId="2F658641" w14:textId="77777777" w:rsidR="00CF2115" w:rsidRDefault="00CF2115" w:rsidP="007E7940">
      <w:pPr>
        <w:pStyle w:val="a4"/>
        <w:numPr>
          <w:ilvl w:val="6"/>
          <w:numId w:val="33"/>
        </w:numPr>
        <w:spacing w:after="120" w:line="360" w:lineRule="auto"/>
        <w:ind w:left="-58" w:hanging="357"/>
        <w:contextualSpacing w:val="0"/>
        <w:jc w:val="both"/>
        <w:rPr>
          <w:rFonts w:ascii="David" w:hAnsi="David" w:cs="David"/>
          <w:sz w:val="24"/>
          <w:szCs w:val="24"/>
        </w:rPr>
      </w:pPr>
      <w:r w:rsidRPr="007E7940">
        <w:rPr>
          <w:rFonts w:ascii="David" w:hAnsi="David" w:cs="David" w:hint="cs"/>
          <w:b/>
          <w:bCs/>
          <w:sz w:val="24"/>
          <w:szCs w:val="24"/>
          <w:rtl/>
        </w:rPr>
        <w:t>פרשנות חוק בצורה דווקנית</w:t>
      </w:r>
      <w:r>
        <w:rPr>
          <w:rFonts w:ascii="David" w:hAnsi="David" w:cs="David" w:hint="cs"/>
          <w:sz w:val="24"/>
          <w:szCs w:val="24"/>
          <w:rtl/>
        </w:rPr>
        <w:t xml:space="preserve"> - לרוב אומרים שאם חוק ניתן לפרש בשני מובנים, נעדיף פרשנות דווקנית שתיטיב עם הנאשם - כך בחוק העונשין. בעבר, בשנים </w:t>
      </w:r>
      <w:proofErr w:type="spellStart"/>
      <w:r>
        <w:rPr>
          <w:rFonts w:ascii="David" w:hAnsi="David" w:cs="David" w:hint="cs"/>
          <w:sz w:val="24"/>
          <w:szCs w:val="24"/>
          <w:rtl/>
        </w:rPr>
        <w:t>הראשונותש</w:t>
      </w:r>
      <w:proofErr w:type="spellEnd"/>
      <w:r>
        <w:rPr>
          <w:rFonts w:ascii="David" w:hAnsi="David" w:cs="David" w:hint="cs"/>
          <w:sz w:val="24"/>
          <w:szCs w:val="24"/>
          <w:rtl/>
        </w:rPr>
        <w:t xml:space="preserve"> ל המדינה ביתה דין המשמעתי לא החיל את הכלל הזה על כללי אתיקה ועבירות משמעת. הגישה השתנתה </w:t>
      </w:r>
      <w:proofErr w:type="spellStart"/>
      <w:r>
        <w:rPr>
          <w:rFonts w:ascii="David" w:hAnsi="David" w:cs="David" w:hint="cs"/>
          <w:sz w:val="24"/>
          <w:szCs w:val="24"/>
          <w:rtl/>
        </w:rPr>
        <w:t>בבד"א</w:t>
      </w:r>
      <w:proofErr w:type="spellEnd"/>
      <w:r>
        <w:rPr>
          <w:rFonts w:ascii="David" w:hAnsi="David" w:cs="David" w:hint="cs"/>
          <w:sz w:val="24"/>
          <w:szCs w:val="24"/>
          <w:rtl/>
        </w:rPr>
        <w:t xml:space="preserve"> 77/88, </w:t>
      </w:r>
      <w:proofErr w:type="spellStart"/>
      <w:r>
        <w:rPr>
          <w:rFonts w:ascii="David" w:hAnsi="David" w:cs="David" w:hint="cs"/>
          <w:sz w:val="24"/>
          <w:szCs w:val="24"/>
          <w:rtl/>
        </w:rPr>
        <w:t>ובבד"ם</w:t>
      </w:r>
      <w:proofErr w:type="spellEnd"/>
      <w:r>
        <w:rPr>
          <w:rFonts w:ascii="David" w:hAnsi="David" w:cs="David" w:hint="cs"/>
          <w:sz w:val="24"/>
          <w:szCs w:val="24"/>
          <w:rtl/>
        </w:rPr>
        <w:t xml:space="preserve"> 15/00 - באלה נקבע שבגלל שהשיפוט המשמעתי הוא מעין פלילי, אין לפרש את החוק באופן שיהיה בו משום פגיעה בזכויות ה נאשם בדיון הוגן, </w:t>
      </w:r>
      <w:proofErr w:type="spellStart"/>
      <w:r>
        <w:rPr>
          <w:rFonts w:ascii="David" w:hAnsi="David" w:cs="David" w:hint="cs"/>
          <w:sz w:val="24"/>
          <w:szCs w:val="24"/>
          <w:rtl/>
        </w:rPr>
        <w:t>לכ</w:t>
      </w:r>
      <w:proofErr w:type="spellEnd"/>
      <w:r w:rsidR="00082017">
        <w:rPr>
          <w:rFonts w:ascii="David" w:hAnsi="David" w:cs="David" w:hint="cs"/>
          <w:sz w:val="24"/>
          <w:szCs w:val="24"/>
          <w:rtl/>
        </w:rPr>
        <w:t xml:space="preserve"> ן </w:t>
      </w:r>
      <w:r>
        <w:rPr>
          <w:rFonts w:ascii="David" w:hAnsi="David" w:cs="David" w:hint="cs"/>
          <w:sz w:val="24"/>
          <w:szCs w:val="24"/>
          <w:rtl/>
        </w:rPr>
        <w:t xml:space="preserve">הפרשנות תהיה מצמצמת ודווקנית. אפילו הלשון היא של הליך מעין פלילי. </w:t>
      </w:r>
    </w:p>
    <w:p w14:paraId="64DC4261" w14:textId="77777777" w:rsidR="00082017" w:rsidRDefault="00082017" w:rsidP="007E7940">
      <w:pPr>
        <w:pStyle w:val="a4"/>
        <w:numPr>
          <w:ilvl w:val="6"/>
          <w:numId w:val="33"/>
        </w:numPr>
        <w:spacing w:after="120" w:line="360" w:lineRule="auto"/>
        <w:ind w:left="-58" w:hanging="357"/>
        <w:contextualSpacing w:val="0"/>
        <w:jc w:val="both"/>
        <w:rPr>
          <w:rFonts w:ascii="David" w:hAnsi="David" w:cs="David"/>
          <w:sz w:val="24"/>
          <w:szCs w:val="24"/>
        </w:rPr>
      </w:pPr>
      <w:r w:rsidRPr="007E7940">
        <w:rPr>
          <w:rFonts w:ascii="David" w:hAnsi="David" w:cs="David" w:hint="cs"/>
          <w:b/>
          <w:bCs/>
          <w:sz w:val="24"/>
          <w:szCs w:val="24"/>
          <w:rtl/>
        </w:rPr>
        <w:t>הכרה ביכולת הנאשם לחזור מהודאה גם לאחר הכרעת הדין</w:t>
      </w:r>
      <w:r w:rsidR="00571C09">
        <w:rPr>
          <w:rFonts w:ascii="David" w:hAnsi="David" w:cs="David" w:hint="cs"/>
          <w:sz w:val="24"/>
          <w:szCs w:val="24"/>
          <w:rtl/>
        </w:rPr>
        <w:t xml:space="preserve"> - השינוי ב</w:t>
      </w:r>
      <w:r w:rsidR="00571C09">
        <w:rPr>
          <w:rFonts w:ascii="David" w:hAnsi="David" w:cs="David" w:hint="cs"/>
          <w:sz w:val="24"/>
          <w:szCs w:val="24"/>
        </w:rPr>
        <w:t>S</w:t>
      </w:r>
      <w:r w:rsidR="00571C09">
        <w:rPr>
          <w:rFonts w:ascii="David" w:hAnsi="David" w:cs="David" w:hint="cs"/>
          <w:sz w:val="24"/>
          <w:szCs w:val="24"/>
          <w:rtl/>
        </w:rPr>
        <w:t xml:space="preserve">"א 23/95 - בית הדין המשמעתי יצא מנקודת הנחה שאם לפי </w:t>
      </w:r>
      <w:proofErr w:type="spellStart"/>
      <w:r w:rsidR="00571C09">
        <w:rPr>
          <w:rFonts w:ascii="David" w:hAnsi="David" w:cs="David" w:hint="cs"/>
          <w:sz w:val="24"/>
          <w:szCs w:val="24"/>
          <w:rtl/>
        </w:rPr>
        <w:t>החסד"פ</w:t>
      </w:r>
      <w:proofErr w:type="spellEnd"/>
      <w:r w:rsidR="00571C09">
        <w:rPr>
          <w:rFonts w:ascii="David" w:hAnsi="David" w:cs="David" w:hint="cs"/>
          <w:sz w:val="24"/>
          <w:szCs w:val="24"/>
          <w:rtl/>
        </w:rPr>
        <w:t xml:space="preserve"> יש לאפשר לנאשם (153) לחזור בו בכל שלב, בית הדין פסק שהודאת נאשם בטלה עקב טעות גם. אם בהליך </w:t>
      </w:r>
      <w:proofErr w:type="spellStart"/>
      <w:r w:rsidR="00571C09">
        <w:rPr>
          <w:rFonts w:ascii="David" w:hAnsi="David" w:cs="David" w:hint="cs"/>
          <w:sz w:val="24"/>
          <w:szCs w:val="24"/>
          <w:rtl/>
        </w:rPr>
        <w:t>פהלילי</w:t>
      </w:r>
      <w:proofErr w:type="spellEnd"/>
      <w:r w:rsidR="00571C09">
        <w:rPr>
          <w:rFonts w:ascii="David" w:hAnsi="David" w:cs="David" w:hint="cs"/>
          <w:sz w:val="24"/>
          <w:szCs w:val="24"/>
          <w:rtl/>
        </w:rPr>
        <w:t xml:space="preserve"> יכול לחזור בו מהודאתו בכל שלבי המשפט, אז גם בהליכים משמעתיים יהיה כך</w:t>
      </w:r>
    </w:p>
    <w:p w14:paraId="70EB6A1D" w14:textId="77777777" w:rsidR="00571C09" w:rsidRDefault="00571C09" w:rsidP="007E7940">
      <w:pPr>
        <w:pStyle w:val="a4"/>
        <w:numPr>
          <w:ilvl w:val="6"/>
          <w:numId w:val="33"/>
        </w:numPr>
        <w:spacing w:after="120" w:line="360" w:lineRule="auto"/>
        <w:ind w:left="-58" w:hanging="357"/>
        <w:contextualSpacing w:val="0"/>
        <w:jc w:val="both"/>
        <w:rPr>
          <w:rFonts w:ascii="David" w:hAnsi="David" w:cs="David"/>
          <w:sz w:val="24"/>
          <w:szCs w:val="24"/>
        </w:rPr>
      </w:pPr>
      <w:r w:rsidRPr="007E7940">
        <w:rPr>
          <w:rFonts w:ascii="David" w:hAnsi="David" w:cs="David" w:hint="cs"/>
          <w:b/>
          <w:bCs/>
          <w:sz w:val="24"/>
          <w:szCs w:val="24"/>
          <w:rtl/>
        </w:rPr>
        <w:t>הכרה בהגנות מהחוק הפלילי בהליך המשמעתי -</w:t>
      </w:r>
      <w:r>
        <w:rPr>
          <w:rFonts w:ascii="David" w:hAnsi="David" w:cs="David" w:hint="cs"/>
          <w:sz w:val="24"/>
          <w:szCs w:val="24"/>
          <w:rtl/>
        </w:rPr>
        <w:t xml:space="preserve">  ההגנות לא כתובות בדין המשמעתי אלא בחוק הפלילי. בשנים האחרונות יש מגמה לפיה אם המעשה או המחדל אם הן נבעו בנסיבות שיכולות להעניק לו הגנה כמו בהליך הפלילי - כורח, צורך, טעות כנה וסבירה וכו'. </w:t>
      </w:r>
    </w:p>
    <w:p w14:paraId="1252C370" w14:textId="77777777" w:rsidR="00571C09" w:rsidRDefault="00571C09" w:rsidP="007E7940">
      <w:pPr>
        <w:pStyle w:val="a4"/>
        <w:numPr>
          <w:ilvl w:val="6"/>
          <w:numId w:val="33"/>
        </w:numPr>
        <w:spacing w:after="120" w:line="360" w:lineRule="auto"/>
        <w:ind w:left="-58" w:hanging="357"/>
        <w:contextualSpacing w:val="0"/>
        <w:jc w:val="both"/>
        <w:rPr>
          <w:rFonts w:ascii="David" w:hAnsi="David" w:cs="David"/>
          <w:sz w:val="24"/>
          <w:szCs w:val="24"/>
        </w:rPr>
      </w:pPr>
      <w:r w:rsidRPr="007E7940">
        <w:rPr>
          <w:rFonts w:ascii="David" w:hAnsi="David" w:cs="David" w:hint="cs"/>
          <w:b/>
          <w:bCs/>
          <w:sz w:val="24"/>
          <w:szCs w:val="24"/>
          <w:rtl/>
        </w:rPr>
        <w:t xml:space="preserve">יישום עיקרון החוקיות </w:t>
      </w:r>
      <w:r>
        <w:rPr>
          <w:rFonts w:ascii="David" w:hAnsi="David" w:cs="David" w:hint="cs"/>
          <w:sz w:val="24"/>
          <w:szCs w:val="24"/>
          <w:rtl/>
        </w:rPr>
        <w:t>ב</w:t>
      </w:r>
      <w:r w:rsidRPr="007E7940">
        <w:rPr>
          <w:rFonts w:ascii="David" w:hAnsi="David" w:cs="David" w:hint="cs"/>
          <w:b/>
          <w:bCs/>
          <w:sz w:val="24"/>
          <w:szCs w:val="24"/>
          <w:rtl/>
        </w:rPr>
        <w:t>הליכים</w:t>
      </w:r>
      <w:r>
        <w:rPr>
          <w:rFonts w:ascii="David" w:hAnsi="David" w:cs="David" w:hint="cs"/>
          <w:sz w:val="24"/>
          <w:szCs w:val="24"/>
          <w:rtl/>
        </w:rPr>
        <w:t xml:space="preserve"> </w:t>
      </w:r>
      <w:r w:rsidR="000B7596">
        <w:rPr>
          <w:rFonts w:ascii="David" w:hAnsi="David" w:cs="David" w:hint="cs"/>
          <w:sz w:val="24"/>
          <w:szCs w:val="24"/>
          <w:rtl/>
        </w:rPr>
        <w:t xml:space="preserve"> </w:t>
      </w:r>
      <w:proofErr w:type="spellStart"/>
      <w:r w:rsidR="000B7596">
        <w:rPr>
          <w:rFonts w:ascii="David" w:hAnsi="David" w:cs="David" w:hint="cs"/>
          <w:sz w:val="24"/>
          <w:szCs w:val="24"/>
          <w:rtl/>
        </w:rPr>
        <w:t>בד"ם</w:t>
      </w:r>
      <w:proofErr w:type="spellEnd"/>
      <w:r w:rsidR="000B7596">
        <w:rPr>
          <w:rFonts w:ascii="David" w:hAnsi="David" w:cs="David" w:hint="cs"/>
          <w:sz w:val="24"/>
          <w:szCs w:val="24"/>
          <w:rtl/>
        </w:rPr>
        <w:t xml:space="preserve"> 7/94.</w:t>
      </w:r>
      <w:r w:rsidR="000B7596" w:rsidRPr="007E7940">
        <w:rPr>
          <w:rFonts w:ascii="David" w:hAnsi="David" w:cs="David" w:hint="cs"/>
          <w:b/>
          <w:bCs/>
          <w:sz w:val="24"/>
          <w:szCs w:val="24"/>
          <w:rtl/>
        </w:rPr>
        <w:t xml:space="preserve"> </w:t>
      </w:r>
      <w:r w:rsidRPr="007E7940">
        <w:rPr>
          <w:rFonts w:ascii="David" w:hAnsi="David" w:cs="David" w:hint="cs"/>
          <w:b/>
          <w:bCs/>
          <w:sz w:val="24"/>
          <w:szCs w:val="24"/>
          <w:rtl/>
        </w:rPr>
        <w:t>משמעתיים</w:t>
      </w:r>
      <w:r>
        <w:rPr>
          <w:rFonts w:ascii="David" w:hAnsi="David" w:cs="David" w:hint="cs"/>
          <w:sz w:val="24"/>
          <w:szCs w:val="24"/>
          <w:rtl/>
        </w:rPr>
        <w:t xml:space="preserve"> - סעיף 3 לחוק העונשין אז, איסור על רטרואקטיביות. </w:t>
      </w:r>
    </w:p>
    <w:p w14:paraId="0C205E8E" w14:textId="77777777" w:rsidR="000B7596" w:rsidRDefault="000B7596" w:rsidP="007E7940">
      <w:pPr>
        <w:pStyle w:val="a4"/>
        <w:numPr>
          <w:ilvl w:val="6"/>
          <w:numId w:val="33"/>
        </w:numPr>
        <w:spacing w:after="120" w:line="360" w:lineRule="auto"/>
        <w:ind w:left="-58" w:hanging="357"/>
        <w:contextualSpacing w:val="0"/>
        <w:jc w:val="both"/>
        <w:rPr>
          <w:rFonts w:ascii="David" w:hAnsi="David" w:cs="David"/>
          <w:sz w:val="24"/>
          <w:szCs w:val="24"/>
        </w:rPr>
      </w:pPr>
      <w:r w:rsidRPr="007E7940">
        <w:rPr>
          <w:rFonts w:ascii="David" w:hAnsi="David" w:cs="David" w:hint="cs"/>
          <w:b/>
          <w:bCs/>
          <w:sz w:val="24"/>
          <w:szCs w:val="24"/>
          <w:rtl/>
        </w:rPr>
        <w:t>הכרה בהגנה מן הצדק כהגנה בהליך המשמעתי</w:t>
      </w:r>
      <w:r>
        <w:rPr>
          <w:rFonts w:ascii="David" w:hAnsi="David" w:cs="David" w:hint="cs"/>
          <w:sz w:val="24"/>
          <w:szCs w:val="24"/>
          <w:rtl/>
        </w:rPr>
        <w:t xml:space="preserve">. </w:t>
      </w:r>
    </w:p>
    <w:p w14:paraId="50D83045" w14:textId="77777777" w:rsidR="000B7596" w:rsidRPr="007E7940" w:rsidRDefault="007E7940" w:rsidP="007E7940">
      <w:pPr>
        <w:pStyle w:val="a4"/>
        <w:spacing w:after="120" w:line="360" w:lineRule="auto"/>
        <w:ind w:left="-483"/>
        <w:rPr>
          <w:rFonts w:ascii="David" w:hAnsi="David" w:cs="David"/>
          <w:b/>
          <w:bCs/>
          <w:color w:val="538135" w:themeColor="accent6" w:themeShade="BF"/>
          <w:sz w:val="24"/>
          <w:szCs w:val="24"/>
          <w:u w:val="single"/>
          <w:rtl/>
        </w:rPr>
      </w:pPr>
      <w:r w:rsidRPr="007E7940">
        <w:rPr>
          <w:rFonts w:ascii="David" w:hAnsi="David" w:cs="David" w:hint="cs"/>
          <w:b/>
          <w:bCs/>
          <w:color w:val="538135" w:themeColor="accent6" w:themeShade="BF"/>
          <w:sz w:val="24"/>
          <w:szCs w:val="24"/>
          <w:rtl/>
        </w:rPr>
        <w:t xml:space="preserve">קריאה: </w:t>
      </w:r>
    </w:p>
    <w:p w14:paraId="10C0BA3C" w14:textId="77777777" w:rsidR="000B7596" w:rsidRDefault="000B7596" w:rsidP="00F71925">
      <w:pPr>
        <w:pStyle w:val="a4"/>
        <w:spacing w:after="120" w:line="360" w:lineRule="auto"/>
        <w:ind w:left="-341"/>
        <w:rPr>
          <w:rFonts w:ascii="David" w:hAnsi="David" w:cs="David"/>
          <w:b/>
          <w:bCs/>
          <w:sz w:val="24"/>
          <w:szCs w:val="24"/>
          <w:u w:val="single"/>
          <w:rtl/>
        </w:rPr>
      </w:pPr>
      <w:r>
        <w:rPr>
          <w:rFonts w:ascii="David" w:hAnsi="David" w:cs="David" w:hint="cs"/>
          <w:b/>
          <w:bCs/>
          <w:sz w:val="24"/>
          <w:szCs w:val="24"/>
          <w:u w:val="single"/>
          <w:rtl/>
        </w:rPr>
        <w:t>בד"א 111/98</w:t>
      </w:r>
    </w:p>
    <w:p w14:paraId="4CB54A3E" w14:textId="77777777" w:rsidR="00F71925" w:rsidRPr="00FD525B" w:rsidRDefault="00F71925" w:rsidP="00F71925">
      <w:pPr>
        <w:pStyle w:val="a4"/>
        <w:numPr>
          <w:ilvl w:val="0"/>
          <w:numId w:val="37"/>
        </w:numPr>
        <w:spacing w:after="120" w:line="360" w:lineRule="auto"/>
        <w:ind w:left="-341"/>
        <w:jc w:val="both"/>
        <w:rPr>
          <w:rFonts w:ascii="David" w:hAnsi="David" w:cs="David"/>
          <w:b/>
          <w:bCs/>
          <w:sz w:val="24"/>
          <w:szCs w:val="24"/>
        </w:rPr>
      </w:pPr>
      <w:r>
        <w:rPr>
          <w:rFonts w:ascii="David" w:eastAsia="Times New Roman" w:hAnsi="David" w:cs="David" w:hint="cs"/>
          <w:color w:val="000000"/>
          <w:sz w:val="24"/>
          <w:szCs w:val="24"/>
          <w:rtl/>
        </w:rPr>
        <w:t>נגד</w:t>
      </w:r>
      <w:r w:rsidRPr="003D7409">
        <w:rPr>
          <w:rFonts w:ascii="David" w:eastAsia="Times New Roman" w:hAnsi="David" w:cs="David"/>
          <w:color w:val="000000"/>
          <w:sz w:val="24"/>
          <w:szCs w:val="24"/>
          <w:rtl/>
        </w:rPr>
        <w:t xml:space="preserve"> עו"ד פלוני </w:t>
      </w:r>
      <w:r>
        <w:rPr>
          <w:rFonts w:ascii="David" w:eastAsia="Times New Roman" w:hAnsi="David" w:cs="David" w:hint="cs"/>
          <w:color w:val="000000"/>
          <w:sz w:val="24"/>
          <w:szCs w:val="24"/>
          <w:rtl/>
        </w:rPr>
        <w:t>(</w:t>
      </w:r>
      <w:r w:rsidRPr="003D7409">
        <w:rPr>
          <w:rFonts w:ascii="David" w:eastAsia="Times New Roman" w:hAnsi="David" w:cs="David"/>
          <w:color w:val="000000"/>
          <w:sz w:val="24"/>
          <w:szCs w:val="24"/>
          <w:rtl/>
        </w:rPr>
        <w:t>"המערער"</w:t>
      </w:r>
      <w:r>
        <w:rPr>
          <w:rFonts w:ascii="David" w:eastAsia="Times New Roman" w:hAnsi="David" w:cs="David" w:hint="cs"/>
          <w:color w:val="000000"/>
          <w:sz w:val="24"/>
          <w:szCs w:val="24"/>
          <w:rtl/>
        </w:rPr>
        <w:t>)</w:t>
      </w:r>
      <w:r w:rsidRPr="003D7409">
        <w:rPr>
          <w:rFonts w:ascii="David" w:eastAsia="Times New Roman" w:hAnsi="David" w:cs="David"/>
          <w:color w:val="000000"/>
          <w:sz w:val="24"/>
          <w:szCs w:val="24"/>
          <w:rtl/>
        </w:rPr>
        <w:t xml:space="preserve"> הוגש כתב קובלנה על פיו הזניח את הטיפול בענייני המתלונן, לא דיווח למתלונן חרף דרישותיו ודרישות בתו של המתלונן ובא כוחה, על כספים שגבה עבורו, ולא העביר למתלונן את כל הכספים שגבה. כן הואשם כי לחץ על המתלונן להגיע להסכם למכירת דירתו של אחד החייבים ולקבל סכום קטן של 12,000 ש"ח לסילוק חוב העולה על 100,000 ש"ח.</w:t>
      </w:r>
      <w:r>
        <w:rPr>
          <w:rFonts w:ascii="David" w:hAnsi="David" w:cs="David" w:hint="cs"/>
          <w:b/>
          <w:bCs/>
          <w:sz w:val="24"/>
          <w:szCs w:val="24"/>
          <w:rtl/>
        </w:rPr>
        <w:t xml:space="preserve"> בית הדין קמא </w:t>
      </w:r>
      <w:r w:rsidRPr="003D7409">
        <w:rPr>
          <w:rFonts w:ascii="David" w:eastAsia="Times New Roman" w:hAnsi="David" w:cs="David" w:hint="cs"/>
          <w:color w:val="000000"/>
          <w:sz w:val="24"/>
          <w:szCs w:val="24"/>
          <w:rtl/>
        </w:rPr>
        <w:t>זיכה אותו</w:t>
      </w:r>
      <w:r w:rsidRPr="003D7409">
        <w:rPr>
          <w:rFonts w:ascii="David" w:eastAsia="Times New Roman" w:hAnsi="David" w:cs="David"/>
          <w:color w:val="000000"/>
          <w:sz w:val="24"/>
          <w:szCs w:val="24"/>
          <w:rtl/>
        </w:rPr>
        <w:t xml:space="preserve"> מהעבירות </w:t>
      </w:r>
      <w:r w:rsidRPr="003D7409">
        <w:rPr>
          <w:rFonts w:ascii="David" w:eastAsia="Times New Roman" w:hAnsi="David" w:cs="David" w:hint="cs"/>
          <w:color w:val="000000"/>
          <w:sz w:val="24"/>
          <w:szCs w:val="24"/>
          <w:rtl/>
        </w:rPr>
        <w:t xml:space="preserve">של </w:t>
      </w:r>
      <w:r w:rsidRPr="003D7409">
        <w:rPr>
          <w:rFonts w:ascii="David" w:eastAsia="Times New Roman" w:hAnsi="David" w:cs="David"/>
          <w:color w:val="000000"/>
          <w:sz w:val="24"/>
          <w:szCs w:val="24"/>
          <w:rtl/>
        </w:rPr>
        <w:t>הפעלת לחץ על המתלונן להגיע להסדר, ומהעבירה של הזנחת הטיפול בענייני המתלונן, אך הרשיעו בעבירות של אי דיווח למתלונן על סכומי הגביה, ואי העברת כל כספי הגביה למתלונן.</w:t>
      </w:r>
    </w:p>
    <w:p w14:paraId="61EDFA13" w14:textId="77777777" w:rsidR="00F71925" w:rsidRPr="00DF3DB6" w:rsidRDefault="00F71925" w:rsidP="00F71925">
      <w:pPr>
        <w:pStyle w:val="a4"/>
        <w:spacing w:after="120" w:line="360" w:lineRule="auto"/>
        <w:ind w:left="-341"/>
        <w:jc w:val="both"/>
        <w:rPr>
          <w:rFonts w:ascii="David" w:hAnsi="David" w:cs="David"/>
          <w:sz w:val="24"/>
          <w:szCs w:val="24"/>
          <w:rtl/>
        </w:rPr>
      </w:pPr>
      <w:r>
        <w:rPr>
          <w:rFonts w:ascii="David" w:hAnsi="David" w:cs="David" w:hint="cs"/>
          <w:b/>
          <w:bCs/>
          <w:sz w:val="24"/>
          <w:szCs w:val="24"/>
          <w:rtl/>
        </w:rPr>
        <w:t xml:space="preserve">ההתערבות היחידה של ערכאת הערעור: </w:t>
      </w:r>
      <w:r w:rsidRPr="00DF3DB6">
        <w:rPr>
          <w:rFonts w:ascii="David" w:eastAsia="Times New Roman" w:hAnsi="David" w:cs="David"/>
          <w:color w:val="000000"/>
          <w:sz w:val="24"/>
          <w:szCs w:val="24"/>
          <w:rtl/>
        </w:rPr>
        <w:t>בתיק קמא לא התקיימה</w:t>
      </w:r>
      <w:r>
        <w:rPr>
          <w:rFonts w:ascii="Times New Roman" w:eastAsia="Times New Roman" w:hAnsi="Times New Roman" w:cs="Times New Roman" w:hint="cs"/>
          <w:color w:val="000000"/>
          <w:sz w:val="20"/>
          <w:szCs w:val="20"/>
          <w:rtl/>
        </w:rPr>
        <w:t xml:space="preserve"> </w:t>
      </w:r>
      <w:r w:rsidRPr="00DF3DB6">
        <w:rPr>
          <w:rFonts w:ascii="David" w:eastAsia="Times New Roman" w:hAnsi="David" w:cs="David"/>
          <w:color w:val="000000"/>
          <w:sz w:val="24"/>
          <w:szCs w:val="24"/>
          <w:rtl/>
        </w:rPr>
        <w:t xml:space="preserve">בנפרד הקראה, ובמועד שנקבע לשמיעת ההוכחות, נתבקש המערער להשיב לאישום. מיד לאחר מכן נשמע התיק. </w:t>
      </w:r>
      <w:r w:rsidRPr="00DF3DB6">
        <w:rPr>
          <w:rFonts w:ascii="David" w:eastAsia="Times New Roman" w:hAnsi="David" w:cs="David"/>
          <w:b/>
          <w:bCs/>
          <w:color w:val="000000"/>
          <w:sz w:val="24"/>
          <w:szCs w:val="24"/>
          <w:rtl/>
        </w:rPr>
        <w:t>לחברי בי"ד זה נראה, כי לכאורה נפגעו זכויות המערער מקיום ההליך בצורה זו, ואף כי בחוק ובתקנות לא נקבע כי יש לקיים הקראה בנפרד תוך שמירה על רווח זמן בין ההקראה ובין המועד בו נקבע התיק להוכחות, נהוג בבתי המשפט לקיים הקראה ורק לאחריה לקבוע מועד לשמיעת הראיות</w:t>
      </w:r>
      <w:r w:rsidRPr="00DF3DB6">
        <w:rPr>
          <w:rFonts w:ascii="David" w:eastAsia="Times New Roman" w:hAnsi="David" w:cs="David"/>
          <w:color w:val="000000"/>
          <w:sz w:val="24"/>
          <w:szCs w:val="24"/>
          <w:rtl/>
        </w:rPr>
        <w:t>.</w:t>
      </w:r>
      <w:r>
        <w:rPr>
          <w:rFonts w:ascii="David" w:hAnsi="David" w:cs="David" w:hint="cs"/>
          <w:b/>
          <w:bCs/>
          <w:sz w:val="24"/>
          <w:szCs w:val="24"/>
          <w:rtl/>
        </w:rPr>
        <w:t xml:space="preserve"> </w:t>
      </w:r>
      <w:r>
        <w:rPr>
          <w:rFonts w:ascii="David" w:hAnsi="David" w:cs="David" w:hint="cs"/>
          <w:sz w:val="24"/>
          <w:szCs w:val="24"/>
          <w:rtl/>
        </w:rPr>
        <w:t xml:space="preserve">כלומר, המערער לא מחה </w:t>
      </w:r>
      <w:r w:rsidRPr="00DF3DB6">
        <w:rPr>
          <w:rFonts w:ascii="David" w:eastAsia="Times New Roman" w:hAnsi="David" w:cs="David"/>
          <w:color w:val="000000"/>
          <w:sz w:val="24"/>
          <w:szCs w:val="24"/>
          <w:rtl/>
        </w:rPr>
        <w:t xml:space="preserve">על קיום ההקראה במועד שנקבע לשמיעת הראיות, ועל כן, בסיכומו של דבר, לא נראה לנו כיום לפסול את אופן </w:t>
      </w:r>
      <w:r w:rsidRPr="00DF3DB6">
        <w:rPr>
          <w:rFonts w:ascii="David" w:eastAsia="Times New Roman" w:hAnsi="David" w:cs="David"/>
          <w:color w:val="000000"/>
          <w:sz w:val="24"/>
          <w:szCs w:val="24"/>
          <w:rtl/>
        </w:rPr>
        <w:lastRenderedPageBreak/>
        <w:t>קיום הדיון בעניינו. דעתנו הייתה שונה אילו מחה המערער בפני בית-דין קמא והיה מתנגד בשעתו לקיום הדיון מיד לאחר ההקראה.</w:t>
      </w:r>
    </w:p>
    <w:p w14:paraId="019F84AC" w14:textId="77777777" w:rsidR="00F71925" w:rsidRDefault="00F71925" w:rsidP="00F71925">
      <w:pPr>
        <w:shd w:val="clear" w:color="auto" w:fill="FFFFFF"/>
        <w:spacing w:after="0" w:line="360" w:lineRule="auto"/>
        <w:ind w:left="-341"/>
        <w:jc w:val="both"/>
        <w:rPr>
          <w:rFonts w:ascii="David" w:eastAsia="Times New Roman" w:hAnsi="David" w:cs="David"/>
          <w:color w:val="000000"/>
          <w:sz w:val="24"/>
          <w:szCs w:val="24"/>
          <w:rtl/>
        </w:rPr>
      </w:pPr>
      <w:r>
        <w:rPr>
          <w:rFonts w:ascii="David" w:eastAsia="Times New Roman" w:hAnsi="David" w:cs="David" w:hint="cs"/>
          <w:color w:val="000000"/>
          <w:sz w:val="24"/>
          <w:szCs w:val="24"/>
          <w:rtl/>
        </w:rPr>
        <w:t>כן התלבטה ערכאת הערעור</w:t>
      </w:r>
      <w:r w:rsidRPr="00DF3DB6">
        <w:rPr>
          <w:rFonts w:ascii="David" w:eastAsia="Times New Roman" w:hAnsi="David" w:cs="David"/>
          <w:color w:val="000000"/>
          <w:sz w:val="24"/>
          <w:szCs w:val="24"/>
          <w:rtl/>
        </w:rPr>
        <w:t xml:space="preserve"> בשאלה אם לא הטיל בית-הדין קמא עונש כבד מדי על המערער, וזאת לאחר שזיכה אותו משני פרטי אישום והרשיע אותו בפרט אישום אחד בלבד(הגם שהוא כולל שתי עבירות).אכן לחובת המערער 3 הרשעות קודמות</w:t>
      </w:r>
      <w:r>
        <w:rPr>
          <w:rFonts w:ascii="David" w:eastAsia="Times New Roman" w:hAnsi="David" w:cs="David" w:hint="cs"/>
          <w:color w:val="000000"/>
          <w:sz w:val="24"/>
          <w:szCs w:val="24"/>
          <w:rtl/>
        </w:rPr>
        <w:t xml:space="preserve"> ו</w:t>
      </w:r>
      <w:r w:rsidRPr="00DF3DB6">
        <w:rPr>
          <w:rFonts w:ascii="David" w:eastAsia="Times New Roman" w:hAnsi="David" w:cs="David"/>
          <w:color w:val="000000"/>
          <w:sz w:val="24"/>
          <w:szCs w:val="24"/>
          <w:rtl/>
        </w:rPr>
        <w:t xml:space="preserve">קשה </w:t>
      </w:r>
      <w:r>
        <w:rPr>
          <w:rFonts w:ascii="David" w:eastAsia="Times New Roman" w:hAnsi="David" w:cs="David" w:hint="cs"/>
          <w:color w:val="000000"/>
          <w:sz w:val="24"/>
          <w:szCs w:val="24"/>
          <w:rtl/>
        </w:rPr>
        <w:t>לערעור</w:t>
      </w:r>
      <w:r w:rsidRPr="00DF3DB6">
        <w:rPr>
          <w:rFonts w:ascii="David" w:eastAsia="Times New Roman" w:hAnsi="David" w:cs="David"/>
          <w:color w:val="000000"/>
          <w:sz w:val="24"/>
          <w:szCs w:val="24"/>
          <w:rtl/>
        </w:rPr>
        <w:t xml:space="preserve">ו </w:t>
      </w:r>
      <w:proofErr w:type="spellStart"/>
      <w:r w:rsidRPr="00DF3DB6">
        <w:rPr>
          <w:rFonts w:ascii="David" w:eastAsia="Times New Roman" w:hAnsi="David" w:cs="David"/>
          <w:color w:val="000000"/>
          <w:sz w:val="24"/>
          <w:szCs w:val="24"/>
          <w:rtl/>
        </w:rPr>
        <w:t>לאמר</w:t>
      </w:r>
      <w:proofErr w:type="spellEnd"/>
      <w:r w:rsidRPr="00DF3DB6">
        <w:rPr>
          <w:rFonts w:ascii="David" w:eastAsia="Times New Roman" w:hAnsi="David" w:cs="David"/>
          <w:color w:val="000000"/>
          <w:sz w:val="24"/>
          <w:szCs w:val="24"/>
          <w:rtl/>
        </w:rPr>
        <w:t xml:space="preserve"> כי המערער למד לקח מהתנהגותו המוטעית בעבר, ומהעונשים שהוטלו עליו בעקבות התנהגות זו, ואכן אנו סבורים שהיה מקום להטיל עליו  בגין העבירות בהן הורשע בתיק זה עונש של השעיה בפועל.</w:t>
      </w:r>
    </w:p>
    <w:p w14:paraId="5FB15ED3" w14:textId="77777777" w:rsidR="00F71925" w:rsidRPr="00DF3DB6" w:rsidRDefault="00F71925" w:rsidP="00F71925">
      <w:pPr>
        <w:shd w:val="clear" w:color="auto" w:fill="FFFFFF"/>
        <w:spacing w:after="0" w:line="360" w:lineRule="auto"/>
        <w:ind w:left="-341"/>
        <w:jc w:val="both"/>
        <w:rPr>
          <w:rFonts w:ascii="David" w:eastAsia="Times New Roman" w:hAnsi="David" w:cs="David"/>
          <w:color w:val="000000"/>
          <w:sz w:val="24"/>
          <w:szCs w:val="24"/>
          <w:rtl/>
        </w:rPr>
      </w:pPr>
      <w:r w:rsidRPr="00DF3DB6">
        <w:rPr>
          <w:rFonts w:ascii="David" w:eastAsia="Times New Roman" w:hAnsi="David" w:cs="David"/>
          <w:color w:val="000000"/>
          <w:sz w:val="24"/>
          <w:szCs w:val="24"/>
          <w:rtl/>
        </w:rPr>
        <w:t xml:space="preserve">עם זאת סבורים </w:t>
      </w:r>
      <w:r>
        <w:rPr>
          <w:rFonts w:ascii="David" w:eastAsia="Times New Roman" w:hAnsi="David" w:cs="David" w:hint="cs"/>
          <w:color w:val="000000"/>
          <w:sz w:val="24"/>
          <w:szCs w:val="24"/>
          <w:rtl/>
        </w:rPr>
        <w:t>הם</w:t>
      </w:r>
      <w:r w:rsidRPr="00DF3DB6">
        <w:rPr>
          <w:rFonts w:ascii="David" w:eastAsia="Times New Roman" w:hAnsi="David" w:cs="David"/>
          <w:color w:val="000000"/>
          <w:sz w:val="24"/>
          <w:szCs w:val="24"/>
          <w:rtl/>
        </w:rPr>
        <w:t>, כי יש מקום להתחשב במצבו האישי של המערער, בעובדה, כי הינו מנהל משרד עצמאי, שסגירתו למשך שנה שלמה יכולה להביא לחיסולו, בכך שזוכה משני פרטי אישום וכן בכך שנקבע בהכרעת הדין (סעיף 20) כי ".. לא ניתן להגיד, כי הנאשם התכוון במזיד לגנוב או להעלים את כספי הלקוח"</w:t>
      </w:r>
      <w:r>
        <w:rPr>
          <w:rFonts w:ascii="David" w:eastAsia="Times New Roman" w:hAnsi="David" w:cs="David" w:hint="cs"/>
          <w:color w:val="000000"/>
          <w:sz w:val="24"/>
          <w:szCs w:val="24"/>
          <w:rtl/>
        </w:rPr>
        <w:t xml:space="preserve"> </w:t>
      </w:r>
      <w:r w:rsidRPr="00DF3DB6">
        <w:rPr>
          <w:rFonts w:ascii="David" w:eastAsia="Times New Roman" w:hAnsi="David" w:cs="David"/>
          <w:color w:val="000000"/>
          <w:sz w:val="24"/>
          <w:szCs w:val="24"/>
          <w:rtl/>
        </w:rPr>
        <w:t> </w:t>
      </w:r>
      <w:r>
        <w:rPr>
          <w:rFonts w:ascii="Times New Roman" w:eastAsia="Times New Roman" w:hAnsi="Times New Roman" w:cs="Times New Roman" w:hint="cs"/>
          <w:color w:val="000000"/>
          <w:sz w:val="20"/>
          <w:szCs w:val="20"/>
          <w:rtl/>
        </w:rPr>
        <w:t>"</w:t>
      </w:r>
      <w:r w:rsidRPr="00DF3DB6">
        <w:rPr>
          <w:rFonts w:ascii="David" w:eastAsia="Times New Roman" w:hAnsi="David" w:cs="David"/>
          <w:color w:val="000000"/>
          <w:sz w:val="24"/>
          <w:szCs w:val="24"/>
          <w:rtl/>
        </w:rPr>
        <w:t xml:space="preserve"> לאחר ששקלנו את כל השיקולים </w:t>
      </w:r>
      <w:proofErr w:type="spellStart"/>
      <w:r w:rsidRPr="00DF3DB6">
        <w:rPr>
          <w:rFonts w:ascii="David" w:eastAsia="Times New Roman" w:hAnsi="David" w:cs="David"/>
          <w:color w:val="000000"/>
          <w:sz w:val="24"/>
          <w:szCs w:val="24"/>
          <w:rtl/>
        </w:rPr>
        <w:t>לקולא</w:t>
      </w:r>
      <w:proofErr w:type="spellEnd"/>
      <w:r w:rsidRPr="00DF3DB6">
        <w:rPr>
          <w:rFonts w:ascii="David" w:eastAsia="Times New Roman" w:hAnsi="David" w:cs="David"/>
          <w:color w:val="000000"/>
          <w:sz w:val="24"/>
          <w:szCs w:val="24"/>
          <w:rtl/>
        </w:rPr>
        <w:t xml:space="preserve"> </w:t>
      </w:r>
      <w:proofErr w:type="spellStart"/>
      <w:r w:rsidRPr="00DF3DB6">
        <w:rPr>
          <w:rFonts w:ascii="David" w:eastAsia="Times New Roman" w:hAnsi="David" w:cs="David"/>
          <w:color w:val="000000"/>
          <w:sz w:val="24"/>
          <w:szCs w:val="24"/>
          <w:rtl/>
        </w:rPr>
        <w:t>ולחומרא</w:t>
      </w:r>
      <w:proofErr w:type="spellEnd"/>
      <w:r w:rsidRPr="00DF3DB6">
        <w:rPr>
          <w:rFonts w:ascii="David" w:eastAsia="Times New Roman" w:hAnsi="David" w:cs="David"/>
          <w:color w:val="000000"/>
          <w:sz w:val="24"/>
          <w:szCs w:val="24"/>
          <w:rtl/>
        </w:rPr>
        <w:t xml:space="preserve">, נראה לנו כי העונש ההולם בנסיבות מקרה זה הינו 6 חדשי השעיה בפועל ושנתיים השעיה ע"ת למשך 3 שנים, ואנו מורים לתקן את גזה"ד בהתאם ולקבוע כי במקום עונש השעיה של שנה יבוא עונש השעיה של 6 חדשים, ובמקום עונש השעיה ע"ת לשנה למשך שנתיים, יבוא עונש של השעיה למשך שנתיים על תנאי, לשלוש שנים החל מהיום. סכום ההוצאות כפי שנקבע </w:t>
      </w:r>
      <w:proofErr w:type="spellStart"/>
      <w:r w:rsidRPr="00DF3DB6">
        <w:rPr>
          <w:rFonts w:ascii="David" w:eastAsia="Times New Roman" w:hAnsi="David" w:cs="David"/>
          <w:color w:val="000000"/>
          <w:sz w:val="24"/>
          <w:szCs w:val="24"/>
          <w:rtl/>
        </w:rPr>
        <w:t>ישאר</w:t>
      </w:r>
      <w:proofErr w:type="spellEnd"/>
      <w:r w:rsidRPr="00DF3DB6">
        <w:rPr>
          <w:rFonts w:ascii="David" w:eastAsia="Times New Roman" w:hAnsi="David" w:cs="David"/>
          <w:color w:val="000000"/>
          <w:sz w:val="24"/>
          <w:szCs w:val="24"/>
          <w:rtl/>
        </w:rPr>
        <w:t xml:space="preserve"> בעינו.</w:t>
      </w:r>
      <w:r>
        <w:rPr>
          <w:rFonts w:ascii="Times New Roman" w:eastAsia="Times New Roman" w:hAnsi="Times New Roman" w:cs="Times New Roman" w:hint="cs"/>
          <w:color w:val="000000"/>
          <w:sz w:val="20"/>
          <w:szCs w:val="20"/>
          <w:rtl/>
        </w:rPr>
        <w:t>"</w:t>
      </w:r>
    </w:p>
    <w:p w14:paraId="328FA22A" w14:textId="77777777" w:rsidR="00F71925" w:rsidRDefault="00F71925" w:rsidP="000B7596">
      <w:pPr>
        <w:pStyle w:val="a4"/>
        <w:spacing w:after="120" w:line="360" w:lineRule="auto"/>
        <w:ind w:left="226"/>
        <w:rPr>
          <w:rFonts w:ascii="David" w:hAnsi="David" w:cs="David"/>
          <w:b/>
          <w:bCs/>
          <w:sz w:val="24"/>
          <w:szCs w:val="24"/>
          <w:u w:val="single"/>
          <w:rtl/>
        </w:rPr>
      </w:pPr>
    </w:p>
    <w:p w14:paraId="4B4CFE92" w14:textId="77777777" w:rsidR="00F71925" w:rsidRDefault="000B7596" w:rsidP="00F71925">
      <w:pPr>
        <w:numPr>
          <w:ilvl w:val="0"/>
          <w:numId w:val="38"/>
        </w:numPr>
        <w:spacing w:after="0" w:line="360" w:lineRule="auto"/>
        <w:ind w:left="-483" w:hanging="280"/>
        <w:jc w:val="both"/>
        <w:rPr>
          <w:rFonts w:ascii="David" w:hAnsi="David" w:cs="David"/>
        </w:rPr>
      </w:pPr>
      <w:r>
        <w:rPr>
          <w:rFonts w:ascii="David" w:hAnsi="David" w:cs="David" w:hint="cs"/>
          <w:b/>
          <w:bCs/>
          <w:sz w:val="24"/>
          <w:szCs w:val="24"/>
          <w:u w:val="single"/>
          <w:rtl/>
        </w:rPr>
        <w:t>בד"א 16/99</w:t>
      </w:r>
      <w:r w:rsidR="00F71925">
        <w:rPr>
          <w:rFonts w:ascii="David" w:hAnsi="David" w:cs="David" w:hint="cs"/>
          <w:b/>
          <w:bCs/>
          <w:sz w:val="24"/>
          <w:szCs w:val="24"/>
          <w:u w:val="single"/>
          <w:rtl/>
        </w:rPr>
        <w:t xml:space="preserve"> - </w:t>
      </w:r>
      <w:r w:rsidR="00F71925" w:rsidRPr="006D6679">
        <w:rPr>
          <w:rFonts w:ascii="David" w:hAnsi="David" w:cs="David"/>
          <w:b/>
          <w:bCs/>
          <w:rtl/>
        </w:rPr>
        <w:t>פגיעה בכללי הצדק הטבעי בהליכים משמעתיים כעילה לזיכוי הנאשם</w:t>
      </w:r>
      <w:r w:rsidR="00F71925" w:rsidRPr="006D6679">
        <w:rPr>
          <w:rFonts w:ascii="David" w:hAnsi="David" w:cs="David"/>
          <w:rtl/>
        </w:rPr>
        <w:t xml:space="preserve"> – </w:t>
      </w:r>
      <w:r w:rsidR="00F71925">
        <w:rPr>
          <w:rFonts w:ascii="David" w:hAnsi="David" w:cs="David" w:hint="cs"/>
          <w:rtl/>
        </w:rPr>
        <w:t xml:space="preserve">כללי הצדק הטבעי אומרים שאי אפשר לנהל הליך נגד אדם מבלי שהוא מודע לגמרי לכל ההליך ולכל המועדים שנקבעו להליך וכדו', אך בהליך לפי לשכת עורכי הדין המצב היה שונה-בפעם הראשון זימנו את האדם לדיון ראשון. אם הוא לא התייצב לדיון הראשון לא הקפידו לזמן אותו לדיון הנוסף מתוך התפיסה שכאשר אדם יודע שיש הליך נגדו והוא לא הגיע לדיון שנקבע, אז החובות שלו בתור עו"ד זה להתעניין בעצמו מתי הדיון הבא-האחריות ליתר הדיונים מוטלת עליו. </w:t>
      </w:r>
      <w:proofErr w:type="spellStart"/>
      <w:r w:rsidR="00F71925">
        <w:rPr>
          <w:rFonts w:ascii="David" w:hAnsi="David" w:cs="David" w:hint="cs"/>
          <w:rtl/>
        </w:rPr>
        <w:t>ב</w:t>
      </w:r>
      <w:r w:rsidR="00F71925" w:rsidRPr="000811A9">
        <w:rPr>
          <w:rFonts w:ascii="David" w:hAnsi="David" w:cs="David"/>
          <w:highlight w:val="green"/>
          <w:rtl/>
        </w:rPr>
        <w:t>בד"א</w:t>
      </w:r>
      <w:proofErr w:type="spellEnd"/>
      <w:r w:rsidR="00F71925" w:rsidRPr="000811A9">
        <w:rPr>
          <w:rFonts w:ascii="David" w:hAnsi="David" w:cs="David"/>
          <w:highlight w:val="green"/>
          <w:rtl/>
        </w:rPr>
        <w:t xml:space="preserve"> 16/99</w:t>
      </w:r>
      <w:r w:rsidR="00F71925" w:rsidRPr="006D6679">
        <w:rPr>
          <w:rFonts w:ascii="David" w:hAnsi="David" w:cs="David"/>
          <w:rtl/>
        </w:rPr>
        <w:t xml:space="preserve"> בית הדין הארצי קבע שאין לכך שחר. כמו שבהליך פלילי יש להמציא לנאשם זימון כחוק, שאם לא כן לא ניתן לדון בהיעדרו באותו מועד, כך יש לנהוג גם בהליך משמעתי. לא ניתן להרשיע אדם אם לא זימנת אותו כחוק לאותו מועד, ואפשרת לו לטעון את טענותיו. </w:t>
      </w:r>
      <w:r w:rsidR="00F71925" w:rsidRPr="006D6679">
        <w:rPr>
          <w:rFonts w:ascii="David" w:hAnsi="David" w:cs="David"/>
          <w:highlight w:val="yellow"/>
          <w:rtl/>
        </w:rPr>
        <w:t>אם לא זימנת את הנאשם כחוק, פגעת לו בכללי הצדק הטבעי</w:t>
      </w:r>
      <w:r w:rsidR="00F71925" w:rsidRPr="006D6679">
        <w:rPr>
          <w:rFonts w:ascii="David" w:hAnsi="David" w:cs="David"/>
          <w:rtl/>
        </w:rPr>
        <w:t xml:space="preserve">. </w:t>
      </w:r>
    </w:p>
    <w:p w14:paraId="63CF14A8" w14:textId="77777777" w:rsidR="00F71925" w:rsidRPr="006D6679" w:rsidRDefault="00F71925" w:rsidP="00F71925">
      <w:pPr>
        <w:spacing w:after="0" w:line="360" w:lineRule="auto"/>
        <w:ind w:left="-483"/>
        <w:jc w:val="both"/>
        <w:rPr>
          <w:rFonts w:ascii="David" w:hAnsi="David" w:cs="David"/>
        </w:rPr>
      </w:pPr>
    </w:p>
    <w:p w14:paraId="1A586745" w14:textId="77777777" w:rsidR="00F71925" w:rsidRPr="001E2123" w:rsidRDefault="000B7596" w:rsidP="00F71925">
      <w:pPr>
        <w:numPr>
          <w:ilvl w:val="0"/>
          <w:numId w:val="38"/>
        </w:numPr>
        <w:spacing w:after="0" w:line="360" w:lineRule="auto"/>
        <w:ind w:left="-483" w:hanging="280"/>
        <w:jc w:val="both"/>
        <w:rPr>
          <w:rFonts w:ascii="David" w:hAnsi="David" w:cs="David"/>
        </w:rPr>
      </w:pPr>
      <w:r>
        <w:rPr>
          <w:rFonts w:ascii="David" w:hAnsi="David" w:cs="David" w:hint="cs"/>
          <w:b/>
          <w:bCs/>
          <w:sz w:val="24"/>
          <w:szCs w:val="24"/>
          <w:u w:val="single"/>
          <w:rtl/>
        </w:rPr>
        <w:t>בג"צ 957/89 גדעון צדוק נ' לשכת עורכי הדין</w:t>
      </w:r>
      <w:r w:rsidR="00F71925">
        <w:rPr>
          <w:rFonts w:ascii="David" w:hAnsi="David" w:cs="David" w:hint="cs"/>
          <w:b/>
          <w:bCs/>
          <w:sz w:val="24"/>
          <w:szCs w:val="24"/>
          <w:u w:val="single"/>
          <w:rtl/>
        </w:rPr>
        <w:t xml:space="preserve"> - </w:t>
      </w:r>
      <w:r w:rsidR="00F71925" w:rsidRPr="000811A9">
        <w:rPr>
          <w:rFonts w:ascii="David" w:hAnsi="David" w:cs="David"/>
          <w:highlight w:val="green"/>
          <w:rtl/>
        </w:rPr>
        <w:t>בג"צ 957/89 גדעון צדוק נ' לשכת עו"ד</w:t>
      </w:r>
      <w:r w:rsidR="00F71925">
        <w:rPr>
          <w:rFonts w:ascii="David" w:hAnsi="David" w:cs="David" w:hint="cs"/>
          <w:rtl/>
        </w:rPr>
        <w:t>- במקרה זה עו"ד שהורשע ברצח וקיבל חנינה בהליך הפלילי, ביקש חנינה גם בהליך הפלילי. בפס"ד זה ביהמ"ש העליון עושה הבחנה בין שני סוגים של -אם מדובר בעבירה משמעתית רגילה-אכן לנשיא המדינה אין סמכות חנינה ולא ניתן למחוק הרשעות קודמות. אך אם מדובר בהרשעה משמעתית שבאה בעקבות עבירה פלילית-מרגע מחיקת ההרשעה הפלילית/חנינה מנשיא המדינה-בטלה ההרשעה גם בהליך המשמעתי.</w:t>
      </w:r>
      <w:r w:rsidR="00F71925" w:rsidRPr="006D6679">
        <w:rPr>
          <w:rFonts w:ascii="David" w:hAnsi="David" w:cs="David"/>
          <w:rtl/>
        </w:rPr>
        <w:t xml:space="preserve"> </w:t>
      </w:r>
      <w:r w:rsidR="00F71925">
        <w:rPr>
          <w:rFonts w:ascii="David" w:hAnsi="David" w:cs="David" w:hint="cs"/>
          <w:rtl/>
        </w:rPr>
        <w:t xml:space="preserve">אם כן, </w:t>
      </w:r>
      <w:r w:rsidR="00F71925" w:rsidRPr="006D6679">
        <w:rPr>
          <w:rFonts w:ascii="David" w:hAnsi="David" w:cs="David"/>
          <w:rtl/>
        </w:rPr>
        <w:t xml:space="preserve">עבירות משמעת רגילות לא נמחקות וגם אי-אפשר לקבל חנינה מהנשיא, אבל </w:t>
      </w:r>
      <w:r w:rsidR="00F71925" w:rsidRPr="006D6679">
        <w:rPr>
          <w:rFonts w:ascii="David" w:hAnsi="David" w:cs="David"/>
          <w:highlight w:val="yellow"/>
          <w:rtl/>
        </w:rPr>
        <w:t>אם מדובר בעבירת משמעת שהיא תוצאה של עבירה פלילית, אזי ברגע שאדם קיבל חנינה או נמחק הרישום לפי סעיף 20 לחוק המרשם הפלילי ותקנת השבים, נמחקה גם עבירת המשמעת</w:t>
      </w:r>
      <w:r w:rsidR="00F71925" w:rsidRPr="006D6679">
        <w:rPr>
          <w:rFonts w:ascii="David" w:hAnsi="David" w:cs="David"/>
          <w:rtl/>
        </w:rPr>
        <w:t xml:space="preserve">. </w:t>
      </w:r>
      <w:r w:rsidR="00F71925">
        <w:rPr>
          <w:rFonts w:ascii="David" w:hAnsi="David" w:cs="David" w:hint="cs"/>
          <w:rtl/>
        </w:rPr>
        <w:t xml:space="preserve">כאן נוצר מעין פרדוקס לפיו "כדאי" לעשות עבירה חמורה יותר שיש לה גם גוון פלילי כדי שתוכל לקבל חנינה לאחר מכן. </w:t>
      </w:r>
      <w:r w:rsidR="00F71925" w:rsidRPr="001E2123">
        <w:rPr>
          <w:rFonts w:ascii="David" w:hAnsi="David" w:cs="David"/>
          <w:rtl/>
        </w:rPr>
        <w:t>עו"ד שהורשע בעבירה משמעתית מאוד חמורה שהיא גם פלילית – תימחק הרשעתו. אם הוא נאשם בעבירת משמעת שלעולם לא קיבל עונש – לא תימחק העבירה. עו"ד שהורשע ברצח קיבל חנינה מהנשיא מכל מיני סיבות ואז בג</w:t>
      </w:r>
      <w:r w:rsidR="00F71925">
        <w:rPr>
          <w:rFonts w:ascii="David" w:hAnsi="David" w:cs="David" w:hint="cs"/>
          <w:rtl/>
        </w:rPr>
        <w:t>"ץ</w:t>
      </w:r>
      <w:r w:rsidR="00F71925" w:rsidRPr="001E2123">
        <w:rPr>
          <w:rFonts w:ascii="David" w:hAnsi="David" w:cs="David"/>
          <w:rtl/>
        </w:rPr>
        <w:t xml:space="preserve"> אמר שברגע שיש חנינה </w:t>
      </w:r>
      <w:r w:rsidR="00F71925">
        <w:rPr>
          <w:rFonts w:ascii="David" w:hAnsi="David" w:cs="David" w:hint="cs"/>
          <w:rtl/>
        </w:rPr>
        <w:t xml:space="preserve">צריך להחזיר </w:t>
      </w:r>
      <w:r w:rsidR="00F71925" w:rsidRPr="001E2123">
        <w:rPr>
          <w:rFonts w:ascii="David" w:hAnsi="David" w:cs="David"/>
          <w:rtl/>
        </w:rPr>
        <w:t xml:space="preserve">לו </w:t>
      </w:r>
      <w:r w:rsidR="00F71925">
        <w:rPr>
          <w:rFonts w:ascii="David" w:hAnsi="David" w:cs="David" w:hint="cs"/>
          <w:rtl/>
        </w:rPr>
        <w:t>את ה</w:t>
      </w:r>
      <w:r w:rsidR="00F71925" w:rsidRPr="001E2123">
        <w:rPr>
          <w:rFonts w:ascii="David" w:hAnsi="David" w:cs="David"/>
          <w:rtl/>
        </w:rPr>
        <w:t>רישיון!</w:t>
      </w:r>
      <w:r w:rsidR="00F71925">
        <w:rPr>
          <w:rFonts w:ascii="David" w:hAnsi="David" w:cs="David" w:hint="cs"/>
          <w:rtl/>
        </w:rPr>
        <w:t xml:space="preserve"> הדבר</w:t>
      </w:r>
      <w:r w:rsidR="00F71925" w:rsidRPr="001E2123">
        <w:rPr>
          <w:rFonts w:ascii="David" w:hAnsi="David" w:cs="David"/>
          <w:rtl/>
        </w:rPr>
        <w:t xml:space="preserve"> כאילו מדרבן בנאדם לעשות עונש חמור מאשר עונש קל! </w:t>
      </w:r>
    </w:p>
    <w:p w14:paraId="4C7E8DAB" w14:textId="77777777" w:rsidR="000B7596" w:rsidRDefault="000B7596" w:rsidP="000B7596">
      <w:pPr>
        <w:pStyle w:val="a4"/>
        <w:spacing w:after="120" w:line="360" w:lineRule="auto"/>
        <w:ind w:left="226"/>
        <w:rPr>
          <w:rFonts w:ascii="David" w:hAnsi="David" w:cs="David"/>
          <w:b/>
          <w:bCs/>
          <w:sz w:val="24"/>
          <w:szCs w:val="24"/>
          <w:u w:val="single"/>
          <w:rtl/>
        </w:rPr>
      </w:pPr>
    </w:p>
    <w:p w14:paraId="5FBB6826" w14:textId="77777777" w:rsidR="00E47488" w:rsidRDefault="00E47488" w:rsidP="0010291B">
      <w:pPr>
        <w:pStyle w:val="a4"/>
        <w:spacing w:after="120" w:line="360" w:lineRule="auto"/>
        <w:ind w:left="-483"/>
        <w:rPr>
          <w:rFonts w:ascii="David" w:hAnsi="David" w:cs="David"/>
          <w:b/>
          <w:bCs/>
          <w:sz w:val="24"/>
          <w:szCs w:val="24"/>
          <w:u w:val="single"/>
          <w:rtl/>
        </w:rPr>
      </w:pPr>
    </w:p>
    <w:p w14:paraId="52F18A43" w14:textId="77777777" w:rsidR="00E47488" w:rsidRDefault="00E47488" w:rsidP="0010291B">
      <w:pPr>
        <w:pStyle w:val="a4"/>
        <w:spacing w:after="120" w:line="360" w:lineRule="auto"/>
        <w:ind w:left="-483"/>
        <w:rPr>
          <w:rFonts w:ascii="David" w:hAnsi="David" w:cs="David"/>
          <w:b/>
          <w:bCs/>
          <w:sz w:val="24"/>
          <w:szCs w:val="24"/>
          <w:u w:val="single"/>
          <w:rtl/>
        </w:rPr>
      </w:pPr>
    </w:p>
    <w:p w14:paraId="2E0DBD87" w14:textId="33976B06" w:rsidR="0010291B" w:rsidRDefault="0010291B" w:rsidP="0010291B">
      <w:pPr>
        <w:pStyle w:val="a4"/>
        <w:spacing w:after="120" w:line="360" w:lineRule="auto"/>
        <w:ind w:left="-483"/>
        <w:rPr>
          <w:rFonts w:ascii="David" w:hAnsi="David" w:cs="David"/>
          <w:b/>
          <w:bCs/>
          <w:sz w:val="24"/>
          <w:szCs w:val="24"/>
          <w:u w:val="single"/>
          <w:rtl/>
        </w:rPr>
      </w:pPr>
      <w:bookmarkStart w:id="2" w:name="_GoBack"/>
      <w:bookmarkEnd w:id="2"/>
      <w:r>
        <w:rPr>
          <w:rFonts w:ascii="David" w:hAnsi="David" w:cs="David" w:hint="cs"/>
          <w:b/>
          <w:bCs/>
          <w:sz w:val="24"/>
          <w:szCs w:val="24"/>
          <w:u w:val="single"/>
          <w:rtl/>
        </w:rPr>
        <w:lastRenderedPageBreak/>
        <w:t>שיעור 12, 10.01.2021</w:t>
      </w:r>
    </w:p>
    <w:p w14:paraId="602CA6CD" w14:textId="77777777" w:rsidR="005B389A" w:rsidRDefault="006A2E43" w:rsidP="006A2E43">
      <w:pPr>
        <w:pStyle w:val="a4"/>
        <w:spacing w:after="120" w:line="360" w:lineRule="auto"/>
        <w:ind w:left="-483"/>
        <w:jc w:val="center"/>
        <w:rPr>
          <w:rFonts w:ascii="David" w:hAnsi="David" w:cs="David"/>
          <w:b/>
          <w:bCs/>
          <w:sz w:val="24"/>
          <w:szCs w:val="24"/>
          <w:u w:val="single"/>
          <w:rtl/>
        </w:rPr>
      </w:pPr>
      <w:r>
        <w:rPr>
          <w:rFonts w:ascii="David" w:hAnsi="David" w:cs="David" w:hint="cs"/>
          <w:b/>
          <w:bCs/>
          <w:sz w:val="24"/>
          <w:szCs w:val="24"/>
          <w:u w:val="single"/>
          <w:rtl/>
        </w:rPr>
        <w:t>הפליליזציה של ההליך המשמעתי - חלק ב'</w:t>
      </w:r>
    </w:p>
    <w:p w14:paraId="2C08009B" w14:textId="77777777" w:rsidR="00D65299" w:rsidRDefault="00D65299" w:rsidP="0010291B">
      <w:pPr>
        <w:pStyle w:val="a4"/>
        <w:spacing w:after="120" w:line="360" w:lineRule="auto"/>
        <w:ind w:left="-483"/>
        <w:rPr>
          <w:rFonts w:ascii="David" w:hAnsi="David" w:cs="David"/>
          <w:b/>
          <w:bCs/>
          <w:sz w:val="24"/>
          <w:szCs w:val="24"/>
          <w:u w:val="single"/>
          <w:rtl/>
        </w:rPr>
      </w:pPr>
    </w:p>
    <w:p w14:paraId="4A0C16FF" w14:textId="77777777" w:rsidR="006A2E43" w:rsidRDefault="00D65299" w:rsidP="0010291B">
      <w:pPr>
        <w:pStyle w:val="a4"/>
        <w:spacing w:after="120" w:line="360" w:lineRule="auto"/>
        <w:ind w:left="-483"/>
        <w:rPr>
          <w:rFonts w:ascii="David" w:hAnsi="David" w:cs="David"/>
          <w:b/>
          <w:bCs/>
          <w:sz w:val="24"/>
          <w:szCs w:val="24"/>
          <w:u w:val="single"/>
          <w:rtl/>
        </w:rPr>
      </w:pPr>
      <w:r>
        <w:rPr>
          <w:rFonts w:ascii="David" w:hAnsi="David" w:cs="David" w:hint="cs"/>
          <w:b/>
          <w:bCs/>
          <w:sz w:val="24"/>
          <w:szCs w:val="24"/>
          <w:u w:val="single"/>
          <w:rtl/>
        </w:rPr>
        <w:t>הביטוי המעשי של הפליליזציה בשנים האחרונות</w:t>
      </w:r>
    </w:p>
    <w:p w14:paraId="4CDB0290" w14:textId="77777777" w:rsidR="00D65299" w:rsidRPr="0018775B" w:rsidRDefault="00E4317A" w:rsidP="0018775B">
      <w:pPr>
        <w:pStyle w:val="a4"/>
        <w:numPr>
          <w:ilvl w:val="0"/>
          <w:numId w:val="40"/>
        </w:numPr>
        <w:spacing w:after="120" w:line="360" w:lineRule="auto"/>
        <w:ind w:left="-125" w:hanging="357"/>
        <w:contextualSpacing w:val="0"/>
        <w:jc w:val="both"/>
        <w:rPr>
          <w:rFonts w:ascii="David" w:hAnsi="David" w:cs="David"/>
          <w:b/>
          <w:bCs/>
          <w:sz w:val="24"/>
          <w:szCs w:val="24"/>
          <w:u w:val="single"/>
        </w:rPr>
      </w:pPr>
      <w:r w:rsidRPr="0018775B">
        <w:rPr>
          <w:rFonts w:ascii="David" w:hAnsi="David" w:cs="David" w:hint="cs"/>
          <w:b/>
          <w:bCs/>
          <w:sz w:val="24"/>
          <w:szCs w:val="24"/>
          <w:rtl/>
        </w:rPr>
        <w:t>מציאת פסול בקיום קראה + הוכחות באותו מועד-</w:t>
      </w:r>
      <w:r>
        <w:rPr>
          <w:rFonts w:ascii="David" w:hAnsi="David" w:cs="David" w:hint="cs"/>
          <w:b/>
          <w:bCs/>
          <w:sz w:val="24"/>
          <w:szCs w:val="24"/>
          <w:u w:val="single"/>
          <w:rtl/>
        </w:rPr>
        <w:t xml:space="preserve"> </w:t>
      </w:r>
      <w:r w:rsidR="006A460D">
        <w:rPr>
          <w:rFonts w:ascii="David" w:hAnsi="David" w:cs="David" w:hint="cs"/>
          <w:sz w:val="24"/>
          <w:szCs w:val="24"/>
          <w:rtl/>
        </w:rPr>
        <w:t xml:space="preserve">בהליכים פליליים וגם בבתי דין צבאיים כך נוהגים. </w:t>
      </w:r>
    </w:p>
    <w:p w14:paraId="08FE248F" w14:textId="77777777" w:rsidR="0018775B" w:rsidRPr="0018775B" w:rsidRDefault="0018775B" w:rsidP="0018775B">
      <w:pPr>
        <w:pStyle w:val="a4"/>
        <w:numPr>
          <w:ilvl w:val="0"/>
          <w:numId w:val="40"/>
        </w:numPr>
        <w:spacing w:after="120" w:line="360" w:lineRule="auto"/>
        <w:ind w:left="-125" w:hanging="357"/>
        <w:contextualSpacing w:val="0"/>
        <w:jc w:val="both"/>
        <w:rPr>
          <w:rFonts w:ascii="David" w:hAnsi="David" w:cs="David"/>
          <w:b/>
          <w:bCs/>
          <w:sz w:val="24"/>
          <w:szCs w:val="24"/>
          <w:u w:val="single"/>
        </w:rPr>
      </w:pPr>
      <w:r w:rsidRPr="0018775B">
        <w:rPr>
          <w:rFonts w:ascii="David" w:hAnsi="David" w:cs="David" w:hint="cs"/>
          <w:b/>
          <w:bCs/>
          <w:sz w:val="24"/>
          <w:szCs w:val="24"/>
          <w:rtl/>
        </w:rPr>
        <w:t>פגיעה בכללי הצדק הטבעי כעילה לזיכוי -</w:t>
      </w:r>
      <w:r>
        <w:rPr>
          <w:rFonts w:ascii="David" w:hAnsi="David" w:cs="David" w:hint="cs"/>
          <w:sz w:val="24"/>
          <w:szCs w:val="24"/>
          <w:rtl/>
        </w:rPr>
        <w:t xml:space="preserve"> בד"א 6___ באותו מקרה התחילו לדון בהיעדרו, כי הזמינו והוא לא הגיע, והם המשיכו לדון בהיעדרו. בית הדין הארצי פוסל את הקונספט הזה. הם אומרים שבכל דיון צריך לזמן כחוק - אי אפשר בפעם השלישית לקבוע בשבילו כי הוא ממילא לא מגיע. כללי הצדק הטבעי אומרים שאי אפשר להרשיע אדם או לקבוע ממצאים לגביו בלי לתת לו את האפשרות להתגונן או להפריך את האשמות נגדו. בכל דיון מחדש צריך לבצע הזמנה כדין.</w:t>
      </w:r>
    </w:p>
    <w:p w14:paraId="18CD380D" w14:textId="77777777" w:rsidR="0018775B" w:rsidRDefault="0018775B" w:rsidP="0018775B">
      <w:pPr>
        <w:pStyle w:val="a4"/>
        <w:numPr>
          <w:ilvl w:val="0"/>
          <w:numId w:val="40"/>
        </w:numPr>
        <w:spacing w:after="120" w:line="360" w:lineRule="auto"/>
        <w:ind w:left="-125" w:hanging="357"/>
        <w:contextualSpacing w:val="0"/>
        <w:jc w:val="both"/>
        <w:rPr>
          <w:rFonts w:ascii="David" w:hAnsi="David" w:cs="David"/>
          <w:b/>
          <w:bCs/>
          <w:sz w:val="24"/>
          <w:szCs w:val="24"/>
          <w:u w:val="single"/>
        </w:rPr>
      </w:pPr>
      <w:r w:rsidRPr="0018775B">
        <w:rPr>
          <w:rFonts w:ascii="David" w:hAnsi="David" w:cs="David" w:hint="cs"/>
          <w:b/>
          <w:bCs/>
          <w:sz w:val="24"/>
          <w:szCs w:val="24"/>
          <w:rtl/>
        </w:rPr>
        <w:t>פרשנות טענת אין להשיב לאשמה -</w:t>
      </w:r>
      <w:r>
        <w:rPr>
          <w:rFonts w:ascii="David" w:hAnsi="David" w:cs="David" w:hint="cs"/>
          <w:sz w:val="24"/>
          <w:szCs w:val="24"/>
          <w:rtl/>
        </w:rPr>
        <w:t xml:space="preserve"> המבחן של אין להשיב לאשמה הוא כמו במשפט הפלילי 151/97 - </w:t>
      </w:r>
      <w:proofErr w:type="spellStart"/>
      <w:r>
        <w:rPr>
          <w:rFonts w:ascii="David" w:hAnsi="David" w:cs="David" w:hint="cs"/>
          <w:sz w:val="24"/>
          <w:szCs w:val="24"/>
          <w:rtl/>
        </w:rPr>
        <w:t>בד"מ</w:t>
      </w:r>
      <w:proofErr w:type="spellEnd"/>
      <w:r>
        <w:rPr>
          <w:rFonts w:ascii="David" w:hAnsi="David" w:cs="David" w:hint="cs"/>
          <w:sz w:val="24"/>
          <w:szCs w:val="24"/>
          <w:rtl/>
        </w:rPr>
        <w:t xml:space="preserve">, שם זוכה הנאשם. </w:t>
      </w:r>
    </w:p>
    <w:p w14:paraId="13EC03BF" w14:textId="77777777" w:rsidR="006979E9" w:rsidRDefault="006979E9" w:rsidP="0018775B">
      <w:pPr>
        <w:pStyle w:val="a4"/>
        <w:numPr>
          <w:ilvl w:val="0"/>
          <w:numId w:val="40"/>
        </w:numPr>
        <w:spacing w:after="120" w:line="360" w:lineRule="auto"/>
        <w:ind w:left="-125" w:hanging="357"/>
        <w:contextualSpacing w:val="0"/>
        <w:jc w:val="both"/>
        <w:rPr>
          <w:rFonts w:ascii="David" w:hAnsi="David" w:cs="David"/>
          <w:sz w:val="24"/>
          <w:szCs w:val="24"/>
        </w:rPr>
      </w:pPr>
      <w:r w:rsidRPr="00F164CC">
        <w:rPr>
          <w:rFonts w:ascii="David" w:hAnsi="David" w:cs="David" w:hint="cs"/>
          <w:b/>
          <w:bCs/>
          <w:sz w:val="24"/>
          <w:szCs w:val="24"/>
          <w:rtl/>
        </w:rPr>
        <w:t>מחיקת הרשעות קודמות מכוח חוק תקנת השבים, חנינה מנשיא המדינה</w:t>
      </w:r>
      <w:r w:rsidRPr="006979E9">
        <w:rPr>
          <w:rFonts w:ascii="David" w:hAnsi="David" w:cs="David" w:hint="cs"/>
          <w:sz w:val="24"/>
          <w:szCs w:val="24"/>
          <w:rtl/>
        </w:rPr>
        <w:t xml:space="preserve"> - מעבר מתחולה רק על עבירות פליליות, לתחולה גם על הדין המשמעתי ולעבירות משמעת. השוני הגדול הגיע בעקבות בג"ץ 957/89 גדעון צדוק נגד לשכת עורכי הדין - </w:t>
      </w:r>
      <w:r w:rsidR="00F164CC">
        <w:rPr>
          <w:rFonts w:ascii="David" w:hAnsi="David" w:cs="David" w:hint="cs"/>
          <w:sz w:val="24"/>
          <w:szCs w:val="24"/>
          <w:rtl/>
        </w:rPr>
        <w:t xml:space="preserve">עו"ד עשה עבירה פלילית שיש עמה קלון, עבירה פלילית קשה של גניבת כספי לקוח למשל. אם קיבל על זה מאסר שנה ועשר שנות </w:t>
      </w:r>
      <w:proofErr w:type="spellStart"/>
      <w:r w:rsidR="00F164CC">
        <w:rPr>
          <w:rFonts w:ascii="David" w:hAnsi="David" w:cs="David" w:hint="cs"/>
          <w:sz w:val="24"/>
          <w:szCs w:val="24"/>
          <w:rtl/>
        </w:rPr>
        <w:t>השעייה</w:t>
      </w:r>
      <w:proofErr w:type="spellEnd"/>
      <w:r w:rsidR="00F164CC">
        <w:rPr>
          <w:rFonts w:ascii="David" w:hAnsi="David" w:cs="David" w:hint="cs"/>
          <w:sz w:val="24"/>
          <w:szCs w:val="24"/>
          <w:rtl/>
        </w:rPr>
        <w:t xml:space="preserve">, אולם נשיא המדינה נתן לו חנינה על המעשה הפלילי, אומר העליון שההשעיה פוקעת - כי הרי כרתו את הגזע, אז מובן שגם הענף יורד. </w:t>
      </w:r>
    </w:p>
    <w:p w14:paraId="605872A1" w14:textId="77777777" w:rsidR="00F164CC" w:rsidRDefault="00F164CC" w:rsidP="0018775B">
      <w:pPr>
        <w:pStyle w:val="a4"/>
        <w:numPr>
          <w:ilvl w:val="0"/>
          <w:numId w:val="40"/>
        </w:numPr>
        <w:spacing w:after="120" w:line="360" w:lineRule="auto"/>
        <w:ind w:left="-125" w:hanging="357"/>
        <w:contextualSpacing w:val="0"/>
        <w:jc w:val="both"/>
        <w:rPr>
          <w:rFonts w:ascii="David" w:hAnsi="David" w:cs="David"/>
          <w:sz w:val="24"/>
          <w:szCs w:val="24"/>
        </w:rPr>
      </w:pPr>
      <w:r>
        <w:rPr>
          <w:rFonts w:ascii="David" w:hAnsi="David" w:cs="David" w:hint="cs"/>
          <w:sz w:val="24"/>
          <w:szCs w:val="24"/>
          <w:rtl/>
        </w:rPr>
        <w:t xml:space="preserve">כיוון של שינוי בעניין ההתיישנות - </w:t>
      </w:r>
    </w:p>
    <w:p w14:paraId="3C3265D4" w14:textId="77777777" w:rsidR="00F164CC" w:rsidRDefault="00F164CC" w:rsidP="0018775B">
      <w:pPr>
        <w:pStyle w:val="a4"/>
        <w:numPr>
          <w:ilvl w:val="0"/>
          <w:numId w:val="40"/>
        </w:numPr>
        <w:spacing w:after="120" w:line="360" w:lineRule="auto"/>
        <w:ind w:left="-125" w:hanging="357"/>
        <w:contextualSpacing w:val="0"/>
        <w:jc w:val="both"/>
        <w:rPr>
          <w:rFonts w:ascii="David" w:hAnsi="David" w:cs="David"/>
          <w:sz w:val="24"/>
          <w:szCs w:val="24"/>
        </w:rPr>
      </w:pPr>
      <w:r>
        <w:rPr>
          <w:rFonts w:ascii="David" w:hAnsi="David" w:cs="David" w:hint="cs"/>
          <w:sz w:val="24"/>
          <w:szCs w:val="24"/>
          <w:rtl/>
        </w:rPr>
        <w:t xml:space="preserve">פופולאריות הענישה על תנאי- </w:t>
      </w:r>
    </w:p>
    <w:p w14:paraId="74793999" w14:textId="77777777" w:rsidR="00F164CC" w:rsidRDefault="00F164CC" w:rsidP="0018775B">
      <w:pPr>
        <w:pStyle w:val="a4"/>
        <w:numPr>
          <w:ilvl w:val="0"/>
          <w:numId w:val="40"/>
        </w:numPr>
        <w:spacing w:after="120" w:line="360" w:lineRule="auto"/>
        <w:ind w:left="-125" w:hanging="357"/>
        <w:contextualSpacing w:val="0"/>
        <w:jc w:val="both"/>
        <w:rPr>
          <w:rFonts w:ascii="David" w:hAnsi="David" w:cs="David"/>
          <w:sz w:val="24"/>
          <w:szCs w:val="24"/>
        </w:rPr>
      </w:pPr>
      <w:r>
        <w:rPr>
          <w:rFonts w:ascii="David" w:hAnsi="David" w:cs="David" w:hint="cs"/>
          <w:sz w:val="24"/>
          <w:szCs w:val="24"/>
          <w:rtl/>
        </w:rPr>
        <w:t xml:space="preserve">שינוי הגישה לעניין דלתיים סגורות - בעבר ההליך המשמעתי היה בדלתיים סגורות, אלא אם מצא את הצורך </w:t>
      </w:r>
      <w:proofErr w:type="spellStart"/>
      <w:r>
        <w:rPr>
          <w:rFonts w:ascii="David" w:hAnsi="David" w:cs="David" w:hint="cs"/>
          <w:sz w:val="24"/>
          <w:szCs w:val="24"/>
          <w:rtl/>
        </w:rPr>
        <w:t>פלתוח</w:t>
      </w:r>
      <w:proofErr w:type="spellEnd"/>
      <w:r>
        <w:rPr>
          <w:rFonts w:ascii="David" w:hAnsi="David" w:cs="David" w:hint="cs"/>
          <w:sz w:val="24"/>
          <w:szCs w:val="24"/>
          <w:rtl/>
        </w:rPr>
        <w:t xml:space="preserve"> (נדיר שהיה מסכיכם) וגם פתיחת הדלתות לא הייתה לעיתונאים, אלא לבן משפחה או למקורב. </w:t>
      </w:r>
    </w:p>
    <w:p w14:paraId="69A39CA3" w14:textId="77777777" w:rsidR="00030AEE" w:rsidRDefault="00030AEE" w:rsidP="0018775B">
      <w:pPr>
        <w:pStyle w:val="a4"/>
        <w:numPr>
          <w:ilvl w:val="0"/>
          <w:numId w:val="40"/>
        </w:numPr>
        <w:spacing w:after="120" w:line="360" w:lineRule="auto"/>
        <w:ind w:left="-125" w:hanging="357"/>
        <w:contextualSpacing w:val="0"/>
        <w:jc w:val="both"/>
        <w:rPr>
          <w:rFonts w:ascii="David" w:hAnsi="David" w:cs="David"/>
          <w:sz w:val="24"/>
          <w:szCs w:val="24"/>
        </w:rPr>
      </w:pPr>
      <w:r>
        <w:rPr>
          <w:rFonts w:ascii="David" w:hAnsi="David" w:cs="David" w:hint="cs"/>
          <w:sz w:val="24"/>
          <w:szCs w:val="24"/>
          <w:rtl/>
        </w:rPr>
        <w:t xml:space="preserve">יכולת ערעור על החלטת פסיקת מותב - הדין המשמעתי קיבל זאת מההליך הפלילי (החלטת ביניים). הוגש כתב אישום, בד"א 97/98 - שינה את ההלכה שקבעה שאין ערערו לפסילת מותב עד סוף הדיון, ואילו בית הדין הארצי קבע שגם בהליכים משמעתיים אם בא נאשם ורואה שהרכב בית הדין פסול או סובל מניגוד עניינים, אז אפשר יהיה כבר עכשיו לקבל החלטה. המותב שמבקשים ממנו לפסול את עצמו הוא זה שנותן את ההחלטה המנומקת, ואפשר לערער על ההחלטה הזו - לבית הדין הארצי המשמעתי. בבית משפט - הערעור על פסילת שופט אחרי החלטה מנומקת של השופט, הולך ישר לנשיאת בית המשפט העליון, כאשר רובם נדחים. </w:t>
      </w:r>
    </w:p>
    <w:p w14:paraId="44BD155F" w14:textId="77777777" w:rsidR="00030AEE" w:rsidRDefault="00030AEE" w:rsidP="0018775B">
      <w:pPr>
        <w:pStyle w:val="a4"/>
        <w:numPr>
          <w:ilvl w:val="0"/>
          <w:numId w:val="40"/>
        </w:numPr>
        <w:spacing w:after="120" w:line="360" w:lineRule="auto"/>
        <w:ind w:left="-125" w:hanging="357"/>
        <w:contextualSpacing w:val="0"/>
        <w:jc w:val="both"/>
        <w:rPr>
          <w:rFonts w:ascii="David" w:hAnsi="David" w:cs="David"/>
          <w:sz w:val="24"/>
          <w:szCs w:val="24"/>
        </w:rPr>
      </w:pPr>
      <w:r>
        <w:rPr>
          <w:rFonts w:ascii="David" w:hAnsi="David" w:cs="David" w:hint="cs"/>
          <w:sz w:val="24"/>
          <w:szCs w:val="24"/>
          <w:rtl/>
        </w:rPr>
        <w:t xml:space="preserve">התייחסות להרשעות מאוחרות - </w:t>
      </w:r>
    </w:p>
    <w:p w14:paraId="24E9B687" w14:textId="77777777" w:rsidR="00030AEE" w:rsidRDefault="00030AEE" w:rsidP="0018775B">
      <w:pPr>
        <w:pStyle w:val="a4"/>
        <w:numPr>
          <w:ilvl w:val="0"/>
          <w:numId w:val="40"/>
        </w:numPr>
        <w:spacing w:after="120" w:line="360" w:lineRule="auto"/>
        <w:ind w:left="-125" w:hanging="357"/>
        <w:contextualSpacing w:val="0"/>
        <w:jc w:val="both"/>
        <w:rPr>
          <w:rFonts w:ascii="David" w:hAnsi="David" w:cs="David"/>
          <w:sz w:val="24"/>
          <w:szCs w:val="24"/>
        </w:rPr>
      </w:pPr>
      <w:r>
        <w:rPr>
          <w:rFonts w:ascii="David" w:hAnsi="David" w:cs="David" w:hint="cs"/>
          <w:sz w:val="24"/>
          <w:szCs w:val="24"/>
          <w:rtl/>
        </w:rPr>
        <w:t xml:space="preserve">אי יכולת הנאשם לערער על הזיכוי - עד עכשיו דיברנו על העצמת הנאשם, כאן זה כביכול נגד הנאשם. בד"א 27/90 - עו"ד שזוכה בהליכים משמעתיים, לא רשאי להגיש ערעור על פסק הדין. זוכה בדין אבל ביתה משפט כתב ביקורת עליו או שזיכה מחוסר ראיות, והוא רוצה זיכוי מוחלט - אי אפשר </w:t>
      </w:r>
      <w:r>
        <w:rPr>
          <w:rFonts w:ascii="David" w:hAnsi="David" w:cs="David" w:hint="cs"/>
          <w:sz w:val="24"/>
          <w:szCs w:val="24"/>
          <w:rtl/>
        </w:rPr>
        <w:lastRenderedPageBreak/>
        <w:t xml:space="preserve">לערער על זה בהליך פלילי, והעתיקו את זה להליך משמעתי. גם בהליך משמעתי נאשם לא יכול לערער על זיכוי. </w:t>
      </w:r>
    </w:p>
    <w:p w14:paraId="350C2ACA" w14:textId="77777777" w:rsidR="00866FAA" w:rsidRDefault="00866FAA" w:rsidP="0018775B">
      <w:pPr>
        <w:pStyle w:val="a4"/>
        <w:numPr>
          <w:ilvl w:val="0"/>
          <w:numId w:val="40"/>
        </w:numPr>
        <w:spacing w:after="120" w:line="360" w:lineRule="auto"/>
        <w:ind w:left="-125" w:hanging="357"/>
        <w:contextualSpacing w:val="0"/>
        <w:jc w:val="both"/>
        <w:rPr>
          <w:rFonts w:ascii="David" w:hAnsi="David" w:cs="David"/>
          <w:sz w:val="24"/>
          <w:szCs w:val="24"/>
        </w:rPr>
      </w:pPr>
      <w:r>
        <w:rPr>
          <w:rFonts w:ascii="David" w:hAnsi="David" w:cs="David" w:hint="cs"/>
          <w:sz w:val="24"/>
          <w:szCs w:val="24"/>
          <w:rtl/>
        </w:rPr>
        <w:t>חיוב קובל בהוצאות נאשם שזוכה - כמו שאפשר לחייב נאשם, כך אפשר לחייב קובל בהוצאות נאשם שזוכה. תיקון לחוק שלא היה קיים בלשכת עורכי הדין המקורי.</w:t>
      </w:r>
    </w:p>
    <w:p w14:paraId="2ED267BE" w14:textId="77777777" w:rsidR="00866FAA" w:rsidRDefault="00866FAA" w:rsidP="0018775B">
      <w:pPr>
        <w:pStyle w:val="a4"/>
        <w:numPr>
          <w:ilvl w:val="0"/>
          <w:numId w:val="40"/>
        </w:numPr>
        <w:spacing w:after="120" w:line="360" w:lineRule="auto"/>
        <w:ind w:left="-125" w:hanging="357"/>
        <w:contextualSpacing w:val="0"/>
        <w:jc w:val="both"/>
        <w:rPr>
          <w:rFonts w:ascii="David" w:hAnsi="David" w:cs="David"/>
          <w:sz w:val="24"/>
          <w:szCs w:val="24"/>
        </w:rPr>
      </w:pPr>
      <w:r>
        <w:rPr>
          <w:rFonts w:ascii="David" w:hAnsi="David" w:cs="David" w:hint="cs"/>
          <w:sz w:val="24"/>
          <w:szCs w:val="24"/>
          <w:rtl/>
        </w:rPr>
        <w:t xml:space="preserve">שיקולים בעת דיון בבקשה להארכת מועד לבקשת ערעור - </w:t>
      </w:r>
      <w:r w:rsidR="001D13DB">
        <w:rPr>
          <w:rFonts w:ascii="David" w:hAnsi="David" w:cs="David" w:hint="cs"/>
          <w:sz w:val="24"/>
          <w:szCs w:val="24"/>
          <w:rtl/>
        </w:rPr>
        <w:t xml:space="preserve">במשפט אזרחי יחולו אותם שיקולים אם המערער הוא התובע או הנתבע. לעומת זאת בהליך פלילי ומשמעתי קיימת החמרה לרעת המדינה או הקובל - באים לקראת הנאשם והמורשע מאשר המדינה, כי התפיסה היא שאם הוא קיבל זיכוי והמדינה לא הגישה ערעור בזמן, יחמירו איתה מאוד. לעומת זאת נאשם שהורשע בפלילי וביקש הארכת מועד - יותר יקלו איתו יותר מאשר המדינה אותו דבר הועתק להליך משמעתי. </w:t>
      </w:r>
    </w:p>
    <w:p w14:paraId="58E2AE20" w14:textId="77777777" w:rsidR="007B65E6" w:rsidRDefault="007B65E6" w:rsidP="0018775B">
      <w:pPr>
        <w:pStyle w:val="a4"/>
        <w:numPr>
          <w:ilvl w:val="0"/>
          <w:numId w:val="40"/>
        </w:numPr>
        <w:spacing w:after="120" w:line="360" w:lineRule="auto"/>
        <w:ind w:left="-125" w:hanging="357"/>
        <w:contextualSpacing w:val="0"/>
        <w:jc w:val="both"/>
        <w:rPr>
          <w:rFonts w:ascii="David" w:hAnsi="David" w:cs="David"/>
          <w:sz w:val="24"/>
          <w:szCs w:val="24"/>
        </w:rPr>
      </w:pPr>
      <w:r>
        <w:rPr>
          <w:rFonts w:ascii="David" w:hAnsi="David" w:cs="David" w:hint="cs"/>
          <w:sz w:val="24"/>
          <w:szCs w:val="24"/>
          <w:rtl/>
        </w:rPr>
        <w:t xml:space="preserve">הצורך בדבר מה נוסף כשקיימת רק הודעת הנאשם - </w:t>
      </w:r>
      <w:r w:rsidR="00127090">
        <w:rPr>
          <w:rFonts w:ascii="David" w:hAnsi="David" w:cs="David" w:hint="cs"/>
          <w:sz w:val="24"/>
          <w:szCs w:val="24"/>
          <w:rtl/>
        </w:rPr>
        <w:t xml:space="preserve">חובה על הקובל להוכיח גם דבר מה נוסף כמו בהליך הפלילי. נקבע </w:t>
      </w:r>
      <w:proofErr w:type="spellStart"/>
      <w:r w:rsidR="00127090">
        <w:rPr>
          <w:rFonts w:ascii="David" w:hAnsi="David" w:cs="David" w:hint="cs"/>
          <w:sz w:val="24"/>
          <w:szCs w:val="24"/>
          <w:rtl/>
        </w:rPr>
        <w:t>בבד"א</w:t>
      </w:r>
      <w:proofErr w:type="spellEnd"/>
      <w:r w:rsidR="00127090">
        <w:rPr>
          <w:rFonts w:ascii="David" w:hAnsi="David" w:cs="David" w:hint="cs"/>
          <w:sz w:val="24"/>
          <w:szCs w:val="24"/>
          <w:rtl/>
        </w:rPr>
        <w:t xml:space="preserve"> 22/76 - תחילת הדרך של הפליליזציה.</w:t>
      </w:r>
    </w:p>
    <w:p w14:paraId="0B3EF41E" w14:textId="77777777" w:rsidR="00127090" w:rsidRDefault="00127090" w:rsidP="00127090">
      <w:pPr>
        <w:pStyle w:val="a4"/>
        <w:numPr>
          <w:ilvl w:val="0"/>
          <w:numId w:val="40"/>
        </w:numPr>
        <w:spacing w:after="120" w:line="360" w:lineRule="auto"/>
        <w:ind w:left="-125" w:hanging="357"/>
        <w:contextualSpacing w:val="0"/>
        <w:jc w:val="both"/>
        <w:rPr>
          <w:rFonts w:ascii="David" w:hAnsi="David" w:cs="David"/>
          <w:sz w:val="24"/>
          <w:szCs w:val="24"/>
        </w:rPr>
      </w:pPr>
      <w:r>
        <w:rPr>
          <w:rFonts w:ascii="David" w:hAnsi="David" w:cs="David" w:hint="cs"/>
          <w:sz w:val="24"/>
          <w:szCs w:val="24"/>
          <w:rtl/>
        </w:rPr>
        <w:t>זכות הייצוג בהליכים משמעתיים - זכות שהיא מושפעת מההליך הפלילי. הוכרה כאחת מזכויות היסוד, ונגזרת מהזכות לגישה לערכאות. אחת הדוגמאות 1/89 - הועד המחוזי נ' שפיצר, שם הועד קבע שיש לו זכות להיות מיוצג, ואישרו את דחיית הדיון בשביל לאפשר לו ייצוג, אפילו שהוא היה עו"ד שמועמד לדין משמעתי.</w:t>
      </w:r>
    </w:p>
    <w:p w14:paraId="0927EB5C" w14:textId="77777777" w:rsidR="00127090" w:rsidRPr="00127090" w:rsidRDefault="00127090" w:rsidP="00F73E35">
      <w:pPr>
        <w:spacing w:after="120" w:line="360" w:lineRule="auto"/>
        <w:ind w:left="-199"/>
        <w:jc w:val="both"/>
        <w:rPr>
          <w:rFonts w:ascii="David" w:hAnsi="David" w:cs="David"/>
          <w:b/>
          <w:bCs/>
          <w:sz w:val="24"/>
          <w:szCs w:val="24"/>
          <w:u w:val="single"/>
          <w:rtl/>
        </w:rPr>
      </w:pPr>
      <w:r w:rsidRPr="00127090">
        <w:rPr>
          <w:rFonts w:ascii="David" w:hAnsi="David" w:cs="David" w:hint="cs"/>
          <w:b/>
          <w:bCs/>
          <w:sz w:val="24"/>
          <w:szCs w:val="24"/>
          <w:u w:val="single"/>
          <w:rtl/>
        </w:rPr>
        <w:t>שונות</w:t>
      </w:r>
    </w:p>
    <w:p w14:paraId="5B7CCE56" w14:textId="77777777" w:rsidR="00216EB5" w:rsidRDefault="00127090" w:rsidP="00216EB5">
      <w:pPr>
        <w:pStyle w:val="a4"/>
        <w:numPr>
          <w:ilvl w:val="0"/>
          <w:numId w:val="41"/>
        </w:numPr>
        <w:spacing w:after="120" w:line="360" w:lineRule="auto"/>
        <w:ind w:left="-199"/>
        <w:jc w:val="both"/>
        <w:rPr>
          <w:rFonts w:ascii="David" w:hAnsi="David" w:cs="David"/>
          <w:sz w:val="24"/>
          <w:szCs w:val="24"/>
        </w:rPr>
      </w:pPr>
      <w:r w:rsidRPr="00F73E35">
        <w:rPr>
          <w:rFonts w:ascii="David" w:hAnsi="David" w:cs="David" w:hint="cs"/>
          <w:b/>
          <w:bCs/>
          <w:sz w:val="24"/>
          <w:szCs w:val="24"/>
          <w:rtl/>
        </w:rPr>
        <w:t>הביקורת על תהליך הפלי</w:t>
      </w:r>
      <w:r w:rsidR="003860B5" w:rsidRPr="00F73E35">
        <w:rPr>
          <w:rFonts w:ascii="David" w:hAnsi="David" w:cs="David" w:hint="cs"/>
          <w:b/>
          <w:bCs/>
          <w:sz w:val="24"/>
          <w:szCs w:val="24"/>
          <w:rtl/>
        </w:rPr>
        <w:t>ל</w:t>
      </w:r>
      <w:r w:rsidRPr="00F73E35">
        <w:rPr>
          <w:rFonts w:ascii="David" w:hAnsi="David" w:cs="David" w:hint="cs"/>
          <w:b/>
          <w:bCs/>
          <w:sz w:val="24"/>
          <w:szCs w:val="24"/>
          <w:rtl/>
        </w:rPr>
        <w:t>יזציה של ההליך המשמעתי</w:t>
      </w:r>
      <w:r>
        <w:rPr>
          <w:rFonts w:ascii="David" w:hAnsi="David" w:cs="David" w:hint="cs"/>
          <w:sz w:val="24"/>
          <w:szCs w:val="24"/>
          <w:rtl/>
        </w:rPr>
        <w:t xml:space="preserve"> - טשטוש הגבולות בין ההליך המשמעתי להליך הפלילי, מפחית הרשעות בדין המשמעתי. </w:t>
      </w:r>
      <w:r w:rsidR="003860B5">
        <w:rPr>
          <w:rFonts w:ascii="David" w:hAnsi="David" w:cs="David" w:hint="cs"/>
          <w:sz w:val="24"/>
          <w:szCs w:val="24"/>
          <w:rtl/>
        </w:rPr>
        <w:t xml:space="preserve">להשלים מהמחברת של שירן איובי. אין מעמד לנפגע עבירה בהליך משמעתי, לכן האיזון לא </w:t>
      </w:r>
      <w:proofErr w:type="spellStart"/>
      <w:r w:rsidR="003860B5">
        <w:rPr>
          <w:rFonts w:ascii="David" w:hAnsi="David" w:cs="David" w:hint="cs"/>
          <w:sz w:val="24"/>
          <w:szCs w:val="24"/>
          <w:rtl/>
        </w:rPr>
        <w:t>יים</w:t>
      </w:r>
      <w:proofErr w:type="spellEnd"/>
      <w:r w:rsidR="003860B5">
        <w:rPr>
          <w:rFonts w:ascii="David" w:hAnsi="David" w:cs="David" w:hint="cs"/>
          <w:sz w:val="24"/>
          <w:szCs w:val="24"/>
          <w:rtl/>
        </w:rPr>
        <w:t xml:space="preserve"> והוא יכול באופן פרדוקסאלי להעצים את מעמדו של </w:t>
      </w:r>
      <w:r w:rsidR="00F73E35">
        <w:rPr>
          <w:rFonts w:ascii="David" w:hAnsi="David" w:cs="David" w:hint="cs"/>
          <w:sz w:val="24"/>
          <w:szCs w:val="24"/>
          <w:rtl/>
        </w:rPr>
        <w:t xml:space="preserve">הנאשם. </w:t>
      </w:r>
    </w:p>
    <w:p w14:paraId="5E048FA2" w14:textId="77777777" w:rsidR="005F2778" w:rsidRDefault="005F2778" w:rsidP="005F2778">
      <w:pPr>
        <w:pStyle w:val="a4"/>
        <w:spacing w:after="120" w:line="360" w:lineRule="auto"/>
        <w:ind w:left="-199"/>
        <w:jc w:val="both"/>
        <w:rPr>
          <w:rFonts w:ascii="David" w:hAnsi="David" w:cs="David"/>
          <w:sz w:val="24"/>
          <w:szCs w:val="24"/>
        </w:rPr>
      </w:pPr>
    </w:p>
    <w:p w14:paraId="7007243F" w14:textId="1A80092D" w:rsidR="00997D68" w:rsidRDefault="005F2778" w:rsidP="005F2778">
      <w:pPr>
        <w:pStyle w:val="a4"/>
        <w:numPr>
          <w:ilvl w:val="0"/>
          <w:numId w:val="38"/>
        </w:numPr>
        <w:spacing w:after="120" w:line="360" w:lineRule="auto"/>
        <w:ind w:left="-199"/>
        <w:jc w:val="both"/>
        <w:rPr>
          <w:rFonts w:ascii="David" w:hAnsi="David" w:cs="David"/>
          <w:sz w:val="24"/>
          <w:szCs w:val="24"/>
        </w:rPr>
      </w:pPr>
      <w:r>
        <w:rPr>
          <w:rFonts w:ascii="David" w:hAnsi="David" w:cs="David" w:hint="cs"/>
          <w:sz w:val="24"/>
          <w:szCs w:val="24"/>
          <w:rtl/>
        </w:rPr>
        <w:t>מבחן במודל - רמת השאלות</w:t>
      </w:r>
    </w:p>
    <w:p w14:paraId="3CECC6A2" w14:textId="2DCE5970" w:rsidR="0085063A" w:rsidRDefault="0085063A" w:rsidP="005F2778">
      <w:pPr>
        <w:pStyle w:val="a4"/>
        <w:numPr>
          <w:ilvl w:val="0"/>
          <w:numId w:val="38"/>
        </w:numPr>
        <w:spacing w:after="120" w:line="360" w:lineRule="auto"/>
        <w:ind w:left="-199"/>
        <w:jc w:val="both"/>
        <w:rPr>
          <w:rFonts w:ascii="David" w:hAnsi="David" w:cs="David"/>
          <w:sz w:val="24"/>
          <w:szCs w:val="24"/>
        </w:rPr>
      </w:pPr>
      <w:r>
        <w:rPr>
          <w:rFonts w:ascii="David" w:hAnsi="David" w:cs="David" w:hint="cs"/>
          <w:sz w:val="24"/>
          <w:szCs w:val="24"/>
          <w:rtl/>
        </w:rPr>
        <w:t>מעל ציון 90 - מכתב המלצה</w:t>
      </w:r>
    </w:p>
    <w:p w14:paraId="0BD91CF1" w14:textId="48F3D9D5" w:rsidR="00126FFB" w:rsidRPr="00126FFB" w:rsidRDefault="00126FFB" w:rsidP="00126FFB">
      <w:pPr>
        <w:spacing w:after="120" w:line="360" w:lineRule="auto"/>
        <w:jc w:val="both"/>
        <w:rPr>
          <w:rFonts w:ascii="David" w:hAnsi="David" w:cs="David"/>
          <w:sz w:val="24"/>
          <w:szCs w:val="24"/>
          <w:rtl/>
        </w:rPr>
      </w:pPr>
      <w:r>
        <w:rPr>
          <w:noProof/>
        </w:rPr>
        <w:drawing>
          <wp:inline distT="0" distB="0" distL="0" distR="0" wp14:anchorId="4DF8A83B" wp14:editId="1252FBB9">
            <wp:extent cx="5274310" cy="2965450"/>
            <wp:effectExtent l="0" t="0" r="2540" b="635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65450"/>
                    </a:xfrm>
                    <a:prstGeom prst="rect">
                      <a:avLst/>
                    </a:prstGeom>
                  </pic:spPr>
                </pic:pic>
              </a:graphicData>
            </a:graphic>
          </wp:inline>
        </w:drawing>
      </w:r>
    </w:p>
    <w:sectPr w:rsidR="00126FFB" w:rsidRPr="00126FFB" w:rsidSect="00AF5E20">
      <w:headerReference w:type="default" r:id="rId22"/>
      <w:foot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F0F19" w14:textId="77777777" w:rsidR="00FC1AE8" w:rsidRDefault="00FC1AE8" w:rsidP="000A0BD7">
      <w:pPr>
        <w:spacing w:after="0" w:line="240" w:lineRule="auto"/>
      </w:pPr>
      <w:r>
        <w:separator/>
      </w:r>
    </w:p>
  </w:endnote>
  <w:endnote w:type="continuationSeparator" w:id="0">
    <w:p w14:paraId="5E79BD5A" w14:textId="77777777" w:rsidR="00FC1AE8" w:rsidRDefault="00FC1AE8" w:rsidP="000A0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80948005"/>
      <w:docPartObj>
        <w:docPartGallery w:val="Page Numbers (Bottom of Page)"/>
        <w:docPartUnique/>
      </w:docPartObj>
    </w:sdtPr>
    <w:sdtEndPr>
      <w:rPr>
        <w:rFonts w:ascii="Calibri" w:hAnsi="Calibri" w:cs="Calibri"/>
        <w:cs/>
      </w:rPr>
    </w:sdtEndPr>
    <w:sdtContent>
      <w:p w14:paraId="3B7AF817" w14:textId="77777777" w:rsidR="00997D68" w:rsidRDefault="00997D68" w:rsidP="0020761C">
        <w:pPr>
          <w:pStyle w:val="a7"/>
          <w:jc w:val="center"/>
          <w:rPr>
            <w:rtl/>
            <w:cs/>
          </w:rPr>
        </w:pPr>
        <w:r>
          <w:fldChar w:fldCharType="begin"/>
        </w:r>
        <w:r>
          <w:rPr>
            <w:rtl/>
            <w:cs/>
          </w:rPr>
          <w:instrText>PAGE   \* MERGEFORMAT</w:instrText>
        </w:r>
        <w:r>
          <w:fldChar w:fldCharType="separate"/>
        </w:r>
        <w:r w:rsidRPr="00C854DA">
          <w:rPr>
            <w:noProof/>
            <w:rtl/>
            <w:lang w:val="he-IL"/>
          </w:rPr>
          <w:t>5</w:t>
        </w:r>
        <w:r w:rsidRPr="00C854DA">
          <w:rPr>
            <w:noProof/>
            <w:rtl/>
            <w:lang w:val="he-IL"/>
          </w:rPr>
          <w:t>1</w:t>
        </w:r>
        <w:r>
          <w:fldChar w:fldCharType="end"/>
        </w:r>
      </w:p>
    </w:sdtContent>
  </w:sdt>
  <w:p w14:paraId="778C519C" w14:textId="77777777" w:rsidR="00997D68" w:rsidRDefault="00997D6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6F24B" w14:textId="77777777" w:rsidR="00FC1AE8" w:rsidRDefault="00FC1AE8" w:rsidP="000A0BD7">
      <w:pPr>
        <w:spacing w:after="0" w:line="240" w:lineRule="auto"/>
      </w:pPr>
      <w:r>
        <w:separator/>
      </w:r>
    </w:p>
  </w:footnote>
  <w:footnote w:type="continuationSeparator" w:id="0">
    <w:p w14:paraId="487B28E0" w14:textId="77777777" w:rsidR="00FC1AE8" w:rsidRDefault="00FC1AE8" w:rsidP="000A0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AFD0B" w14:textId="77777777" w:rsidR="00997D68" w:rsidRPr="003D6A63" w:rsidRDefault="00997D68" w:rsidP="00E6064B">
    <w:pPr>
      <w:pStyle w:val="a5"/>
      <w:ind w:left="-1050"/>
      <w:rPr>
        <w:rFonts w:cstheme="minorHAnsi"/>
      </w:rPr>
    </w:pPr>
    <w:r w:rsidRPr="003D6A63">
      <w:rPr>
        <w:rFonts w:cstheme="minorHAnsi"/>
        <w:rtl/>
      </w:rPr>
      <w:t xml:space="preserve">שחר יונה | מחברת קורס מצטברת: </w:t>
    </w:r>
    <w:r>
      <w:rPr>
        <w:rFonts w:cstheme="minorHAnsi" w:hint="cs"/>
        <w:rtl/>
      </w:rPr>
      <w:t>הדין המשמעתי</w:t>
    </w:r>
    <w:r w:rsidRPr="003D6A63">
      <w:rPr>
        <w:rFonts w:cstheme="minorHAnsi"/>
        <w:rtl/>
      </w:rPr>
      <w:t xml:space="preserve"> - </w:t>
    </w:r>
    <w:r>
      <w:rPr>
        <w:rFonts w:cstheme="minorHAnsi" w:hint="cs"/>
        <w:rtl/>
      </w:rPr>
      <w:t xml:space="preserve">השופט ד"ר מנחם (מריו) קליין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1" type="#_x0000_t75" style="width:10.75pt;height:10.75pt" o:bullet="t">
        <v:imagedata r:id="rId1" o:title="mso6EA8"/>
      </v:shape>
    </w:pict>
  </w:numPicBullet>
  <w:abstractNum w:abstractNumId="0" w15:restartNumberingAfterBreak="0">
    <w:nsid w:val="02DF4D29"/>
    <w:multiLevelType w:val="hybridMultilevel"/>
    <w:tmpl w:val="DBC81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6F4D48"/>
    <w:multiLevelType w:val="hybridMultilevel"/>
    <w:tmpl w:val="805CCD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1A2E04">
      <w:start w:val="1"/>
      <w:numFmt w:val="decimal"/>
      <w:lvlText w:val="(%3)"/>
      <w:lvlJc w:val="left"/>
      <w:pPr>
        <w:ind w:left="2340" w:hanging="360"/>
      </w:pPr>
      <w:rPr>
        <w:rFonts w:hint="default"/>
      </w:rPr>
    </w:lvl>
    <w:lvl w:ilvl="3" w:tplc="FCA87958">
      <w:start w:val="1"/>
      <w:numFmt w:val="hebrew1"/>
      <w:lvlText w:val="%4."/>
      <w:lvlJc w:val="left"/>
      <w:pPr>
        <w:ind w:left="2880" w:hanging="360"/>
      </w:pPr>
      <w:rPr>
        <w:rFonts w:hint="default"/>
      </w:rPr>
    </w:lvl>
    <w:lvl w:ilvl="4" w:tplc="7A34BA02">
      <w:start w:val="1"/>
      <w:numFmt w:val="decimal"/>
      <w:lvlText w:val="(%5."/>
      <w:lvlJc w:val="left"/>
      <w:pPr>
        <w:ind w:left="3600" w:hanging="360"/>
      </w:pPr>
      <w:rPr>
        <w:rFonts w:hint="default"/>
      </w:rPr>
    </w:lvl>
    <w:lvl w:ilvl="5" w:tplc="27CC0D1A">
      <w:start w:val="1"/>
      <w:numFmt w:val="hebrew1"/>
      <w:lvlText w:val="(%6)"/>
      <w:lvlJc w:val="left"/>
      <w:pPr>
        <w:ind w:left="4500" w:hanging="360"/>
      </w:pPr>
      <w:rPr>
        <w:rFonts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10BB9"/>
    <w:multiLevelType w:val="hybridMultilevel"/>
    <w:tmpl w:val="484E3402"/>
    <w:lvl w:ilvl="0" w:tplc="BBE020F8">
      <w:start w:val="1"/>
      <w:numFmt w:val="bullet"/>
      <w:lvlText w:val=""/>
      <w:lvlJc w:val="left"/>
      <w:pPr>
        <w:ind w:left="360" w:hanging="360"/>
      </w:pPr>
      <w:rPr>
        <w:rFonts w:ascii="Symbol" w:hAnsi="Symbol" w:hint="default"/>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246E08"/>
    <w:multiLevelType w:val="hybridMultilevel"/>
    <w:tmpl w:val="43544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B81863"/>
    <w:multiLevelType w:val="hybridMultilevel"/>
    <w:tmpl w:val="159EC9F4"/>
    <w:lvl w:ilvl="0" w:tplc="A3581230">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5" w15:restartNumberingAfterBreak="0">
    <w:nsid w:val="0D896504"/>
    <w:multiLevelType w:val="hybridMultilevel"/>
    <w:tmpl w:val="30C202EC"/>
    <w:lvl w:ilvl="0" w:tplc="7C6253A4">
      <w:start w:val="1"/>
      <w:numFmt w:val="hebrew1"/>
      <w:lvlText w:val="%1."/>
      <w:lvlJc w:val="left"/>
      <w:pPr>
        <w:ind w:left="-548" w:hanging="360"/>
      </w:pPr>
      <w:rPr>
        <w:rFonts w:hint="default"/>
      </w:rPr>
    </w:lvl>
    <w:lvl w:ilvl="1" w:tplc="04090019">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6" w15:restartNumberingAfterBreak="0">
    <w:nsid w:val="0DBC232B"/>
    <w:multiLevelType w:val="hybridMultilevel"/>
    <w:tmpl w:val="515A6F3E"/>
    <w:lvl w:ilvl="0" w:tplc="D5A8328E">
      <w:start w:val="1"/>
      <w:numFmt w:val="decimal"/>
      <w:lvlText w:val="%1."/>
      <w:lvlJc w:val="left"/>
      <w:pPr>
        <w:ind w:left="444" w:hanging="360"/>
      </w:pPr>
      <w:rPr>
        <w:rFonts w:hint="default"/>
        <w:b/>
        <w:bCs/>
      </w:rPr>
    </w:lvl>
    <w:lvl w:ilvl="1" w:tplc="FA7CEE3E">
      <w:start w:val="1"/>
      <w:numFmt w:val="lowerLetter"/>
      <w:lvlText w:val="%2."/>
      <w:lvlJc w:val="left"/>
      <w:pPr>
        <w:ind w:left="1164" w:hanging="360"/>
      </w:pPr>
      <w:rPr>
        <w:b/>
        <w:bCs/>
      </w:r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7" w15:restartNumberingAfterBreak="0">
    <w:nsid w:val="0F1969B1"/>
    <w:multiLevelType w:val="hybridMultilevel"/>
    <w:tmpl w:val="D020FDC6"/>
    <w:lvl w:ilvl="0" w:tplc="4364CDB4">
      <w:start w:val="1"/>
      <w:numFmt w:val="decimal"/>
      <w:lvlText w:val="%1."/>
      <w:lvlJc w:val="left"/>
      <w:pPr>
        <w:ind w:left="-188" w:hanging="360"/>
      </w:pPr>
      <w:rPr>
        <w:rFonts w:hint="default"/>
        <w:color w:val="auto"/>
      </w:rPr>
    </w:lvl>
    <w:lvl w:ilvl="1" w:tplc="04090019" w:tentative="1">
      <w:start w:val="1"/>
      <w:numFmt w:val="lowerLetter"/>
      <w:lvlText w:val="%2."/>
      <w:lvlJc w:val="left"/>
      <w:pPr>
        <w:ind w:left="532" w:hanging="360"/>
      </w:pPr>
    </w:lvl>
    <w:lvl w:ilvl="2" w:tplc="0409001B" w:tentative="1">
      <w:start w:val="1"/>
      <w:numFmt w:val="lowerRoman"/>
      <w:lvlText w:val="%3."/>
      <w:lvlJc w:val="right"/>
      <w:pPr>
        <w:ind w:left="1252" w:hanging="180"/>
      </w:pPr>
    </w:lvl>
    <w:lvl w:ilvl="3" w:tplc="0409000F" w:tentative="1">
      <w:start w:val="1"/>
      <w:numFmt w:val="decimal"/>
      <w:lvlText w:val="%4."/>
      <w:lvlJc w:val="left"/>
      <w:pPr>
        <w:ind w:left="1972" w:hanging="360"/>
      </w:pPr>
    </w:lvl>
    <w:lvl w:ilvl="4" w:tplc="04090019" w:tentative="1">
      <w:start w:val="1"/>
      <w:numFmt w:val="lowerLetter"/>
      <w:lvlText w:val="%5."/>
      <w:lvlJc w:val="left"/>
      <w:pPr>
        <w:ind w:left="2692" w:hanging="360"/>
      </w:pPr>
    </w:lvl>
    <w:lvl w:ilvl="5" w:tplc="0409001B" w:tentative="1">
      <w:start w:val="1"/>
      <w:numFmt w:val="lowerRoman"/>
      <w:lvlText w:val="%6."/>
      <w:lvlJc w:val="right"/>
      <w:pPr>
        <w:ind w:left="3412" w:hanging="180"/>
      </w:pPr>
    </w:lvl>
    <w:lvl w:ilvl="6" w:tplc="0409000F" w:tentative="1">
      <w:start w:val="1"/>
      <w:numFmt w:val="decimal"/>
      <w:lvlText w:val="%7."/>
      <w:lvlJc w:val="left"/>
      <w:pPr>
        <w:ind w:left="4132" w:hanging="360"/>
      </w:pPr>
    </w:lvl>
    <w:lvl w:ilvl="7" w:tplc="04090019" w:tentative="1">
      <w:start w:val="1"/>
      <w:numFmt w:val="lowerLetter"/>
      <w:lvlText w:val="%8."/>
      <w:lvlJc w:val="left"/>
      <w:pPr>
        <w:ind w:left="4852" w:hanging="360"/>
      </w:pPr>
    </w:lvl>
    <w:lvl w:ilvl="8" w:tplc="0409001B" w:tentative="1">
      <w:start w:val="1"/>
      <w:numFmt w:val="lowerRoman"/>
      <w:lvlText w:val="%9."/>
      <w:lvlJc w:val="right"/>
      <w:pPr>
        <w:ind w:left="5572" w:hanging="180"/>
      </w:pPr>
    </w:lvl>
  </w:abstractNum>
  <w:abstractNum w:abstractNumId="8" w15:restartNumberingAfterBreak="0">
    <w:nsid w:val="13A605D9"/>
    <w:multiLevelType w:val="hybridMultilevel"/>
    <w:tmpl w:val="E3ACC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0E45CF"/>
    <w:multiLevelType w:val="hybridMultilevel"/>
    <w:tmpl w:val="AEEAB686"/>
    <w:lvl w:ilvl="0" w:tplc="BCB4DF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67775"/>
    <w:multiLevelType w:val="hybridMultilevel"/>
    <w:tmpl w:val="52A2A1EE"/>
    <w:lvl w:ilvl="0" w:tplc="D3C24E9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4C4EA5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83A95"/>
    <w:multiLevelType w:val="hybridMultilevel"/>
    <w:tmpl w:val="30DCECA0"/>
    <w:lvl w:ilvl="0" w:tplc="0409000F">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1E240907"/>
    <w:multiLevelType w:val="hybridMultilevel"/>
    <w:tmpl w:val="7DACCEAE"/>
    <w:lvl w:ilvl="0" w:tplc="61DED68E">
      <w:start w:val="1"/>
      <w:numFmt w:val="bullet"/>
      <w:lvlText w:val=""/>
      <w:lvlJc w:val="left"/>
      <w:pPr>
        <w:ind w:left="360" w:hanging="360"/>
      </w:pPr>
      <w:rPr>
        <w:rFonts w:ascii="Symbol" w:hAnsi="Symbol" w:hint="default"/>
        <w:b/>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CA62B9"/>
    <w:multiLevelType w:val="hybridMultilevel"/>
    <w:tmpl w:val="B9187DCC"/>
    <w:lvl w:ilvl="0" w:tplc="8CCACA6A">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14" w15:restartNumberingAfterBreak="0">
    <w:nsid w:val="24C9771F"/>
    <w:multiLevelType w:val="hybridMultilevel"/>
    <w:tmpl w:val="CB365AC0"/>
    <w:lvl w:ilvl="0" w:tplc="C9123B12">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D01C57"/>
    <w:multiLevelType w:val="hybridMultilevel"/>
    <w:tmpl w:val="103E775C"/>
    <w:lvl w:ilvl="0" w:tplc="86A4C9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E43C0"/>
    <w:multiLevelType w:val="hybridMultilevel"/>
    <w:tmpl w:val="54DC1012"/>
    <w:lvl w:ilvl="0" w:tplc="608E8B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AC4741"/>
    <w:multiLevelType w:val="hybridMultilevel"/>
    <w:tmpl w:val="EC3AFDF0"/>
    <w:lvl w:ilvl="0" w:tplc="24CAC512">
      <w:start w:val="1"/>
      <w:numFmt w:val="decimal"/>
      <w:lvlText w:val="(%1)"/>
      <w:lvlJc w:val="left"/>
      <w:pPr>
        <w:ind w:left="532" w:hanging="360"/>
      </w:pPr>
      <w:rPr>
        <w:rFonts w:hint="default"/>
      </w:rPr>
    </w:lvl>
    <w:lvl w:ilvl="1" w:tplc="04090019" w:tentative="1">
      <w:start w:val="1"/>
      <w:numFmt w:val="lowerLetter"/>
      <w:lvlText w:val="%2."/>
      <w:lvlJc w:val="left"/>
      <w:pPr>
        <w:ind w:left="1252" w:hanging="360"/>
      </w:pPr>
    </w:lvl>
    <w:lvl w:ilvl="2" w:tplc="0409001B" w:tentative="1">
      <w:start w:val="1"/>
      <w:numFmt w:val="lowerRoman"/>
      <w:lvlText w:val="%3."/>
      <w:lvlJc w:val="right"/>
      <w:pPr>
        <w:ind w:left="1972" w:hanging="180"/>
      </w:pPr>
    </w:lvl>
    <w:lvl w:ilvl="3" w:tplc="0409000F" w:tentative="1">
      <w:start w:val="1"/>
      <w:numFmt w:val="decimal"/>
      <w:lvlText w:val="%4."/>
      <w:lvlJc w:val="left"/>
      <w:pPr>
        <w:ind w:left="269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4132" w:hanging="180"/>
      </w:pPr>
    </w:lvl>
    <w:lvl w:ilvl="6" w:tplc="0409000F" w:tentative="1">
      <w:start w:val="1"/>
      <w:numFmt w:val="decimal"/>
      <w:lvlText w:val="%7."/>
      <w:lvlJc w:val="left"/>
      <w:pPr>
        <w:ind w:left="4852" w:hanging="360"/>
      </w:pPr>
    </w:lvl>
    <w:lvl w:ilvl="7" w:tplc="04090019" w:tentative="1">
      <w:start w:val="1"/>
      <w:numFmt w:val="lowerLetter"/>
      <w:lvlText w:val="%8."/>
      <w:lvlJc w:val="left"/>
      <w:pPr>
        <w:ind w:left="5572" w:hanging="360"/>
      </w:pPr>
    </w:lvl>
    <w:lvl w:ilvl="8" w:tplc="0409001B" w:tentative="1">
      <w:start w:val="1"/>
      <w:numFmt w:val="lowerRoman"/>
      <w:lvlText w:val="%9."/>
      <w:lvlJc w:val="right"/>
      <w:pPr>
        <w:ind w:left="6292" w:hanging="180"/>
      </w:pPr>
    </w:lvl>
  </w:abstractNum>
  <w:abstractNum w:abstractNumId="18" w15:restartNumberingAfterBreak="0">
    <w:nsid w:val="2BE23CD4"/>
    <w:multiLevelType w:val="hybridMultilevel"/>
    <w:tmpl w:val="4A74C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D90123"/>
    <w:multiLevelType w:val="hybridMultilevel"/>
    <w:tmpl w:val="3F5CF7CC"/>
    <w:lvl w:ilvl="0" w:tplc="F776EBB8">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4E02F2"/>
    <w:multiLevelType w:val="hybridMultilevel"/>
    <w:tmpl w:val="9A42830C"/>
    <w:lvl w:ilvl="0" w:tplc="C7244FEE">
      <w:start w:val="1"/>
      <w:numFmt w:val="bullet"/>
      <w:lvlText w:val=""/>
      <w:lvlJc w:val="left"/>
      <w:pPr>
        <w:ind w:left="360" w:hanging="360"/>
      </w:pPr>
      <w:rPr>
        <w:rFonts w:ascii="Symbol" w:hAnsi="Symbol" w:hint="default"/>
        <w:b/>
        <w:sz w:val="18"/>
        <w:szCs w:val="18"/>
        <w:u w:val="none"/>
        <w:lang w:bidi="he-IL"/>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1" w15:restartNumberingAfterBreak="0">
    <w:nsid w:val="3AFF1001"/>
    <w:multiLevelType w:val="hybridMultilevel"/>
    <w:tmpl w:val="0E8A3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6D5E53"/>
    <w:multiLevelType w:val="hybridMultilevel"/>
    <w:tmpl w:val="F1EC78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2E4D64"/>
    <w:multiLevelType w:val="hybridMultilevel"/>
    <w:tmpl w:val="5BDC927A"/>
    <w:lvl w:ilvl="0" w:tplc="9072E86E">
      <w:start w:val="1"/>
      <w:numFmt w:val="decimal"/>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24" w15:restartNumberingAfterBreak="0">
    <w:nsid w:val="41B153FF"/>
    <w:multiLevelType w:val="hybridMultilevel"/>
    <w:tmpl w:val="5D6693C6"/>
    <w:lvl w:ilvl="0" w:tplc="DBEC68BC">
      <w:start w:val="1"/>
      <w:numFmt w:val="decimal"/>
      <w:lvlText w:val="%1."/>
      <w:lvlJc w:val="left"/>
      <w:pPr>
        <w:ind w:left="-188" w:hanging="360"/>
      </w:pPr>
      <w:rPr>
        <w:rFonts w:hint="default"/>
      </w:rPr>
    </w:lvl>
    <w:lvl w:ilvl="1" w:tplc="04090019" w:tentative="1">
      <w:start w:val="1"/>
      <w:numFmt w:val="lowerLetter"/>
      <w:lvlText w:val="%2."/>
      <w:lvlJc w:val="left"/>
      <w:pPr>
        <w:ind w:left="532" w:hanging="360"/>
      </w:pPr>
    </w:lvl>
    <w:lvl w:ilvl="2" w:tplc="0409001B" w:tentative="1">
      <w:start w:val="1"/>
      <w:numFmt w:val="lowerRoman"/>
      <w:lvlText w:val="%3."/>
      <w:lvlJc w:val="right"/>
      <w:pPr>
        <w:ind w:left="1252" w:hanging="180"/>
      </w:pPr>
    </w:lvl>
    <w:lvl w:ilvl="3" w:tplc="0409000F" w:tentative="1">
      <w:start w:val="1"/>
      <w:numFmt w:val="decimal"/>
      <w:lvlText w:val="%4."/>
      <w:lvlJc w:val="left"/>
      <w:pPr>
        <w:ind w:left="1972" w:hanging="360"/>
      </w:pPr>
    </w:lvl>
    <w:lvl w:ilvl="4" w:tplc="04090019" w:tentative="1">
      <w:start w:val="1"/>
      <w:numFmt w:val="lowerLetter"/>
      <w:lvlText w:val="%5."/>
      <w:lvlJc w:val="left"/>
      <w:pPr>
        <w:ind w:left="2692" w:hanging="360"/>
      </w:pPr>
    </w:lvl>
    <w:lvl w:ilvl="5" w:tplc="0409001B" w:tentative="1">
      <w:start w:val="1"/>
      <w:numFmt w:val="lowerRoman"/>
      <w:lvlText w:val="%6."/>
      <w:lvlJc w:val="right"/>
      <w:pPr>
        <w:ind w:left="3412" w:hanging="180"/>
      </w:pPr>
    </w:lvl>
    <w:lvl w:ilvl="6" w:tplc="0409000F" w:tentative="1">
      <w:start w:val="1"/>
      <w:numFmt w:val="decimal"/>
      <w:lvlText w:val="%7."/>
      <w:lvlJc w:val="left"/>
      <w:pPr>
        <w:ind w:left="4132" w:hanging="360"/>
      </w:pPr>
    </w:lvl>
    <w:lvl w:ilvl="7" w:tplc="04090019" w:tentative="1">
      <w:start w:val="1"/>
      <w:numFmt w:val="lowerLetter"/>
      <w:lvlText w:val="%8."/>
      <w:lvlJc w:val="left"/>
      <w:pPr>
        <w:ind w:left="4852" w:hanging="360"/>
      </w:pPr>
    </w:lvl>
    <w:lvl w:ilvl="8" w:tplc="0409001B" w:tentative="1">
      <w:start w:val="1"/>
      <w:numFmt w:val="lowerRoman"/>
      <w:lvlText w:val="%9."/>
      <w:lvlJc w:val="right"/>
      <w:pPr>
        <w:ind w:left="5572" w:hanging="180"/>
      </w:pPr>
    </w:lvl>
  </w:abstractNum>
  <w:abstractNum w:abstractNumId="25" w15:restartNumberingAfterBreak="0">
    <w:nsid w:val="481B64A7"/>
    <w:multiLevelType w:val="multilevel"/>
    <w:tmpl w:val="9752A0B2"/>
    <w:styleLink w:val="a"/>
    <w:lvl w:ilvl="0">
      <w:start w:val="1"/>
      <w:numFmt w:val="decimal"/>
      <w:lvlText w:val="%1."/>
      <w:lvlJc w:val="left"/>
      <w:pPr>
        <w:ind w:left="340" w:hanging="340"/>
      </w:pPr>
      <w:rPr>
        <w:rFonts w:cs="David" w:hint="default"/>
        <w:szCs w:val="24"/>
      </w:rPr>
    </w:lvl>
    <w:lvl w:ilvl="1">
      <w:start w:val="1"/>
      <w:numFmt w:val="hebrew1"/>
      <w:lvlText w:val="%2."/>
      <w:lvlJc w:val="left"/>
      <w:pPr>
        <w:ind w:left="680" w:hanging="340"/>
      </w:pPr>
      <w:rPr>
        <w:rFonts w:cs="David" w:hint="default"/>
        <w:szCs w:val="24"/>
      </w:rPr>
    </w:lvl>
    <w:lvl w:ilvl="2">
      <w:start w:val="1"/>
      <w:numFmt w:val="decimal"/>
      <w:lvlText w:val="%3)"/>
      <w:lvlJc w:val="left"/>
      <w:pPr>
        <w:ind w:left="1020" w:hanging="340"/>
      </w:pPr>
      <w:rPr>
        <w:rFonts w:cs="David" w:hint="default"/>
        <w:szCs w:val="24"/>
      </w:rPr>
    </w:lvl>
    <w:lvl w:ilvl="3">
      <w:start w:val="1"/>
      <w:numFmt w:val="hebrew1"/>
      <w:lvlText w:val="%4)"/>
      <w:lvlJc w:val="left"/>
      <w:pPr>
        <w:ind w:left="1360" w:hanging="340"/>
      </w:pPr>
      <w:rPr>
        <w:rFonts w:cs="David" w:hint="default"/>
        <w:szCs w:val="24"/>
      </w:rPr>
    </w:lvl>
    <w:lvl w:ilvl="4">
      <w:start w:val="1"/>
      <w:numFmt w:val="decimal"/>
      <w:lvlText w:val="(%5)"/>
      <w:lvlJc w:val="left"/>
      <w:pPr>
        <w:ind w:left="1700" w:hanging="340"/>
      </w:pPr>
      <w:rPr>
        <w:rFonts w:cs="David" w:hint="default"/>
        <w:szCs w:val="24"/>
      </w:rPr>
    </w:lvl>
    <w:lvl w:ilvl="5">
      <w:start w:val="1"/>
      <w:numFmt w:val="hebrew1"/>
      <w:lvlText w:val="(%6)"/>
      <w:lvlJc w:val="left"/>
      <w:pPr>
        <w:ind w:left="2040" w:hanging="340"/>
      </w:pPr>
      <w:rPr>
        <w:rFonts w:cs="David" w:hint="default"/>
        <w:szCs w:val="24"/>
      </w:rPr>
    </w:lvl>
    <w:lvl w:ilvl="6">
      <w:start w:val="1"/>
      <w:numFmt w:val="decimal"/>
      <w:lvlText w:val="%7."/>
      <w:lvlJc w:val="left"/>
      <w:pPr>
        <w:ind w:left="2380" w:hanging="340"/>
      </w:pPr>
      <w:rPr>
        <w:rFonts w:cs="David" w:hint="default"/>
        <w:szCs w:val="24"/>
      </w:rPr>
    </w:lvl>
    <w:lvl w:ilvl="7">
      <w:start w:val="1"/>
      <w:numFmt w:val="hebrew1"/>
      <w:lvlText w:val="%8."/>
      <w:lvlJc w:val="left"/>
      <w:pPr>
        <w:ind w:left="2720" w:hanging="340"/>
      </w:pPr>
      <w:rPr>
        <w:rFonts w:cs="David" w:hint="default"/>
        <w:szCs w:val="24"/>
      </w:rPr>
    </w:lvl>
    <w:lvl w:ilvl="8">
      <w:start w:val="1"/>
      <w:numFmt w:val="lowerRoman"/>
      <w:lvlText w:val="%9."/>
      <w:lvlJc w:val="left"/>
      <w:pPr>
        <w:ind w:left="3060" w:hanging="340"/>
      </w:pPr>
      <w:rPr>
        <w:rFonts w:hint="default"/>
      </w:rPr>
    </w:lvl>
  </w:abstractNum>
  <w:abstractNum w:abstractNumId="26" w15:restartNumberingAfterBreak="0">
    <w:nsid w:val="491E547A"/>
    <w:multiLevelType w:val="hybridMultilevel"/>
    <w:tmpl w:val="A5E0333E"/>
    <w:lvl w:ilvl="0" w:tplc="54B6489A">
      <w:start w:val="1"/>
      <w:numFmt w:val="bullet"/>
      <w:lvlText w:val="-"/>
      <w:lvlJc w:val="left"/>
      <w:pPr>
        <w:ind w:left="1080" w:hanging="360"/>
      </w:pPr>
      <w:rPr>
        <w:rFonts w:ascii="David" w:eastAsiaTheme="minorHAnsi" w:hAnsi="David" w:cs="David"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AC0D50"/>
    <w:multiLevelType w:val="hybridMultilevel"/>
    <w:tmpl w:val="6BAAE9D6"/>
    <w:lvl w:ilvl="0" w:tplc="54FA5D22">
      <w:start w:val="1"/>
      <w:numFmt w:val="decimal"/>
      <w:lvlText w:val="%1."/>
      <w:lvlJc w:val="left"/>
      <w:pPr>
        <w:ind w:left="-690" w:hanging="360"/>
      </w:pPr>
      <w:rPr>
        <w:rFonts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28" w15:restartNumberingAfterBreak="0">
    <w:nsid w:val="5C0B55E1"/>
    <w:multiLevelType w:val="hybridMultilevel"/>
    <w:tmpl w:val="126041DC"/>
    <w:lvl w:ilvl="0" w:tplc="9362C0F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AF6C13"/>
    <w:multiLevelType w:val="hybridMultilevel"/>
    <w:tmpl w:val="8BDA9A5A"/>
    <w:lvl w:ilvl="0" w:tplc="8EBE7B6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7E07FE"/>
    <w:multiLevelType w:val="hybridMultilevel"/>
    <w:tmpl w:val="3BEE74CC"/>
    <w:lvl w:ilvl="0" w:tplc="26B42A74">
      <w:start w:val="1"/>
      <w:numFmt w:val="decimal"/>
      <w:lvlText w:val="%1."/>
      <w:lvlJc w:val="left"/>
      <w:pPr>
        <w:ind w:left="444" w:hanging="360"/>
      </w:pPr>
      <w:rPr>
        <w:rFonts w:hint="default"/>
        <w:b/>
        <w:bCs/>
      </w:rPr>
    </w:lvl>
    <w:lvl w:ilvl="1" w:tplc="04090019">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1" w15:restartNumberingAfterBreak="0">
    <w:nsid w:val="5E66420B"/>
    <w:multiLevelType w:val="hybridMultilevel"/>
    <w:tmpl w:val="EBE68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422180"/>
    <w:multiLevelType w:val="hybridMultilevel"/>
    <w:tmpl w:val="1C181110"/>
    <w:lvl w:ilvl="0" w:tplc="04090007">
      <w:start w:val="1"/>
      <w:numFmt w:val="bullet"/>
      <w:lvlText w:val=""/>
      <w:lvlPicBulletId w:val="0"/>
      <w:lvlJc w:val="left"/>
      <w:pPr>
        <w:ind w:left="-188" w:hanging="360"/>
      </w:pPr>
      <w:rPr>
        <w:rFonts w:ascii="Symbol" w:hAnsi="Symbol" w:hint="default"/>
      </w:rPr>
    </w:lvl>
    <w:lvl w:ilvl="1" w:tplc="04090003" w:tentative="1">
      <w:start w:val="1"/>
      <w:numFmt w:val="bullet"/>
      <w:lvlText w:val="o"/>
      <w:lvlJc w:val="left"/>
      <w:pPr>
        <w:ind w:left="532" w:hanging="360"/>
      </w:pPr>
      <w:rPr>
        <w:rFonts w:ascii="Courier New" w:hAnsi="Courier New" w:cs="Courier New" w:hint="default"/>
      </w:rPr>
    </w:lvl>
    <w:lvl w:ilvl="2" w:tplc="04090005" w:tentative="1">
      <w:start w:val="1"/>
      <w:numFmt w:val="bullet"/>
      <w:lvlText w:val=""/>
      <w:lvlJc w:val="left"/>
      <w:pPr>
        <w:ind w:left="1252" w:hanging="360"/>
      </w:pPr>
      <w:rPr>
        <w:rFonts w:ascii="Wingdings" w:hAnsi="Wingdings" w:hint="default"/>
      </w:rPr>
    </w:lvl>
    <w:lvl w:ilvl="3" w:tplc="04090001" w:tentative="1">
      <w:start w:val="1"/>
      <w:numFmt w:val="bullet"/>
      <w:lvlText w:val=""/>
      <w:lvlJc w:val="left"/>
      <w:pPr>
        <w:ind w:left="1972" w:hanging="360"/>
      </w:pPr>
      <w:rPr>
        <w:rFonts w:ascii="Symbol" w:hAnsi="Symbol" w:hint="default"/>
      </w:rPr>
    </w:lvl>
    <w:lvl w:ilvl="4" w:tplc="04090003" w:tentative="1">
      <w:start w:val="1"/>
      <w:numFmt w:val="bullet"/>
      <w:lvlText w:val="o"/>
      <w:lvlJc w:val="left"/>
      <w:pPr>
        <w:ind w:left="2692" w:hanging="360"/>
      </w:pPr>
      <w:rPr>
        <w:rFonts w:ascii="Courier New" w:hAnsi="Courier New" w:cs="Courier New" w:hint="default"/>
      </w:rPr>
    </w:lvl>
    <w:lvl w:ilvl="5" w:tplc="04090005" w:tentative="1">
      <w:start w:val="1"/>
      <w:numFmt w:val="bullet"/>
      <w:lvlText w:val=""/>
      <w:lvlJc w:val="left"/>
      <w:pPr>
        <w:ind w:left="3412" w:hanging="360"/>
      </w:pPr>
      <w:rPr>
        <w:rFonts w:ascii="Wingdings" w:hAnsi="Wingdings" w:hint="default"/>
      </w:rPr>
    </w:lvl>
    <w:lvl w:ilvl="6" w:tplc="04090001" w:tentative="1">
      <w:start w:val="1"/>
      <w:numFmt w:val="bullet"/>
      <w:lvlText w:val=""/>
      <w:lvlJc w:val="left"/>
      <w:pPr>
        <w:ind w:left="4132" w:hanging="360"/>
      </w:pPr>
      <w:rPr>
        <w:rFonts w:ascii="Symbol" w:hAnsi="Symbol" w:hint="default"/>
      </w:rPr>
    </w:lvl>
    <w:lvl w:ilvl="7" w:tplc="04090003" w:tentative="1">
      <w:start w:val="1"/>
      <w:numFmt w:val="bullet"/>
      <w:lvlText w:val="o"/>
      <w:lvlJc w:val="left"/>
      <w:pPr>
        <w:ind w:left="4852" w:hanging="360"/>
      </w:pPr>
      <w:rPr>
        <w:rFonts w:ascii="Courier New" w:hAnsi="Courier New" w:cs="Courier New" w:hint="default"/>
      </w:rPr>
    </w:lvl>
    <w:lvl w:ilvl="8" w:tplc="04090005" w:tentative="1">
      <w:start w:val="1"/>
      <w:numFmt w:val="bullet"/>
      <w:lvlText w:val=""/>
      <w:lvlJc w:val="left"/>
      <w:pPr>
        <w:ind w:left="5572" w:hanging="360"/>
      </w:pPr>
      <w:rPr>
        <w:rFonts w:ascii="Wingdings" w:hAnsi="Wingdings" w:hint="default"/>
      </w:rPr>
    </w:lvl>
  </w:abstractNum>
  <w:abstractNum w:abstractNumId="33" w15:restartNumberingAfterBreak="0">
    <w:nsid w:val="671D0B2E"/>
    <w:multiLevelType w:val="hybridMultilevel"/>
    <w:tmpl w:val="E6C0E5EC"/>
    <w:lvl w:ilvl="0" w:tplc="4DCCF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D6B66"/>
    <w:multiLevelType w:val="hybridMultilevel"/>
    <w:tmpl w:val="E90ABE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E83737D"/>
    <w:multiLevelType w:val="hybridMultilevel"/>
    <w:tmpl w:val="8702DA16"/>
    <w:lvl w:ilvl="0" w:tplc="FAE24C3E">
      <w:start w:val="1"/>
      <w:numFmt w:val="decimal"/>
      <w:lvlText w:val="%1."/>
      <w:lvlJc w:val="left"/>
      <w:pPr>
        <w:ind w:left="360" w:hanging="360"/>
      </w:pPr>
      <w:rPr>
        <w:rFonts w:ascii="David" w:eastAsia="Times New Roman" w:hAnsi="David" w:cs="David"/>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32E7FA7"/>
    <w:multiLevelType w:val="hybridMultilevel"/>
    <w:tmpl w:val="FE7EDCC6"/>
    <w:lvl w:ilvl="0" w:tplc="C5BA2162">
      <w:start w:val="1"/>
      <w:numFmt w:val="decimal"/>
      <w:lvlText w:val="(%1)"/>
      <w:lvlJc w:val="left"/>
      <w:pPr>
        <w:ind w:left="532" w:hanging="360"/>
      </w:pPr>
      <w:rPr>
        <w:rFonts w:hint="default"/>
        <w:b w:val="0"/>
      </w:rPr>
    </w:lvl>
    <w:lvl w:ilvl="1" w:tplc="04090019" w:tentative="1">
      <w:start w:val="1"/>
      <w:numFmt w:val="lowerLetter"/>
      <w:lvlText w:val="%2."/>
      <w:lvlJc w:val="left"/>
      <w:pPr>
        <w:ind w:left="1252" w:hanging="360"/>
      </w:pPr>
    </w:lvl>
    <w:lvl w:ilvl="2" w:tplc="0409001B" w:tentative="1">
      <w:start w:val="1"/>
      <w:numFmt w:val="lowerRoman"/>
      <w:lvlText w:val="%3."/>
      <w:lvlJc w:val="right"/>
      <w:pPr>
        <w:ind w:left="1972" w:hanging="180"/>
      </w:pPr>
    </w:lvl>
    <w:lvl w:ilvl="3" w:tplc="0409000F" w:tentative="1">
      <w:start w:val="1"/>
      <w:numFmt w:val="decimal"/>
      <w:lvlText w:val="%4."/>
      <w:lvlJc w:val="left"/>
      <w:pPr>
        <w:ind w:left="269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4132" w:hanging="180"/>
      </w:pPr>
    </w:lvl>
    <w:lvl w:ilvl="6" w:tplc="0409000F" w:tentative="1">
      <w:start w:val="1"/>
      <w:numFmt w:val="decimal"/>
      <w:lvlText w:val="%7."/>
      <w:lvlJc w:val="left"/>
      <w:pPr>
        <w:ind w:left="4852" w:hanging="360"/>
      </w:pPr>
    </w:lvl>
    <w:lvl w:ilvl="7" w:tplc="04090019" w:tentative="1">
      <w:start w:val="1"/>
      <w:numFmt w:val="lowerLetter"/>
      <w:lvlText w:val="%8."/>
      <w:lvlJc w:val="left"/>
      <w:pPr>
        <w:ind w:left="5572" w:hanging="360"/>
      </w:pPr>
    </w:lvl>
    <w:lvl w:ilvl="8" w:tplc="0409001B" w:tentative="1">
      <w:start w:val="1"/>
      <w:numFmt w:val="lowerRoman"/>
      <w:lvlText w:val="%9."/>
      <w:lvlJc w:val="right"/>
      <w:pPr>
        <w:ind w:left="6292" w:hanging="180"/>
      </w:pPr>
    </w:lvl>
  </w:abstractNum>
  <w:abstractNum w:abstractNumId="37" w15:restartNumberingAfterBreak="0">
    <w:nsid w:val="73CC3C03"/>
    <w:multiLevelType w:val="hybridMultilevel"/>
    <w:tmpl w:val="68E6E164"/>
    <w:lvl w:ilvl="0" w:tplc="2C80987C">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8" w15:restartNumberingAfterBreak="0">
    <w:nsid w:val="75545890"/>
    <w:multiLevelType w:val="hybridMultilevel"/>
    <w:tmpl w:val="A49CA2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4503A1"/>
    <w:multiLevelType w:val="hybridMultilevel"/>
    <w:tmpl w:val="598005B8"/>
    <w:lvl w:ilvl="0" w:tplc="8B18BBD4">
      <w:start w:val="1"/>
      <w:numFmt w:val="decimal"/>
      <w:lvlText w:val="%1."/>
      <w:lvlJc w:val="left"/>
      <w:pPr>
        <w:ind w:left="27" w:hanging="360"/>
      </w:pPr>
      <w:rPr>
        <w:rFonts w:hint="default"/>
      </w:rPr>
    </w:lvl>
    <w:lvl w:ilvl="1" w:tplc="04090019" w:tentative="1">
      <w:start w:val="1"/>
      <w:numFmt w:val="lowerLetter"/>
      <w:lvlText w:val="%2."/>
      <w:lvlJc w:val="left"/>
      <w:pPr>
        <w:ind w:left="747" w:hanging="360"/>
      </w:pPr>
    </w:lvl>
    <w:lvl w:ilvl="2" w:tplc="0409001B" w:tentative="1">
      <w:start w:val="1"/>
      <w:numFmt w:val="lowerRoman"/>
      <w:lvlText w:val="%3."/>
      <w:lvlJc w:val="right"/>
      <w:pPr>
        <w:ind w:left="1467" w:hanging="180"/>
      </w:pPr>
    </w:lvl>
    <w:lvl w:ilvl="3" w:tplc="0409000F" w:tentative="1">
      <w:start w:val="1"/>
      <w:numFmt w:val="decimal"/>
      <w:lvlText w:val="%4."/>
      <w:lvlJc w:val="left"/>
      <w:pPr>
        <w:ind w:left="2187" w:hanging="360"/>
      </w:pPr>
    </w:lvl>
    <w:lvl w:ilvl="4" w:tplc="04090019" w:tentative="1">
      <w:start w:val="1"/>
      <w:numFmt w:val="lowerLetter"/>
      <w:lvlText w:val="%5."/>
      <w:lvlJc w:val="left"/>
      <w:pPr>
        <w:ind w:left="2907" w:hanging="360"/>
      </w:pPr>
    </w:lvl>
    <w:lvl w:ilvl="5" w:tplc="0409001B" w:tentative="1">
      <w:start w:val="1"/>
      <w:numFmt w:val="lowerRoman"/>
      <w:lvlText w:val="%6."/>
      <w:lvlJc w:val="right"/>
      <w:pPr>
        <w:ind w:left="3627" w:hanging="180"/>
      </w:pPr>
    </w:lvl>
    <w:lvl w:ilvl="6" w:tplc="0409000F" w:tentative="1">
      <w:start w:val="1"/>
      <w:numFmt w:val="decimal"/>
      <w:lvlText w:val="%7."/>
      <w:lvlJc w:val="left"/>
      <w:pPr>
        <w:ind w:left="4347" w:hanging="360"/>
      </w:pPr>
    </w:lvl>
    <w:lvl w:ilvl="7" w:tplc="04090019" w:tentative="1">
      <w:start w:val="1"/>
      <w:numFmt w:val="lowerLetter"/>
      <w:lvlText w:val="%8."/>
      <w:lvlJc w:val="left"/>
      <w:pPr>
        <w:ind w:left="5067" w:hanging="360"/>
      </w:pPr>
    </w:lvl>
    <w:lvl w:ilvl="8" w:tplc="0409001B" w:tentative="1">
      <w:start w:val="1"/>
      <w:numFmt w:val="lowerRoman"/>
      <w:lvlText w:val="%9."/>
      <w:lvlJc w:val="right"/>
      <w:pPr>
        <w:ind w:left="5787" w:hanging="180"/>
      </w:pPr>
    </w:lvl>
  </w:abstractNum>
  <w:abstractNum w:abstractNumId="40" w15:restartNumberingAfterBreak="0">
    <w:nsid w:val="7DC36C39"/>
    <w:multiLevelType w:val="hybridMultilevel"/>
    <w:tmpl w:val="8402E558"/>
    <w:lvl w:ilvl="0" w:tplc="322418D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41" w15:restartNumberingAfterBreak="0">
    <w:nsid w:val="7DD763B5"/>
    <w:multiLevelType w:val="hybridMultilevel"/>
    <w:tmpl w:val="69AC7DB2"/>
    <w:lvl w:ilvl="0" w:tplc="1F94EF00">
      <w:start w:val="1"/>
      <w:numFmt w:val="decimal"/>
      <w:lvlText w:val="%1."/>
      <w:lvlJc w:val="left"/>
      <w:pPr>
        <w:ind w:left="-188" w:hanging="360"/>
      </w:pPr>
      <w:rPr>
        <w:rFonts w:hint="default"/>
      </w:rPr>
    </w:lvl>
    <w:lvl w:ilvl="1" w:tplc="04090019" w:tentative="1">
      <w:start w:val="1"/>
      <w:numFmt w:val="lowerLetter"/>
      <w:lvlText w:val="%2."/>
      <w:lvlJc w:val="left"/>
      <w:pPr>
        <w:ind w:left="532" w:hanging="360"/>
      </w:pPr>
    </w:lvl>
    <w:lvl w:ilvl="2" w:tplc="0409001B" w:tentative="1">
      <w:start w:val="1"/>
      <w:numFmt w:val="lowerRoman"/>
      <w:lvlText w:val="%3."/>
      <w:lvlJc w:val="right"/>
      <w:pPr>
        <w:ind w:left="1252" w:hanging="180"/>
      </w:pPr>
    </w:lvl>
    <w:lvl w:ilvl="3" w:tplc="0409000F" w:tentative="1">
      <w:start w:val="1"/>
      <w:numFmt w:val="decimal"/>
      <w:lvlText w:val="%4."/>
      <w:lvlJc w:val="left"/>
      <w:pPr>
        <w:ind w:left="1972" w:hanging="360"/>
      </w:pPr>
    </w:lvl>
    <w:lvl w:ilvl="4" w:tplc="04090019" w:tentative="1">
      <w:start w:val="1"/>
      <w:numFmt w:val="lowerLetter"/>
      <w:lvlText w:val="%5."/>
      <w:lvlJc w:val="left"/>
      <w:pPr>
        <w:ind w:left="2692" w:hanging="360"/>
      </w:pPr>
    </w:lvl>
    <w:lvl w:ilvl="5" w:tplc="0409001B" w:tentative="1">
      <w:start w:val="1"/>
      <w:numFmt w:val="lowerRoman"/>
      <w:lvlText w:val="%6."/>
      <w:lvlJc w:val="right"/>
      <w:pPr>
        <w:ind w:left="3412" w:hanging="180"/>
      </w:pPr>
    </w:lvl>
    <w:lvl w:ilvl="6" w:tplc="0409000F" w:tentative="1">
      <w:start w:val="1"/>
      <w:numFmt w:val="decimal"/>
      <w:lvlText w:val="%7."/>
      <w:lvlJc w:val="left"/>
      <w:pPr>
        <w:ind w:left="4132" w:hanging="360"/>
      </w:pPr>
    </w:lvl>
    <w:lvl w:ilvl="7" w:tplc="04090019" w:tentative="1">
      <w:start w:val="1"/>
      <w:numFmt w:val="lowerLetter"/>
      <w:lvlText w:val="%8."/>
      <w:lvlJc w:val="left"/>
      <w:pPr>
        <w:ind w:left="4852" w:hanging="360"/>
      </w:pPr>
    </w:lvl>
    <w:lvl w:ilvl="8" w:tplc="0409001B" w:tentative="1">
      <w:start w:val="1"/>
      <w:numFmt w:val="lowerRoman"/>
      <w:lvlText w:val="%9."/>
      <w:lvlJc w:val="right"/>
      <w:pPr>
        <w:ind w:left="5572" w:hanging="180"/>
      </w:pPr>
    </w:lvl>
  </w:abstractNum>
  <w:num w:numId="1">
    <w:abstractNumId w:val="25"/>
  </w:num>
  <w:num w:numId="2">
    <w:abstractNumId w:val="31"/>
  </w:num>
  <w:num w:numId="3">
    <w:abstractNumId w:val="39"/>
  </w:num>
  <w:num w:numId="4">
    <w:abstractNumId w:val="22"/>
  </w:num>
  <w:num w:numId="5">
    <w:abstractNumId w:val="28"/>
  </w:num>
  <w:num w:numId="6">
    <w:abstractNumId w:val="26"/>
  </w:num>
  <w:num w:numId="7">
    <w:abstractNumId w:val="29"/>
  </w:num>
  <w:num w:numId="8">
    <w:abstractNumId w:val="16"/>
  </w:num>
  <w:num w:numId="9">
    <w:abstractNumId w:val="33"/>
  </w:num>
  <w:num w:numId="10">
    <w:abstractNumId w:val="38"/>
  </w:num>
  <w:num w:numId="11">
    <w:abstractNumId w:val="10"/>
  </w:num>
  <w:num w:numId="12">
    <w:abstractNumId w:val="11"/>
  </w:num>
  <w:num w:numId="13">
    <w:abstractNumId w:val="20"/>
  </w:num>
  <w:num w:numId="14">
    <w:abstractNumId w:val="19"/>
  </w:num>
  <w:num w:numId="15">
    <w:abstractNumId w:val="2"/>
  </w:num>
  <w:num w:numId="16">
    <w:abstractNumId w:val="12"/>
  </w:num>
  <w:num w:numId="17">
    <w:abstractNumId w:val="35"/>
  </w:num>
  <w:num w:numId="18">
    <w:abstractNumId w:val="0"/>
  </w:num>
  <w:num w:numId="19">
    <w:abstractNumId w:val="40"/>
  </w:num>
  <w:num w:numId="20">
    <w:abstractNumId w:val="4"/>
  </w:num>
  <w:num w:numId="21">
    <w:abstractNumId w:val="37"/>
  </w:num>
  <w:num w:numId="22">
    <w:abstractNumId w:val="30"/>
  </w:num>
  <w:num w:numId="23">
    <w:abstractNumId w:val="27"/>
  </w:num>
  <w:num w:numId="24">
    <w:abstractNumId w:val="6"/>
  </w:num>
  <w:num w:numId="25">
    <w:abstractNumId w:val="32"/>
  </w:num>
  <w:num w:numId="26">
    <w:abstractNumId w:val="5"/>
  </w:num>
  <w:num w:numId="27">
    <w:abstractNumId w:val="36"/>
  </w:num>
  <w:num w:numId="28">
    <w:abstractNumId w:val="17"/>
  </w:num>
  <w:num w:numId="29">
    <w:abstractNumId w:val="41"/>
  </w:num>
  <w:num w:numId="30">
    <w:abstractNumId w:val="3"/>
  </w:num>
  <w:num w:numId="31">
    <w:abstractNumId w:val="24"/>
  </w:num>
  <w:num w:numId="32">
    <w:abstractNumId w:val="9"/>
  </w:num>
  <w:num w:numId="33">
    <w:abstractNumId w:val="1"/>
  </w:num>
  <w:num w:numId="34">
    <w:abstractNumId w:val="7"/>
  </w:num>
  <w:num w:numId="35">
    <w:abstractNumId w:val="13"/>
  </w:num>
  <w:num w:numId="36">
    <w:abstractNumId w:val="34"/>
  </w:num>
  <w:num w:numId="37">
    <w:abstractNumId w:val="15"/>
  </w:num>
  <w:num w:numId="38">
    <w:abstractNumId w:val="14"/>
  </w:num>
  <w:num w:numId="39">
    <w:abstractNumId w:val="21"/>
  </w:num>
  <w:num w:numId="40">
    <w:abstractNumId w:val="23"/>
  </w:num>
  <w:num w:numId="41">
    <w:abstractNumId w:val="8"/>
  </w:num>
  <w:num w:numId="4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EB6"/>
    <w:rsid w:val="000026D5"/>
    <w:rsid w:val="00003BC7"/>
    <w:rsid w:val="00003D3B"/>
    <w:rsid w:val="000065F1"/>
    <w:rsid w:val="000078C8"/>
    <w:rsid w:val="000110D7"/>
    <w:rsid w:val="00011D82"/>
    <w:rsid w:val="00012328"/>
    <w:rsid w:val="000124F6"/>
    <w:rsid w:val="00012B96"/>
    <w:rsid w:val="00013043"/>
    <w:rsid w:val="00014FBD"/>
    <w:rsid w:val="00016747"/>
    <w:rsid w:val="00016A85"/>
    <w:rsid w:val="000173BE"/>
    <w:rsid w:val="0001761A"/>
    <w:rsid w:val="0002002A"/>
    <w:rsid w:val="00021797"/>
    <w:rsid w:val="000234FD"/>
    <w:rsid w:val="000237DA"/>
    <w:rsid w:val="000242EF"/>
    <w:rsid w:val="0002489F"/>
    <w:rsid w:val="00025235"/>
    <w:rsid w:val="0002552A"/>
    <w:rsid w:val="00026C57"/>
    <w:rsid w:val="000300AC"/>
    <w:rsid w:val="00030AEE"/>
    <w:rsid w:val="00031196"/>
    <w:rsid w:val="00031465"/>
    <w:rsid w:val="00032CBD"/>
    <w:rsid w:val="00035CFF"/>
    <w:rsid w:val="0003622B"/>
    <w:rsid w:val="000401AD"/>
    <w:rsid w:val="00042EB8"/>
    <w:rsid w:val="000435CD"/>
    <w:rsid w:val="000458F4"/>
    <w:rsid w:val="00045B36"/>
    <w:rsid w:val="00050EDA"/>
    <w:rsid w:val="0005286F"/>
    <w:rsid w:val="00053084"/>
    <w:rsid w:val="0005471B"/>
    <w:rsid w:val="00054BC1"/>
    <w:rsid w:val="00056441"/>
    <w:rsid w:val="00056B81"/>
    <w:rsid w:val="00060476"/>
    <w:rsid w:val="000611C6"/>
    <w:rsid w:val="00061A27"/>
    <w:rsid w:val="00061B43"/>
    <w:rsid w:val="00061BB4"/>
    <w:rsid w:val="000627B8"/>
    <w:rsid w:val="00062809"/>
    <w:rsid w:val="00062AB8"/>
    <w:rsid w:val="00063A6E"/>
    <w:rsid w:val="00063E48"/>
    <w:rsid w:val="00063EF6"/>
    <w:rsid w:val="000664E9"/>
    <w:rsid w:val="00067679"/>
    <w:rsid w:val="000700A7"/>
    <w:rsid w:val="00070D16"/>
    <w:rsid w:val="00071C41"/>
    <w:rsid w:val="00072A75"/>
    <w:rsid w:val="00072C8F"/>
    <w:rsid w:val="00072E34"/>
    <w:rsid w:val="00072F53"/>
    <w:rsid w:val="00073B86"/>
    <w:rsid w:val="000746E9"/>
    <w:rsid w:val="00074F49"/>
    <w:rsid w:val="000758D3"/>
    <w:rsid w:val="00076429"/>
    <w:rsid w:val="00076B86"/>
    <w:rsid w:val="00076C88"/>
    <w:rsid w:val="00077381"/>
    <w:rsid w:val="00077397"/>
    <w:rsid w:val="00077F3E"/>
    <w:rsid w:val="000802C1"/>
    <w:rsid w:val="000815B1"/>
    <w:rsid w:val="000818BB"/>
    <w:rsid w:val="00081B0A"/>
    <w:rsid w:val="00082017"/>
    <w:rsid w:val="000822D7"/>
    <w:rsid w:val="00082488"/>
    <w:rsid w:val="00083221"/>
    <w:rsid w:val="0008339F"/>
    <w:rsid w:val="0008362B"/>
    <w:rsid w:val="00083AE4"/>
    <w:rsid w:val="00083C96"/>
    <w:rsid w:val="00084611"/>
    <w:rsid w:val="00084FC6"/>
    <w:rsid w:val="000850A1"/>
    <w:rsid w:val="00085256"/>
    <w:rsid w:val="00085475"/>
    <w:rsid w:val="0008690A"/>
    <w:rsid w:val="00086975"/>
    <w:rsid w:val="00087AE3"/>
    <w:rsid w:val="00087CC4"/>
    <w:rsid w:val="00090275"/>
    <w:rsid w:val="0009088B"/>
    <w:rsid w:val="00091A82"/>
    <w:rsid w:val="00093035"/>
    <w:rsid w:val="0009355B"/>
    <w:rsid w:val="0009367D"/>
    <w:rsid w:val="000942B7"/>
    <w:rsid w:val="0009455A"/>
    <w:rsid w:val="00095ECA"/>
    <w:rsid w:val="0009616A"/>
    <w:rsid w:val="000961B9"/>
    <w:rsid w:val="00097C5F"/>
    <w:rsid w:val="000A0279"/>
    <w:rsid w:val="000A0BD7"/>
    <w:rsid w:val="000A171E"/>
    <w:rsid w:val="000A1B08"/>
    <w:rsid w:val="000A1B77"/>
    <w:rsid w:val="000A1D0B"/>
    <w:rsid w:val="000A2EF5"/>
    <w:rsid w:val="000A3094"/>
    <w:rsid w:val="000A351F"/>
    <w:rsid w:val="000A4C08"/>
    <w:rsid w:val="000A4C4E"/>
    <w:rsid w:val="000A4F60"/>
    <w:rsid w:val="000A5EF6"/>
    <w:rsid w:val="000A6090"/>
    <w:rsid w:val="000A6AD9"/>
    <w:rsid w:val="000A6D6C"/>
    <w:rsid w:val="000A7559"/>
    <w:rsid w:val="000B046A"/>
    <w:rsid w:val="000B04D5"/>
    <w:rsid w:val="000B38C0"/>
    <w:rsid w:val="000B38C6"/>
    <w:rsid w:val="000B4B7C"/>
    <w:rsid w:val="000B4EBF"/>
    <w:rsid w:val="000B51D2"/>
    <w:rsid w:val="000B5AB8"/>
    <w:rsid w:val="000B5C5A"/>
    <w:rsid w:val="000B6EF2"/>
    <w:rsid w:val="000B7596"/>
    <w:rsid w:val="000C078E"/>
    <w:rsid w:val="000C2429"/>
    <w:rsid w:val="000C2490"/>
    <w:rsid w:val="000C31C5"/>
    <w:rsid w:val="000C3EFC"/>
    <w:rsid w:val="000C46ED"/>
    <w:rsid w:val="000C47B2"/>
    <w:rsid w:val="000C5024"/>
    <w:rsid w:val="000C51BA"/>
    <w:rsid w:val="000C5330"/>
    <w:rsid w:val="000C5D68"/>
    <w:rsid w:val="000C61FA"/>
    <w:rsid w:val="000C6E37"/>
    <w:rsid w:val="000D07D8"/>
    <w:rsid w:val="000D09DC"/>
    <w:rsid w:val="000D0D30"/>
    <w:rsid w:val="000D2191"/>
    <w:rsid w:val="000D2A38"/>
    <w:rsid w:val="000D5BB9"/>
    <w:rsid w:val="000D6A27"/>
    <w:rsid w:val="000D77D8"/>
    <w:rsid w:val="000E0AC2"/>
    <w:rsid w:val="000E14DF"/>
    <w:rsid w:val="000E1910"/>
    <w:rsid w:val="000E1AB1"/>
    <w:rsid w:val="000E2D8F"/>
    <w:rsid w:val="000E2F2E"/>
    <w:rsid w:val="000E389B"/>
    <w:rsid w:val="000E3ACE"/>
    <w:rsid w:val="000E5707"/>
    <w:rsid w:val="000E5A97"/>
    <w:rsid w:val="000E6B3A"/>
    <w:rsid w:val="000E722B"/>
    <w:rsid w:val="000F0387"/>
    <w:rsid w:val="000F0DEF"/>
    <w:rsid w:val="000F1740"/>
    <w:rsid w:val="000F3FF8"/>
    <w:rsid w:val="000F5C37"/>
    <w:rsid w:val="000F6D09"/>
    <w:rsid w:val="000F6DB2"/>
    <w:rsid w:val="000F729A"/>
    <w:rsid w:val="000F7E55"/>
    <w:rsid w:val="0010054B"/>
    <w:rsid w:val="00100FD7"/>
    <w:rsid w:val="00101009"/>
    <w:rsid w:val="00101AF1"/>
    <w:rsid w:val="00102025"/>
    <w:rsid w:val="001023D5"/>
    <w:rsid w:val="0010291B"/>
    <w:rsid w:val="0010315C"/>
    <w:rsid w:val="00103C05"/>
    <w:rsid w:val="0010608B"/>
    <w:rsid w:val="00107289"/>
    <w:rsid w:val="001121B1"/>
    <w:rsid w:val="00112298"/>
    <w:rsid w:val="00112751"/>
    <w:rsid w:val="001131CD"/>
    <w:rsid w:val="00113F3E"/>
    <w:rsid w:val="00113F8C"/>
    <w:rsid w:val="001144C7"/>
    <w:rsid w:val="0011505E"/>
    <w:rsid w:val="00116D61"/>
    <w:rsid w:val="00117F55"/>
    <w:rsid w:val="0012035C"/>
    <w:rsid w:val="00120583"/>
    <w:rsid w:val="00120DEE"/>
    <w:rsid w:val="00122E60"/>
    <w:rsid w:val="00123177"/>
    <w:rsid w:val="0012359A"/>
    <w:rsid w:val="00124290"/>
    <w:rsid w:val="00125522"/>
    <w:rsid w:val="00125CCD"/>
    <w:rsid w:val="00126A27"/>
    <w:rsid w:val="00126CFA"/>
    <w:rsid w:val="00126FFB"/>
    <w:rsid w:val="00127090"/>
    <w:rsid w:val="001301FB"/>
    <w:rsid w:val="001302BE"/>
    <w:rsid w:val="00130BED"/>
    <w:rsid w:val="00130D4E"/>
    <w:rsid w:val="00133539"/>
    <w:rsid w:val="001345EF"/>
    <w:rsid w:val="00135543"/>
    <w:rsid w:val="0014198E"/>
    <w:rsid w:val="001440BF"/>
    <w:rsid w:val="00144803"/>
    <w:rsid w:val="00144A13"/>
    <w:rsid w:val="00145433"/>
    <w:rsid w:val="00147561"/>
    <w:rsid w:val="00147F6B"/>
    <w:rsid w:val="00150104"/>
    <w:rsid w:val="00150A49"/>
    <w:rsid w:val="001529F5"/>
    <w:rsid w:val="00153936"/>
    <w:rsid w:val="00154565"/>
    <w:rsid w:val="001579F5"/>
    <w:rsid w:val="001609D1"/>
    <w:rsid w:val="00160F01"/>
    <w:rsid w:val="00161FF1"/>
    <w:rsid w:val="00162154"/>
    <w:rsid w:val="00162F38"/>
    <w:rsid w:val="00163CC6"/>
    <w:rsid w:val="001645BD"/>
    <w:rsid w:val="00164836"/>
    <w:rsid w:val="0016501F"/>
    <w:rsid w:val="00165FED"/>
    <w:rsid w:val="00171ED5"/>
    <w:rsid w:val="0017298E"/>
    <w:rsid w:val="00172F83"/>
    <w:rsid w:val="001731A1"/>
    <w:rsid w:val="00173384"/>
    <w:rsid w:val="00174E2B"/>
    <w:rsid w:val="00174FA8"/>
    <w:rsid w:val="0017535F"/>
    <w:rsid w:val="00175713"/>
    <w:rsid w:val="00175FD7"/>
    <w:rsid w:val="00177640"/>
    <w:rsid w:val="00177CBE"/>
    <w:rsid w:val="00180ECC"/>
    <w:rsid w:val="00181653"/>
    <w:rsid w:val="001827E4"/>
    <w:rsid w:val="00182C21"/>
    <w:rsid w:val="00182C34"/>
    <w:rsid w:val="00183A42"/>
    <w:rsid w:val="0018546F"/>
    <w:rsid w:val="001863A7"/>
    <w:rsid w:val="0018775B"/>
    <w:rsid w:val="00187F0E"/>
    <w:rsid w:val="00190DF7"/>
    <w:rsid w:val="0019409D"/>
    <w:rsid w:val="001943C3"/>
    <w:rsid w:val="00196247"/>
    <w:rsid w:val="00196324"/>
    <w:rsid w:val="001A04BE"/>
    <w:rsid w:val="001A0CB7"/>
    <w:rsid w:val="001A3DD4"/>
    <w:rsid w:val="001A5093"/>
    <w:rsid w:val="001A5576"/>
    <w:rsid w:val="001A71A9"/>
    <w:rsid w:val="001A7376"/>
    <w:rsid w:val="001B3096"/>
    <w:rsid w:val="001B397A"/>
    <w:rsid w:val="001B3C3F"/>
    <w:rsid w:val="001B3DAB"/>
    <w:rsid w:val="001B400F"/>
    <w:rsid w:val="001B438C"/>
    <w:rsid w:val="001B46C0"/>
    <w:rsid w:val="001B6706"/>
    <w:rsid w:val="001B756A"/>
    <w:rsid w:val="001B78EC"/>
    <w:rsid w:val="001C19BC"/>
    <w:rsid w:val="001C1A9D"/>
    <w:rsid w:val="001C35F2"/>
    <w:rsid w:val="001C4241"/>
    <w:rsid w:val="001C4F42"/>
    <w:rsid w:val="001C5952"/>
    <w:rsid w:val="001C6BB6"/>
    <w:rsid w:val="001C71F7"/>
    <w:rsid w:val="001C7979"/>
    <w:rsid w:val="001C7E2D"/>
    <w:rsid w:val="001D02CD"/>
    <w:rsid w:val="001D06C1"/>
    <w:rsid w:val="001D0A84"/>
    <w:rsid w:val="001D12C3"/>
    <w:rsid w:val="001D13DB"/>
    <w:rsid w:val="001D1AE7"/>
    <w:rsid w:val="001D1D31"/>
    <w:rsid w:val="001D253E"/>
    <w:rsid w:val="001D2558"/>
    <w:rsid w:val="001D287A"/>
    <w:rsid w:val="001D3415"/>
    <w:rsid w:val="001D3970"/>
    <w:rsid w:val="001D3F14"/>
    <w:rsid w:val="001D4296"/>
    <w:rsid w:val="001D53B1"/>
    <w:rsid w:val="001D53F1"/>
    <w:rsid w:val="001D6B15"/>
    <w:rsid w:val="001E30C5"/>
    <w:rsid w:val="001E318A"/>
    <w:rsid w:val="001E378E"/>
    <w:rsid w:val="001E52D1"/>
    <w:rsid w:val="001E6E1E"/>
    <w:rsid w:val="001F0823"/>
    <w:rsid w:val="001F0C8D"/>
    <w:rsid w:val="001F478D"/>
    <w:rsid w:val="001F6263"/>
    <w:rsid w:val="001F67D5"/>
    <w:rsid w:val="001F6C81"/>
    <w:rsid w:val="0020022E"/>
    <w:rsid w:val="00200C6D"/>
    <w:rsid w:val="00200CC1"/>
    <w:rsid w:val="00200DAC"/>
    <w:rsid w:val="0020114C"/>
    <w:rsid w:val="002036BF"/>
    <w:rsid w:val="00203A3A"/>
    <w:rsid w:val="00203B8F"/>
    <w:rsid w:val="00204303"/>
    <w:rsid w:val="00205981"/>
    <w:rsid w:val="002059F9"/>
    <w:rsid w:val="002067B0"/>
    <w:rsid w:val="0020761C"/>
    <w:rsid w:val="00211701"/>
    <w:rsid w:val="00211B8F"/>
    <w:rsid w:val="00212CDD"/>
    <w:rsid w:val="002157AD"/>
    <w:rsid w:val="0021685A"/>
    <w:rsid w:val="00216EB5"/>
    <w:rsid w:val="0021743F"/>
    <w:rsid w:val="002202D4"/>
    <w:rsid w:val="00220EFC"/>
    <w:rsid w:val="00221636"/>
    <w:rsid w:val="00221A68"/>
    <w:rsid w:val="00221D66"/>
    <w:rsid w:val="0022242E"/>
    <w:rsid w:val="0022290E"/>
    <w:rsid w:val="00222D41"/>
    <w:rsid w:val="002252FD"/>
    <w:rsid w:val="00226536"/>
    <w:rsid w:val="00227E0D"/>
    <w:rsid w:val="00230C35"/>
    <w:rsid w:val="00231046"/>
    <w:rsid w:val="00231C1D"/>
    <w:rsid w:val="00232045"/>
    <w:rsid w:val="00232533"/>
    <w:rsid w:val="00234A1F"/>
    <w:rsid w:val="00234A3B"/>
    <w:rsid w:val="00234CFA"/>
    <w:rsid w:val="00235493"/>
    <w:rsid w:val="0023574E"/>
    <w:rsid w:val="00236709"/>
    <w:rsid w:val="0024143E"/>
    <w:rsid w:val="00241C02"/>
    <w:rsid w:val="00244B3C"/>
    <w:rsid w:val="00251064"/>
    <w:rsid w:val="00252B22"/>
    <w:rsid w:val="00253AA7"/>
    <w:rsid w:val="00253CAD"/>
    <w:rsid w:val="002542A8"/>
    <w:rsid w:val="0025560D"/>
    <w:rsid w:val="00256496"/>
    <w:rsid w:val="0025693C"/>
    <w:rsid w:val="00256DB7"/>
    <w:rsid w:val="0025741B"/>
    <w:rsid w:val="00260F8D"/>
    <w:rsid w:val="00262A4A"/>
    <w:rsid w:val="00264B77"/>
    <w:rsid w:val="00264D45"/>
    <w:rsid w:val="002659FC"/>
    <w:rsid w:val="00267844"/>
    <w:rsid w:val="00270B7F"/>
    <w:rsid w:val="00270DBE"/>
    <w:rsid w:val="00271B91"/>
    <w:rsid w:val="00273F45"/>
    <w:rsid w:val="00274512"/>
    <w:rsid w:val="00276289"/>
    <w:rsid w:val="00276797"/>
    <w:rsid w:val="00276CAB"/>
    <w:rsid w:val="00277FF4"/>
    <w:rsid w:val="002800EC"/>
    <w:rsid w:val="0028029B"/>
    <w:rsid w:val="0028040F"/>
    <w:rsid w:val="002832F4"/>
    <w:rsid w:val="002839CC"/>
    <w:rsid w:val="00283B6F"/>
    <w:rsid w:val="00283FD8"/>
    <w:rsid w:val="002846B5"/>
    <w:rsid w:val="002855B4"/>
    <w:rsid w:val="00285995"/>
    <w:rsid w:val="002916E1"/>
    <w:rsid w:val="00294068"/>
    <w:rsid w:val="002948E1"/>
    <w:rsid w:val="00297301"/>
    <w:rsid w:val="00297709"/>
    <w:rsid w:val="002A0AC0"/>
    <w:rsid w:val="002A139F"/>
    <w:rsid w:val="002A1F6B"/>
    <w:rsid w:val="002A2668"/>
    <w:rsid w:val="002A2DE0"/>
    <w:rsid w:val="002A3094"/>
    <w:rsid w:val="002A31F1"/>
    <w:rsid w:val="002A43BA"/>
    <w:rsid w:val="002A4622"/>
    <w:rsid w:val="002A57D1"/>
    <w:rsid w:val="002A57EC"/>
    <w:rsid w:val="002A6A70"/>
    <w:rsid w:val="002A6C5D"/>
    <w:rsid w:val="002A6C9E"/>
    <w:rsid w:val="002B15CB"/>
    <w:rsid w:val="002B7233"/>
    <w:rsid w:val="002B73C7"/>
    <w:rsid w:val="002C03B7"/>
    <w:rsid w:val="002C10CD"/>
    <w:rsid w:val="002C1350"/>
    <w:rsid w:val="002C2D3D"/>
    <w:rsid w:val="002C30C0"/>
    <w:rsid w:val="002C3890"/>
    <w:rsid w:val="002C3A30"/>
    <w:rsid w:val="002C3AFC"/>
    <w:rsid w:val="002C4DE2"/>
    <w:rsid w:val="002C5D16"/>
    <w:rsid w:val="002C7A0E"/>
    <w:rsid w:val="002C7C68"/>
    <w:rsid w:val="002C7D8C"/>
    <w:rsid w:val="002C7EB1"/>
    <w:rsid w:val="002D00F0"/>
    <w:rsid w:val="002D0E55"/>
    <w:rsid w:val="002D2190"/>
    <w:rsid w:val="002D26E4"/>
    <w:rsid w:val="002D2839"/>
    <w:rsid w:val="002D3882"/>
    <w:rsid w:val="002D4B04"/>
    <w:rsid w:val="002D51F0"/>
    <w:rsid w:val="002D5D5D"/>
    <w:rsid w:val="002D619D"/>
    <w:rsid w:val="002D6727"/>
    <w:rsid w:val="002D7161"/>
    <w:rsid w:val="002E0A8F"/>
    <w:rsid w:val="002E0F8A"/>
    <w:rsid w:val="002E131F"/>
    <w:rsid w:val="002E3125"/>
    <w:rsid w:val="002E32AF"/>
    <w:rsid w:val="002E5AE7"/>
    <w:rsid w:val="002E7680"/>
    <w:rsid w:val="002F074D"/>
    <w:rsid w:val="002F1BB8"/>
    <w:rsid w:val="002F1C2D"/>
    <w:rsid w:val="002F58B0"/>
    <w:rsid w:val="002F5D72"/>
    <w:rsid w:val="002F625E"/>
    <w:rsid w:val="002F780F"/>
    <w:rsid w:val="00300CA1"/>
    <w:rsid w:val="003027EB"/>
    <w:rsid w:val="00302D04"/>
    <w:rsid w:val="00303962"/>
    <w:rsid w:val="00303AE2"/>
    <w:rsid w:val="00304787"/>
    <w:rsid w:val="00304CCA"/>
    <w:rsid w:val="00304FB3"/>
    <w:rsid w:val="0030560B"/>
    <w:rsid w:val="00305A95"/>
    <w:rsid w:val="00306551"/>
    <w:rsid w:val="003074C8"/>
    <w:rsid w:val="00307D42"/>
    <w:rsid w:val="00310B08"/>
    <w:rsid w:val="00313334"/>
    <w:rsid w:val="0031399D"/>
    <w:rsid w:val="00314125"/>
    <w:rsid w:val="00314B44"/>
    <w:rsid w:val="00315FC8"/>
    <w:rsid w:val="00316127"/>
    <w:rsid w:val="0031643D"/>
    <w:rsid w:val="0031654B"/>
    <w:rsid w:val="00316EC4"/>
    <w:rsid w:val="00317297"/>
    <w:rsid w:val="00317826"/>
    <w:rsid w:val="00321455"/>
    <w:rsid w:val="00321681"/>
    <w:rsid w:val="00322634"/>
    <w:rsid w:val="00322F26"/>
    <w:rsid w:val="00326363"/>
    <w:rsid w:val="0033003D"/>
    <w:rsid w:val="00330389"/>
    <w:rsid w:val="00330A7A"/>
    <w:rsid w:val="0033267D"/>
    <w:rsid w:val="00332A59"/>
    <w:rsid w:val="003335F5"/>
    <w:rsid w:val="00333A7F"/>
    <w:rsid w:val="00335312"/>
    <w:rsid w:val="0033564F"/>
    <w:rsid w:val="003368BE"/>
    <w:rsid w:val="00336C99"/>
    <w:rsid w:val="00336E4C"/>
    <w:rsid w:val="003400B9"/>
    <w:rsid w:val="00340611"/>
    <w:rsid w:val="00341F16"/>
    <w:rsid w:val="00344443"/>
    <w:rsid w:val="00344F84"/>
    <w:rsid w:val="00345116"/>
    <w:rsid w:val="003451A6"/>
    <w:rsid w:val="003474E3"/>
    <w:rsid w:val="0034772C"/>
    <w:rsid w:val="00350859"/>
    <w:rsid w:val="00350EB3"/>
    <w:rsid w:val="003514E9"/>
    <w:rsid w:val="0035171F"/>
    <w:rsid w:val="0035252E"/>
    <w:rsid w:val="0035603C"/>
    <w:rsid w:val="00357AE1"/>
    <w:rsid w:val="00357E0D"/>
    <w:rsid w:val="003600E2"/>
    <w:rsid w:val="003601CF"/>
    <w:rsid w:val="00361790"/>
    <w:rsid w:val="0036209F"/>
    <w:rsid w:val="00362742"/>
    <w:rsid w:val="0036316D"/>
    <w:rsid w:val="003634AD"/>
    <w:rsid w:val="003653C5"/>
    <w:rsid w:val="003657E1"/>
    <w:rsid w:val="00366DEC"/>
    <w:rsid w:val="0036732C"/>
    <w:rsid w:val="00370582"/>
    <w:rsid w:val="00370B9D"/>
    <w:rsid w:val="003723BC"/>
    <w:rsid w:val="0037313E"/>
    <w:rsid w:val="0037433E"/>
    <w:rsid w:val="00374F5B"/>
    <w:rsid w:val="00375962"/>
    <w:rsid w:val="0038011A"/>
    <w:rsid w:val="00380B06"/>
    <w:rsid w:val="003819EB"/>
    <w:rsid w:val="00381DA2"/>
    <w:rsid w:val="00382156"/>
    <w:rsid w:val="003826DA"/>
    <w:rsid w:val="00382F36"/>
    <w:rsid w:val="003839D0"/>
    <w:rsid w:val="00385470"/>
    <w:rsid w:val="003860B5"/>
    <w:rsid w:val="003873D4"/>
    <w:rsid w:val="003902BD"/>
    <w:rsid w:val="00390808"/>
    <w:rsid w:val="00391922"/>
    <w:rsid w:val="00391FC8"/>
    <w:rsid w:val="003928FE"/>
    <w:rsid w:val="003935E8"/>
    <w:rsid w:val="003955ED"/>
    <w:rsid w:val="0039562F"/>
    <w:rsid w:val="00395C18"/>
    <w:rsid w:val="003963F4"/>
    <w:rsid w:val="00396DCE"/>
    <w:rsid w:val="003A0F41"/>
    <w:rsid w:val="003A1243"/>
    <w:rsid w:val="003A1DEB"/>
    <w:rsid w:val="003A3F0F"/>
    <w:rsid w:val="003A4B1B"/>
    <w:rsid w:val="003A64A2"/>
    <w:rsid w:val="003B1646"/>
    <w:rsid w:val="003B3B2A"/>
    <w:rsid w:val="003B43F2"/>
    <w:rsid w:val="003B56D0"/>
    <w:rsid w:val="003B581F"/>
    <w:rsid w:val="003B583C"/>
    <w:rsid w:val="003B5A42"/>
    <w:rsid w:val="003B6A52"/>
    <w:rsid w:val="003C1778"/>
    <w:rsid w:val="003C2ABD"/>
    <w:rsid w:val="003C449E"/>
    <w:rsid w:val="003C4CA2"/>
    <w:rsid w:val="003C4EA6"/>
    <w:rsid w:val="003C4F63"/>
    <w:rsid w:val="003C51E9"/>
    <w:rsid w:val="003C52D6"/>
    <w:rsid w:val="003C55C7"/>
    <w:rsid w:val="003C5684"/>
    <w:rsid w:val="003C6258"/>
    <w:rsid w:val="003C637F"/>
    <w:rsid w:val="003C63D2"/>
    <w:rsid w:val="003D02B1"/>
    <w:rsid w:val="003D0541"/>
    <w:rsid w:val="003D08CB"/>
    <w:rsid w:val="003D112A"/>
    <w:rsid w:val="003D1EC5"/>
    <w:rsid w:val="003D2312"/>
    <w:rsid w:val="003D2D44"/>
    <w:rsid w:val="003D6963"/>
    <w:rsid w:val="003D6A63"/>
    <w:rsid w:val="003D7409"/>
    <w:rsid w:val="003D7F8F"/>
    <w:rsid w:val="003E062A"/>
    <w:rsid w:val="003E26AE"/>
    <w:rsid w:val="003E3AF1"/>
    <w:rsid w:val="003E3FB8"/>
    <w:rsid w:val="003E41E9"/>
    <w:rsid w:val="003E4B9A"/>
    <w:rsid w:val="003E4EB7"/>
    <w:rsid w:val="003E5CDD"/>
    <w:rsid w:val="003E5EF2"/>
    <w:rsid w:val="003E60EF"/>
    <w:rsid w:val="003E799D"/>
    <w:rsid w:val="003E7EC5"/>
    <w:rsid w:val="003F013C"/>
    <w:rsid w:val="003F0CA3"/>
    <w:rsid w:val="003F0F91"/>
    <w:rsid w:val="003F3D99"/>
    <w:rsid w:val="003F40C4"/>
    <w:rsid w:val="003F493E"/>
    <w:rsid w:val="003F505D"/>
    <w:rsid w:val="003F596D"/>
    <w:rsid w:val="003F5C91"/>
    <w:rsid w:val="003F642A"/>
    <w:rsid w:val="003F7EBD"/>
    <w:rsid w:val="003F7F9C"/>
    <w:rsid w:val="004009AE"/>
    <w:rsid w:val="0040183A"/>
    <w:rsid w:val="00401A5F"/>
    <w:rsid w:val="00402DED"/>
    <w:rsid w:val="00402E8B"/>
    <w:rsid w:val="00403175"/>
    <w:rsid w:val="0040412F"/>
    <w:rsid w:val="00404733"/>
    <w:rsid w:val="00405127"/>
    <w:rsid w:val="00405CA7"/>
    <w:rsid w:val="00406E90"/>
    <w:rsid w:val="00406EED"/>
    <w:rsid w:val="0040742E"/>
    <w:rsid w:val="00410081"/>
    <w:rsid w:val="00410809"/>
    <w:rsid w:val="00410AD6"/>
    <w:rsid w:val="00411447"/>
    <w:rsid w:val="00411625"/>
    <w:rsid w:val="0041258B"/>
    <w:rsid w:val="004138D0"/>
    <w:rsid w:val="004139B5"/>
    <w:rsid w:val="00413B7A"/>
    <w:rsid w:val="00414286"/>
    <w:rsid w:val="004142A6"/>
    <w:rsid w:val="0041448E"/>
    <w:rsid w:val="004145EF"/>
    <w:rsid w:val="00414DB7"/>
    <w:rsid w:val="004153F2"/>
    <w:rsid w:val="004158D0"/>
    <w:rsid w:val="00415F9D"/>
    <w:rsid w:val="00416EC9"/>
    <w:rsid w:val="00417080"/>
    <w:rsid w:val="00417672"/>
    <w:rsid w:val="0041770C"/>
    <w:rsid w:val="00421A53"/>
    <w:rsid w:val="00422519"/>
    <w:rsid w:val="00422AAA"/>
    <w:rsid w:val="0042395F"/>
    <w:rsid w:val="00425019"/>
    <w:rsid w:val="004259FA"/>
    <w:rsid w:val="00426FA8"/>
    <w:rsid w:val="00430D1C"/>
    <w:rsid w:val="00431E25"/>
    <w:rsid w:val="00432C42"/>
    <w:rsid w:val="00433357"/>
    <w:rsid w:val="00435042"/>
    <w:rsid w:val="004364E2"/>
    <w:rsid w:val="00436908"/>
    <w:rsid w:val="00436BD7"/>
    <w:rsid w:val="00440786"/>
    <w:rsid w:val="00440837"/>
    <w:rsid w:val="004411B6"/>
    <w:rsid w:val="00441430"/>
    <w:rsid w:val="00445BF9"/>
    <w:rsid w:val="00447614"/>
    <w:rsid w:val="00447B20"/>
    <w:rsid w:val="00447C36"/>
    <w:rsid w:val="00447E42"/>
    <w:rsid w:val="00450304"/>
    <w:rsid w:val="00450B1E"/>
    <w:rsid w:val="00451BD8"/>
    <w:rsid w:val="004521B0"/>
    <w:rsid w:val="00452819"/>
    <w:rsid w:val="00453E1F"/>
    <w:rsid w:val="00453ECD"/>
    <w:rsid w:val="00454347"/>
    <w:rsid w:val="0045662F"/>
    <w:rsid w:val="00456C26"/>
    <w:rsid w:val="004605B6"/>
    <w:rsid w:val="00460B6E"/>
    <w:rsid w:val="004622F6"/>
    <w:rsid w:val="004626E3"/>
    <w:rsid w:val="00463F2E"/>
    <w:rsid w:val="004644F8"/>
    <w:rsid w:val="00465625"/>
    <w:rsid w:val="004663C2"/>
    <w:rsid w:val="004669F7"/>
    <w:rsid w:val="00466FA1"/>
    <w:rsid w:val="004676BC"/>
    <w:rsid w:val="00471427"/>
    <w:rsid w:val="00471B63"/>
    <w:rsid w:val="00472ED4"/>
    <w:rsid w:val="00472EF3"/>
    <w:rsid w:val="00473AA3"/>
    <w:rsid w:val="004760ED"/>
    <w:rsid w:val="004800B0"/>
    <w:rsid w:val="004812C2"/>
    <w:rsid w:val="004827F5"/>
    <w:rsid w:val="00482D44"/>
    <w:rsid w:val="004837C1"/>
    <w:rsid w:val="004855C4"/>
    <w:rsid w:val="004858A6"/>
    <w:rsid w:val="00487932"/>
    <w:rsid w:val="0049011C"/>
    <w:rsid w:val="00491BFD"/>
    <w:rsid w:val="00494826"/>
    <w:rsid w:val="0049589E"/>
    <w:rsid w:val="004958FD"/>
    <w:rsid w:val="00496DD0"/>
    <w:rsid w:val="00497CD8"/>
    <w:rsid w:val="004A1EDC"/>
    <w:rsid w:val="004A2A6E"/>
    <w:rsid w:val="004A41CD"/>
    <w:rsid w:val="004A50B3"/>
    <w:rsid w:val="004A60FF"/>
    <w:rsid w:val="004A6CFB"/>
    <w:rsid w:val="004A73A1"/>
    <w:rsid w:val="004B0148"/>
    <w:rsid w:val="004B0248"/>
    <w:rsid w:val="004B076F"/>
    <w:rsid w:val="004B12BA"/>
    <w:rsid w:val="004B1BA7"/>
    <w:rsid w:val="004B2267"/>
    <w:rsid w:val="004B4D14"/>
    <w:rsid w:val="004B4EE0"/>
    <w:rsid w:val="004B5D61"/>
    <w:rsid w:val="004B65E5"/>
    <w:rsid w:val="004B7312"/>
    <w:rsid w:val="004B7756"/>
    <w:rsid w:val="004B7CA5"/>
    <w:rsid w:val="004B7EFF"/>
    <w:rsid w:val="004C1D56"/>
    <w:rsid w:val="004C1D7B"/>
    <w:rsid w:val="004C1FF9"/>
    <w:rsid w:val="004C243D"/>
    <w:rsid w:val="004C56E7"/>
    <w:rsid w:val="004C5903"/>
    <w:rsid w:val="004C5B46"/>
    <w:rsid w:val="004C5F33"/>
    <w:rsid w:val="004C7474"/>
    <w:rsid w:val="004C7D4F"/>
    <w:rsid w:val="004D0B6E"/>
    <w:rsid w:val="004D2D16"/>
    <w:rsid w:val="004D343E"/>
    <w:rsid w:val="004D39F4"/>
    <w:rsid w:val="004D5000"/>
    <w:rsid w:val="004D54BF"/>
    <w:rsid w:val="004D5F9A"/>
    <w:rsid w:val="004E143C"/>
    <w:rsid w:val="004E1B0E"/>
    <w:rsid w:val="004E31E5"/>
    <w:rsid w:val="004E4269"/>
    <w:rsid w:val="004E494E"/>
    <w:rsid w:val="004E4EC0"/>
    <w:rsid w:val="004E5340"/>
    <w:rsid w:val="004E5B32"/>
    <w:rsid w:val="004E60EF"/>
    <w:rsid w:val="004E6B79"/>
    <w:rsid w:val="004E7F38"/>
    <w:rsid w:val="004F0654"/>
    <w:rsid w:val="004F11C6"/>
    <w:rsid w:val="004F3BDE"/>
    <w:rsid w:val="004F413D"/>
    <w:rsid w:val="004F4CA3"/>
    <w:rsid w:val="004F4EAC"/>
    <w:rsid w:val="004F5833"/>
    <w:rsid w:val="004F5AD3"/>
    <w:rsid w:val="004F5D0D"/>
    <w:rsid w:val="004F6578"/>
    <w:rsid w:val="004F6F8D"/>
    <w:rsid w:val="005002C5"/>
    <w:rsid w:val="00500504"/>
    <w:rsid w:val="00500AF5"/>
    <w:rsid w:val="00500D68"/>
    <w:rsid w:val="00502C89"/>
    <w:rsid w:val="00503F44"/>
    <w:rsid w:val="00504D1A"/>
    <w:rsid w:val="0050547A"/>
    <w:rsid w:val="005075F1"/>
    <w:rsid w:val="005111C7"/>
    <w:rsid w:val="00511855"/>
    <w:rsid w:val="0051359D"/>
    <w:rsid w:val="00513A74"/>
    <w:rsid w:val="00515E42"/>
    <w:rsid w:val="00515E94"/>
    <w:rsid w:val="0051606B"/>
    <w:rsid w:val="005162B6"/>
    <w:rsid w:val="005165D1"/>
    <w:rsid w:val="005178D6"/>
    <w:rsid w:val="00517BFF"/>
    <w:rsid w:val="00520DC5"/>
    <w:rsid w:val="00521195"/>
    <w:rsid w:val="00521E03"/>
    <w:rsid w:val="00521E82"/>
    <w:rsid w:val="005228C8"/>
    <w:rsid w:val="00522E10"/>
    <w:rsid w:val="0052315E"/>
    <w:rsid w:val="00524484"/>
    <w:rsid w:val="005244E6"/>
    <w:rsid w:val="00525346"/>
    <w:rsid w:val="00526134"/>
    <w:rsid w:val="005266E5"/>
    <w:rsid w:val="00526728"/>
    <w:rsid w:val="00527EBA"/>
    <w:rsid w:val="00530707"/>
    <w:rsid w:val="00530807"/>
    <w:rsid w:val="00531650"/>
    <w:rsid w:val="00531E35"/>
    <w:rsid w:val="00532121"/>
    <w:rsid w:val="00533F0F"/>
    <w:rsid w:val="00534D2B"/>
    <w:rsid w:val="0053629E"/>
    <w:rsid w:val="00536D8F"/>
    <w:rsid w:val="0053748D"/>
    <w:rsid w:val="0054136B"/>
    <w:rsid w:val="005419C0"/>
    <w:rsid w:val="00542100"/>
    <w:rsid w:val="00542577"/>
    <w:rsid w:val="0054281C"/>
    <w:rsid w:val="005429E4"/>
    <w:rsid w:val="00544EE7"/>
    <w:rsid w:val="00545188"/>
    <w:rsid w:val="00545AED"/>
    <w:rsid w:val="00547479"/>
    <w:rsid w:val="005500C4"/>
    <w:rsid w:val="005508C5"/>
    <w:rsid w:val="00550BDD"/>
    <w:rsid w:val="00550F19"/>
    <w:rsid w:val="005521A9"/>
    <w:rsid w:val="00552AD1"/>
    <w:rsid w:val="00552D62"/>
    <w:rsid w:val="0055411E"/>
    <w:rsid w:val="005542C1"/>
    <w:rsid w:val="00554C8E"/>
    <w:rsid w:val="00555419"/>
    <w:rsid w:val="005557E6"/>
    <w:rsid w:val="00555AF3"/>
    <w:rsid w:val="00555F17"/>
    <w:rsid w:val="00557346"/>
    <w:rsid w:val="00562685"/>
    <w:rsid w:val="00562A33"/>
    <w:rsid w:val="0056429E"/>
    <w:rsid w:val="0056539B"/>
    <w:rsid w:val="00565C99"/>
    <w:rsid w:val="00566E8F"/>
    <w:rsid w:val="00567261"/>
    <w:rsid w:val="005673F3"/>
    <w:rsid w:val="0056747D"/>
    <w:rsid w:val="0056797E"/>
    <w:rsid w:val="00567EB1"/>
    <w:rsid w:val="00570EC1"/>
    <w:rsid w:val="00571689"/>
    <w:rsid w:val="00571C09"/>
    <w:rsid w:val="00572415"/>
    <w:rsid w:val="005726A6"/>
    <w:rsid w:val="00573748"/>
    <w:rsid w:val="00573BA2"/>
    <w:rsid w:val="00574E32"/>
    <w:rsid w:val="00575155"/>
    <w:rsid w:val="00580EB6"/>
    <w:rsid w:val="00583643"/>
    <w:rsid w:val="0058410B"/>
    <w:rsid w:val="0058439E"/>
    <w:rsid w:val="0058574F"/>
    <w:rsid w:val="00585E2A"/>
    <w:rsid w:val="00586015"/>
    <w:rsid w:val="005863DC"/>
    <w:rsid w:val="00590B5E"/>
    <w:rsid w:val="005913CB"/>
    <w:rsid w:val="00592302"/>
    <w:rsid w:val="00593BBB"/>
    <w:rsid w:val="00593D70"/>
    <w:rsid w:val="00595475"/>
    <w:rsid w:val="00595E5D"/>
    <w:rsid w:val="00596A84"/>
    <w:rsid w:val="00596FA8"/>
    <w:rsid w:val="0059750F"/>
    <w:rsid w:val="005A2F85"/>
    <w:rsid w:val="005A32AC"/>
    <w:rsid w:val="005A3A07"/>
    <w:rsid w:val="005A558B"/>
    <w:rsid w:val="005A5E88"/>
    <w:rsid w:val="005A6930"/>
    <w:rsid w:val="005A7196"/>
    <w:rsid w:val="005A7451"/>
    <w:rsid w:val="005B1266"/>
    <w:rsid w:val="005B2123"/>
    <w:rsid w:val="005B2A12"/>
    <w:rsid w:val="005B32D7"/>
    <w:rsid w:val="005B37E7"/>
    <w:rsid w:val="005B389A"/>
    <w:rsid w:val="005B3B03"/>
    <w:rsid w:val="005B49DA"/>
    <w:rsid w:val="005B5436"/>
    <w:rsid w:val="005B5439"/>
    <w:rsid w:val="005B54C9"/>
    <w:rsid w:val="005B5E20"/>
    <w:rsid w:val="005B6414"/>
    <w:rsid w:val="005B6F04"/>
    <w:rsid w:val="005B74BB"/>
    <w:rsid w:val="005C1C7C"/>
    <w:rsid w:val="005C2F96"/>
    <w:rsid w:val="005C35EA"/>
    <w:rsid w:val="005C4645"/>
    <w:rsid w:val="005C63E0"/>
    <w:rsid w:val="005C645B"/>
    <w:rsid w:val="005D08FB"/>
    <w:rsid w:val="005D0A45"/>
    <w:rsid w:val="005D1316"/>
    <w:rsid w:val="005D27C2"/>
    <w:rsid w:val="005D4AE8"/>
    <w:rsid w:val="005D4C5D"/>
    <w:rsid w:val="005D5397"/>
    <w:rsid w:val="005D5F2F"/>
    <w:rsid w:val="005D6567"/>
    <w:rsid w:val="005D6BA3"/>
    <w:rsid w:val="005D7A9D"/>
    <w:rsid w:val="005E1FF0"/>
    <w:rsid w:val="005E35AD"/>
    <w:rsid w:val="005E40D4"/>
    <w:rsid w:val="005E47D2"/>
    <w:rsid w:val="005E61A5"/>
    <w:rsid w:val="005E6348"/>
    <w:rsid w:val="005E6FAF"/>
    <w:rsid w:val="005E714E"/>
    <w:rsid w:val="005F0070"/>
    <w:rsid w:val="005F1E9F"/>
    <w:rsid w:val="005F2778"/>
    <w:rsid w:val="005F3995"/>
    <w:rsid w:val="005F3F8E"/>
    <w:rsid w:val="005F539C"/>
    <w:rsid w:val="005F549C"/>
    <w:rsid w:val="005F5509"/>
    <w:rsid w:val="005F61D8"/>
    <w:rsid w:val="005F6EB0"/>
    <w:rsid w:val="005F76A0"/>
    <w:rsid w:val="006020A6"/>
    <w:rsid w:val="00602C4D"/>
    <w:rsid w:val="00603052"/>
    <w:rsid w:val="0060355F"/>
    <w:rsid w:val="00604227"/>
    <w:rsid w:val="006054E9"/>
    <w:rsid w:val="00606BF3"/>
    <w:rsid w:val="0060728D"/>
    <w:rsid w:val="00607E4A"/>
    <w:rsid w:val="00611813"/>
    <w:rsid w:val="00611A0D"/>
    <w:rsid w:val="006130E4"/>
    <w:rsid w:val="00613DEC"/>
    <w:rsid w:val="00614063"/>
    <w:rsid w:val="00616117"/>
    <w:rsid w:val="00616267"/>
    <w:rsid w:val="0061688F"/>
    <w:rsid w:val="006171C1"/>
    <w:rsid w:val="00617E1C"/>
    <w:rsid w:val="00621309"/>
    <w:rsid w:val="00621B96"/>
    <w:rsid w:val="006223FB"/>
    <w:rsid w:val="006226C3"/>
    <w:rsid w:val="006230FE"/>
    <w:rsid w:val="0062477B"/>
    <w:rsid w:val="00626548"/>
    <w:rsid w:val="00626DBF"/>
    <w:rsid w:val="00631CC3"/>
    <w:rsid w:val="00632538"/>
    <w:rsid w:val="00632F8C"/>
    <w:rsid w:val="00633B3B"/>
    <w:rsid w:val="00634BD3"/>
    <w:rsid w:val="00635337"/>
    <w:rsid w:val="00635994"/>
    <w:rsid w:val="00635CC8"/>
    <w:rsid w:val="00635DC3"/>
    <w:rsid w:val="00635E5A"/>
    <w:rsid w:val="00637A2D"/>
    <w:rsid w:val="00637FCA"/>
    <w:rsid w:val="00640857"/>
    <w:rsid w:val="006410F3"/>
    <w:rsid w:val="0064126C"/>
    <w:rsid w:val="0064164A"/>
    <w:rsid w:val="006433C8"/>
    <w:rsid w:val="0064368E"/>
    <w:rsid w:val="006449E9"/>
    <w:rsid w:val="00644E68"/>
    <w:rsid w:val="006457D8"/>
    <w:rsid w:val="00645D6E"/>
    <w:rsid w:val="00647D8B"/>
    <w:rsid w:val="0065045B"/>
    <w:rsid w:val="00650B2D"/>
    <w:rsid w:val="00650B50"/>
    <w:rsid w:val="00651A63"/>
    <w:rsid w:val="006520CC"/>
    <w:rsid w:val="00653195"/>
    <w:rsid w:val="006553B8"/>
    <w:rsid w:val="006569E5"/>
    <w:rsid w:val="006574AF"/>
    <w:rsid w:val="0066082E"/>
    <w:rsid w:val="0066091B"/>
    <w:rsid w:val="0066130F"/>
    <w:rsid w:val="006616F0"/>
    <w:rsid w:val="0066354A"/>
    <w:rsid w:val="006637CC"/>
    <w:rsid w:val="006666BB"/>
    <w:rsid w:val="006704D1"/>
    <w:rsid w:val="00671700"/>
    <w:rsid w:val="00672802"/>
    <w:rsid w:val="00672DE9"/>
    <w:rsid w:val="00673EB4"/>
    <w:rsid w:val="00674A08"/>
    <w:rsid w:val="00675BB5"/>
    <w:rsid w:val="006760AB"/>
    <w:rsid w:val="006768E2"/>
    <w:rsid w:val="006769D4"/>
    <w:rsid w:val="00677479"/>
    <w:rsid w:val="00681DF0"/>
    <w:rsid w:val="00682282"/>
    <w:rsid w:val="0068294C"/>
    <w:rsid w:val="0068491C"/>
    <w:rsid w:val="0069027C"/>
    <w:rsid w:val="00690E68"/>
    <w:rsid w:val="00691338"/>
    <w:rsid w:val="00691F77"/>
    <w:rsid w:val="0069418E"/>
    <w:rsid w:val="0069442A"/>
    <w:rsid w:val="0069562C"/>
    <w:rsid w:val="00695944"/>
    <w:rsid w:val="00695975"/>
    <w:rsid w:val="006962B0"/>
    <w:rsid w:val="00696E3A"/>
    <w:rsid w:val="006979E9"/>
    <w:rsid w:val="006A162C"/>
    <w:rsid w:val="006A2025"/>
    <w:rsid w:val="006A2717"/>
    <w:rsid w:val="006A2E43"/>
    <w:rsid w:val="006A3035"/>
    <w:rsid w:val="006A460D"/>
    <w:rsid w:val="006A540D"/>
    <w:rsid w:val="006A55C4"/>
    <w:rsid w:val="006A658E"/>
    <w:rsid w:val="006B02AA"/>
    <w:rsid w:val="006B1191"/>
    <w:rsid w:val="006B19FD"/>
    <w:rsid w:val="006B3420"/>
    <w:rsid w:val="006B3872"/>
    <w:rsid w:val="006B3A57"/>
    <w:rsid w:val="006B3EA2"/>
    <w:rsid w:val="006B40EC"/>
    <w:rsid w:val="006B5E8D"/>
    <w:rsid w:val="006B6E15"/>
    <w:rsid w:val="006C011F"/>
    <w:rsid w:val="006C0BB9"/>
    <w:rsid w:val="006C1773"/>
    <w:rsid w:val="006C2264"/>
    <w:rsid w:val="006C22B0"/>
    <w:rsid w:val="006C23D7"/>
    <w:rsid w:val="006C2779"/>
    <w:rsid w:val="006C2A25"/>
    <w:rsid w:val="006C2D49"/>
    <w:rsid w:val="006C3DB8"/>
    <w:rsid w:val="006C7C51"/>
    <w:rsid w:val="006D04F4"/>
    <w:rsid w:val="006D101A"/>
    <w:rsid w:val="006D307D"/>
    <w:rsid w:val="006D4F02"/>
    <w:rsid w:val="006D537B"/>
    <w:rsid w:val="006D63AC"/>
    <w:rsid w:val="006D65FD"/>
    <w:rsid w:val="006D6831"/>
    <w:rsid w:val="006D692C"/>
    <w:rsid w:val="006D6FE9"/>
    <w:rsid w:val="006E03FC"/>
    <w:rsid w:val="006E0466"/>
    <w:rsid w:val="006E0F8D"/>
    <w:rsid w:val="006E293D"/>
    <w:rsid w:val="006E36F6"/>
    <w:rsid w:val="006E382E"/>
    <w:rsid w:val="006E3C1A"/>
    <w:rsid w:val="006E5460"/>
    <w:rsid w:val="006E726F"/>
    <w:rsid w:val="006E7333"/>
    <w:rsid w:val="006F1388"/>
    <w:rsid w:val="006F14FC"/>
    <w:rsid w:val="006F1ABF"/>
    <w:rsid w:val="006F2DE4"/>
    <w:rsid w:val="006F4414"/>
    <w:rsid w:val="006F75AC"/>
    <w:rsid w:val="007030E5"/>
    <w:rsid w:val="0070339A"/>
    <w:rsid w:val="00703708"/>
    <w:rsid w:val="007038CF"/>
    <w:rsid w:val="00707572"/>
    <w:rsid w:val="007078A6"/>
    <w:rsid w:val="00707AF0"/>
    <w:rsid w:val="00707C2E"/>
    <w:rsid w:val="0071061E"/>
    <w:rsid w:val="007109FD"/>
    <w:rsid w:val="007112E5"/>
    <w:rsid w:val="0071156D"/>
    <w:rsid w:val="007127F4"/>
    <w:rsid w:val="00712D6D"/>
    <w:rsid w:val="007149C6"/>
    <w:rsid w:val="007155AD"/>
    <w:rsid w:val="00715671"/>
    <w:rsid w:val="00716687"/>
    <w:rsid w:val="00716E18"/>
    <w:rsid w:val="00717880"/>
    <w:rsid w:val="00717C65"/>
    <w:rsid w:val="00720F2E"/>
    <w:rsid w:val="00723247"/>
    <w:rsid w:val="00724C45"/>
    <w:rsid w:val="007273AF"/>
    <w:rsid w:val="00727D48"/>
    <w:rsid w:val="00732387"/>
    <w:rsid w:val="00732462"/>
    <w:rsid w:val="007328E2"/>
    <w:rsid w:val="00733203"/>
    <w:rsid w:val="007337C4"/>
    <w:rsid w:val="0073408C"/>
    <w:rsid w:val="007341FF"/>
    <w:rsid w:val="0073449C"/>
    <w:rsid w:val="00735296"/>
    <w:rsid w:val="0073560C"/>
    <w:rsid w:val="00736A67"/>
    <w:rsid w:val="00736A71"/>
    <w:rsid w:val="00736EC1"/>
    <w:rsid w:val="00737AF2"/>
    <w:rsid w:val="00737B47"/>
    <w:rsid w:val="00737B61"/>
    <w:rsid w:val="00740505"/>
    <w:rsid w:val="00740627"/>
    <w:rsid w:val="007407E3"/>
    <w:rsid w:val="00740CD0"/>
    <w:rsid w:val="00740D7B"/>
    <w:rsid w:val="00741E74"/>
    <w:rsid w:val="00742C3A"/>
    <w:rsid w:val="00743A28"/>
    <w:rsid w:val="007443AB"/>
    <w:rsid w:val="00744E1B"/>
    <w:rsid w:val="007453B2"/>
    <w:rsid w:val="00745C59"/>
    <w:rsid w:val="007466A3"/>
    <w:rsid w:val="00746B8E"/>
    <w:rsid w:val="007475C5"/>
    <w:rsid w:val="00747F2A"/>
    <w:rsid w:val="00750A11"/>
    <w:rsid w:val="007513C0"/>
    <w:rsid w:val="00753045"/>
    <w:rsid w:val="007537C7"/>
    <w:rsid w:val="0075402E"/>
    <w:rsid w:val="00755B26"/>
    <w:rsid w:val="00757B6D"/>
    <w:rsid w:val="0076064A"/>
    <w:rsid w:val="0076106F"/>
    <w:rsid w:val="0076188B"/>
    <w:rsid w:val="00761DA7"/>
    <w:rsid w:val="00761F66"/>
    <w:rsid w:val="007630A9"/>
    <w:rsid w:val="007657C8"/>
    <w:rsid w:val="007658B5"/>
    <w:rsid w:val="00772580"/>
    <w:rsid w:val="007737BD"/>
    <w:rsid w:val="0077428F"/>
    <w:rsid w:val="00774FCD"/>
    <w:rsid w:val="007752E9"/>
    <w:rsid w:val="00775466"/>
    <w:rsid w:val="007767E6"/>
    <w:rsid w:val="0077683E"/>
    <w:rsid w:val="007776E5"/>
    <w:rsid w:val="00777956"/>
    <w:rsid w:val="0078012B"/>
    <w:rsid w:val="0078064B"/>
    <w:rsid w:val="007818AA"/>
    <w:rsid w:val="00783095"/>
    <w:rsid w:val="0078422F"/>
    <w:rsid w:val="0078533F"/>
    <w:rsid w:val="00787117"/>
    <w:rsid w:val="0078725D"/>
    <w:rsid w:val="00787DB6"/>
    <w:rsid w:val="0079009F"/>
    <w:rsid w:val="00790775"/>
    <w:rsid w:val="00791630"/>
    <w:rsid w:val="00793C4B"/>
    <w:rsid w:val="00794C61"/>
    <w:rsid w:val="00794C62"/>
    <w:rsid w:val="007961E0"/>
    <w:rsid w:val="00796B83"/>
    <w:rsid w:val="0079740B"/>
    <w:rsid w:val="007A07B2"/>
    <w:rsid w:val="007A174A"/>
    <w:rsid w:val="007A2340"/>
    <w:rsid w:val="007A3FA0"/>
    <w:rsid w:val="007A4E83"/>
    <w:rsid w:val="007A6406"/>
    <w:rsid w:val="007A673C"/>
    <w:rsid w:val="007A6A51"/>
    <w:rsid w:val="007A7342"/>
    <w:rsid w:val="007A7C1A"/>
    <w:rsid w:val="007B0BF6"/>
    <w:rsid w:val="007B1705"/>
    <w:rsid w:val="007B4354"/>
    <w:rsid w:val="007B49B8"/>
    <w:rsid w:val="007B4B56"/>
    <w:rsid w:val="007B4F49"/>
    <w:rsid w:val="007B5317"/>
    <w:rsid w:val="007B65E6"/>
    <w:rsid w:val="007B71E4"/>
    <w:rsid w:val="007C0931"/>
    <w:rsid w:val="007C0D02"/>
    <w:rsid w:val="007C0EA7"/>
    <w:rsid w:val="007C0EA9"/>
    <w:rsid w:val="007C18D4"/>
    <w:rsid w:val="007C1DB2"/>
    <w:rsid w:val="007C1F25"/>
    <w:rsid w:val="007C63AE"/>
    <w:rsid w:val="007C6523"/>
    <w:rsid w:val="007C6A75"/>
    <w:rsid w:val="007C6E69"/>
    <w:rsid w:val="007C7ADE"/>
    <w:rsid w:val="007D03A3"/>
    <w:rsid w:val="007D19DA"/>
    <w:rsid w:val="007D1B17"/>
    <w:rsid w:val="007D2039"/>
    <w:rsid w:val="007D233E"/>
    <w:rsid w:val="007D3BBC"/>
    <w:rsid w:val="007D3D95"/>
    <w:rsid w:val="007D496A"/>
    <w:rsid w:val="007D4CAB"/>
    <w:rsid w:val="007D5904"/>
    <w:rsid w:val="007D5A9C"/>
    <w:rsid w:val="007D5BFC"/>
    <w:rsid w:val="007D6C5B"/>
    <w:rsid w:val="007D7249"/>
    <w:rsid w:val="007E034D"/>
    <w:rsid w:val="007E1210"/>
    <w:rsid w:val="007E1972"/>
    <w:rsid w:val="007E3790"/>
    <w:rsid w:val="007E49B7"/>
    <w:rsid w:val="007E4D4D"/>
    <w:rsid w:val="007E4DA3"/>
    <w:rsid w:val="007E50D6"/>
    <w:rsid w:val="007E5A2C"/>
    <w:rsid w:val="007E7940"/>
    <w:rsid w:val="007E7B84"/>
    <w:rsid w:val="007F0D6B"/>
    <w:rsid w:val="007F0FB9"/>
    <w:rsid w:val="007F1687"/>
    <w:rsid w:val="007F16CF"/>
    <w:rsid w:val="007F30D5"/>
    <w:rsid w:val="007F333F"/>
    <w:rsid w:val="007F347D"/>
    <w:rsid w:val="007F5ED8"/>
    <w:rsid w:val="007F61A0"/>
    <w:rsid w:val="007F6388"/>
    <w:rsid w:val="008000CE"/>
    <w:rsid w:val="0080322A"/>
    <w:rsid w:val="00803292"/>
    <w:rsid w:val="00804261"/>
    <w:rsid w:val="008048B7"/>
    <w:rsid w:val="00804C26"/>
    <w:rsid w:val="008053AC"/>
    <w:rsid w:val="00805D42"/>
    <w:rsid w:val="00806850"/>
    <w:rsid w:val="00807371"/>
    <w:rsid w:val="0081126D"/>
    <w:rsid w:val="00811C49"/>
    <w:rsid w:val="008129E3"/>
    <w:rsid w:val="00812EDE"/>
    <w:rsid w:val="00813BDD"/>
    <w:rsid w:val="00813F7B"/>
    <w:rsid w:val="00814483"/>
    <w:rsid w:val="00814E43"/>
    <w:rsid w:val="008152CD"/>
    <w:rsid w:val="00815CCC"/>
    <w:rsid w:val="008160D6"/>
    <w:rsid w:val="0081682B"/>
    <w:rsid w:val="00817144"/>
    <w:rsid w:val="00820A4E"/>
    <w:rsid w:val="00820C1A"/>
    <w:rsid w:val="00821256"/>
    <w:rsid w:val="008215D1"/>
    <w:rsid w:val="00823368"/>
    <w:rsid w:val="008238E1"/>
    <w:rsid w:val="008247A1"/>
    <w:rsid w:val="00824C00"/>
    <w:rsid w:val="0082619A"/>
    <w:rsid w:val="008279B4"/>
    <w:rsid w:val="00830721"/>
    <w:rsid w:val="008307D5"/>
    <w:rsid w:val="0083097B"/>
    <w:rsid w:val="00830D16"/>
    <w:rsid w:val="0083161A"/>
    <w:rsid w:val="008317AC"/>
    <w:rsid w:val="00832289"/>
    <w:rsid w:val="00833BDA"/>
    <w:rsid w:val="00834B11"/>
    <w:rsid w:val="00834D39"/>
    <w:rsid w:val="00835519"/>
    <w:rsid w:val="00836A0D"/>
    <w:rsid w:val="008375DE"/>
    <w:rsid w:val="00841409"/>
    <w:rsid w:val="00842E02"/>
    <w:rsid w:val="00842E7C"/>
    <w:rsid w:val="008431F0"/>
    <w:rsid w:val="008432DA"/>
    <w:rsid w:val="008433AD"/>
    <w:rsid w:val="008438F2"/>
    <w:rsid w:val="00843DDF"/>
    <w:rsid w:val="00844EFA"/>
    <w:rsid w:val="0084585A"/>
    <w:rsid w:val="00847527"/>
    <w:rsid w:val="0085063A"/>
    <w:rsid w:val="00850F93"/>
    <w:rsid w:val="00851F74"/>
    <w:rsid w:val="008529D2"/>
    <w:rsid w:val="00852EED"/>
    <w:rsid w:val="008530F4"/>
    <w:rsid w:val="008534C4"/>
    <w:rsid w:val="00854496"/>
    <w:rsid w:val="00855009"/>
    <w:rsid w:val="00856AF2"/>
    <w:rsid w:val="00857ADF"/>
    <w:rsid w:val="00860A8A"/>
    <w:rsid w:val="00860CC9"/>
    <w:rsid w:val="008615DA"/>
    <w:rsid w:val="00864E44"/>
    <w:rsid w:val="00865146"/>
    <w:rsid w:val="00866FAA"/>
    <w:rsid w:val="008700E3"/>
    <w:rsid w:val="008704A7"/>
    <w:rsid w:val="00871109"/>
    <w:rsid w:val="008723BE"/>
    <w:rsid w:val="008727AF"/>
    <w:rsid w:val="00872B1D"/>
    <w:rsid w:val="00873B6B"/>
    <w:rsid w:val="00874F7E"/>
    <w:rsid w:val="008808F1"/>
    <w:rsid w:val="00880EA1"/>
    <w:rsid w:val="00883412"/>
    <w:rsid w:val="00883B24"/>
    <w:rsid w:val="008849F7"/>
    <w:rsid w:val="00884D49"/>
    <w:rsid w:val="00885407"/>
    <w:rsid w:val="00885847"/>
    <w:rsid w:val="00886915"/>
    <w:rsid w:val="00887C2A"/>
    <w:rsid w:val="008903BE"/>
    <w:rsid w:val="00891080"/>
    <w:rsid w:val="00892358"/>
    <w:rsid w:val="00892D8D"/>
    <w:rsid w:val="008952CF"/>
    <w:rsid w:val="008963EF"/>
    <w:rsid w:val="00896D37"/>
    <w:rsid w:val="0089788C"/>
    <w:rsid w:val="008A029B"/>
    <w:rsid w:val="008A03B4"/>
    <w:rsid w:val="008A06AA"/>
    <w:rsid w:val="008A1A93"/>
    <w:rsid w:val="008A323D"/>
    <w:rsid w:val="008A4F93"/>
    <w:rsid w:val="008A6330"/>
    <w:rsid w:val="008A6CD9"/>
    <w:rsid w:val="008B046F"/>
    <w:rsid w:val="008B1BE6"/>
    <w:rsid w:val="008B2674"/>
    <w:rsid w:val="008B3F87"/>
    <w:rsid w:val="008B4449"/>
    <w:rsid w:val="008B469E"/>
    <w:rsid w:val="008B50DF"/>
    <w:rsid w:val="008B5D3F"/>
    <w:rsid w:val="008B6BCD"/>
    <w:rsid w:val="008B6CE2"/>
    <w:rsid w:val="008B7071"/>
    <w:rsid w:val="008B7DCF"/>
    <w:rsid w:val="008C144A"/>
    <w:rsid w:val="008C1B6B"/>
    <w:rsid w:val="008C2536"/>
    <w:rsid w:val="008C3978"/>
    <w:rsid w:val="008C3A45"/>
    <w:rsid w:val="008C5529"/>
    <w:rsid w:val="008C55C7"/>
    <w:rsid w:val="008C7668"/>
    <w:rsid w:val="008D0780"/>
    <w:rsid w:val="008D1974"/>
    <w:rsid w:val="008D2532"/>
    <w:rsid w:val="008D2B33"/>
    <w:rsid w:val="008D2B5F"/>
    <w:rsid w:val="008D2CB6"/>
    <w:rsid w:val="008D2E8F"/>
    <w:rsid w:val="008D4143"/>
    <w:rsid w:val="008D61FF"/>
    <w:rsid w:val="008D6941"/>
    <w:rsid w:val="008D6C53"/>
    <w:rsid w:val="008D6C83"/>
    <w:rsid w:val="008D7A74"/>
    <w:rsid w:val="008E0856"/>
    <w:rsid w:val="008E0BFF"/>
    <w:rsid w:val="008E102E"/>
    <w:rsid w:val="008E41E7"/>
    <w:rsid w:val="008E45D0"/>
    <w:rsid w:val="008E5CF3"/>
    <w:rsid w:val="008E665E"/>
    <w:rsid w:val="008E76E0"/>
    <w:rsid w:val="008F0F7A"/>
    <w:rsid w:val="008F29A3"/>
    <w:rsid w:val="008F2CF3"/>
    <w:rsid w:val="008F2D05"/>
    <w:rsid w:val="008F4D11"/>
    <w:rsid w:val="008F6147"/>
    <w:rsid w:val="008F6F5F"/>
    <w:rsid w:val="008F75F4"/>
    <w:rsid w:val="008F77C2"/>
    <w:rsid w:val="008F7A2D"/>
    <w:rsid w:val="008F7B1C"/>
    <w:rsid w:val="009003C6"/>
    <w:rsid w:val="00900EC2"/>
    <w:rsid w:val="0090258A"/>
    <w:rsid w:val="0090280A"/>
    <w:rsid w:val="00902962"/>
    <w:rsid w:val="00903F6E"/>
    <w:rsid w:val="009041E4"/>
    <w:rsid w:val="00905343"/>
    <w:rsid w:val="0090693C"/>
    <w:rsid w:val="00906E55"/>
    <w:rsid w:val="00907CC7"/>
    <w:rsid w:val="00910097"/>
    <w:rsid w:val="00910CB7"/>
    <w:rsid w:val="00911530"/>
    <w:rsid w:val="0091345D"/>
    <w:rsid w:val="00913754"/>
    <w:rsid w:val="00913AB7"/>
    <w:rsid w:val="00913F7B"/>
    <w:rsid w:val="00914504"/>
    <w:rsid w:val="00914D7D"/>
    <w:rsid w:val="0091661E"/>
    <w:rsid w:val="00916F71"/>
    <w:rsid w:val="00917077"/>
    <w:rsid w:val="0091759B"/>
    <w:rsid w:val="00917930"/>
    <w:rsid w:val="00922702"/>
    <w:rsid w:val="00923045"/>
    <w:rsid w:val="00923595"/>
    <w:rsid w:val="0092361B"/>
    <w:rsid w:val="00924DA5"/>
    <w:rsid w:val="0092543C"/>
    <w:rsid w:val="00926105"/>
    <w:rsid w:val="0092691E"/>
    <w:rsid w:val="00926DFF"/>
    <w:rsid w:val="0092762C"/>
    <w:rsid w:val="00927A57"/>
    <w:rsid w:val="0093050E"/>
    <w:rsid w:val="00932A4C"/>
    <w:rsid w:val="00933525"/>
    <w:rsid w:val="00933B36"/>
    <w:rsid w:val="00936549"/>
    <w:rsid w:val="00937869"/>
    <w:rsid w:val="00941811"/>
    <w:rsid w:val="00941A08"/>
    <w:rsid w:val="00941D46"/>
    <w:rsid w:val="00942805"/>
    <w:rsid w:val="00942C95"/>
    <w:rsid w:val="0094420B"/>
    <w:rsid w:val="009448B6"/>
    <w:rsid w:val="00945A37"/>
    <w:rsid w:val="0094668A"/>
    <w:rsid w:val="00946E71"/>
    <w:rsid w:val="00947DF7"/>
    <w:rsid w:val="009500B2"/>
    <w:rsid w:val="00953AF4"/>
    <w:rsid w:val="00954419"/>
    <w:rsid w:val="00954EC8"/>
    <w:rsid w:val="00955190"/>
    <w:rsid w:val="009557EE"/>
    <w:rsid w:val="00955A1E"/>
    <w:rsid w:val="00956E2A"/>
    <w:rsid w:val="00960A0E"/>
    <w:rsid w:val="0096394C"/>
    <w:rsid w:val="00963BA9"/>
    <w:rsid w:val="00965CF0"/>
    <w:rsid w:val="009674D4"/>
    <w:rsid w:val="0097078B"/>
    <w:rsid w:val="00970917"/>
    <w:rsid w:val="009711B6"/>
    <w:rsid w:val="00971C1D"/>
    <w:rsid w:val="00975C5B"/>
    <w:rsid w:val="00976306"/>
    <w:rsid w:val="00977370"/>
    <w:rsid w:val="00981CAA"/>
    <w:rsid w:val="00981EE1"/>
    <w:rsid w:val="009840BF"/>
    <w:rsid w:val="0098447A"/>
    <w:rsid w:val="009844C7"/>
    <w:rsid w:val="00985EF8"/>
    <w:rsid w:val="00986E67"/>
    <w:rsid w:val="0099028A"/>
    <w:rsid w:val="00990744"/>
    <w:rsid w:val="00991349"/>
    <w:rsid w:val="00991F66"/>
    <w:rsid w:val="0099273D"/>
    <w:rsid w:val="00992D41"/>
    <w:rsid w:val="00992EDF"/>
    <w:rsid w:val="00993564"/>
    <w:rsid w:val="00993E78"/>
    <w:rsid w:val="0099411C"/>
    <w:rsid w:val="0099438F"/>
    <w:rsid w:val="009956F5"/>
    <w:rsid w:val="009961FB"/>
    <w:rsid w:val="009966DD"/>
    <w:rsid w:val="00996AFC"/>
    <w:rsid w:val="00997D68"/>
    <w:rsid w:val="00997E05"/>
    <w:rsid w:val="009A07EA"/>
    <w:rsid w:val="009A1036"/>
    <w:rsid w:val="009A1B0E"/>
    <w:rsid w:val="009A1B1C"/>
    <w:rsid w:val="009A28E3"/>
    <w:rsid w:val="009A3FF4"/>
    <w:rsid w:val="009A471B"/>
    <w:rsid w:val="009A5261"/>
    <w:rsid w:val="009A6417"/>
    <w:rsid w:val="009A686B"/>
    <w:rsid w:val="009A6C26"/>
    <w:rsid w:val="009B169C"/>
    <w:rsid w:val="009B23E1"/>
    <w:rsid w:val="009B29E0"/>
    <w:rsid w:val="009B38EE"/>
    <w:rsid w:val="009B39FD"/>
    <w:rsid w:val="009B47A6"/>
    <w:rsid w:val="009B538A"/>
    <w:rsid w:val="009B6455"/>
    <w:rsid w:val="009B67D2"/>
    <w:rsid w:val="009B7155"/>
    <w:rsid w:val="009C01A1"/>
    <w:rsid w:val="009C029B"/>
    <w:rsid w:val="009C2542"/>
    <w:rsid w:val="009C4751"/>
    <w:rsid w:val="009C5D2B"/>
    <w:rsid w:val="009C5FD5"/>
    <w:rsid w:val="009C643C"/>
    <w:rsid w:val="009C6E23"/>
    <w:rsid w:val="009C71FF"/>
    <w:rsid w:val="009C73CF"/>
    <w:rsid w:val="009D31F9"/>
    <w:rsid w:val="009D36DD"/>
    <w:rsid w:val="009D3759"/>
    <w:rsid w:val="009D38EC"/>
    <w:rsid w:val="009D60E4"/>
    <w:rsid w:val="009D7318"/>
    <w:rsid w:val="009E0510"/>
    <w:rsid w:val="009E06CB"/>
    <w:rsid w:val="009E0DA1"/>
    <w:rsid w:val="009E182F"/>
    <w:rsid w:val="009E20E9"/>
    <w:rsid w:val="009E33FC"/>
    <w:rsid w:val="009E35E6"/>
    <w:rsid w:val="009E3A78"/>
    <w:rsid w:val="009E4132"/>
    <w:rsid w:val="009E452A"/>
    <w:rsid w:val="009E54C9"/>
    <w:rsid w:val="009E5745"/>
    <w:rsid w:val="009E57D9"/>
    <w:rsid w:val="009F0151"/>
    <w:rsid w:val="009F1877"/>
    <w:rsid w:val="009F1BD6"/>
    <w:rsid w:val="009F24F8"/>
    <w:rsid w:val="009F25C2"/>
    <w:rsid w:val="009F3394"/>
    <w:rsid w:val="009F3536"/>
    <w:rsid w:val="009F3A43"/>
    <w:rsid w:val="009F5966"/>
    <w:rsid w:val="009F6A15"/>
    <w:rsid w:val="009F79AB"/>
    <w:rsid w:val="00A00BE9"/>
    <w:rsid w:val="00A00E56"/>
    <w:rsid w:val="00A016C2"/>
    <w:rsid w:val="00A01A34"/>
    <w:rsid w:val="00A0343F"/>
    <w:rsid w:val="00A03B31"/>
    <w:rsid w:val="00A03BF1"/>
    <w:rsid w:val="00A04F6D"/>
    <w:rsid w:val="00A06AF9"/>
    <w:rsid w:val="00A07B90"/>
    <w:rsid w:val="00A1062F"/>
    <w:rsid w:val="00A11A4D"/>
    <w:rsid w:val="00A1266B"/>
    <w:rsid w:val="00A126CB"/>
    <w:rsid w:val="00A12CE8"/>
    <w:rsid w:val="00A133C3"/>
    <w:rsid w:val="00A149B2"/>
    <w:rsid w:val="00A1646D"/>
    <w:rsid w:val="00A206CC"/>
    <w:rsid w:val="00A21781"/>
    <w:rsid w:val="00A21ABC"/>
    <w:rsid w:val="00A21C40"/>
    <w:rsid w:val="00A25942"/>
    <w:rsid w:val="00A26BF0"/>
    <w:rsid w:val="00A273CB"/>
    <w:rsid w:val="00A2771D"/>
    <w:rsid w:val="00A27E89"/>
    <w:rsid w:val="00A306FE"/>
    <w:rsid w:val="00A31905"/>
    <w:rsid w:val="00A33788"/>
    <w:rsid w:val="00A33E4D"/>
    <w:rsid w:val="00A3464A"/>
    <w:rsid w:val="00A34BB9"/>
    <w:rsid w:val="00A34F0D"/>
    <w:rsid w:val="00A35556"/>
    <w:rsid w:val="00A36201"/>
    <w:rsid w:val="00A36227"/>
    <w:rsid w:val="00A364ED"/>
    <w:rsid w:val="00A37FC9"/>
    <w:rsid w:val="00A406CC"/>
    <w:rsid w:val="00A43AD9"/>
    <w:rsid w:val="00A44849"/>
    <w:rsid w:val="00A44915"/>
    <w:rsid w:val="00A46574"/>
    <w:rsid w:val="00A46C1F"/>
    <w:rsid w:val="00A5044D"/>
    <w:rsid w:val="00A50AD2"/>
    <w:rsid w:val="00A50B2B"/>
    <w:rsid w:val="00A511C6"/>
    <w:rsid w:val="00A5186B"/>
    <w:rsid w:val="00A51977"/>
    <w:rsid w:val="00A51A75"/>
    <w:rsid w:val="00A534A0"/>
    <w:rsid w:val="00A55390"/>
    <w:rsid w:val="00A6201B"/>
    <w:rsid w:val="00A62CDA"/>
    <w:rsid w:val="00A63A6A"/>
    <w:rsid w:val="00A63C06"/>
    <w:rsid w:val="00A6402D"/>
    <w:rsid w:val="00A64461"/>
    <w:rsid w:val="00A65F9D"/>
    <w:rsid w:val="00A678A4"/>
    <w:rsid w:val="00A67C96"/>
    <w:rsid w:val="00A70160"/>
    <w:rsid w:val="00A71E23"/>
    <w:rsid w:val="00A728C4"/>
    <w:rsid w:val="00A73B3D"/>
    <w:rsid w:val="00A745E7"/>
    <w:rsid w:val="00A74634"/>
    <w:rsid w:val="00A74DBA"/>
    <w:rsid w:val="00A74EEF"/>
    <w:rsid w:val="00A75C9E"/>
    <w:rsid w:val="00A75CB1"/>
    <w:rsid w:val="00A761B1"/>
    <w:rsid w:val="00A80A73"/>
    <w:rsid w:val="00A816A8"/>
    <w:rsid w:val="00A8173C"/>
    <w:rsid w:val="00A81C84"/>
    <w:rsid w:val="00A82ADA"/>
    <w:rsid w:val="00A83856"/>
    <w:rsid w:val="00A83C57"/>
    <w:rsid w:val="00A8465C"/>
    <w:rsid w:val="00A84E7D"/>
    <w:rsid w:val="00A86C28"/>
    <w:rsid w:val="00A86E38"/>
    <w:rsid w:val="00A87929"/>
    <w:rsid w:val="00A910B9"/>
    <w:rsid w:val="00A928A5"/>
    <w:rsid w:val="00A94656"/>
    <w:rsid w:val="00A94ABD"/>
    <w:rsid w:val="00A94AE6"/>
    <w:rsid w:val="00A95122"/>
    <w:rsid w:val="00A95EF0"/>
    <w:rsid w:val="00A964DB"/>
    <w:rsid w:val="00A964DD"/>
    <w:rsid w:val="00A97515"/>
    <w:rsid w:val="00A97EEB"/>
    <w:rsid w:val="00AA029B"/>
    <w:rsid w:val="00AA0505"/>
    <w:rsid w:val="00AA1908"/>
    <w:rsid w:val="00AA291A"/>
    <w:rsid w:val="00AA2E27"/>
    <w:rsid w:val="00AA411F"/>
    <w:rsid w:val="00AA50F7"/>
    <w:rsid w:val="00AA65B9"/>
    <w:rsid w:val="00AA73F7"/>
    <w:rsid w:val="00AA78EE"/>
    <w:rsid w:val="00AA7EEF"/>
    <w:rsid w:val="00AB02E9"/>
    <w:rsid w:val="00AB0461"/>
    <w:rsid w:val="00AB0806"/>
    <w:rsid w:val="00AB130B"/>
    <w:rsid w:val="00AB2AAD"/>
    <w:rsid w:val="00AB34F6"/>
    <w:rsid w:val="00AB3833"/>
    <w:rsid w:val="00AB4061"/>
    <w:rsid w:val="00AB5076"/>
    <w:rsid w:val="00AB70EC"/>
    <w:rsid w:val="00AB7617"/>
    <w:rsid w:val="00AC01DD"/>
    <w:rsid w:val="00AC24ED"/>
    <w:rsid w:val="00AC2CA9"/>
    <w:rsid w:val="00AC2DD5"/>
    <w:rsid w:val="00AC462E"/>
    <w:rsid w:val="00AC55D5"/>
    <w:rsid w:val="00AC57BA"/>
    <w:rsid w:val="00AC6759"/>
    <w:rsid w:val="00AC6832"/>
    <w:rsid w:val="00AC686F"/>
    <w:rsid w:val="00AC717D"/>
    <w:rsid w:val="00AD02CD"/>
    <w:rsid w:val="00AD0760"/>
    <w:rsid w:val="00AD1A81"/>
    <w:rsid w:val="00AD1BE3"/>
    <w:rsid w:val="00AD2858"/>
    <w:rsid w:val="00AD3055"/>
    <w:rsid w:val="00AD3436"/>
    <w:rsid w:val="00AD3E47"/>
    <w:rsid w:val="00AD3EF0"/>
    <w:rsid w:val="00AD3FC9"/>
    <w:rsid w:val="00AD4D25"/>
    <w:rsid w:val="00AD5B56"/>
    <w:rsid w:val="00AD6640"/>
    <w:rsid w:val="00AD673A"/>
    <w:rsid w:val="00AD6BA6"/>
    <w:rsid w:val="00AD6E86"/>
    <w:rsid w:val="00AD6F88"/>
    <w:rsid w:val="00AD76B4"/>
    <w:rsid w:val="00AE01AB"/>
    <w:rsid w:val="00AE0DFF"/>
    <w:rsid w:val="00AE1615"/>
    <w:rsid w:val="00AE2B6E"/>
    <w:rsid w:val="00AE2C39"/>
    <w:rsid w:val="00AE495D"/>
    <w:rsid w:val="00AE5F53"/>
    <w:rsid w:val="00AE5FBF"/>
    <w:rsid w:val="00AE6946"/>
    <w:rsid w:val="00AE70BF"/>
    <w:rsid w:val="00AE72B3"/>
    <w:rsid w:val="00AE7691"/>
    <w:rsid w:val="00AF0EBF"/>
    <w:rsid w:val="00AF209C"/>
    <w:rsid w:val="00AF259F"/>
    <w:rsid w:val="00AF2D84"/>
    <w:rsid w:val="00AF4C31"/>
    <w:rsid w:val="00AF5656"/>
    <w:rsid w:val="00AF5E20"/>
    <w:rsid w:val="00AF74B3"/>
    <w:rsid w:val="00B004FE"/>
    <w:rsid w:val="00B00FE4"/>
    <w:rsid w:val="00B0181C"/>
    <w:rsid w:val="00B025D1"/>
    <w:rsid w:val="00B03697"/>
    <w:rsid w:val="00B03713"/>
    <w:rsid w:val="00B0583F"/>
    <w:rsid w:val="00B05CBA"/>
    <w:rsid w:val="00B100FD"/>
    <w:rsid w:val="00B10BD2"/>
    <w:rsid w:val="00B10E82"/>
    <w:rsid w:val="00B12626"/>
    <w:rsid w:val="00B12A77"/>
    <w:rsid w:val="00B135B7"/>
    <w:rsid w:val="00B13682"/>
    <w:rsid w:val="00B14C49"/>
    <w:rsid w:val="00B15DB0"/>
    <w:rsid w:val="00B16051"/>
    <w:rsid w:val="00B16385"/>
    <w:rsid w:val="00B166AA"/>
    <w:rsid w:val="00B17049"/>
    <w:rsid w:val="00B170E7"/>
    <w:rsid w:val="00B171C0"/>
    <w:rsid w:val="00B174CA"/>
    <w:rsid w:val="00B176EA"/>
    <w:rsid w:val="00B20A3D"/>
    <w:rsid w:val="00B2137E"/>
    <w:rsid w:val="00B2149B"/>
    <w:rsid w:val="00B221F6"/>
    <w:rsid w:val="00B222EE"/>
    <w:rsid w:val="00B22397"/>
    <w:rsid w:val="00B22438"/>
    <w:rsid w:val="00B22BAB"/>
    <w:rsid w:val="00B22EB8"/>
    <w:rsid w:val="00B25757"/>
    <w:rsid w:val="00B25E24"/>
    <w:rsid w:val="00B264C4"/>
    <w:rsid w:val="00B265C5"/>
    <w:rsid w:val="00B27734"/>
    <w:rsid w:val="00B30D08"/>
    <w:rsid w:val="00B313F0"/>
    <w:rsid w:val="00B31495"/>
    <w:rsid w:val="00B324E6"/>
    <w:rsid w:val="00B32E90"/>
    <w:rsid w:val="00B33764"/>
    <w:rsid w:val="00B33D7D"/>
    <w:rsid w:val="00B34B42"/>
    <w:rsid w:val="00B34F5C"/>
    <w:rsid w:val="00B35A16"/>
    <w:rsid w:val="00B367A1"/>
    <w:rsid w:val="00B36889"/>
    <w:rsid w:val="00B4091C"/>
    <w:rsid w:val="00B43739"/>
    <w:rsid w:val="00B437D2"/>
    <w:rsid w:val="00B43D19"/>
    <w:rsid w:val="00B446A1"/>
    <w:rsid w:val="00B4478B"/>
    <w:rsid w:val="00B45795"/>
    <w:rsid w:val="00B45B62"/>
    <w:rsid w:val="00B45DF9"/>
    <w:rsid w:val="00B47C1B"/>
    <w:rsid w:val="00B5042F"/>
    <w:rsid w:val="00B528D2"/>
    <w:rsid w:val="00B52A8F"/>
    <w:rsid w:val="00B5322A"/>
    <w:rsid w:val="00B53CD3"/>
    <w:rsid w:val="00B53CF9"/>
    <w:rsid w:val="00B54676"/>
    <w:rsid w:val="00B54FDB"/>
    <w:rsid w:val="00B55B7B"/>
    <w:rsid w:val="00B561AD"/>
    <w:rsid w:val="00B575DF"/>
    <w:rsid w:val="00B579F0"/>
    <w:rsid w:val="00B57CD3"/>
    <w:rsid w:val="00B60869"/>
    <w:rsid w:val="00B618E4"/>
    <w:rsid w:val="00B6294A"/>
    <w:rsid w:val="00B62C0B"/>
    <w:rsid w:val="00B64D92"/>
    <w:rsid w:val="00B65039"/>
    <w:rsid w:val="00B65710"/>
    <w:rsid w:val="00B65855"/>
    <w:rsid w:val="00B65EBE"/>
    <w:rsid w:val="00B7017D"/>
    <w:rsid w:val="00B71166"/>
    <w:rsid w:val="00B71759"/>
    <w:rsid w:val="00B719CC"/>
    <w:rsid w:val="00B72468"/>
    <w:rsid w:val="00B736D1"/>
    <w:rsid w:val="00B74240"/>
    <w:rsid w:val="00B75537"/>
    <w:rsid w:val="00B75C71"/>
    <w:rsid w:val="00B768C7"/>
    <w:rsid w:val="00B76A55"/>
    <w:rsid w:val="00B775CA"/>
    <w:rsid w:val="00B8034F"/>
    <w:rsid w:val="00B8243A"/>
    <w:rsid w:val="00B82FBB"/>
    <w:rsid w:val="00B8405C"/>
    <w:rsid w:val="00B84A73"/>
    <w:rsid w:val="00B84F86"/>
    <w:rsid w:val="00B8567C"/>
    <w:rsid w:val="00B86EB9"/>
    <w:rsid w:val="00B87B98"/>
    <w:rsid w:val="00B87D5E"/>
    <w:rsid w:val="00B907E7"/>
    <w:rsid w:val="00B92950"/>
    <w:rsid w:val="00B92D7C"/>
    <w:rsid w:val="00B941DE"/>
    <w:rsid w:val="00B94B08"/>
    <w:rsid w:val="00B95A68"/>
    <w:rsid w:val="00B96527"/>
    <w:rsid w:val="00B97215"/>
    <w:rsid w:val="00B9782B"/>
    <w:rsid w:val="00B97FFB"/>
    <w:rsid w:val="00BA01A1"/>
    <w:rsid w:val="00BA1155"/>
    <w:rsid w:val="00BA35CA"/>
    <w:rsid w:val="00BA5898"/>
    <w:rsid w:val="00BA6A14"/>
    <w:rsid w:val="00BA7C40"/>
    <w:rsid w:val="00BB03C1"/>
    <w:rsid w:val="00BB0492"/>
    <w:rsid w:val="00BB0861"/>
    <w:rsid w:val="00BB1A46"/>
    <w:rsid w:val="00BB1E24"/>
    <w:rsid w:val="00BB24D6"/>
    <w:rsid w:val="00BB4417"/>
    <w:rsid w:val="00BB4695"/>
    <w:rsid w:val="00BB4F85"/>
    <w:rsid w:val="00BB59BD"/>
    <w:rsid w:val="00BB6174"/>
    <w:rsid w:val="00BB731A"/>
    <w:rsid w:val="00BC0E65"/>
    <w:rsid w:val="00BC158A"/>
    <w:rsid w:val="00BC1B5F"/>
    <w:rsid w:val="00BC21B4"/>
    <w:rsid w:val="00BC31FF"/>
    <w:rsid w:val="00BC3B2F"/>
    <w:rsid w:val="00BD0550"/>
    <w:rsid w:val="00BD0EC9"/>
    <w:rsid w:val="00BD1072"/>
    <w:rsid w:val="00BD279C"/>
    <w:rsid w:val="00BD2A64"/>
    <w:rsid w:val="00BD35F0"/>
    <w:rsid w:val="00BD38DE"/>
    <w:rsid w:val="00BD3DFA"/>
    <w:rsid w:val="00BD5C03"/>
    <w:rsid w:val="00BD60D3"/>
    <w:rsid w:val="00BD62F8"/>
    <w:rsid w:val="00BD6F49"/>
    <w:rsid w:val="00BD756F"/>
    <w:rsid w:val="00BD76FA"/>
    <w:rsid w:val="00BE22B6"/>
    <w:rsid w:val="00BE3C9A"/>
    <w:rsid w:val="00BE3DB1"/>
    <w:rsid w:val="00BE46E7"/>
    <w:rsid w:val="00BF1421"/>
    <w:rsid w:val="00BF1AC8"/>
    <w:rsid w:val="00BF2DCC"/>
    <w:rsid w:val="00BF312C"/>
    <w:rsid w:val="00BF4509"/>
    <w:rsid w:val="00BF5A6A"/>
    <w:rsid w:val="00BF5E21"/>
    <w:rsid w:val="00BF6033"/>
    <w:rsid w:val="00BF66B4"/>
    <w:rsid w:val="00BF7956"/>
    <w:rsid w:val="00C01126"/>
    <w:rsid w:val="00C01690"/>
    <w:rsid w:val="00C01972"/>
    <w:rsid w:val="00C021B9"/>
    <w:rsid w:val="00C02941"/>
    <w:rsid w:val="00C02C0A"/>
    <w:rsid w:val="00C03446"/>
    <w:rsid w:val="00C05414"/>
    <w:rsid w:val="00C05705"/>
    <w:rsid w:val="00C06360"/>
    <w:rsid w:val="00C0780C"/>
    <w:rsid w:val="00C07B66"/>
    <w:rsid w:val="00C07B76"/>
    <w:rsid w:val="00C111DC"/>
    <w:rsid w:val="00C11BF6"/>
    <w:rsid w:val="00C12680"/>
    <w:rsid w:val="00C1347F"/>
    <w:rsid w:val="00C1412A"/>
    <w:rsid w:val="00C1579B"/>
    <w:rsid w:val="00C16148"/>
    <w:rsid w:val="00C21875"/>
    <w:rsid w:val="00C21C3F"/>
    <w:rsid w:val="00C22CE8"/>
    <w:rsid w:val="00C232D5"/>
    <w:rsid w:val="00C23451"/>
    <w:rsid w:val="00C23DD4"/>
    <w:rsid w:val="00C2497F"/>
    <w:rsid w:val="00C26825"/>
    <w:rsid w:val="00C30E1D"/>
    <w:rsid w:val="00C30E54"/>
    <w:rsid w:val="00C315C8"/>
    <w:rsid w:val="00C31FE0"/>
    <w:rsid w:val="00C32723"/>
    <w:rsid w:val="00C350CF"/>
    <w:rsid w:val="00C36174"/>
    <w:rsid w:val="00C36421"/>
    <w:rsid w:val="00C40367"/>
    <w:rsid w:val="00C416BE"/>
    <w:rsid w:val="00C41712"/>
    <w:rsid w:val="00C42B58"/>
    <w:rsid w:val="00C43452"/>
    <w:rsid w:val="00C44FB7"/>
    <w:rsid w:val="00C4593B"/>
    <w:rsid w:val="00C462E9"/>
    <w:rsid w:val="00C50833"/>
    <w:rsid w:val="00C50D18"/>
    <w:rsid w:val="00C5205C"/>
    <w:rsid w:val="00C520B6"/>
    <w:rsid w:val="00C522DC"/>
    <w:rsid w:val="00C52C95"/>
    <w:rsid w:val="00C56456"/>
    <w:rsid w:val="00C56B51"/>
    <w:rsid w:val="00C56FFE"/>
    <w:rsid w:val="00C60134"/>
    <w:rsid w:val="00C60605"/>
    <w:rsid w:val="00C62C4E"/>
    <w:rsid w:val="00C638FB"/>
    <w:rsid w:val="00C6446F"/>
    <w:rsid w:val="00C646EA"/>
    <w:rsid w:val="00C65716"/>
    <w:rsid w:val="00C65833"/>
    <w:rsid w:val="00C65AC9"/>
    <w:rsid w:val="00C70299"/>
    <w:rsid w:val="00C70856"/>
    <w:rsid w:val="00C71E9B"/>
    <w:rsid w:val="00C7200C"/>
    <w:rsid w:val="00C72743"/>
    <w:rsid w:val="00C72FC5"/>
    <w:rsid w:val="00C738AC"/>
    <w:rsid w:val="00C73AC1"/>
    <w:rsid w:val="00C73FDC"/>
    <w:rsid w:val="00C74414"/>
    <w:rsid w:val="00C76D0C"/>
    <w:rsid w:val="00C76FBC"/>
    <w:rsid w:val="00C77CB4"/>
    <w:rsid w:val="00C77CE3"/>
    <w:rsid w:val="00C80246"/>
    <w:rsid w:val="00C82483"/>
    <w:rsid w:val="00C83131"/>
    <w:rsid w:val="00C83544"/>
    <w:rsid w:val="00C83E3C"/>
    <w:rsid w:val="00C854DA"/>
    <w:rsid w:val="00C86167"/>
    <w:rsid w:val="00C86F5D"/>
    <w:rsid w:val="00C9080C"/>
    <w:rsid w:val="00C928A1"/>
    <w:rsid w:val="00C92FD8"/>
    <w:rsid w:val="00C95567"/>
    <w:rsid w:val="00C95FAD"/>
    <w:rsid w:val="00CA04E7"/>
    <w:rsid w:val="00CA05AD"/>
    <w:rsid w:val="00CA2B80"/>
    <w:rsid w:val="00CA3A87"/>
    <w:rsid w:val="00CA485F"/>
    <w:rsid w:val="00CA4D64"/>
    <w:rsid w:val="00CA5CBF"/>
    <w:rsid w:val="00CA6DAB"/>
    <w:rsid w:val="00CB0FC4"/>
    <w:rsid w:val="00CB11D4"/>
    <w:rsid w:val="00CB15EB"/>
    <w:rsid w:val="00CB271C"/>
    <w:rsid w:val="00CB3971"/>
    <w:rsid w:val="00CB3EC5"/>
    <w:rsid w:val="00CB4290"/>
    <w:rsid w:val="00CB739A"/>
    <w:rsid w:val="00CB7F89"/>
    <w:rsid w:val="00CC0AAE"/>
    <w:rsid w:val="00CC0B3F"/>
    <w:rsid w:val="00CC17A4"/>
    <w:rsid w:val="00CC263C"/>
    <w:rsid w:val="00CC28F6"/>
    <w:rsid w:val="00CC2B76"/>
    <w:rsid w:val="00CC3E31"/>
    <w:rsid w:val="00CC3FB1"/>
    <w:rsid w:val="00CC46B5"/>
    <w:rsid w:val="00CC4CCC"/>
    <w:rsid w:val="00CC69DB"/>
    <w:rsid w:val="00CC6BD6"/>
    <w:rsid w:val="00CC6C58"/>
    <w:rsid w:val="00CD0ACB"/>
    <w:rsid w:val="00CD0F48"/>
    <w:rsid w:val="00CD1F13"/>
    <w:rsid w:val="00CD3B89"/>
    <w:rsid w:val="00CD4A75"/>
    <w:rsid w:val="00CD742D"/>
    <w:rsid w:val="00CD79C8"/>
    <w:rsid w:val="00CD7F3B"/>
    <w:rsid w:val="00CE0131"/>
    <w:rsid w:val="00CE070D"/>
    <w:rsid w:val="00CE0E59"/>
    <w:rsid w:val="00CE1CF4"/>
    <w:rsid w:val="00CE23A6"/>
    <w:rsid w:val="00CE27A9"/>
    <w:rsid w:val="00CE2846"/>
    <w:rsid w:val="00CE34FE"/>
    <w:rsid w:val="00CE44A0"/>
    <w:rsid w:val="00CE4A9B"/>
    <w:rsid w:val="00CE659B"/>
    <w:rsid w:val="00CF1782"/>
    <w:rsid w:val="00CF2115"/>
    <w:rsid w:val="00CF42F2"/>
    <w:rsid w:val="00CF4EE9"/>
    <w:rsid w:val="00CF58CC"/>
    <w:rsid w:val="00CF7216"/>
    <w:rsid w:val="00CF7B3F"/>
    <w:rsid w:val="00D01655"/>
    <w:rsid w:val="00D027BD"/>
    <w:rsid w:val="00D02806"/>
    <w:rsid w:val="00D02C55"/>
    <w:rsid w:val="00D03328"/>
    <w:rsid w:val="00D03B39"/>
    <w:rsid w:val="00D041A7"/>
    <w:rsid w:val="00D044D0"/>
    <w:rsid w:val="00D04985"/>
    <w:rsid w:val="00D05379"/>
    <w:rsid w:val="00D06063"/>
    <w:rsid w:val="00D061B9"/>
    <w:rsid w:val="00D06E9A"/>
    <w:rsid w:val="00D07C9E"/>
    <w:rsid w:val="00D10164"/>
    <w:rsid w:val="00D105E0"/>
    <w:rsid w:val="00D112CD"/>
    <w:rsid w:val="00D11C3A"/>
    <w:rsid w:val="00D1385C"/>
    <w:rsid w:val="00D13FB5"/>
    <w:rsid w:val="00D154E7"/>
    <w:rsid w:val="00D1591A"/>
    <w:rsid w:val="00D171CA"/>
    <w:rsid w:val="00D17623"/>
    <w:rsid w:val="00D17F24"/>
    <w:rsid w:val="00D207B3"/>
    <w:rsid w:val="00D21DB9"/>
    <w:rsid w:val="00D22314"/>
    <w:rsid w:val="00D22FFE"/>
    <w:rsid w:val="00D2377A"/>
    <w:rsid w:val="00D24C21"/>
    <w:rsid w:val="00D25627"/>
    <w:rsid w:val="00D259C1"/>
    <w:rsid w:val="00D26360"/>
    <w:rsid w:val="00D26818"/>
    <w:rsid w:val="00D27B70"/>
    <w:rsid w:val="00D27F74"/>
    <w:rsid w:val="00D308D7"/>
    <w:rsid w:val="00D30A74"/>
    <w:rsid w:val="00D3110F"/>
    <w:rsid w:val="00D31F9A"/>
    <w:rsid w:val="00D3265A"/>
    <w:rsid w:val="00D334F6"/>
    <w:rsid w:val="00D34D73"/>
    <w:rsid w:val="00D35F5C"/>
    <w:rsid w:val="00D37558"/>
    <w:rsid w:val="00D37E23"/>
    <w:rsid w:val="00D37E51"/>
    <w:rsid w:val="00D415D0"/>
    <w:rsid w:val="00D42A3D"/>
    <w:rsid w:val="00D43488"/>
    <w:rsid w:val="00D43BAA"/>
    <w:rsid w:val="00D440BA"/>
    <w:rsid w:val="00D442A8"/>
    <w:rsid w:val="00D448B8"/>
    <w:rsid w:val="00D46900"/>
    <w:rsid w:val="00D46CFD"/>
    <w:rsid w:val="00D506C2"/>
    <w:rsid w:val="00D50B85"/>
    <w:rsid w:val="00D51741"/>
    <w:rsid w:val="00D51D6B"/>
    <w:rsid w:val="00D53151"/>
    <w:rsid w:val="00D53474"/>
    <w:rsid w:val="00D536F7"/>
    <w:rsid w:val="00D5427C"/>
    <w:rsid w:val="00D567B5"/>
    <w:rsid w:val="00D56CFC"/>
    <w:rsid w:val="00D57442"/>
    <w:rsid w:val="00D60570"/>
    <w:rsid w:val="00D6142A"/>
    <w:rsid w:val="00D6225A"/>
    <w:rsid w:val="00D6326B"/>
    <w:rsid w:val="00D63671"/>
    <w:rsid w:val="00D63A90"/>
    <w:rsid w:val="00D65299"/>
    <w:rsid w:val="00D662A2"/>
    <w:rsid w:val="00D67718"/>
    <w:rsid w:val="00D7002E"/>
    <w:rsid w:val="00D70E84"/>
    <w:rsid w:val="00D71964"/>
    <w:rsid w:val="00D72355"/>
    <w:rsid w:val="00D758D9"/>
    <w:rsid w:val="00D76F4A"/>
    <w:rsid w:val="00D7725C"/>
    <w:rsid w:val="00D77675"/>
    <w:rsid w:val="00D77A5C"/>
    <w:rsid w:val="00D80428"/>
    <w:rsid w:val="00D83B67"/>
    <w:rsid w:val="00D840E0"/>
    <w:rsid w:val="00D84374"/>
    <w:rsid w:val="00D84FCE"/>
    <w:rsid w:val="00D861B7"/>
    <w:rsid w:val="00D86756"/>
    <w:rsid w:val="00D87721"/>
    <w:rsid w:val="00D87734"/>
    <w:rsid w:val="00D901FC"/>
    <w:rsid w:val="00D903FA"/>
    <w:rsid w:val="00D91127"/>
    <w:rsid w:val="00D9159A"/>
    <w:rsid w:val="00D915AF"/>
    <w:rsid w:val="00D91F26"/>
    <w:rsid w:val="00D92183"/>
    <w:rsid w:val="00D926E2"/>
    <w:rsid w:val="00D94079"/>
    <w:rsid w:val="00D95BA3"/>
    <w:rsid w:val="00D97207"/>
    <w:rsid w:val="00DA0DA7"/>
    <w:rsid w:val="00DA13E3"/>
    <w:rsid w:val="00DA17B4"/>
    <w:rsid w:val="00DA2C12"/>
    <w:rsid w:val="00DA33CC"/>
    <w:rsid w:val="00DA408F"/>
    <w:rsid w:val="00DA4D84"/>
    <w:rsid w:val="00DA578F"/>
    <w:rsid w:val="00DA5F3A"/>
    <w:rsid w:val="00DA6C38"/>
    <w:rsid w:val="00DB007A"/>
    <w:rsid w:val="00DB061E"/>
    <w:rsid w:val="00DB13E4"/>
    <w:rsid w:val="00DB3360"/>
    <w:rsid w:val="00DB39E6"/>
    <w:rsid w:val="00DB42F6"/>
    <w:rsid w:val="00DB4342"/>
    <w:rsid w:val="00DB4FC9"/>
    <w:rsid w:val="00DB5136"/>
    <w:rsid w:val="00DB58A2"/>
    <w:rsid w:val="00DB5D40"/>
    <w:rsid w:val="00DB6B5B"/>
    <w:rsid w:val="00DB77E7"/>
    <w:rsid w:val="00DC07AE"/>
    <w:rsid w:val="00DC0AA9"/>
    <w:rsid w:val="00DC13EC"/>
    <w:rsid w:val="00DC3F3F"/>
    <w:rsid w:val="00DC4228"/>
    <w:rsid w:val="00DC4C38"/>
    <w:rsid w:val="00DC5171"/>
    <w:rsid w:val="00DC542B"/>
    <w:rsid w:val="00DC5D33"/>
    <w:rsid w:val="00DC6089"/>
    <w:rsid w:val="00DC6632"/>
    <w:rsid w:val="00DC6C88"/>
    <w:rsid w:val="00DC7ACC"/>
    <w:rsid w:val="00DD04AF"/>
    <w:rsid w:val="00DD2723"/>
    <w:rsid w:val="00DD2B99"/>
    <w:rsid w:val="00DD3358"/>
    <w:rsid w:val="00DD402B"/>
    <w:rsid w:val="00DD5510"/>
    <w:rsid w:val="00DD57D3"/>
    <w:rsid w:val="00DD591D"/>
    <w:rsid w:val="00DD5FAF"/>
    <w:rsid w:val="00DD7771"/>
    <w:rsid w:val="00DE0353"/>
    <w:rsid w:val="00DE18A6"/>
    <w:rsid w:val="00DE25C1"/>
    <w:rsid w:val="00DE307B"/>
    <w:rsid w:val="00DE5DA7"/>
    <w:rsid w:val="00DE708A"/>
    <w:rsid w:val="00DE7A75"/>
    <w:rsid w:val="00DF0739"/>
    <w:rsid w:val="00DF0982"/>
    <w:rsid w:val="00DF1825"/>
    <w:rsid w:val="00DF3DB6"/>
    <w:rsid w:val="00DF4118"/>
    <w:rsid w:val="00DF43D1"/>
    <w:rsid w:val="00DF4E67"/>
    <w:rsid w:val="00DF6BD3"/>
    <w:rsid w:val="00DF79ED"/>
    <w:rsid w:val="00DF7CD6"/>
    <w:rsid w:val="00E00333"/>
    <w:rsid w:val="00E01976"/>
    <w:rsid w:val="00E0225B"/>
    <w:rsid w:val="00E02E98"/>
    <w:rsid w:val="00E03460"/>
    <w:rsid w:val="00E06ACD"/>
    <w:rsid w:val="00E06E7A"/>
    <w:rsid w:val="00E07866"/>
    <w:rsid w:val="00E100CC"/>
    <w:rsid w:val="00E128BF"/>
    <w:rsid w:val="00E12E24"/>
    <w:rsid w:val="00E131A4"/>
    <w:rsid w:val="00E137ED"/>
    <w:rsid w:val="00E13EFC"/>
    <w:rsid w:val="00E13F2B"/>
    <w:rsid w:val="00E141DD"/>
    <w:rsid w:val="00E151A4"/>
    <w:rsid w:val="00E1525B"/>
    <w:rsid w:val="00E16A93"/>
    <w:rsid w:val="00E21482"/>
    <w:rsid w:val="00E230A0"/>
    <w:rsid w:val="00E23E9B"/>
    <w:rsid w:val="00E24D7D"/>
    <w:rsid w:val="00E2600A"/>
    <w:rsid w:val="00E26336"/>
    <w:rsid w:val="00E26373"/>
    <w:rsid w:val="00E27C32"/>
    <w:rsid w:val="00E31C0C"/>
    <w:rsid w:val="00E3248C"/>
    <w:rsid w:val="00E32619"/>
    <w:rsid w:val="00E32A03"/>
    <w:rsid w:val="00E33CD7"/>
    <w:rsid w:val="00E353D4"/>
    <w:rsid w:val="00E353FD"/>
    <w:rsid w:val="00E35CED"/>
    <w:rsid w:val="00E361AE"/>
    <w:rsid w:val="00E361CE"/>
    <w:rsid w:val="00E36FA3"/>
    <w:rsid w:val="00E37D8C"/>
    <w:rsid w:val="00E4197B"/>
    <w:rsid w:val="00E42A8B"/>
    <w:rsid w:val="00E4317A"/>
    <w:rsid w:val="00E44234"/>
    <w:rsid w:val="00E44EBE"/>
    <w:rsid w:val="00E45905"/>
    <w:rsid w:val="00E46E78"/>
    <w:rsid w:val="00E47488"/>
    <w:rsid w:val="00E47D01"/>
    <w:rsid w:val="00E50ECF"/>
    <w:rsid w:val="00E52049"/>
    <w:rsid w:val="00E5413E"/>
    <w:rsid w:val="00E56372"/>
    <w:rsid w:val="00E6064B"/>
    <w:rsid w:val="00E6240E"/>
    <w:rsid w:val="00E62CE0"/>
    <w:rsid w:val="00E654E5"/>
    <w:rsid w:val="00E65C9A"/>
    <w:rsid w:val="00E65DAB"/>
    <w:rsid w:val="00E670F9"/>
    <w:rsid w:val="00E67676"/>
    <w:rsid w:val="00E70C8A"/>
    <w:rsid w:val="00E7151C"/>
    <w:rsid w:val="00E72558"/>
    <w:rsid w:val="00E72E66"/>
    <w:rsid w:val="00E73D37"/>
    <w:rsid w:val="00E756CE"/>
    <w:rsid w:val="00E763C2"/>
    <w:rsid w:val="00E76DD5"/>
    <w:rsid w:val="00E7789C"/>
    <w:rsid w:val="00E8246E"/>
    <w:rsid w:val="00E8264F"/>
    <w:rsid w:val="00E82C82"/>
    <w:rsid w:val="00E82FBE"/>
    <w:rsid w:val="00E859D3"/>
    <w:rsid w:val="00E85C32"/>
    <w:rsid w:val="00E861D9"/>
    <w:rsid w:val="00E87405"/>
    <w:rsid w:val="00E879F0"/>
    <w:rsid w:val="00E87B6E"/>
    <w:rsid w:val="00E92C8F"/>
    <w:rsid w:val="00E9301B"/>
    <w:rsid w:val="00E93582"/>
    <w:rsid w:val="00E93778"/>
    <w:rsid w:val="00E93B04"/>
    <w:rsid w:val="00E93F68"/>
    <w:rsid w:val="00E95B3D"/>
    <w:rsid w:val="00E96E83"/>
    <w:rsid w:val="00EA0082"/>
    <w:rsid w:val="00EA243E"/>
    <w:rsid w:val="00EA4272"/>
    <w:rsid w:val="00EA42C8"/>
    <w:rsid w:val="00EA435F"/>
    <w:rsid w:val="00EA4955"/>
    <w:rsid w:val="00EA4CF9"/>
    <w:rsid w:val="00EA4FCA"/>
    <w:rsid w:val="00EA5953"/>
    <w:rsid w:val="00EA67CE"/>
    <w:rsid w:val="00EA7E03"/>
    <w:rsid w:val="00EB01F7"/>
    <w:rsid w:val="00EB1E18"/>
    <w:rsid w:val="00EB2199"/>
    <w:rsid w:val="00EB5583"/>
    <w:rsid w:val="00EB5CDF"/>
    <w:rsid w:val="00EB6631"/>
    <w:rsid w:val="00EC1982"/>
    <w:rsid w:val="00EC2735"/>
    <w:rsid w:val="00EC5362"/>
    <w:rsid w:val="00EC64C3"/>
    <w:rsid w:val="00EC6E00"/>
    <w:rsid w:val="00ED129A"/>
    <w:rsid w:val="00ED1C6E"/>
    <w:rsid w:val="00ED200A"/>
    <w:rsid w:val="00ED2204"/>
    <w:rsid w:val="00ED285B"/>
    <w:rsid w:val="00ED436E"/>
    <w:rsid w:val="00ED5BDE"/>
    <w:rsid w:val="00ED6825"/>
    <w:rsid w:val="00ED7CE5"/>
    <w:rsid w:val="00EE1435"/>
    <w:rsid w:val="00EE25F0"/>
    <w:rsid w:val="00EE4162"/>
    <w:rsid w:val="00EE6136"/>
    <w:rsid w:val="00EE64E0"/>
    <w:rsid w:val="00EE7E14"/>
    <w:rsid w:val="00EF0696"/>
    <w:rsid w:val="00EF0E2C"/>
    <w:rsid w:val="00EF12E8"/>
    <w:rsid w:val="00EF1D86"/>
    <w:rsid w:val="00EF2C5F"/>
    <w:rsid w:val="00EF2F3B"/>
    <w:rsid w:val="00EF374E"/>
    <w:rsid w:val="00EF4E1E"/>
    <w:rsid w:val="00EF699D"/>
    <w:rsid w:val="00EF69ED"/>
    <w:rsid w:val="00EF6D4E"/>
    <w:rsid w:val="00EF6F7F"/>
    <w:rsid w:val="00EF6FE3"/>
    <w:rsid w:val="00EF70C8"/>
    <w:rsid w:val="00EF78BE"/>
    <w:rsid w:val="00F002A1"/>
    <w:rsid w:val="00F01587"/>
    <w:rsid w:val="00F0349B"/>
    <w:rsid w:val="00F04872"/>
    <w:rsid w:val="00F04893"/>
    <w:rsid w:val="00F04BF2"/>
    <w:rsid w:val="00F06968"/>
    <w:rsid w:val="00F06E4A"/>
    <w:rsid w:val="00F07164"/>
    <w:rsid w:val="00F0791E"/>
    <w:rsid w:val="00F07CED"/>
    <w:rsid w:val="00F10AA2"/>
    <w:rsid w:val="00F126BA"/>
    <w:rsid w:val="00F12FDF"/>
    <w:rsid w:val="00F13620"/>
    <w:rsid w:val="00F13A54"/>
    <w:rsid w:val="00F141CA"/>
    <w:rsid w:val="00F14711"/>
    <w:rsid w:val="00F14C41"/>
    <w:rsid w:val="00F156D4"/>
    <w:rsid w:val="00F164CC"/>
    <w:rsid w:val="00F17581"/>
    <w:rsid w:val="00F20154"/>
    <w:rsid w:val="00F20637"/>
    <w:rsid w:val="00F21389"/>
    <w:rsid w:val="00F2188D"/>
    <w:rsid w:val="00F218C9"/>
    <w:rsid w:val="00F220FF"/>
    <w:rsid w:val="00F223DA"/>
    <w:rsid w:val="00F23BCB"/>
    <w:rsid w:val="00F23C12"/>
    <w:rsid w:val="00F24A7A"/>
    <w:rsid w:val="00F25394"/>
    <w:rsid w:val="00F25615"/>
    <w:rsid w:val="00F25CF2"/>
    <w:rsid w:val="00F266EB"/>
    <w:rsid w:val="00F277EB"/>
    <w:rsid w:val="00F30181"/>
    <w:rsid w:val="00F328D9"/>
    <w:rsid w:val="00F333E7"/>
    <w:rsid w:val="00F34AEC"/>
    <w:rsid w:val="00F3629F"/>
    <w:rsid w:val="00F36FA2"/>
    <w:rsid w:val="00F3750F"/>
    <w:rsid w:val="00F37BD7"/>
    <w:rsid w:val="00F37E5B"/>
    <w:rsid w:val="00F401BE"/>
    <w:rsid w:val="00F42394"/>
    <w:rsid w:val="00F42B4C"/>
    <w:rsid w:val="00F4380B"/>
    <w:rsid w:val="00F43C17"/>
    <w:rsid w:val="00F451E0"/>
    <w:rsid w:val="00F4568D"/>
    <w:rsid w:val="00F46150"/>
    <w:rsid w:val="00F46430"/>
    <w:rsid w:val="00F46847"/>
    <w:rsid w:val="00F46B48"/>
    <w:rsid w:val="00F47202"/>
    <w:rsid w:val="00F509FC"/>
    <w:rsid w:val="00F5156D"/>
    <w:rsid w:val="00F52D48"/>
    <w:rsid w:val="00F54723"/>
    <w:rsid w:val="00F548A6"/>
    <w:rsid w:val="00F54FFC"/>
    <w:rsid w:val="00F5583F"/>
    <w:rsid w:val="00F55AE8"/>
    <w:rsid w:val="00F6023C"/>
    <w:rsid w:val="00F61B2A"/>
    <w:rsid w:val="00F63637"/>
    <w:rsid w:val="00F65111"/>
    <w:rsid w:val="00F6520B"/>
    <w:rsid w:val="00F67946"/>
    <w:rsid w:val="00F71925"/>
    <w:rsid w:val="00F733FE"/>
    <w:rsid w:val="00F73517"/>
    <w:rsid w:val="00F73E35"/>
    <w:rsid w:val="00F7402D"/>
    <w:rsid w:val="00F75CC7"/>
    <w:rsid w:val="00F76525"/>
    <w:rsid w:val="00F76939"/>
    <w:rsid w:val="00F77ACB"/>
    <w:rsid w:val="00F77E34"/>
    <w:rsid w:val="00F80038"/>
    <w:rsid w:val="00F8176F"/>
    <w:rsid w:val="00F81D1D"/>
    <w:rsid w:val="00F832F7"/>
    <w:rsid w:val="00F83CC1"/>
    <w:rsid w:val="00F83CF2"/>
    <w:rsid w:val="00F84579"/>
    <w:rsid w:val="00F84867"/>
    <w:rsid w:val="00F849C5"/>
    <w:rsid w:val="00F854A2"/>
    <w:rsid w:val="00F87066"/>
    <w:rsid w:val="00F872C4"/>
    <w:rsid w:val="00F90D92"/>
    <w:rsid w:val="00F90F4B"/>
    <w:rsid w:val="00F932B4"/>
    <w:rsid w:val="00F932CF"/>
    <w:rsid w:val="00F93F31"/>
    <w:rsid w:val="00F94046"/>
    <w:rsid w:val="00F9433B"/>
    <w:rsid w:val="00F95700"/>
    <w:rsid w:val="00F95E68"/>
    <w:rsid w:val="00F96123"/>
    <w:rsid w:val="00F968CF"/>
    <w:rsid w:val="00F96F61"/>
    <w:rsid w:val="00F97963"/>
    <w:rsid w:val="00F97C5E"/>
    <w:rsid w:val="00F97FB6"/>
    <w:rsid w:val="00FA0927"/>
    <w:rsid w:val="00FA174D"/>
    <w:rsid w:val="00FA1A2B"/>
    <w:rsid w:val="00FA2D4D"/>
    <w:rsid w:val="00FA33A9"/>
    <w:rsid w:val="00FA443B"/>
    <w:rsid w:val="00FA6765"/>
    <w:rsid w:val="00FA69B4"/>
    <w:rsid w:val="00FB1273"/>
    <w:rsid w:val="00FB2DFC"/>
    <w:rsid w:val="00FB3D24"/>
    <w:rsid w:val="00FB3E4A"/>
    <w:rsid w:val="00FB5153"/>
    <w:rsid w:val="00FB756F"/>
    <w:rsid w:val="00FB75DF"/>
    <w:rsid w:val="00FB7719"/>
    <w:rsid w:val="00FB79C8"/>
    <w:rsid w:val="00FC0B74"/>
    <w:rsid w:val="00FC1AE8"/>
    <w:rsid w:val="00FC1C35"/>
    <w:rsid w:val="00FC22B2"/>
    <w:rsid w:val="00FC3352"/>
    <w:rsid w:val="00FC61C7"/>
    <w:rsid w:val="00FC62CE"/>
    <w:rsid w:val="00FC6363"/>
    <w:rsid w:val="00FC63B6"/>
    <w:rsid w:val="00FC6747"/>
    <w:rsid w:val="00FC7B03"/>
    <w:rsid w:val="00FD0FFB"/>
    <w:rsid w:val="00FD13E8"/>
    <w:rsid w:val="00FD376C"/>
    <w:rsid w:val="00FD394F"/>
    <w:rsid w:val="00FD422A"/>
    <w:rsid w:val="00FD47D6"/>
    <w:rsid w:val="00FD525B"/>
    <w:rsid w:val="00FD5602"/>
    <w:rsid w:val="00FD5AE8"/>
    <w:rsid w:val="00FD7650"/>
    <w:rsid w:val="00FD7701"/>
    <w:rsid w:val="00FD7D54"/>
    <w:rsid w:val="00FE0BC7"/>
    <w:rsid w:val="00FE0DFA"/>
    <w:rsid w:val="00FE1E88"/>
    <w:rsid w:val="00FE1F58"/>
    <w:rsid w:val="00FE293E"/>
    <w:rsid w:val="00FE2B22"/>
    <w:rsid w:val="00FE2B56"/>
    <w:rsid w:val="00FE3C7F"/>
    <w:rsid w:val="00FE447C"/>
    <w:rsid w:val="00FE4514"/>
    <w:rsid w:val="00FE5003"/>
    <w:rsid w:val="00FE5C91"/>
    <w:rsid w:val="00FE6BBD"/>
    <w:rsid w:val="00FF06E3"/>
    <w:rsid w:val="00FF1156"/>
    <w:rsid w:val="00FF14CF"/>
    <w:rsid w:val="00FF2664"/>
    <w:rsid w:val="00FF3680"/>
    <w:rsid w:val="00FF3B02"/>
    <w:rsid w:val="00FF43B6"/>
    <w:rsid w:val="00FF44EE"/>
    <w:rsid w:val="00FF4D3B"/>
    <w:rsid w:val="00FF5186"/>
    <w:rsid w:val="00FF5188"/>
    <w:rsid w:val="00FF5D35"/>
    <w:rsid w:val="00FF5F2C"/>
    <w:rsid w:val="00FF71D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E69C9"/>
  <w15:docId w15:val="{C2A3951E-B37F-4E4F-AA5B-13B4C2755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13F2B"/>
    <w:pPr>
      <w:bidi/>
    </w:pPr>
  </w:style>
  <w:style w:type="paragraph" w:styleId="3">
    <w:name w:val="heading 3"/>
    <w:basedOn w:val="a0"/>
    <w:link w:val="30"/>
    <w:uiPriority w:val="9"/>
    <w:qFormat/>
    <w:rsid w:val="006569E5"/>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0"/>
    <w:next w:val="a0"/>
    <w:link w:val="40"/>
    <w:uiPriority w:val="9"/>
    <w:semiHidden/>
    <w:unhideWhenUsed/>
    <w:qFormat/>
    <w:rsid w:val="002A462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5244E6"/>
    <w:pPr>
      <w:ind w:left="720"/>
      <w:contextualSpacing/>
    </w:pPr>
  </w:style>
  <w:style w:type="character" w:styleId="Hyperlink">
    <w:name w:val="Hyperlink"/>
    <w:basedOn w:val="a1"/>
    <w:uiPriority w:val="99"/>
    <w:unhideWhenUsed/>
    <w:rsid w:val="003514E9"/>
    <w:rPr>
      <w:color w:val="0563C1" w:themeColor="hyperlink"/>
      <w:u w:val="single"/>
    </w:rPr>
  </w:style>
  <w:style w:type="character" w:customStyle="1" w:styleId="1">
    <w:name w:val="אזכור לא מזוהה1"/>
    <w:basedOn w:val="a1"/>
    <w:uiPriority w:val="99"/>
    <w:semiHidden/>
    <w:unhideWhenUsed/>
    <w:rsid w:val="003514E9"/>
    <w:rPr>
      <w:color w:val="808080"/>
      <w:shd w:val="clear" w:color="auto" w:fill="E6E6E6"/>
    </w:rPr>
  </w:style>
  <w:style w:type="paragraph" w:styleId="a5">
    <w:name w:val="header"/>
    <w:basedOn w:val="a0"/>
    <w:link w:val="a6"/>
    <w:unhideWhenUsed/>
    <w:rsid w:val="000A0BD7"/>
    <w:pPr>
      <w:tabs>
        <w:tab w:val="center" w:pos="4153"/>
        <w:tab w:val="right" w:pos="8306"/>
      </w:tabs>
      <w:spacing w:after="0" w:line="240" w:lineRule="auto"/>
    </w:pPr>
  </w:style>
  <w:style w:type="character" w:customStyle="1" w:styleId="a6">
    <w:name w:val="כותרת עליונה תו"/>
    <w:basedOn w:val="a1"/>
    <w:link w:val="a5"/>
    <w:uiPriority w:val="99"/>
    <w:rsid w:val="000A0BD7"/>
  </w:style>
  <w:style w:type="paragraph" w:styleId="a7">
    <w:name w:val="footer"/>
    <w:basedOn w:val="a0"/>
    <w:link w:val="a8"/>
    <w:uiPriority w:val="99"/>
    <w:unhideWhenUsed/>
    <w:rsid w:val="000A0BD7"/>
    <w:pPr>
      <w:tabs>
        <w:tab w:val="center" w:pos="4153"/>
        <w:tab w:val="right" w:pos="8306"/>
      </w:tabs>
      <w:spacing w:after="0" w:line="240" w:lineRule="auto"/>
    </w:pPr>
  </w:style>
  <w:style w:type="character" w:customStyle="1" w:styleId="a8">
    <w:name w:val="כותרת תחתונה תו"/>
    <w:basedOn w:val="a1"/>
    <w:link w:val="a7"/>
    <w:uiPriority w:val="99"/>
    <w:rsid w:val="000A0BD7"/>
  </w:style>
  <w:style w:type="table" w:styleId="a9">
    <w:name w:val="Table Grid"/>
    <w:basedOn w:val="a2"/>
    <w:uiPriority w:val="39"/>
    <w:rsid w:val="00F34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FF3B02"/>
    <w:pPr>
      <w:bidi/>
      <w:spacing w:after="0" w:line="240" w:lineRule="auto"/>
    </w:pPr>
  </w:style>
  <w:style w:type="paragraph" w:customStyle="1" w:styleId="m1395331321783905997gmail-msolistparagraph">
    <w:name w:val="m_1395331321783905997gmail-msolistparagraph"/>
    <w:basedOn w:val="a0"/>
    <w:rsid w:val="001731A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603425078451317375gmail-msolistparagraph">
    <w:name w:val="m_-6603425078451317375gmail-msolistparagraph"/>
    <w:basedOn w:val="a0"/>
    <w:rsid w:val="00834D3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a0"/>
    <w:uiPriority w:val="99"/>
    <w:unhideWhenUsed/>
    <w:rsid w:val="007D2039"/>
    <w:pPr>
      <w:bidi w:val="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5193225547439459700m-6391280594842241993gmail-msolistparagraph">
    <w:name w:val="m_5193225547439459700m_-6391280594842241993gmail-msolistparagraph"/>
    <w:basedOn w:val="a0"/>
    <w:rsid w:val="007F0FB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1"/>
    <w:uiPriority w:val="22"/>
    <w:qFormat/>
    <w:rsid w:val="007F0FB9"/>
    <w:rPr>
      <w:b/>
      <w:bCs/>
    </w:rPr>
  </w:style>
  <w:style w:type="paragraph" w:customStyle="1" w:styleId="p00">
    <w:name w:val="p00"/>
    <w:basedOn w:val="a0"/>
    <w:rsid w:val="0085500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a1"/>
    <w:rsid w:val="00855009"/>
  </w:style>
  <w:style w:type="character" w:customStyle="1" w:styleId="default">
    <w:name w:val="default"/>
    <w:basedOn w:val="a1"/>
    <w:rsid w:val="00855009"/>
  </w:style>
  <w:style w:type="paragraph" w:customStyle="1" w:styleId="p22">
    <w:name w:val="p22"/>
    <w:basedOn w:val="a0"/>
    <w:rsid w:val="0085500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210601653938527404gmail-msolistparagraph">
    <w:name w:val="m_1210601653938527404gmail-msolistparagraph"/>
    <w:basedOn w:val="a0"/>
    <w:rsid w:val="00061B4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1210601653938527404gmail-default">
    <w:name w:val="m_1210601653938527404gmail-default"/>
    <w:basedOn w:val="a1"/>
    <w:rsid w:val="00061B43"/>
  </w:style>
  <w:style w:type="paragraph" w:customStyle="1" w:styleId="m1210601653938527404gmail-p00">
    <w:name w:val="m_1210601653938527404gmail-p00"/>
    <w:basedOn w:val="a0"/>
    <w:rsid w:val="00061B4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1210601653938527404gmail-big-number">
    <w:name w:val="m_1210601653938527404gmail-big-number"/>
    <w:basedOn w:val="a1"/>
    <w:rsid w:val="00061B43"/>
  </w:style>
  <w:style w:type="character" w:customStyle="1" w:styleId="m1210601653938527404gmail-apple-converted-space">
    <w:name w:val="m_1210601653938527404gmail-apple-converted-space"/>
    <w:basedOn w:val="a1"/>
    <w:rsid w:val="00061B43"/>
  </w:style>
  <w:style w:type="numbering" w:customStyle="1" w:styleId="a">
    <w:name w:val="הסגנון"/>
    <w:uiPriority w:val="99"/>
    <w:rsid w:val="008E5CF3"/>
    <w:pPr>
      <w:numPr>
        <w:numId w:val="1"/>
      </w:numPr>
    </w:pPr>
  </w:style>
  <w:style w:type="paragraph" w:customStyle="1" w:styleId="m-5440433784751658944gmail-msolistparagraph">
    <w:name w:val="m_-5440433784751658944gmail-msolistparagraph"/>
    <w:basedOn w:val="a0"/>
    <w:rsid w:val="006569E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כותרת 3 תו"/>
    <w:basedOn w:val="a1"/>
    <w:link w:val="3"/>
    <w:uiPriority w:val="9"/>
    <w:rsid w:val="006569E5"/>
    <w:rPr>
      <w:rFonts w:ascii="Times New Roman" w:eastAsia="Times New Roman" w:hAnsi="Times New Roman" w:cs="Times New Roman"/>
      <w:b/>
      <w:bCs/>
      <w:sz w:val="27"/>
      <w:szCs w:val="27"/>
    </w:rPr>
  </w:style>
  <w:style w:type="character" w:customStyle="1" w:styleId="40">
    <w:name w:val="כותרת 4 תו"/>
    <w:basedOn w:val="a1"/>
    <w:link w:val="4"/>
    <w:uiPriority w:val="9"/>
    <w:semiHidden/>
    <w:rsid w:val="002A4622"/>
    <w:rPr>
      <w:rFonts w:asciiTheme="majorHAnsi" w:eastAsiaTheme="majorEastAsia" w:hAnsiTheme="majorHAnsi" w:cstheme="majorBidi"/>
      <w:i/>
      <w:iCs/>
      <w:color w:val="2F5496" w:themeColor="accent1" w:themeShade="BF"/>
    </w:rPr>
  </w:style>
  <w:style w:type="paragraph" w:customStyle="1" w:styleId="m-2306690186310593719gmail-msolistparagraph">
    <w:name w:val="m_-2306690186310593719gmail-msolistparagraph"/>
    <w:basedOn w:val="a0"/>
    <w:rsid w:val="002A462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c">
    <w:name w:val="Unresolved Mention"/>
    <w:basedOn w:val="a1"/>
    <w:uiPriority w:val="99"/>
    <w:semiHidden/>
    <w:unhideWhenUsed/>
    <w:rsid w:val="002F5D72"/>
    <w:rPr>
      <w:color w:val="605E5C"/>
      <w:shd w:val="clear" w:color="auto" w:fill="E1DFDD"/>
    </w:rPr>
  </w:style>
  <w:style w:type="paragraph" w:customStyle="1" w:styleId="10">
    <w:name w:val="ללא מרווח1"/>
    <w:rsid w:val="00EC64C3"/>
    <w:pPr>
      <w:suppressAutoHyphens/>
      <w:bidi/>
      <w:spacing w:after="0" w:line="240" w:lineRule="auto"/>
    </w:pPr>
    <w:rPr>
      <w:rFonts w:ascii="Calibri" w:eastAsia="Times New Roman" w:hAnsi="Calibri" w:cs="Calibri"/>
      <w:lang w:eastAsia="he-IL"/>
    </w:rPr>
  </w:style>
  <w:style w:type="paragraph" w:styleId="ad">
    <w:name w:val="Balloon Text"/>
    <w:basedOn w:val="a0"/>
    <w:link w:val="ae"/>
    <w:uiPriority w:val="99"/>
    <w:semiHidden/>
    <w:unhideWhenUsed/>
    <w:rsid w:val="002A6C5D"/>
    <w:pPr>
      <w:spacing w:after="0" w:line="240" w:lineRule="auto"/>
    </w:pPr>
    <w:rPr>
      <w:rFonts w:ascii="Tahoma" w:hAnsi="Tahoma" w:cs="Tahoma"/>
      <w:sz w:val="18"/>
      <w:szCs w:val="18"/>
    </w:rPr>
  </w:style>
  <w:style w:type="character" w:customStyle="1" w:styleId="ae">
    <w:name w:val="טקסט בלונים תו"/>
    <w:basedOn w:val="a1"/>
    <w:link w:val="ad"/>
    <w:uiPriority w:val="99"/>
    <w:semiHidden/>
    <w:rsid w:val="002A6C5D"/>
    <w:rPr>
      <w:rFonts w:ascii="Tahoma" w:hAnsi="Tahoma" w:cs="Tahoma"/>
      <w:sz w:val="18"/>
      <w:szCs w:val="18"/>
    </w:rPr>
  </w:style>
  <w:style w:type="paragraph" w:styleId="2">
    <w:name w:val="Body Text 2"/>
    <w:basedOn w:val="a0"/>
    <w:link w:val="20"/>
    <w:uiPriority w:val="99"/>
    <w:semiHidden/>
    <w:unhideWhenUsed/>
    <w:rsid w:val="00B14C4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גוף טקסט 2 תו"/>
    <w:basedOn w:val="a1"/>
    <w:link w:val="2"/>
    <w:uiPriority w:val="99"/>
    <w:semiHidden/>
    <w:rsid w:val="00B14C4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176">
      <w:bodyDiv w:val="1"/>
      <w:marLeft w:val="0"/>
      <w:marRight w:val="0"/>
      <w:marTop w:val="0"/>
      <w:marBottom w:val="0"/>
      <w:divBdr>
        <w:top w:val="none" w:sz="0" w:space="0" w:color="auto"/>
        <w:left w:val="none" w:sz="0" w:space="0" w:color="auto"/>
        <w:bottom w:val="none" w:sz="0" w:space="0" w:color="auto"/>
        <w:right w:val="none" w:sz="0" w:space="0" w:color="auto"/>
      </w:divBdr>
    </w:div>
    <w:div w:id="92089066">
      <w:bodyDiv w:val="1"/>
      <w:marLeft w:val="0"/>
      <w:marRight w:val="0"/>
      <w:marTop w:val="0"/>
      <w:marBottom w:val="0"/>
      <w:divBdr>
        <w:top w:val="none" w:sz="0" w:space="0" w:color="auto"/>
        <w:left w:val="none" w:sz="0" w:space="0" w:color="auto"/>
        <w:bottom w:val="none" w:sz="0" w:space="0" w:color="auto"/>
        <w:right w:val="none" w:sz="0" w:space="0" w:color="auto"/>
      </w:divBdr>
    </w:div>
    <w:div w:id="155148509">
      <w:bodyDiv w:val="1"/>
      <w:marLeft w:val="0"/>
      <w:marRight w:val="0"/>
      <w:marTop w:val="0"/>
      <w:marBottom w:val="0"/>
      <w:divBdr>
        <w:top w:val="none" w:sz="0" w:space="0" w:color="auto"/>
        <w:left w:val="none" w:sz="0" w:space="0" w:color="auto"/>
        <w:bottom w:val="none" w:sz="0" w:space="0" w:color="auto"/>
        <w:right w:val="none" w:sz="0" w:space="0" w:color="auto"/>
      </w:divBdr>
    </w:div>
    <w:div w:id="155537054">
      <w:bodyDiv w:val="1"/>
      <w:marLeft w:val="0"/>
      <w:marRight w:val="0"/>
      <w:marTop w:val="0"/>
      <w:marBottom w:val="0"/>
      <w:divBdr>
        <w:top w:val="none" w:sz="0" w:space="0" w:color="auto"/>
        <w:left w:val="none" w:sz="0" w:space="0" w:color="auto"/>
        <w:bottom w:val="none" w:sz="0" w:space="0" w:color="auto"/>
        <w:right w:val="none" w:sz="0" w:space="0" w:color="auto"/>
      </w:divBdr>
    </w:div>
    <w:div w:id="172110724">
      <w:bodyDiv w:val="1"/>
      <w:marLeft w:val="0"/>
      <w:marRight w:val="0"/>
      <w:marTop w:val="0"/>
      <w:marBottom w:val="0"/>
      <w:divBdr>
        <w:top w:val="none" w:sz="0" w:space="0" w:color="auto"/>
        <w:left w:val="none" w:sz="0" w:space="0" w:color="auto"/>
        <w:bottom w:val="none" w:sz="0" w:space="0" w:color="auto"/>
        <w:right w:val="none" w:sz="0" w:space="0" w:color="auto"/>
      </w:divBdr>
    </w:div>
    <w:div w:id="176965454">
      <w:bodyDiv w:val="1"/>
      <w:marLeft w:val="0"/>
      <w:marRight w:val="0"/>
      <w:marTop w:val="0"/>
      <w:marBottom w:val="0"/>
      <w:divBdr>
        <w:top w:val="none" w:sz="0" w:space="0" w:color="auto"/>
        <w:left w:val="none" w:sz="0" w:space="0" w:color="auto"/>
        <w:bottom w:val="none" w:sz="0" w:space="0" w:color="auto"/>
        <w:right w:val="none" w:sz="0" w:space="0" w:color="auto"/>
      </w:divBdr>
    </w:div>
    <w:div w:id="190799788">
      <w:bodyDiv w:val="1"/>
      <w:marLeft w:val="0"/>
      <w:marRight w:val="0"/>
      <w:marTop w:val="0"/>
      <w:marBottom w:val="0"/>
      <w:divBdr>
        <w:top w:val="none" w:sz="0" w:space="0" w:color="auto"/>
        <w:left w:val="none" w:sz="0" w:space="0" w:color="auto"/>
        <w:bottom w:val="none" w:sz="0" w:space="0" w:color="auto"/>
        <w:right w:val="none" w:sz="0" w:space="0" w:color="auto"/>
      </w:divBdr>
    </w:div>
    <w:div w:id="345910133">
      <w:bodyDiv w:val="1"/>
      <w:marLeft w:val="0"/>
      <w:marRight w:val="0"/>
      <w:marTop w:val="0"/>
      <w:marBottom w:val="0"/>
      <w:divBdr>
        <w:top w:val="none" w:sz="0" w:space="0" w:color="auto"/>
        <w:left w:val="none" w:sz="0" w:space="0" w:color="auto"/>
        <w:bottom w:val="none" w:sz="0" w:space="0" w:color="auto"/>
        <w:right w:val="none" w:sz="0" w:space="0" w:color="auto"/>
      </w:divBdr>
    </w:div>
    <w:div w:id="459735571">
      <w:bodyDiv w:val="1"/>
      <w:marLeft w:val="0"/>
      <w:marRight w:val="0"/>
      <w:marTop w:val="0"/>
      <w:marBottom w:val="0"/>
      <w:divBdr>
        <w:top w:val="none" w:sz="0" w:space="0" w:color="auto"/>
        <w:left w:val="none" w:sz="0" w:space="0" w:color="auto"/>
        <w:bottom w:val="none" w:sz="0" w:space="0" w:color="auto"/>
        <w:right w:val="none" w:sz="0" w:space="0" w:color="auto"/>
      </w:divBdr>
    </w:div>
    <w:div w:id="498666174">
      <w:bodyDiv w:val="1"/>
      <w:marLeft w:val="0"/>
      <w:marRight w:val="0"/>
      <w:marTop w:val="0"/>
      <w:marBottom w:val="0"/>
      <w:divBdr>
        <w:top w:val="none" w:sz="0" w:space="0" w:color="auto"/>
        <w:left w:val="none" w:sz="0" w:space="0" w:color="auto"/>
        <w:bottom w:val="none" w:sz="0" w:space="0" w:color="auto"/>
        <w:right w:val="none" w:sz="0" w:space="0" w:color="auto"/>
      </w:divBdr>
    </w:div>
    <w:div w:id="526065718">
      <w:bodyDiv w:val="1"/>
      <w:marLeft w:val="0"/>
      <w:marRight w:val="0"/>
      <w:marTop w:val="0"/>
      <w:marBottom w:val="0"/>
      <w:divBdr>
        <w:top w:val="none" w:sz="0" w:space="0" w:color="auto"/>
        <w:left w:val="none" w:sz="0" w:space="0" w:color="auto"/>
        <w:bottom w:val="none" w:sz="0" w:space="0" w:color="auto"/>
        <w:right w:val="none" w:sz="0" w:space="0" w:color="auto"/>
      </w:divBdr>
    </w:div>
    <w:div w:id="542059821">
      <w:bodyDiv w:val="1"/>
      <w:marLeft w:val="0"/>
      <w:marRight w:val="0"/>
      <w:marTop w:val="0"/>
      <w:marBottom w:val="0"/>
      <w:divBdr>
        <w:top w:val="none" w:sz="0" w:space="0" w:color="auto"/>
        <w:left w:val="none" w:sz="0" w:space="0" w:color="auto"/>
        <w:bottom w:val="none" w:sz="0" w:space="0" w:color="auto"/>
        <w:right w:val="none" w:sz="0" w:space="0" w:color="auto"/>
      </w:divBdr>
    </w:div>
    <w:div w:id="653875336">
      <w:bodyDiv w:val="1"/>
      <w:marLeft w:val="0"/>
      <w:marRight w:val="0"/>
      <w:marTop w:val="0"/>
      <w:marBottom w:val="0"/>
      <w:divBdr>
        <w:top w:val="none" w:sz="0" w:space="0" w:color="auto"/>
        <w:left w:val="none" w:sz="0" w:space="0" w:color="auto"/>
        <w:bottom w:val="none" w:sz="0" w:space="0" w:color="auto"/>
        <w:right w:val="none" w:sz="0" w:space="0" w:color="auto"/>
      </w:divBdr>
    </w:div>
    <w:div w:id="663822338">
      <w:bodyDiv w:val="1"/>
      <w:marLeft w:val="0"/>
      <w:marRight w:val="0"/>
      <w:marTop w:val="0"/>
      <w:marBottom w:val="0"/>
      <w:divBdr>
        <w:top w:val="none" w:sz="0" w:space="0" w:color="auto"/>
        <w:left w:val="none" w:sz="0" w:space="0" w:color="auto"/>
        <w:bottom w:val="none" w:sz="0" w:space="0" w:color="auto"/>
        <w:right w:val="none" w:sz="0" w:space="0" w:color="auto"/>
      </w:divBdr>
    </w:div>
    <w:div w:id="823132603">
      <w:bodyDiv w:val="1"/>
      <w:marLeft w:val="0"/>
      <w:marRight w:val="0"/>
      <w:marTop w:val="0"/>
      <w:marBottom w:val="0"/>
      <w:divBdr>
        <w:top w:val="none" w:sz="0" w:space="0" w:color="auto"/>
        <w:left w:val="none" w:sz="0" w:space="0" w:color="auto"/>
        <w:bottom w:val="none" w:sz="0" w:space="0" w:color="auto"/>
        <w:right w:val="none" w:sz="0" w:space="0" w:color="auto"/>
      </w:divBdr>
    </w:div>
    <w:div w:id="1007248731">
      <w:bodyDiv w:val="1"/>
      <w:marLeft w:val="0"/>
      <w:marRight w:val="0"/>
      <w:marTop w:val="0"/>
      <w:marBottom w:val="0"/>
      <w:divBdr>
        <w:top w:val="none" w:sz="0" w:space="0" w:color="auto"/>
        <w:left w:val="none" w:sz="0" w:space="0" w:color="auto"/>
        <w:bottom w:val="none" w:sz="0" w:space="0" w:color="auto"/>
        <w:right w:val="none" w:sz="0" w:space="0" w:color="auto"/>
      </w:divBdr>
    </w:div>
    <w:div w:id="1017149360">
      <w:bodyDiv w:val="1"/>
      <w:marLeft w:val="0"/>
      <w:marRight w:val="0"/>
      <w:marTop w:val="0"/>
      <w:marBottom w:val="0"/>
      <w:divBdr>
        <w:top w:val="none" w:sz="0" w:space="0" w:color="auto"/>
        <w:left w:val="none" w:sz="0" w:space="0" w:color="auto"/>
        <w:bottom w:val="none" w:sz="0" w:space="0" w:color="auto"/>
        <w:right w:val="none" w:sz="0" w:space="0" w:color="auto"/>
      </w:divBdr>
      <w:divsChild>
        <w:div w:id="1864636609">
          <w:marLeft w:val="0"/>
          <w:marRight w:val="0"/>
          <w:marTop w:val="0"/>
          <w:marBottom w:val="0"/>
          <w:divBdr>
            <w:top w:val="single" w:sz="8" w:space="1" w:color="auto"/>
            <w:left w:val="none" w:sz="0" w:space="0" w:color="auto"/>
            <w:bottom w:val="single" w:sz="8" w:space="1" w:color="auto"/>
            <w:right w:val="none" w:sz="0" w:space="0" w:color="auto"/>
          </w:divBdr>
        </w:div>
      </w:divsChild>
    </w:div>
    <w:div w:id="1035078708">
      <w:bodyDiv w:val="1"/>
      <w:marLeft w:val="0"/>
      <w:marRight w:val="0"/>
      <w:marTop w:val="0"/>
      <w:marBottom w:val="0"/>
      <w:divBdr>
        <w:top w:val="none" w:sz="0" w:space="0" w:color="auto"/>
        <w:left w:val="none" w:sz="0" w:space="0" w:color="auto"/>
        <w:bottom w:val="none" w:sz="0" w:space="0" w:color="auto"/>
        <w:right w:val="none" w:sz="0" w:space="0" w:color="auto"/>
      </w:divBdr>
    </w:div>
    <w:div w:id="1061905582">
      <w:bodyDiv w:val="1"/>
      <w:marLeft w:val="0"/>
      <w:marRight w:val="0"/>
      <w:marTop w:val="0"/>
      <w:marBottom w:val="0"/>
      <w:divBdr>
        <w:top w:val="none" w:sz="0" w:space="0" w:color="auto"/>
        <w:left w:val="none" w:sz="0" w:space="0" w:color="auto"/>
        <w:bottom w:val="none" w:sz="0" w:space="0" w:color="auto"/>
        <w:right w:val="none" w:sz="0" w:space="0" w:color="auto"/>
      </w:divBdr>
    </w:div>
    <w:div w:id="1116174494">
      <w:bodyDiv w:val="1"/>
      <w:marLeft w:val="0"/>
      <w:marRight w:val="0"/>
      <w:marTop w:val="0"/>
      <w:marBottom w:val="0"/>
      <w:divBdr>
        <w:top w:val="none" w:sz="0" w:space="0" w:color="auto"/>
        <w:left w:val="none" w:sz="0" w:space="0" w:color="auto"/>
        <w:bottom w:val="none" w:sz="0" w:space="0" w:color="auto"/>
        <w:right w:val="none" w:sz="0" w:space="0" w:color="auto"/>
      </w:divBdr>
    </w:div>
    <w:div w:id="1163854147">
      <w:bodyDiv w:val="1"/>
      <w:marLeft w:val="0"/>
      <w:marRight w:val="0"/>
      <w:marTop w:val="0"/>
      <w:marBottom w:val="0"/>
      <w:divBdr>
        <w:top w:val="none" w:sz="0" w:space="0" w:color="auto"/>
        <w:left w:val="none" w:sz="0" w:space="0" w:color="auto"/>
        <w:bottom w:val="none" w:sz="0" w:space="0" w:color="auto"/>
        <w:right w:val="none" w:sz="0" w:space="0" w:color="auto"/>
      </w:divBdr>
    </w:div>
    <w:div w:id="1197736229">
      <w:bodyDiv w:val="1"/>
      <w:marLeft w:val="0"/>
      <w:marRight w:val="0"/>
      <w:marTop w:val="0"/>
      <w:marBottom w:val="0"/>
      <w:divBdr>
        <w:top w:val="none" w:sz="0" w:space="0" w:color="auto"/>
        <w:left w:val="none" w:sz="0" w:space="0" w:color="auto"/>
        <w:bottom w:val="none" w:sz="0" w:space="0" w:color="auto"/>
        <w:right w:val="none" w:sz="0" w:space="0" w:color="auto"/>
      </w:divBdr>
    </w:div>
    <w:div w:id="1349134131">
      <w:bodyDiv w:val="1"/>
      <w:marLeft w:val="0"/>
      <w:marRight w:val="0"/>
      <w:marTop w:val="0"/>
      <w:marBottom w:val="0"/>
      <w:divBdr>
        <w:top w:val="none" w:sz="0" w:space="0" w:color="auto"/>
        <w:left w:val="none" w:sz="0" w:space="0" w:color="auto"/>
        <w:bottom w:val="none" w:sz="0" w:space="0" w:color="auto"/>
        <w:right w:val="none" w:sz="0" w:space="0" w:color="auto"/>
      </w:divBdr>
    </w:div>
    <w:div w:id="1381855195">
      <w:bodyDiv w:val="1"/>
      <w:marLeft w:val="0"/>
      <w:marRight w:val="0"/>
      <w:marTop w:val="0"/>
      <w:marBottom w:val="0"/>
      <w:divBdr>
        <w:top w:val="none" w:sz="0" w:space="0" w:color="auto"/>
        <w:left w:val="none" w:sz="0" w:space="0" w:color="auto"/>
        <w:bottom w:val="none" w:sz="0" w:space="0" w:color="auto"/>
        <w:right w:val="none" w:sz="0" w:space="0" w:color="auto"/>
      </w:divBdr>
      <w:divsChild>
        <w:div w:id="330983653">
          <w:marLeft w:val="0"/>
          <w:marRight w:val="0"/>
          <w:marTop w:val="0"/>
          <w:marBottom w:val="0"/>
          <w:divBdr>
            <w:top w:val="none" w:sz="0" w:space="0" w:color="auto"/>
            <w:left w:val="none" w:sz="0" w:space="0" w:color="auto"/>
            <w:bottom w:val="none" w:sz="0" w:space="0" w:color="auto"/>
            <w:right w:val="none" w:sz="0" w:space="0" w:color="auto"/>
          </w:divBdr>
          <w:divsChild>
            <w:div w:id="4403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84464090">
                  <w:marLeft w:val="0"/>
                  <w:marRight w:val="0"/>
                  <w:marTop w:val="0"/>
                  <w:marBottom w:val="0"/>
                  <w:divBdr>
                    <w:top w:val="none" w:sz="0" w:space="0" w:color="auto"/>
                    <w:left w:val="none" w:sz="0" w:space="0" w:color="auto"/>
                    <w:bottom w:val="none" w:sz="0" w:space="0" w:color="auto"/>
                    <w:right w:val="none" w:sz="0" w:space="0" w:color="auto"/>
                  </w:divBdr>
                  <w:divsChild>
                    <w:div w:id="133988110">
                      <w:marLeft w:val="0"/>
                      <w:marRight w:val="0"/>
                      <w:marTop w:val="0"/>
                      <w:marBottom w:val="0"/>
                      <w:divBdr>
                        <w:top w:val="none" w:sz="0" w:space="0" w:color="auto"/>
                        <w:left w:val="none" w:sz="0" w:space="0" w:color="auto"/>
                        <w:bottom w:val="none" w:sz="0" w:space="0" w:color="auto"/>
                        <w:right w:val="none" w:sz="0" w:space="0" w:color="auto"/>
                      </w:divBdr>
                      <w:divsChild>
                        <w:div w:id="1454904064">
                          <w:marLeft w:val="0"/>
                          <w:marRight w:val="0"/>
                          <w:marTop w:val="0"/>
                          <w:marBottom w:val="0"/>
                          <w:divBdr>
                            <w:top w:val="none" w:sz="0" w:space="0" w:color="auto"/>
                            <w:left w:val="none" w:sz="0" w:space="0" w:color="auto"/>
                            <w:bottom w:val="none" w:sz="0" w:space="0" w:color="auto"/>
                            <w:right w:val="none" w:sz="0" w:space="0" w:color="auto"/>
                          </w:divBdr>
                        </w:div>
                        <w:div w:id="17288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6919">
              <w:marLeft w:val="0"/>
              <w:marRight w:val="0"/>
              <w:marTop w:val="0"/>
              <w:marBottom w:val="0"/>
              <w:divBdr>
                <w:top w:val="none" w:sz="0" w:space="0" w:color="auto"/>
                <w:left w:val="none" w:sz="0" w:space="0" w:color="auto"/>
                <w:bottom w:val="none" w:sz="0" w:space="0" w:color="auto"/>
                <w:right w:val="none" w:sz="0" w:space="0" w:color="auto"/>
              </w:divBdr>
            </w:div>
          </w:divsChild>
        </w:div>
        <w:div w:id="591667983">
          <w:marLeft w:val="0"/>
          <w:marRight w:val="0"/>
          <w:marTop w:val="0"/>
          <w:marBottom w:val="0"/>
          <w:divBdr>
            <w:top w:val="none" w:sz="0" w:space="0" w:color="auto"/>
            <w:left w:val="none" w:sz="0" w:space="0" w:color="auto"/>
            <w:bottom w:val="none" w:sz="0" w:space="0" w:color="auto"/>
            <w:right w:val="none" w:sz="0" w:space="0" w:color="auto"/>
          </w:divBdr>
        </w:div>
      </w:divsChild>
    </w:div>
    <w:div w:id="1402868235">
      <w:bodyDiv w:val="1"/>
      <w:marLeft w:val="0"/>
      <w:marRight w:val="0"/>
      <w:marTop w:val="0"/>
      <w:marBottom w:val="0"/>
      <w:divBdr>
        <w:top w:val="none" w:sz="0" w:space="0" w:color="auto"/>
        <w:left w:val="none" w:sz="0" w:space="0" w:color="auto"/>
        <w:bottom w:val="none" w:sz="0" w:space="0" w:color="auto"/>
        <w:right w:val="none" w:sz="0" w:space="0" w:color="auto"/>
      </w:divBdr>
    </w:div>
    <w:div w:id="1428386187">
      <w:bodyDiv w:val="1"/>
      <w:marLeft w:val="0"/>
      <w:marRight w:val="0"/>
      <w:marTop w:val="0"/>
      <w:marBottom w:val="0"/>
      <w:divBdr>
        <w:top w:val="none" w:sz="0" w:space="0" w:color="auto"/>
        <w:left w:val="none" w:sz="0" w:space="0" w:color="auto"/>
        <w:bottom w:val="none" w:sz="0" w:space="0" w:color="auto"/>
        <w:right w:val="none" w:sz="0" w:space="0" w:color="auto"/>
      </w:divBdr>
    </w:div>
    <w:div w:id="1487934433">
      <w:bodyDiv w:val="1"/>
      <w:marLeft w:val="0"/>
      <w:marRight w:val="0"/>
      <w:marTop w:val="0"/>
      <w:marBottom w:val="0"/>
      <w:divBdr>
        <w:top w:val="none" w:sz="0" w:space="0" w:color="auto"/>
        <w:left w:val="none" w:sz="0" w:space="0" w:color="auto"/>
        <w:bottom w:val="none" w:sz="0" w:space="0" w:color="auto"/>
        <w:right w:val="none" w:sz="0" w:space="0" w:color="auto"/>
      </w:divBdr>
    </w:div>
    <w:div w:id="1499006798">
      <w:bodyDiv w:val="1"/>
      <w:marLeft w:val="0"/>
      <w:marRight w:val="0"/>
      <w:marTop w:val="0"/>
      <w:marBottom w:val="0"/>
      <w:divBdr>
        <w:top w:val="none" w:sz="0" w:space="0" w:color="auto"/>
        <w:left w:val="none" w:sz="0" w:space="0" w:color="auto"/>
        <w:bottom w:val="none" w:sz="0" w:space="0" w:color="auto"/>
        <w:right w:val="none" w:sz="0" w:space="0" w:color="auto"/>
      </w:divBdr>
    </w:div>
    <w:div w:id="1539199072">
      <w:bodyDiv w:val="1"/>
      <w:marLeft w:val="0"/>
      <w:marRight w:val="0"/>
      <w:marTop w:val="0"/>
      <w:marBottom w:val="0"/>
      <w:divBdr>
        <w:top w:val="none" w:sz="0" w:space="0" w:color="auto"/>
        <w:left w:val="none" w:sz="0" w:space="0" w:color="auto"/>
        <w:bottom w:val="none" w:sz="0" w:space="0" w:color="auto"/>
        <w:right w:val="none" w:sz="0" w:space="0" w:color="auto"/>
      </w:divBdr>
    </w:div>
    <w:div w:id="1589996959">
      <w:bodyDiv w:val="1"/>
      <w:marLeft w:val="0"/>
      <w:marRight w:val="0"/>
      <w:marTop w:val="0"/>
      <w:marBottom w:val="0"/>
      <w:divBdr>
        <w:top w:val="none" w:sz="0" w:space="0" w:color="auto"/>
        <w:left w:val="none" w:sz="0" w:space="0" w:color="auto"/>
        <w:bottom w:val="none" w:sz="0" w:space="0" w:color="auto"/>
        <w:right w:val="none" w:sz="0" w:space="0" w:color="auto"/>
      </w:divBdr>
      <w:divsChild>
        <w:div w:id="1568224512">
          <w:marLeft w:val="0"/>
          <w:marRight w:val="0"/>
          <w:marTop w:val="0"/>
          <w:marBottom w:val="0"/>
          <w:divBdr>
            <w:top w:val="single" w:sz="8" w:space="1" w:color="auto"/>
            <w:left w:val="none" w:sz="0" w:space="0" w:color="auto"/>
            <w:bottom w:val="single" w:sz="8" w:space="1" w:color="auto"/>
            <w:right w:val="none" w:sz="0" w:space="0" w:color="auto"/>
          </w:divBdr>
        </w:div>
      </w:divsChild>
    </w:div>
    <w:div w:id="1629431127">
      <w:bodyDiv w:val="1"/>
      <w:marLeft w:val="0"/>
      <w:marRight w:val="0"/>
      <w:marTop w:val="0"/>
      <w:marBottom w:val="0"/>
      <w:divBdr>
        <w:top w:val="none" w:sz="0" w:space="0" w:color="auto"/>
        <w:left w:val="none" w:sz="0" w:space="0" w:color="auto"/>
        <w:bottom w:val="none" w:sz="0" w:space="0" w:color="auto"/>
        <w:right w:val="none" w:sz="0" w:space="0" w:color="auto"/>
      </w:divBdr>
    </w:div>
    <w:div w:id="1712147274">
      <w:bodyDiv w:val="1"/>
      <w:marLeft w:val="0"/>
      <w:marRight w:val="0"/>
      <w:marTop w:val="0"/>
      <w:marBottom w:val="0"/>
      <w:divBdr>
        <w:top w:val="none" w:sz="0" w:space="0" w:color="auto"/>
        <w:left w:val="none" w:sz="0" w:space="0" w:color="auto"/>
        <w:bottom w:val="none" w:sz="0" w:space="0" w:color="auto"/>
        <w:right w:val="none" w:sz="0" w:space="0" w:color="auto"/>
      </w:divBdr>
    </w:div>
    <w:div w:id="1741832491">
      <w:bodyDiv w:val="1"/>
      <w:marLeft w:val="0"/>
      <w:marRight w:val="0"/>
      <w:marTop w:val="0"/>
      <w:marBottom w:val="0"/>
      <w:divBdr>
        <w:top w:val="none" w:sz="0" w:space="0" w:color="auto"/>
        <w:left w:val="none" w:sz="0" w:space="0" w:color="auto"/>
        <w:bottom w:val="none" w:sz="0" w:space="0" w:color="auto"/>
        <w:right w:val="none" w:sz="0" w:space="0" w:color="auto"/>
      </w:divBdr>
    </w:div>
    <w:div w:id="1822385758">
      <w:bodyDiv w:val="1"/>
      <w:marLeft w:val="0"/>
      <w:marRight w:val="0"/>
      <w:marTop w:val="0"/>
      <w:marBottom w:val="0"/>
      <w:divBdr>
        <w:top w:val="none" w:sz="0" w:space="0" w:color="auto"/>
        <w:left w:val="none" w:sz="0" w:space="0" w:color="auto"/>
        <w:bottom w:val="none" w:sz="0" w:space="0" w:color="auto"/>
        <w:right w:val="none" w:sz="0" w:space="0" w:color="auto"/>
      </w:divBdr>
    </w:div>
    <w:div w:id="1833788104">
      <w:bodyDiv w:val="1"/>
      <w:marLeft w:val="0"/>
      <w:marRight w:val="0"/>
      <w:marTop w:val="0"/>
      <w:marBottom w:val="0"/>
      <w:divBdr>
        <w:top w:val="none" w:sz="0" w:space="0" w:color="auto"/>
        <w:left w:val="none" w:sz="0" w:space="0" w:color="auto"/>
        <w:bottom w:val="none" w:sz="0" w:space="0" w:color="auto"/>
        <w:right w:val="none" w:sz="0" w:space="0" w:color="auto"/>
      </w:divBdr>
    </w:div>
    <w:div w:id="1899629722">
      <w:bodyDiv w:val="1"/>
      <w:marLeft w:val="0"/>
      <w:marRight w:val="0"/>
      <w:marTop w:val="0"/>
      <w:marBottom w:val="0"/>
      <w:divBdr>
        <w:top w:val="none" w:sz="0" w:space="0" w:color="auto"/>
        <w:left w:val="none" w:sz="0" w:space="0" w:color="auto"/>
        <w:bottom w:val="none" w:sz="0" w:space="0" w:color="auto"/>
        <w:right w:val="none" w:sz="0" w:space="0" w:color="auto"/>
      </w:divBdr>
    </w:div>
    <w:div w:id="2003772107">
      <w:bodyDiv w:val="1"/>
      <w:marLeft w:val="0"/>
      <w:marRight w:val="0"/>
      <w:marTop w:val="0"/>
      <w:marBottom w:val="0"/>
      <w:divBdr>
        <w:top w:val="none" w:sz="0" w:space="0" w:color="auto"/>
        <w:left w:val="none" w:sz="0" w:space="0" w:color="auto"/>
        <w:bottom w:val="none" w:sz="0" w:space="0" w:color="auto"/>
        <w:right w:val="none" w:sz="0" w:space="0" w:color="auto"/>
      </w:divBdr>
    </w:div>
    <w:div w:id="2011519069">
      <w:bodyDiv w:val="1"/>
      <w:marLeft w:val="0"/>
      <w:marRight w:val="0"/>
      <w:marTop w:val="0"/>
      <w:marBottom w:val="0"/>
      <w:divBdr>
        <w:top w:val="none" w:sz="0" w:space="0" w:color="auto"/>
        <w:left w:val="none" w:sz="0" w:space="0" w:color="auto"/>
        <w:bottom w:val="none" w:sz="0" w:space="0" w:color="auto"/>
        <w:right w:val="none" w:sz="0" w:space="0" w:color="auto"/>
      </w:divBdr>
    </w:div>
    <w:div w:id="2019850045">
      <w:bodyDiv w:val="1"/>
      <w:marLeft w:val="0"/>
      <w:marRight w:val="0"/>
      <w:marTop w:val="0"/>
      <w:marBottom w:val="0"/>
      <w:divBdr>
        <w:top w:val="none" w:sz="0" w:space="0" w:color="auto"/>
        <w:left w:val="none" w:sz="0" w:space="0" w:color="auto"/>
        <w:bottom w:val="none" w:sz="0" w:space="0" w:color="auto"/>
        <w:right w:val="none" w:sz="0" w:space="0" w:color="auto"/>
      </w:divBdr>
    </w:div>
    <w:div w:id="206532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evo.co.il.eu1.proxy.openathens.net/law/74985" TargetMode="External"/><Relationship Id="rId18" Type="http://schemas.openxmlformats.org/officeDocument/2006/relationships/hyperlink" Target="http://www.nevo.co.il.eu1.proxy.openathens.net/law/4397/43"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hyperlink" Target="http://www.nevo.co.il.eu1.proxy.openathens.net/law/4393" TargetMode="Externa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nevo.co.il.eu1.proxy.openathens.net/law/43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hyperlink" Target="http://www.nevo.co.il.eu1.proxy.openathens.net/law/4397"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5510</TotalTime>
  <Pages>53</Pages>
  <Words>21795</Words>
  <Characters>108977</Characters>
  <Application>Microsoft Office Word</Application>
  <DocSecurity>0</DocSecurity>
  <Lines>908</Lines>
  <Paragraphs>261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שחר יונה</dc:creator>
  <cp:keywords/>
  <dc:description/>
  <cp:lastModifiedBy>שחר יונה</cp:lastModifiedBy>
  <cp:revision>329</cp:revision>
  <cp:lastPrinted>2021-01-17T15:06:00Z</cp:lastPrinted>
  <dcterms:created xsi:type="dcterms:W3CDTF">2020-10-18T12:26:00Z</dcterms:created>
  <dcterms:modified xsi:type="dcterms:W3CDTF">2021-01-19T21:59:00Z</dcterms:modified>
</cp:coreProperties>
</file>