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94" w:rsidRPr="00954D79" w:rsidRDefault="00FD7094" w:rsidP="004F7A1E">
      <w:pPr>
        <w:spacing w:after="0" w:line="240" w:lineRule="auto"/>
        <w:jc w:val="center"/>
        <w:rPr>
          <w:rFonts w:ascii="Times New Roman" w:hAnsi="Times New Roman" w:cs="Times New Roman"/>
          <w:sz w:val="28"/>
          <w:szCs w:val="28"/>
          <w:rtl/>
        </w:rPr>
      </w:pPr>
      <w:bookmarkStart w:id="0" w:name="_GoBack"/>
      <w:bookmarkEnd w:id="0"/>
      <w:r w:rsidRPr="00954D79">
        <w:rPr>
          <w:rFonts w:ascii="Times New Roman" w:hAnsi="Times New Roman" w:cs="Times New Roman"/>
          <w:sz w:val="28"/>
          <w:szCs w:val="28"/>
          <w:rtl/>
        </w:rPr>
        <w:t>אוניברסיטת בר אילן- הפקולטה למשפטים</w:t>
      </w:r>
    </w:p>
    <w:p w:rsidR="00FD7094" w:rsidRPr="00F22553" w:rsidRDefault="00FD7094" w:rsidP="00E665B9">
      <w:pPr>
        <w:pStyle w:val="1"/>
        <w:spacing w:line="240" w:lineRule="auto"/>
        <w:rPr>
          <w:rFonts w:cs="Times New Roman"/>
          <w:szCs w:val="24"/>
          <w:u w:val="single"/>
          <w:rtl/>
        </w:rPr>
      </w:pPr>
      <w:r w:rsidRPr="00E665B9">
        <w:rPr>
          <w:rFonts w:cs="Times New Roman"/>
          <w:szCs w:val="24"/>
          <w:highlight w:val="yellow"/>
          <w:u w:val="single"/>
          <w:rtl/>
        </w:rPr>
        <w:t>99-563-02</w:t>
      </w:r>
      <w:r w:rsidRPr="00F22553">
        <w:rPr>
          <w:rFonts w:cs="Times New Roman"/>
          <w:szCs w:val="24"/>
          <w:u w:val="single"/>
          <w:rtl/>
        </w:rPr>
        <w:t xml:space="preserve"> משפט פלילי</w:t>
      </w:r>
      <w:r w:rsidRPr="00711ED5">
        <w:rPr>
          <w:rFonts w:cs="Times New Roman"/>
          <w:szCs w:val="24"/>
          <w:u w:val="single"/>
          <w:rtl/>
        </w:rPr>
        <w:t xml:space="preserve"> </w:t>
      </w:r>
      <w:r w:rsidRPr="00F22553">
        <w:rPr>
          <w:rFonts w:cs="Times New Roman"/>
          <w:szCs w:val="24"/>
          <w:u w:val="single"/>
          <w:rtl/>
        </w:rPr>
        <w:t>בינ"ל</w:t>
      </w:r>
      <w:r>
        <w:rPr>
          <w:rFonts w:cs="Times New Roman"/>
          <w:szCs w:val="24"/>
          <w:u w:val="single"/>
          <w:rtl/>
        </w:rPr>
        <w:t xml:space="preserve"> - </w:t>
      </w:r>
      <w:r w:rsidRPr="00874474">
        <w:rPr>
          <w:rFonts w:cs="Times New Roman"/>
          <w:szCs w:val="24"/>
          <w:u w:val="single"/>
          <w:rtl/>
        </w:rPr>
        <w:t>תשע"</w:t>
      </w:r>
      <w:r>
        <w:rPr>
          <w:rFonts w:cs="Times New Roman"/>
          <w:szCs w:val="24"/>
          <w:u w:val="single"/>
          <w:rtl/>
        </w:rPr>
        <w:t>ה</w:t>
      </w:r>
    </w:p>
    <w:p w:rsidR="00FD7094" w:rsidRPr="00874474" w:rsidRDefault="00FD7094" w:rsidP="00F22553">
      <w:pPr>
        <w:jc w:val="center"/>
        <w:rPr>
          <w:rFonts w:ascii="Times New Roman" w:hAnsi="Times New Roman" w:cs="Times New Roman"/>
          <w:sz w:val="24"/>
          <w:szCs w:val="24"/>
          <w:rtl/>
        </w:rPr>
      </w:pPr>
      <w:r w:rsidRPr="00874474">
        <w:rPr>
          <w:rFonts w:ascii="Times New Roman" w:hAnsi="Times New Roman" w:cs="Times New Roman"/>
          <w:sz w:val="24"/>
          <w:szCs w:val="24"/>
          <w:rtl/>
        </w:rPr>
        <w:t>מרצה: דר' זיו בורר</w:t>
      </w:r>
    </w:p>
    <w:p w:rsidR="00FD7094" w:rsidRPr="00874474" w:rsidRDefault="00FD7094" w:rsidP="00931FC7">
      <w:pPr>
        <w:jc w:val="center"/>
        <w:rPr>
          <w:rFonts w:ascii="Times New Roman" w:hAnsi="Times New Roman" w:cs="Times New Roman"/>
          <w:b/>
          <w:bCs/>
          <w:sz w:val="24"/>
          <w:szCs w:val="24"/>
          <w:u w:val="single"/>
          <w:rtl/>
          <w:lang w:eastAsia="he-IL"/>
        </w:rPr>
      </w:pPr>
      <w:r w:rsidRPr="00874474">
        <w:rPr>
          <w:rFonts w:ascii="Times New Roman" w:hAnsi="Times New Roman" w:cs="Times New Roman"/>
          <w:b/>
          <w:bCs/>
          <w:sz w:val="24"/>
          <w:szCs w:val="24"/>
          <w:u w:val="single"/>
          <w:rtl/>
          <w:lang w:eastAsia="he-IL"/>
        </w:rPr>
        <w:t xml:space="preserve">מבחן מועד </w:t>
      </w:r>
      <w:r>
        <w:rPr>
          <w:rFonts w:ascii="Times New Roman" w:hAnsi="Times New Roman" w:cs="Times New Roman"/>
          <w:b/>
          <w:bCs/>
          <w:sz w:val="24"/>
          <w:szCs w:val="24"/>
          <w:u w:val="single"/>
          <w:rtl/>
          <w:lang w:eastAsia="he-IL"/>
        </w:rPr>
        <w:t>א</w:t>
      </w:r>
      <w:r w:rsidRPr="00874474">
        <w:rPr>
          <w:rFonts w:ascii="Times New Roman" w:hAnsi="Times New Roman" w:cs="Times New Roman"/>
          <w:b/>
          <w:bCs/>
          <w:sz w:val="24"/>
          <w:szCs w:val="24"/>
          <w:u w:val="single"/>
          <w:rtl/>
          <w:lang w:eastAsia="he-IL"/>
        </w:rPr>
        <w:t xml:space="preserve">' </w:t>
      </w:r>
    </w:p>
    <w:p w:rsidR="00FD7094" w:rsidRPr="00435D72" w:rsidRDefault="00FD7094" w:rsidP="00F22553">
      <w:pPr>
        <w:numPr>
          <w:ilvl w:val="0"/>
          <w:numId w:val="1"/>
        </w:numPr>
        <w:spacing w:before="40" w:after="0" w:line="260" w:lineRule="exact"/>
        <w:ind w:left="0" w:firstLine="0"/>
        <w:jc w:val="both"/>
        <w:rPr>
          <w:rFonts w:ascii="Times New Roman" w:hAnsi="Times New Roman" w:cs="Times New Roman"/>
          <w:sz w:val="24"/>
          <w:szCs w:val="24"/>
        </w:rPr>
      </w:pPr>
      <w:r w:rsidRPr="00874474">
        <w:rPr>
          <w:rFonts w:ascii="Times New Roman" w:hAnsi="Times New Roman" w:cs="Times New Roman"/>
          <w:sz w:val="24"/>
          <w:szCs w:val="24"/>
          <w:rtl/>
        </w:rPr>
        <w:t xml:space="preserve">משך </w:t>
      </w:r>
      <w:r w:rsidRPr="00435D72">
        <w:rPr>
          <w:rFonts w:ascii="Times New Roman" w:hAnsi="Times New Roman" w:cs="Times New Roman"/>
          <w:sz w:val="24"/>
          <w:szCs w:val="24"/>
          <w:rtl/>
        </w:rPr>
        <w:t>הבחינה שלוש שעות.</w:t>
      </w:r>
    </w:p>
    <w:p w:rsidR="00FD7094" w:rsidRDefault="00FD7094" w:rsidP="00F22553">
      <w:pPr>
        <w:numPr>
          <w:ilvl w:val="0"/>
          <w:numId w:val="1"/>
        </w:numPr>
        <w:spacing w:before="40" w:after="0" w:line="260" w:lineRule="exact"/>
        <w:ind w:left="0" w:firstLine="0"/>
        <w:jc w:val="both"/>
        <w:rPr>
          <w:rFonts w:ascii="Times New Roman" w:hAnsi="Times New Roman" w:cs="Times New Roman"/>
          <w:sz w:val="24"/>
          <w:szCs w:val="24"/>
        </w:rPr>
      </w:pPr>
      <w:r w:rsidRPr="00E665B9">
        <w:rPr>
          <w:rFonts w:ascii="Times New Roman" w:hAnsi="Times New Roman" w:cs="Times New Roman"/>
          <w:sz w:val="24"/>
          <w:szCs w:val="24"/>
          <w:highlight w:val="yellow"/>
          <w:rtl/>
        </w:rPr>
        <w:t>הבחינה היא בחומר סגור</w:t>
      </w:r>
      <w:r w:rsidRPr="006317E8">
        <w:rPr>
          <w:rFonts w:ascii="Times New Roman" w:hAnsi="Times New Roman" w:cs="Times New Roman"/>
          <w:sz w:val="24"/>
          <w:szCs w:val="24"/>
          <w:rtl/>
        </w:rPr>
        <w:t xml:space="preserve">. </w:t>
      </w:r>
    </w:p>
    <w:p w:rsidR="00FD7094" w:rsidRDefault="00FD7094" w:rsidP="00F22553">
      <w:pPr>
        <w:numPr>
          <w:ilvl w:val="0"/>
          <w:numId w:val="1"/>
        </w:numPr>
        <w:spacing w:before="40" w:after="0" w:line="260" w:lineRule="exact"/>
        <w:ind w:left="0" w:firstLine="0"/>
        <w:jc w:val="both"/>
        <w:rPr>
          <w:rFonts w:ascii="Times New Roman" w:hAnsi="Times New Roman" w:cs="Times New Roman"/>
          <w:sz w:val="24"/>
          <w:szCs w:val="24"/>
        </w:rPr>
      </w:pPr>
      <w:r w:rsidRPr="006317E8">
        <w:rPr>
          <w:rFonts w:ascii="Times New Roman" w:hAnsi="Times New Roman" w:cs="Times New Roman"/>
          <w:sz w:val="24"/>
          <w:szCs w:val="24"/>
          <w:rtl/>
        </w:rPr>
        <w:t>יש לענות על כל השאלות.</w:t>
      </w:r>
    </w:p>
    <w:p w:rsidR="00FD7094" w:rsidRDefault="00FD7094" w:rsidP="00F22553">
      <w:pPr>
        <w:numPr>
          <w:ilvl w:val="0"/>
          <w:numId w:val="1"/>
        </w:numPr>
        <w:spacing w:before="40" w:after="0" w:line="260" w:lineRule="exact"/>
        <w:ind w:left="0" w:firstLine="0"/>
        <w:jc w:val="both"/>
        <w:rPr>
          <w:rFonts w:ascii="Times New Roman" w:hAnsi="Times New Roman" w:cs="Times New Roman"/>
          <w:sz w:val="24"/>
          <w:szCs w:val="24"/>
        </w:rPr>
      </w:pPr>
      <w:r w:rsidRPr="006317E8">
        <w:rPr>
          <w:rFonts w:ascii="Times New Roman" w:hAnsi="Times New Roman" w:cs="Times New Roman"/>
          <w:sz w:val="24"/>
          <w:szCs w:val="24"/>
          <w:rtl/>
        </w:rPr>
        <w:t xml:space="preserve">קראו את השאלות בקפידה ותכננו את חלוקת הזמן העומד לרשותכם באופן מושכל. </w:t>
      </w:r>
    </w:p>
    <w:p w:rsidR="00FD7094" w:rsidRDefault="00FD7094" w:rsidP="00F22553">
      <w:pPr>
        <w:numPr>
          <w:ilvl w:val="0"/>
          <w:numId w:val="1"/>
        </w:numPr>
        <w:spacing w:before="40" w:after="0" w:line="260" w:lineRule="exact"/>
        <w:ind w:left="0" w:firstLine="0"/>
        <w:jc w:val="both"/>
        <w:rPr>
          <w:rFonts w:ascii="Times New Roman" w:hAnsi="Times New Roman" w:cs="Times New Roman"/>
          <w:sz w:val="24"/>
          <w:szCs w:val="24"/>
        </w:rPr>
      </w:pPr>
      <w:r w:rsidRPr="006317E8">
        <w:rPr>
          <w:rFonts w:ascii="Times New Roman" w:hAnsi="Times New Roman" w:cs="Times New Roman"/>
          <w:sz w:val="24"/>
          <w:szCs w:val="24"/>
          <w:rtl/>
        </w:rPr>
        <w:t xml:space="preserve">הקפידו על ניסוח בהיר ומדויק ועל כתב ברור וקריא. </w:t>
      </w:r>
    </w:p>
    <w:p w:rsidR="00FD7094" w:rsidRDefault="00FD7094" w:rsidP="00F22553">
      <w:pPr>
        <w:numPr>
          <w:ilvl w:val="0"/>
          <w:numId w:val="1"/>
        </w:numPr>
        <w:spacing w:before="40" w:after="0" w:line="260" w:lineRule="exact"/>
        <w:ind w:left="0" w:firstLine="0"/>
        <w:jc w:val="both"/>
        <w:rPr>
          <w:rFonts w:ascii="Times New Roman" w:hAnsi="Times New Roman" w:cs="Times New Roman"/>
          <w:sz w:val="24"/>
          <w:szCs w:val="24"/>
        </w:rPr>
      </w:pPr>
      <w:r w:rsidRPr="006317E8">
        <w:rPr>
          <w:rFonts w:ascii="Times New Roman" w:hAnsi="Times New Roman" w:cs="Times New Roman"/>
          <w:sz w:val="24"/>
          <w:szCs w:val="24"/>
          <w:rtl/>
        </w:rPr>
        <w:t>הימנע</w:t>
      </w:r>
      <w:r>
        <w:rPr>
          <w:rFonts w:ascii="Times New Roman" w:hAnsi="Times New Roman" w:cs="Times New Roman"/>
          <w:sz w:val="24"/>
          <w:szCs w:val="24"/>
          <w:rtl/>
        </w:rPr>
        <w:t xml:space="preserve">ו מלהוסיף פרטים שאינם רלוונטיים </w:t>
      </w:r>
      <w:r w:rsidRPr="006317E8">
        <w:rPr>
          <w:rFonts w:ascii="Times New Roman" w:hAnsi="Times New Roman" w:cs="Times New Roman"/>
          <w:sz w:val="24"/>
          <w:szCs w:val="24"/>
          <w:rtl/>
        </w:rPr>
        <w:t>לעניין הנדון בשאלה</w:t>
      </w:r>
      <w:r>
        <w:rPr>
          <w:rFonts w:ascii="Times New Roman" w:hAnsi="Times New Roman" w:cs="Times New Roman"/>
          <w:sz w:val="24"/>
          <w:szCs w:val="24"/>
          <w:rtl/>
        </w:rPr>
        <w:t>-</w:t>
      </w:r>
      <w:r w:rsidRPr="006317E8">
        <w:rPr>
          <w:rFonts w:ascii="Times New Roman" w:hAnsi="Times New Roman" w:cs="Times New Roman"/>
          <w:sz w:val="24"/>
          <w:szCs w:val="24"/>
          <w:rtl/>
        </w:rPr>
        <w:t xml:space="preserve">תוספת כזו עלולה להוריד ניקוד. </w:t>
      </w:r>
    </w:p>
    <w:p w:rsidR="00FD7094" w:rsidRDefault="00FD7094" w:rsidP="00F22553">
      <w:pPr>
        <w:spacing w:after="0" w:line="240" w:lineRule="auto"/>
        <w:jc w:val="both"/>
        <w:rPr>
          <w:rFonts w:ascii="Times New Roman" w:hAnsi="Times New Roman" w:cs="Times New Roman"/>
          <w:b/>
          <w:bCs/>
          <w:sz w:val="24"/>
          <w:szCs w:val="24"/>
          <w:u w:val="single"/>
          <w:rtl/>
        </w:rPr>
      </w:pPr>
      <w:r w:rsidRPr="006317E8">
        <w:rPr>
          <w:rFonts w:ascii="Times New Roman" w:hAnsi="Times New Roman" w:cs="Times New Roman"/>
          <w:b/>
          <w:bCs/>
          <w:sz w:val="24"/>
          <w:szCs w:val="24"/>
          <w:rtl/>
        </w:rPr>
        <w:t>אין לחרוג ממגבלת המקום שנקבעה עבור כל שאלה</w:t>
      </w:r>
      <w:r>
        <w:rPr>
          <w:rFonts w:ascii="Times New Roman" w:hAnsi="Times New Roman" w:cs="Times New Roman"/>
          <w:b/>
          <w:bCs/>
          <w:sz w:val="24"/>
          <w:szCs w:val="24"/>
          <w:rtl/>
        </w:rPr>
        <w:t>!</w:t>
      </w:r>
    </w:p>
    <w:p w:rsidR="00FD7094" w:rsidRPr="00FB37D1" w:rsidRDefault="00FD7094" w:rsidP="00CC73F6">
      <w:pPr>
        <w:spacing w:after="0" w:line="240" w:lineRule="auto"/>
        <w:jc w:val="right"/>
        <w:rPr>
          <w:rFonts w:ascii="Times New Roman" w:hAnsi="Times New Roman" w:cs="Times New Roman"/>
          <w:b/>
          <w:bCs/>
          <w:sz w:val="24"/>
          <w:szCs w:val="24"/>
        </w:rPr>
      </w:pPr>
      <w:r w:rsidRPr="00065CCE">
        <w:rPr>
          <w:rFonts w:ascii="Times New Roman" w:hAnsi="Times New Roman" w:cs="Guttman Yad-Light"/>
          <w:b/>
          <w:bCs/>
          <w:sz w:val="24"/>
          <w:szCs w:val="24"/>
          <w:rtl/>
        </w:rPr>
        <w:t>בהצלחה</w:t>
      </w:r>
      <w:r w:rsidRPr="00FB37D1">
        <w:rPr>
          <w:rFonts w:ascii="Times New Roman" w:hAnsi="Times New Roman" w:cs="Times New Roman"/>
          <w:b/>
          <w:bCs/>
          <w:sz w:val="24"/>
          <w:szCs w:val="24"/>
          <w:rtl/>
        </w:rPr>
        <w:t>!</w:t>
      </w:r>
    </w:p>
    <w:p w:rsidR="00FD7094" w:rsidRDefault="00FD7094" w:rsidP="004F7A1E">
      <w:pPr>
        <w:spacing w:after="0" w:line="240" w:lineRule="auto"/>
        <w:jc w:val="both"/>
        <w:rPr>
          <w:rFonts w:ascii="Times New Roman" w:hAnsi="Times New Roman" w:cs="Times New Roman"/>
          <w:sz w:val="24"/>
          <w:szCs w:val="24"/>
          <w:rtl/>
        </w:rPr>
      </w:pPr>
    </w:p>
    <w:p w:rsidR="00FD7094" w:rsidRPr="003D4AFE" w:rsidRDefault="00FD7094" w:rsidP="00322594">
      <w:pPr>
        <w:spacing w:after="0" w:line="240" w:lineRule="auto"/>
        <w:jc w:val="both"/>
        <w:rPr>
          <w:rFonts w:ascii="Times New Roman" w:hAnsi="Times New Roman" w:cs="Times New Roman"/>
          <w:b/>
          <w:bCs/>
          <w:sz w:val="24"/>
          <w:szCs w:val="24"/>
          <w:u w:val="single"/>
          <w:rtl/>
        </w:rPr>
      </w:pPr>
      <w:r w:rsidRPr="003D4AFE">
        <w:rPr>
          <w:rFonts w:ascii="Times New Roman" w:hAnsi="Times New Roman" w:cs="Times New Roman"/>
          <w:b/>
          <w:bCs/>
          <w:sz w:val="24"/>
          <w:szCs w:val="24"/>
          <w:u w:val="single"/>
          <w:rtl/>
        </w:rPr>
        <w:t xml:space="preserve">חלק א </w:t>
      </w:r>
      <w:r w:rsidRPr="00E665B9">
        <w:rPr>
          <w:rFonts w:ascii="Times New Roman" w:hAnsi="Times New Roman" w:cs="Times New Roman"/>
          <w:b/>
          <w:bCs/>
          <w:sz w:val="24"/>
          <w:szCs w:val="24"/>
          <w:highlight w:val="yellow"/>
          <w:u w:val="single"/>
          <w:rtl/>
        </w:rPr>
        <w:t>(</w:t>
      </w:r>
      <w:r w:rsidRPr="00E665B9">
        <w:rPr>
          <w:rFonts w:ascii="Times New Roman" w:hAnsi="Times New Roman" w:cs="Times New Roman"/>
          <w:b/>
          <w:bCs/>
          <w:sz w:val="24"/>
          <w:szCs w:val="24"/>
          <w:highlight w:val="yellow"/>
          <w:u w:val="single"/>
        </w:rPr>
        <w:t>25</w:t>
      </w:r>
      <w:r w:rsidRPr="00E665B9">
        <w:rPr>
          <w:rFonts w:ascii="Times New Roman" w:hAnsi="Times New Roman" w:cs="Times New Roman"/>
          <w:b/>
          <w:bCs/>
          <w:sz w:val="24"/>
          <w:szCs w:val="24"/>
          <w:highlight w:val="yellow"/>
          <w:u w:val="single"/>
          <w:rtl/>
        </w:rPr>
        <w:t xml:space="preserve"> נקודות)</w:t>
      </w:r>
      <w:r w:rsidRPr="003D4AFE">
        <w:rPr>
          <w:rFonts w:ascii="Times New Roman" w:hAnsi="Times New Roman" w:cs="Times New Roman"/>
          <w:b/>
          <w:bCs/>
          <w:sz w:val="24"/>
          <w:szCs w:val="24"/>
          <w:u w:val="single"/>
          <w:rtl/>
        </w:rPr>
        <w:t xml:space="preserve"> – אנא השיבו על אחת משתי השאלות הבאות (מגבלת מקום – </w:t>
      </w:r>
      <w:r>
        <w:rPr>
          <w:rFonts w:ascii="Times New Roman" w:hAnsi="Times New Roman" w:cs="Times New Roman"/>
          <w:b/>
          <w:bCs/>
          <w:sz w:val="24"/>
          <w:szCs w:val="24"/>
          <w:u w:val="single"/>
          <w:rtl/>
        </w:rPr>
        <w:t>16</w:t>
      </w:r>
      <w:r w:rsidRPr="003D4AFE">
        <w:rPr>
          <w:rFonts w:ascii="Times New Roman" w:hAnsi="Times New Roman" w:cs="Times New Roman"/>
          <w:b/>
          <w:bCs/>
          <w:sz w:val="24"/>
          <w:szCs w:val="24"/>
          <w:u w:val="single"/>
          <w:rtl/>
        </w:rPr>
        <w:t xml:space="preserve"> שורות)</w:t>
      </w:r>
    </w:p>
    <w:p w:rsidR="00FD7094" w:rsidRPr="00667173" w:rsidRDefault="00FD7094" w:rsidP="00B50FAE">
      <w:pPr>
        <w:pStyle w:val="a6"/>
        <w:numPr>
          <w:ilvl w:val="0"/>
          <w:numId w:val="23"/>
        </w:numPr>
        <w:bidi/>
        <w:spacing w:after="0" w:line="360" w:lineRule="auto"/>
        <w:jc w:val="both"/>
        <w:rPr>
          <w:rFonts w:ascii="Times New Roman" w:hAnsi="Times New Roman" w:cs="Times New Roman"/>
          <w:b/>
          <w:bCs/>
          <w:sz w:val="24"/>
          <w:szCs w:val="24"/>
          <w:rtl/>
        </w:rPr>
      </w:pPr>
      <w:r w:rsidRPr="00667173">
        <w:rPr>
          <w:rFonts w:ascii="Times New Roman" w:hAnsi="Times New Roman" w:cs="Times New Roman"/>
          <w:b/>
          <w:bCs/>
          <w:sz w:val="24"/>
          <w:szCs w:val="24"/>
          <w:rtl/>
        </w:rPr>
        <w:t>האם נכונה האמירה (הנפוצה בשיח הישראלי) על פיה רק בנוגע למעשיה של מדינת ישראל קיימת בעשורים האחרונים התגברות באכיפ</w:t>
      </w:r>
      <w:r>
        <w:rPr>
          <w:rFonts w:ascii="Times New Roman" w:hAnsi="Times New Roman" w:cs="Times New Roman"/>
          <w:b/>
          <w:bCs/>
          <w:sz w:val="24"/>
          <w:szCs w:val="24"/>
          <w:rtl/>
        </w:rPr>
        <w:t xml:space="preserve">ת </w:t>
      </w:r>
      <w:proofErr w:type="spellStart"/>
      <w:r w:rsidRPr="00667173">
        <w:rPr>
          <w:rFonts w:ascii="Times New Roman" w:hAnsi="Times New Roman" w:cs="Times New Roman"/>
          <w:b/>
          <w:bCs/>
          <w:sz w:val="24"/>
          <w:szCs w:val="24"/>
          <w:rtl/>
        </w:rPr>
        <w:t>המשב"ל</w:t>
      </w:r>
      <w:proofErr w:type="spellEnd"/>
      <w:r w:rsidRPr="00667173">
        <w:rPr>
          <w:rFonts w:ascii="Times New Roman" w:hAnsi="Times New Roman" w:cs="Times New Roman"/>
          <w:b/>
          <w:bCs/>
          <w:sz w:val="24"/>
          <w:szCs w:val="24"/>
          <w:rtl/>
        </w:rPr>
        <w:t xml:space="preserve"> הפלילי?</w:t>
      </w:r>
    </w:p>
    <w:p w:rsidR="00FD7094" w:rsidRPr="00254B2B" w:rsidRDefault="00FD7094" w:rsidP="00254B2B">
      <w:pPr>
        <w:spacing w:after="0" w:line="360" w:lineRule="auto"/>
        <w:jc w:val="both"/>
        <w:rPr>
          <w:rFonts w:ascii="Times New Roman" w:hAnsi="Times New Roman" w:cs="Times New Roman"/>
          <w:color w:val="4F6228"/>
          <w:sz w:val="24"/>
          <w:szCs w:val="24"/>
          <w:rtl/>
        </w:rPr>
      </w:pPr>
      <w:r>
        <w:rPr>
          <w:rFonts w:ascii="Times New Roman" w:hAnsi="Times New Roman" w:cs="Times New Roman"/>
          <w:color w:val="4F6228"/>
          <w:sz w:val="24"/>
          <w:szCs w:val="24"/>
          <w:rtl/>
        </w:rPr>
        <w:t xml:space="preserve">אמירה הזו אינה נכונה. </w:t>
      </w:r>
      <w:proofErr w:type="spellStart"/>
      <w:r>
        <w:rPr>
          <w:rFonts w:ascii="Times New Roman" w:hAnsi="Times New Roman" w:cs="Times New Roman"/>
          <w:color w:val="4F6228"/>
          <w:sz w:val="24"/>
          <w:szCs w:val="24"/>
          <w:rtl/>
        </w:rPr>
        <w:t>המשב"ל</w:t>
      </w:r>
      <w:proofErr w:type="spellEnd"/>
      <w:r>
        <w:rPr>
          <w:rFonts w:ascii="Times New Roman" w:hAnsi="Times New Roman" w:cs="Times New Roman"/>
          <w:color w:val="4F6228"/>
          <w:sz w:val="24"/>
          <w:szCs w:val="24"/>
          <w:rtl/>
        </w:rPr>
        <w:t xml:space="preserve"> הפלילי החל לפרוח עם תום המלחמה הקרה. פריחה זו באה לכדי ביטוי, בין השאר, בהקמת בתי-דיו אד-הוק (ה-</w:t>
      </w:r>
      <w:r>
        <w:rPr>
          <w:rFonts w:ascii="Times New Roman" w:hAnsi="Times New Roman" w:cs="Times New Roman"/>
          <w:color w:val="4F6228"/>
          <w:sz w:val="24"/>
          <w:szCs w:val="24"/>
        </w:rPr>
        <w:t>ICTY</w:t>
      </w:r>
      <w:r>
        <w:rPr>
          <w:rFonts w:ascii="Times New Roman" w:hAnsi="Times New Roman" w:cs="Times New Roman"/>
          <w:color w:val="4F6228"/>
          <w:sz w:val="24"/>
          <w:szCs w:val="24"/>
          <w:rtl/>
        </w:rPr>
        <w:t xml:space="preserve"> </w:t>
      </w:r>
      <w:proofErr w:type="spellStart"/>
      <w:r>
        <w:rPr>
          <w:rFonts w:ascii="Times New Roman" w:hAnsi="Times New Roman" w:cs="Times New Roman"/>
          <w:color w:val="4F6228"/>
          <w:sz w:val="24"/>
          <w:szCs w:val="24"/>
          <w:rtl/>
        </w:rPr>
        <w:t>וה</w:t>
      </w:r>
      <w:proofErr w:type="spellEnd"/>
      <w:r>
        <w:rPr>
          <w:rFonts w:ascii="Times New Roman" w:hAnsi="Times New Roman" w:cs="Times New Roman"/>
          <w:color w:val="4F6228"/>
          <w:sz w:val="24"/>
          <w:szCs w:val="24"/>
        </w:rPr>
        <w:t>ICTR-</w:t>
      </w:r>
      <w:r>
        <w:rPr>
          <w:rFonts w:ascii="Times New Roman" w:hAnsi="Times New Roman" w:cs="Times New Roman"/>
          <w:color w:val="4F6228"/>
          <w:sz w:val="24"/>
          <w:szCs w:val="24"/>
          <w:rtl/>
        </w:rPr>
        <w:t>) והיברידים, ולאלו כלל לא הייתה נגיעה לישראל. פריחה זו באה לכדי ביטוי גם בהתגברות התמיכה בדוקטרינת סמכות השיפוט האוניברסאלית, ובהקמת ה-</w:t>
      </w:r>
      <w:r>
        <w:rPr>
          <w:rFonts w:ascii="Times New Roman" w:hAnsi="Times New Roman" w:cs="Times New Roman"/>
          <w:color w:val="4F6228"/>
          <w:sz w:val="24"/>
          <w:szCs w:val="24"/>
        </w:rPr>
        <w:t>ICC</w:t>
      </w:r>
      <w:r>
        <w:rPr>
          <w:rFonts w:ascii="Times New Roman" w:hAnsi="Times New Roman" w:cs="Times New Roman"/>
          <w:color w:val="4F6228"/>
          <w:sz w:val="24"/>
          <w:szCs w:val="24"/>
          <w:rtl/>
        </w:rPr>
        <w:t xml:space="preserve">, ועל אף שלאלו הייתה השפעה </w:t>
      </w:r>
      <w:proofErr w:type="spellStart"/>
      <w:r>
        <w:rPr>
          <w:rFonts w:ascii="Times New Roman" w:hAnsi="Times New Roman" w:cs="Times New Roman"/>
          <w:color w:val="4F6228"/>
          <w:sz w:val="24"/>
          <w:szCs w:val="24"/>
          <w:rtl/>
        </w:rPr>
        <w:t>מסויימת</w:t>
      </w:r>
      <w:proofErr w:type="spellEnd"/>
      <w:r>
        <w:rPr>
          <w:rFonts w:ascii="Times New Roman" w:hAnsi="Times New Roman" w:cs="Times New Roman"/>
          <w:color w:val="4F6228"/>
          <w:sz w:val="24"/>
          <w:szCs w:val="24"/>
          <w:rtl/>
        </w:rPr>
        <w:t xml:space="preserve"> על ישראל, הרי שנעשה שימוש בהם גם כנגד גורמים ממדינות רבות אחרות. במילים אחרות מדובר, בתופעה כלל עולמית, שאינה נובעת ממוטיבציה לפגוע בישראל, שלפעמים, לכל היותר, ישראל נפגעת מתוצרי לוואי שלה. הקיף התופעה בולט במיוחד בהקשר של ה-</w:t>
      </w:r>
      <w:r>
        <w:rPr>
          <w:rFonts w:ascii="Times New Roman" w:hAnsi="Times New Roman" w:cs="Times New Roman"/>
          <w:color w:val="4F6228"/>
          <w:sz w:val="24"/>
          <w:szCs w:val="24"/>
        </w:rPr>
        <w:t>ICC</w:t>
      </w:r>
      <w:r>
        <w:rPr>
          <w:rFonts w:ascii="Times New Roman" w:hAnsi="Times New Roman" w:cs="Times New Roman"/>
          <w:color w:val="4F6228"/>
          <w:sz w:val="24"/>
          <w:szCs w:val="24"/>
          <w:rtl/>
        </w:rPr>
        <w:t>: רבים סברו שהמדינות לא תסכמנה על נוסח האיסורים, ו/או להאציל רכיב כה חשוב בריבונותן, וכן לא תפעלנה כשארה"ב מתנגדת (יחד עם מדינות חזקות נוספות כמו: רוסיה, וסין). למרות זאת, אמנת רומא נוסחה תוך שנתיים, ותוך 4 שנים נוספות בלבד היא נכנסה לתוקף לאחר שיותר מ-60 מדינות אשררו אותה. כיום חברות ב-</w:t>
      </w:r>
      <w:r>
        <w:rPr>
          <w:rFonts w:ascii="Times New Roman" w:hAnsi="Times New Roman" w:cs="Times New Roman"/>
          <w:color w:val="4F6228"/>
          <w:sz w:val="24"/>
          <w:szCs w:val="24"/>
        </w:rPr>
        <w:t>ICC</w:t>
      </w:r>
      <w:r>
        <w:rPr>
          <w:rFonts w:ascii="Times New Roman" w:hAnsi="Times New Roman" w:cs="Times New Roman"/>
          <w:color w:val="4F6228"/>
          <w:sz w:val="24"/>
          <w:szCs w:val="24"/>
          <w:rtl/>
        </w:rPr>
        <w:t xml:space="preserve"> 123 מדינות. התמיכה הרחבה ב-</w:t>
      </w:r>
      <w:r>
        <w:rPr>
          <w:rFonts w:ascii="Times New Roman" w:hAnsi="Times New Roman" w:cs="Times New Roman"/>
          <w:color w:val="4F6228"/>
          <w:sz w:val="24"/>
          <w:szCs w:val="24"/>
        </w:rPr>
        <w:t>ICC</w:t>
      </w:r>
      <w:r>
        <w:rPr>
          <w:rFonts w:ascii="Times New Roman" w:hAnsi="Times New Roman" w:cs="Times New Roman"/>
          <w:color w:val="4F6228"/>
          <w:sz w:val="24"/>
          <w:szCs w:val="24"/>
          <w:rtl/>
        </w:rPr>
        <w:t xml:space="preserve"> (</w:t>
      </w:r>
      <w:proofErr w:type="spellStart"/>
      <w:r>
        <w:rPr>
          <w:rFonts w:ascii="Times New Roman" w:hAnsi="Times New Roman" w:cs="Times New Roman"/>
          <w:color w:val="4F6228"/>
          <w:sz w:val="24"/>
          <w:szCs w:val="24"/>
          <w:rtl/>
        </w:rPr>
        <w:t>ובמשב"ל</w:t>
      </w:r>
      <w:proofErr w:type="spellEnd"/>
      <w:r>
        <w:rPr>
          <w:rFonts w:ascii="Times New Roman" w:hAnsi="Times New Roman" w:cs="Times New Roman"/>
          <w:color w:val="4F6228"/>
          <w:sz w:val="24"/>
          <w:szCs w:val="24"/>
          <w:rtl/>
        </w:rPr>
        <w:t xml:space="preserve"> הפלילי בכלל) מקורה במדינות משלושה סוגים: (1) מדינות שאין סיכוי </w:t>
      </w:r>
      <w:proofErr w:type="spellStart"/>
      <w:r>
        <w:rPr>
          <w:rFonts w:ascii="Times New Roman" w:hAnsi="Times New Roman" w:cs="Times New Roman"/>
          <w:color w:val="4F6228"/>
          <w:sz w:val="24"/>
          <w:szCs w:val="24"/>
          <w:rtl/>
        </w:rPr>
        <w:t>שתכנסה</w:t>
      </w:r>
      <w:proofErr w:type="spellEnd"/>
      <w:r>
        <w:rPr>
          <w:rFonts w:ascii="Times New Roman" w:hAnsi="Times New Roman" w:cs="Times New Roman"/>
          <w:color w:val="4F6228"/>
          <w:sz w:val="24"/>
          <w:szCs w:val="24"/>
          <w:rtl/>
        </w:rPr>
        <w:t xml:space="preserve"> למלחמה בעתיד הנראה לעין, ולכן בעבורן מדובר פשוט בצעד טוב של יחסי ציבור; (2) מדינות שאצלן המלחמה הקרה כלל לא הייתה קרה, שכן רוסיה וארה"ב ניהולו על גבן את המאבק באמצעות מימון של צדדים שונים במלחמת אזרחים שהן </w:t>
      </w:r>
      <w:proofErr w:type="spellStart"/>
      <w:r>
        <w:rPr>
          <w:rFonts w:ascii="Times New Roman" w:hAnsi="Times New Roman" w:cs="Times New Roman"/>
          <w:color w:val="4F6228"/>
          <w:sz w:val="24"/>
          <w:szCs w:val="24"/>
          <w:rtl/>
        </w:rPr>
        <w:t>חירחרו</w:t>
      </w:r>
      <w:proofErr w:type="spellEnd"/>
      <w:r>
        <w:rPr>
          <w:rFonts w:ascii="Times New Roman" w:hAnsi="Times New Roman" w:cs="Times New Roman"/>
          <w:color w:val="4F6228"/>
          <w:sz w:val="24"/>
          <w:szCs w:val="24"/>
          <w:rtl/>
        </w:rPr>
        <w:t>. במדינות אלו לרוב</w:t>
      </w:r>
      <w:r w:rsidRPr="00671D7F">
        <w:rPr>
          <w:rFonts w:ascii="Times New Roman" w:hAnsi="Times New Roman" w:cs="Times New Roman"/>
          <w:color w:val="4F6228"/>
          <w:sz w:val="24"/>
          <w:szCs w:val="24"/>
          <w:rtl/>
        </w:rPr>
        <w:t xml:space="preserve"> לאחר המלחמה הקרה </w:t>
      </w:r>
      <w:r>
        <w:rPr>
          <w:rFonts w:ascii="Times New Roman" w:hAnsi="Times New Roman" w:cs="Times New Roman"/>
          <w:color w:val="4F6228"/>
          <w:sz w:val="24"/>
          <w:szCs w:val="24"/>
          <w:rtl/>
        </w:rPr>
        <w:t>נחתמו</w:t>
      </w:r>
      <w:r w:rsidRPr="00671D7F">
        <w:rPr>
          <w:rFonts w:ascii="Times New Roman" w:hAnsi="Times New Roman" w:cs="Times New Roman"/>
          <w:color w:val="4F6228"/>
          <w:sz w:val="24"/>
          <w:szCs w:val="24"/>
          <w:rtl/>
        </w:rPr>
        <w:t xml:space="preserve"> הסכמי שלום, א</w:t>
      </w:r>
      <w:r>
        <w:rPr>
          <w:rFonts w:ascii="Times New Roman" w:hAnsi="Times New Roman" w:cs="Times New Roman"/>
          <w:color w:val="4F6228"/>
          <w:sz w:val="24"/>
          <w:szCs w:val="24"/>
          <w:rtl/>
        </w:rPr>
        <w:t>ך עקב חוסר האמון בין הם</w:t>
      </w:r>
      <w:r w:rsidRPr="00671D7F">
        <w:rPr>
          <w:rFonts w:ascii="Times New Roman" w:hAnsi="Times New Roman" w:cs="Times New Roman"/>
          <w:color w:val="4F6228"/>
          <w:sz w:val="24"/>
          <w:szCs w:val="24"/>
          <w:rtl/>
        </w:rPr>
        <w:t xml:space="preserve"> פ</w:t>
      </w:r>
      <w:r>
        <w:rPr>
          <w:rFonts w:ascii="Times New Roman" w:hAnsi="Times New Roman" w:cs="Times New Roman"/>
          <w:color w:val="4F6228"/>
          <w:sz w:val="24"/>
          <w:szCs w:val="24"/>
          <w:rtl/>
        </w:rPr>
        <w:t>נו</w:t>
      </w:r>
      <w:r w:rsidRPr="00671D7F">
        <w:rPr>
          <w:rFonts w:ascii="Times New Roman" w:hAnsi="Times New Roman" w:cs="Times New Roman"/>
          <w:color w:val="4F6228"/>
          <w:sz w:val="24"/>
          <w:szCs w:val="24"/>
          <w:rtl/>
        </w:rPr>
        <w:t xml:space="preserve"> </w:t>
      </w:r>
      <w:proofErr w:type="spellStart"/>
      <w:r w:rsidRPr="00671D7F">
        <w:rPr>
          <w:rFonts w:ascii="Times New Roman" w:hAnsi="Times New Roman" w:cs="Times New Roman"/>
          <w:color w:val="4F6228"/>
          <w:sz w:val="24"/>
          <w:szCs w:val="24"/>
          <w:rtl/>
        </w:rPr>
        <w:t>ל</w:t>
      </w:r>
      <w:r>
        <w:rPr>
          <w:rFonts w:ascii="Times New Roman" w:hAnsi="Times New Roman" w:cs="Times New Roman"/>
          <w:color w:val="4F6228"/>
          <w:sz w:val="24"/>
          <w:szCs w:val="24"/>
          <w:rtl/>
        </w:rPr>
        <w:t>משב"ל</w:t>
      </w:r>
      <w:proofErr w:type="spellEnd"/>
      <w:r>
        <w:rPr>
          <w:rFonts w:ascii="Times New Roman" w:hAnsi="Times New Roman" w:cs="Times New Roman"/>
          <w:color w:val="4F6228"/>
          <w:sz w:val="24"/>
          <w:szCs w:val="24"/>
          <w:rtl/>
        </w:rPr>
        <w:t xml:space="preserve"> הפלילי (ובאופן ספציפי ל-</w:t>
      </w:r>
      <w:r>
        <w:rPr>
          <w:rFonts w:ascii="Times New Roman" w:hAnsi="Times New Roman" w:cs="Times New Roman"/>
          <w:color w:val="4F6228"/>
          <w:sz w:val="24"/>
          <w:szCs w:val="24"/>
        </w:rPr>
        <w:t>ICC</w:t>
      </w:r>
      <w:r>
        <w:rPr>
          <w:rFonts w:ascii="Times New Roman" w:hAnsi="Times New Roman" w:cs="Times New Roman"/>
          <w:color w:val="4F6228"/>
          <w:sz w:val="24"/>
          <w:szCs w:val="24"/>
          <w:rtl/>
        </w:rPr>
        <w:t xml:space="preserve">) כדי </w:t>
      </w:r>
      <w:r w:rsidRPr="00671D7F">
        <w:rPr>
          <w:rFonts w:ascii="Times New Roman" w:hAnsi="Times New Roman" w:cs="Times New Roman"/>
          <w:color w:val="4F6228"/>
          <w:sz w:val="24"/>
          <w:szCs w:val="24"/>
          <w:rtl/>
        </w:rPr>
        <w:t xml:space="preserve">שישמש איום על </w:t>
      </w:r>
      <w:r>
        <w:rPr>
          <w:rFonts w:ascii="Times New Roman" w:hAnsi="Times New Roman" w:cs="Times New Roman"/>
          <w:color w:val="4F6228"/>
          <w:sz w:val="24"/>
          <w:szCs w:val="24"/>
          <w:rtl/>
        </w:rPr>
        <w:t xml:space="preserve">כלל </w:t>
      </w:r>
      <w:r w:rsidRPr="00671D7F">
        <w:rPr>
          <w:rFonts w:ascii="Times New Roman" w:hAnsi="Times New Roman" w:cs="Times New Roman"/>
          <w:color w:val="4F6228"/>
          <w:sz w:val="24"/>
          <w:szCs w:val="24"/>
          <w:rtl/>
        </w:rPr>
        <w:t xml:space="preserve">הצדדים </w:t>
      </w:r>
      <w:r>
        <w:rPr>
          <w:rFonts w:ascii="Times New Roman" w:hAnsi="Times New Roman" w:cs="Times New Roman"/>
          <w:color w:val="4F6228"/>
          <w:sz w:val="24"/>
          <w:szCs w:val="24"/>
          <w:rtl/>
        </w:rPr>
        <w:t>ש</w:t>
      </w:r>
      <w:r w:rsidRPr="00671D7F">
        <w:rPr>
          <w:rFonts w:ascii="Times New Roman" w:hAnsi="Times New Roman" w:cs="Times New Roman"/>
          <w:color w:val="4F6228"/>
          <w:sz w:val="24"/>
          <w:szCs w:val="24"/>
          <w:rtl/>
        </w:rPr>
        <w:t xml:space="preserve">לא </w:t>
      </w:r>
      <w:r>
        <w:rPr>
          <w:rFonts w:ascii="Times New Roman" w:hAnsi="Times New Roman" w:cs="Times New Roman"/>
          <w:color w:val="4F6228"/>
          <w:sz w:val="24"/>
          <w:szCs w:val="24"/>
          <w:rtl/>
        </w:rPr>
        <w:t xml:space="preserve">לשוב ללחימה; ו-(3) מדינות (דוג': </w:t>
      </w:r>
      <w:r w:rsidRPr="00671D7F">
        <w:rPr>
          <w:rFonts w:ascii="Times New Roman" w:hAnsi="Times New Roman" w:cs="Times New Roman"/>
          <w:color w:val="4F6228"/>
          <w:sz w:val="24"/>
          <w:szCs w:val="24"/>
          <w:rtl/>
        </w:rPr>
        <w:t>מדינות אירופה</w:t>
      </w:r>
      <w:r>
        <w:rPr>
          <w:rFonts w:ascii="Times New Roman" w:hAnsi="Times New Roman" w:cs="Times New Roman"/>
          <w:color w:val="4F6228"/>
          <w:sz w:val="24"/>
          <w:szCs w:val="24"/>
          <w:rtl/>
        </w:rPr>
        <w:t xml:space="preserve">) בהן יש אתוס של </w:t>
      </w:r>
      <w:proofErr w:type="spellStart"/>
      <w:r>
        <w:rPr>
          <w:rFonts w:ascii="Times New Roman" w:hAnsi="Times New Roman" w:cs="Times New Roman"/>
          <w:color w:val="4F6228"/>
          <w:sz w:val="24"/>
          <w:szCs w:val="24"/>
          <w:rtl/>
        </w:rPr>
        <w:t>מחוייבות</w:t>
      </w:r>
      <w:proofErr w:type="spellEnd"/>
      <w:r>
        <w:rPr>
          <w:rFonts w:ascii="Times New Roman" w:hAnsi="Times New Roman" w:cs="Times New Roman"/>
          <w:color w:val="4F6228"/>
          <w:sz w:val="24"/>
          <w:szCs w:val="24"/>
          <w:rtl/>
        </w:rPr>
        <w:t xml:space="preserve"> </w:t>
      </w:r>
      <w:proofErr w:type="spellStart"/>
      <w:r>
        <w:rPr>
          <w:rFonts w:ascii="Times New Roman" w:hAnsi="Times New Roman" w:cs="Times New Roman"/>
          <w:color w:val="4F6228"/>
          <w:sz w:val="24"/>
          <w:szCs w:val="24"/>
          <w:rtl/>
        </w:rPr>
        <w:t>למשב"ל</w:t>
      </w:r>
      <w:proofErr w:type="spellEnd"/>
      <w:r>
        <w:rPr>
          <w:rFonts w:ascii="Times New Roman" w:hAnsi="Times New Roman" w:cs="Times New Roman"/>
          <w:color w:val="4F6228"/>
          <w:sz w:val="24"/>
          <w:szCs w:val="24"/>
          <w:rtl/>
        </w:rPr>
        <w:t>.</w:t>
      </w:r>
    </w:p>
    <w:p w:rsidR="00FD7094" w:rsidRDefault="00FD7094" w:rsidP="00B50FAE">
      <w:pPr>
        <w:pStyle w:val="a6"/>
        <w:numPr>
          <w:ilvl w:val="0"/>
          <w:numId w:val="23"/>
        </w:numPr>
        <w:bidi/>
        <w:spacing w:after="0" w:line="360" w:lineRule="auto"/>
        <w:jc w:val="both"/>
        <w:rPr>
          <w:rFonts w:ascii="Times New Roman" w:hAnsi="Times New Roman" w:cs="Times New Roman"/>
          <w:b/>
          <w:bCs/>
          <w:sz w:val="24"/>
          <w:szCs w:val="24"/>
        </w:rPr>
      </w:pPr>
      <w:r w:rsidRPr="009A0C15">
        <w:rPr>
          <w:rFonts w:ascii="Times New Roman" w:hAnsi="Times New Roman" w:cs="Times New Roman"/>
          <w:b/>
          <w:bCs/>
          <w:sz w:val="24"/>
          <w:szCs w:val="24"/>
          <w:rtl/>
        </w:rPr>
        <w:t>מה</w:t>
      </w:r>
      <w:r>
        <w:rPr>
          <w:rFonts w:ascii="Times New Roman" w:hAnsi="Times New Roman" w:cs="Times New Roman"/>
          <w:b/>
          <w:bCs/>
          <w:sz w:val="24"/>
          <w:szCs w:val="24"/>
          <w:rtl/>
        </w:rPr>
        <w:t xml:space="preserve">ם "פשעים </w:t>
      </w:r>
      <w:proofErr w:type="spellStart"/>
      <w:r>
        <w:rPr>
          <w:rFonts w:ascii="Times New Roman" w:hAnsi="Times New Roman" w:cs="Times New Roman"/>
          <w:b/>
          <w:bCs/>
          <w:sz w:val="24"/>
          <w:szCs w:val="24"/>
          <w:rtl/>
        </w:rPr>
        <w:t>בינלאומים</w:t>
      </w:r>
      <w:proofErr w:type="spellEnd"/>
      <w:r>
        <w:rPr>
          <w:rFonts w:ascii="Times New Roman" w:hAnsi="Times New Roman" w:cs="Times New Roman"/>
          <w:b/>
          <w:bCs/>
          <w:sz w:val="24"/>
          <w:szCs w:val="24"/>
          <w:rtl/>
        </w:rPr>
        <w:t xml:space="preserve"> גרעיניים" ומה </w:t>
      </w:r>
      <w:r w:rsidRPr="009A0C15">
        <w:rPr>
          <w:rFonts w:ascii="Times New Roman" w:hAnsi="Times New Roman" w:cs="Times New Roman"/>
          <w:b/>
          <w:bCs/>
          <w:sz w:val="24"/>
          <w:szCs w:val="24"/>
          <w:rtl/>
        </w:rPr>
        <w:t>משות</w:t>
      </w:r>
      <w:r>
        <w:rPr>
          <w:rFonts w:ascii="Times New Roman" w:hAnsi="Times New Roman" w:cs="Times New Roman"/>
          <w:b/>
          <w:bCs/>
          <w:sz w:val="24"/>
          <w:szCs w:val="24"/>
          <w:rtl/>
        </w:rPr>
        <w:t>ף</w:t>
      </w:r>
      <w:r w:rsidRPr="009A0C15">
        <w:rPr>
          <w:rFonts w:ascii="Times New Roman" w:hAnsi="Times New Roman" w:cs="Times New Roman"/>
          <w:b/>
          <w:bCs/>
          <w:sz w:val="24"/>
          <w:szCs w:val="24"/>
          <w:rtl/>
        </w:rPr>
        <w:t xml:space="preserve"> לרוב המעשים המהווים פשעים </w:t>
      </w:r>
      <w:r>
        <w:rPr>
          <w:rFonts w:ascii="Times New Roman" w:hAnsi="Times New Roman" w:cs="Times New Roman"/>
          <w:b/>
          <w:bCs/>
          <w:sz w:val="24"/>
          <w:szCs w:val="24"/>
          <w:rtl/>
        </w:rPr>
        <w:t>שכאלו</w:t>
      </w:r>
      <w:r w:rsidRPr="009A0C15">
        <w:rPr>
          <w:rFonts w:ascii="Times New Roman" w:hAnsi="Times New Roman" w:cs="Times New Roman"/>
          <w:b/>
          <w:bCs/>
          <w:sz w:val="24"/>
          <w:szCs w:val="24"/>
          <w:rtl/>
        </w:rPr>
        <w:t>?</w:t>
      </w:r>
    </w:p>
    <w:p w:rsidR="00FD7094" w:rsidRPr="00B436F4" w:rsidRDefault="00FD7094" w:rsidP="00254B2B">
      <w:pPr>
        <w:spacing w:after="0" w:line="360" w:lineRule="auto"/>
        <w:jc w:val="both"/>
        <w:rPr>
          <w:rFonts w:ascii="Times New Roman" w:hAnsi="Times New Roman" w:cs="Times New Roman"/>
          <w:color w:val="4F6228"/>
          <w:sz w:val="24"/>
          <w:szCs w:val="24"/>
          <w:rtl/>
        </w:rPr>
      </w:pPr>
      <w:r w:rsidRPr="008D2B18">
        <w:rPr>
          <w:rFonts w:ascii="Times New Roman" w:hAnsi="Times New Roman" w:cs="Times New Roman"/>
          <w:color w:val="4F6228"/>
          <w:sz w:val="24"/>
          <w:szCs w:val="24"/>
          <w:rtl/>
        </w:rPr>
        <w:t>הקטגוריות הבאות של מעשים</w:t>
      </w:r>
      <w:r w:rsidRPr="008E268B">
        <w:rPr>
          <w:rFonts w:ascii="Times New Roman" w:hAnsi="Times New Roman" w:cs="Times New Roman"/>
          <w:color w:val="4F6228"/>
          <w:sz w:val="24"/>
          <w:szCs w:val="24"/>
          <w:rtl/>
        </w:rPr>
        <w:t xml:space="preserve"> </w:t>
      </w:r>
      <w:r w:rsidRPr="008D2B18">
        <w:rPr>
          <w:rFonts w:ascii="Times New Roman" w:hAnsi="Times New Roman" w:cs="Times New Roman"/>
          <w:color w:val="4F6228"/>
          <w:sz w:val="24"/>
          <w:szCs w:val="24"/>
          <w:rtl/>
        </w:rPr>
        <w:t>מכונ</w:t>
      </w:r>
      <w:r>
        <w:rPr>
          <w:rFonts w:ascii="Times New Roman" w:hAnsi="Times New Roman" w:cs="Times New Roman"/>
          <w:color w:val="4F6228"/>
          <w:sz w:val="24"/>
          <w:szCs w:val="24"/>
          <w:rtl/>
        </w:rPr>
        <w:t>ות</w:t>
      </w:r>
      <w:r w:rsidRPr="008D2B18">
        <w:rPr>
          <w:rFonts w:ascii="Times New Roman" w:hAnsi="Times New Roman" w:cs="Times New Roman"/>
          <w:color w:val="4F6228"/>
          <w:sz w:val="24"/>
          <w:szCs w:val="24"/>
          <w:rtl/>
        </w:rPr>
        <w:t xml:space="preserve"> יחדיו </w:t>
      </w:r>
      <w:r>
        <w:rPr>
          <w:rFonts w:ascii="Times New Roman" w:hAnsi="Times New Roman" w:cs="Times New Roman"/>
          <w:color w:val="4F6228"/>
          <w:sz w:val="24"/>
          <w:szCs w:val="24"/>
          <w:rtl/>
        </w:rPr>
        <w:t>"</w:t>
      </w:r>
      <w:r w:rsidRPr="008D2B18">
        <w:rPr>
          <w:rFonts w:ascii="Times New Roman" w:hAnsi="Times New Roman" w:cs="Times New Roman"/>
          <w:color w:val="4F6228"/>
          <w:sz w:val="24"/>
          <w:szCs w:val="24"/>
          <w:rtl/>
        </w:rPr>
        <w:t xml:space="preserve">פשעים </w:t>
      </w:r>
      <w:proofErr w:type="spellStart"/>
      <w:r w:rsidRPr="008D2B18">
        <w:rPr>
          <w:rFonts w:ascii="Times New Roman" w:hAnsi="Times New Roman" w:cs="Times New Roman"/>
          <w:color w:val="4F6228"/>
          <w:sz w:val="24"/>
          <w:szCs w:val="24"/>
          <w:rtl/>
        </w:rPr>
        <w:t>בינלאומים</w:t>
      </w:r>
      <w:proofErr w:type="spellEnd"/>
      <w:r w:rsidRPr="008D2B18">
        <w:rPr>
          <w:rFonts w:ascii="Times New Roman" w:hAnsi="Times New Roman" w:cs="Times New Roman"/>
          <w:color w:val="4F6228"/>
          <w:sz w:val="24"/>
          <w:szCs w:val="24"/>
          <w:rtl/>
        </w:rPr>
        <w:t xml:space="preserve"> גרעיניים</w:t>
      </w:r>
      <w:r>
        <w:rPr>
          <w:rFonts w:ascii="Times New Roman" w:hAnsi="Times New Roman" w:cs="Times New Roman"/>
          <w:color w:val="4F6228"/>
          <w:sz w:val="24"/>
          <w:szCs w:val="24"/>
          <w:rtl/>
        </w:rPr>
        <w:t>"</w:t>
      </w:r>
      <w:r w:rsidRPr="008D2B18">
        <w:rPr>
          <w:rFonts w:ascii="Times New Roman" w:hAnsi="Times New Roman" w:cs="Times New Roman"/>
          <w:color w:val="4F6228"/>
          <w:sz w:val="24"/>
          <w:szCs w:val="24"/>
          <w:rtl/>
        </w:rPr>
        <w:t xml:space="preserve">: א-פשעי מלחמה; ב-פשעים נגד האנושות; ג-רצח עם [וגם פשע התוקפנות]. </w:t>
      </w:r>
      <w:r>
        <w:rPr>
          <w:rFonts w:ascii="Times New Roman" w:hAnsi="Times New Roman" w:cs="Times New Roman"/>
          <w:color w:val="4F6228"/>
          <w:sz w:val="24"/>
          <w:szCs w:val="24"/>
          <w:rtl/>
        </w:rPr>
        <w:t xml:space="preserve">ליבת </w:t>
      </w:r>
      <w:proofErr w:type="spellStart"/>
      <w:r>
        <w:rPr>
          <w:rFonts w:ascii="Times New Roman" w:hAnsi="Times New Roman" w:cs="Times New Roman"/>
          <w:color w:val="4F6228"/>
          <w:sz w:val="24"/>
          <w:szCs w:val="24"/>
          <w:rtl/>
        </w:rPr>
        <w:t>המשב"ל</w:t>
      </w:r>
      <w:proofErr w:type="spellEnd"/>
      <w:r>
        <w:rPr>
          <w:rFonts w:ascii="Times New Roman" w:hAnsi="Times New Roman" w:cs="Times New Roman"/>
          <w:color w:val="4F6228"/>
          <w:sz w:val="24"/>
          <w:szCs w:val="24"/>
          <w:rtl/>
        </w:rPr>
        <w:t xml:space="preserve"> הפלילי הינה אכיפה כנגד פשעים אלו. מספר</w:t>
      </w:r>
      <w:r w:rsidRPr="008D2B18">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מאפיינים</w:t>
      </w:r>
      <w:r w:rsidRPr="008D2B18">
        <w:rPr>
          <w:rFonts w:ascii="Times New Roman" w:hAnsi="Times New Roman" w:cs="Times New Roman"/>
          <w:color w:val="4F6228"/>
          <w:sz w:val="24"/>
          <w:szCs w:val="24"/>
          <w:rtl/>
        </w:rPr>
        <w:t xml:space="preserve"> משותפים למר</w:t>
      </w:r>
      <w:r>
        <w:rPr>
          <w:rFonts w:ascii="Times New Roman" w:hAnsi="Times New Roman" w:cs="Times New Roman"/>
          <w:color w:val="4F6228"/>
          <w:sz w:val="24"/>
          <w:szCs w:val="24"/>
          <w:rtl/>
        </w:rPr>
        <w:t xml:space="preserve">בית המעשים הללו: (1) </w:t>
      </w:r>
      <w:r w:rsidRPr="008D2B18">
        <w:rPr>
          <w:rFonts w:ascii="Times New Roman" w:hAnsi="Times New Roman" w:cs="Times New Roman"/>
          <w:color w:val="4F6228"/>
          <w:sz w:val="24"/>
          <w:szCs w:val="24"/>
          <w:rtl/>
        </w:rPr>
        <w:t xml:space="preserve">ככלל (עם חריגים מעטים), </w:t>
      </w:r>
      <w:r>
        <w:rPr>
          <w:rFonts w:ascii="Times New Roman" w:hAnsi="Times New Roman" w:cs="Times New Roman"/>
          <w:color w:val="4F6228"/>
          <w:sz w:val="24"/>
          <w:szCs w:val="24"/>
          <w:rtl/>
        </w:rPr>
        <w:t>מדובר ב</w:t>
      </w:r>
      <w:r w:rsidRPr="008D2B18">
        <w:rPr>
          <w:rFonts w:ascii="Times New Roman" w:hAnsi="Times New Roman" w:cs="Times New Roman"/>
          <w:color w:val="4F6228"/>
          <w:sz w:val="24"/>
          <w:szCs w:val="24"/>
          <w:rtl/>
        </w:rPr>
        <w:t xml:space="preserve">מעשים </w:t>
      </w:r>
      <w:r>
        <w:rPr>
          <w:rFonts w:ascii="Times New Roman" w:hAnsi="Times New Roman" w:cs="Times New Roman"/>
          <w:color w:val="4F6228"/>
          <w:sz w:val="24"/>
          <w:szCs w:val="24"/>
          <w:rtl/>
        </w:rPr>
        <w:lastRenderedPageBreak/>
        <w:t>שביצועם מהווה הפרה של דיני הלחימה</w:t>
      </w:r>
      <w:r w:rsidRPr="008D2B18">
        <w:rPr>
          <w:rFonts w:ascii="Times New Roman" w:hAnsi="Times New Roman" w:cs="Times New Roman"/>
          <w:color w:val="4F6228"/>
          <w:sz w:val="24"/>
          <w:szCs w:val="24"/>
          <w:rtl/>
        </w:rPr>
        <w:t>; תוך שבנוגע לחלק</w:t>
      </w:r>
      <w:r>
        <w:rPr>
          <w:rFonts w:ascii="Times New Roman" w:hAnsi="Times New Roman" w:cs="Times New Roman"/>
          <w:color w:val="4F6228"/>
          <w:sz w:val="24"/>
          <w:szCs w:val="24"/>
          <w:rtl/>
        </w:rPr>
        <w:t>ם</w:t>
      </w:r>
      <w:r w:rsidRPr="008D2B18">
        <w:rPr>
          <w:rFonts w:ascii="Times New Roman" w:hAnsi="Times New Roman" w:cs="Times New Roman"/>
          <w:color w:val="4F6228"/>
          <w:sz w:val="24"/>
          <w:szCs w:val="24"/>
          <w:rtl/>
        </w:rPr>
        <w:t xml:space="preserve">, בעקבות ניסיון היסטורי </w:t>
      </w:r>
      <w:r>
        <w:rPr>
          <w:rFonts w:ascii="Times New Roman" w:hAnsi="Times New Roman" w:cs="Times New Roman"/>
          <w:color w:val="4F6228"/>
          <w:sz w:val="24"/>
          <w:szCs w:val="24"/>
          <w:rtl/>
        </w:rPr>
        <w:t>מר</w:t>
      </w:r>
      <w:r w:rsidRPr="008D2B18">
        <w:rPr>
          <w:rFonts w:ascii="Times New Roman" w:hAnsi="Times New Roman" w:cs="Times New Roman"/>
          <w:color w:val="4F6228"/>
          <w:sz w:val="24"/>
          <w:szCs w:val="24"/>
          <w:rtl/>
        </w:rPr>
        <w:t>, ה</w:t>
      </w:r>
      <w:r>
        <w:rPr>
          <w:rFonts w:ascii="Times New Roman" w:hAnsi="Times New Roman" w:cs="Times New Roman"/>
          <w:color w:val="4F6228"/>
          <w:sz w:val="24"/>
          <w:szCs w:val="24"/>
          <w:rtl/>
        </w:rPr>
        <w:t>ורחבה</w:t>
      </w:r>
      <w:r w:rsidRPr="008D2B18">
        <w:rPr>
          <w:rFonts w:ascii="Times New Roman" w:hAnsi="Times New Roman" w:cs="Times New Roman"/>
          <w:color w:val="4F6228"/>
          <w:sz w:val="24"/>
          <w:szCs w:val="24"/>
          <w:rtl/>
        </w:rPr>
        <w:t xml:space="preserve"> תחולת</w:t>
      </w:r>
      <w:r>
        <w:rPr>
          <w:rFonts w:ascii="Times New Roman" w:hAnsi="Times New Roman" w:cs="Times New Roman"/>
          <w:color w:val="4F6228"/>
          <w:sz w:val="24"/>
          <w:szCs w:val="24"/>
          <w:rtl/>
        </w:rPr>
        <w:t xml:space="preserve"> האיסור גם לביצוע מאסיבי שלהם ע"י</w:t>
      </w:r>
      <w:r w:rsidRPr="008D2B18">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מדינה</w:t>
      </w:r>
      <w:r w:rsidRPr="008D2B18">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 xml:space="preserve">כנגד </w:t>
      </w:r>
      <w:r w:rsidRPr="008D2B18">
        <w:rPr>
          <w:rFonts w:ascii="Times New Roman" w:hAnsi="Times New Roman" w:cs="Times New Roman"/>
          <w:color w:val="4F6228"/>
          <w:sz w:val="24"/>
          <w:szCs w:val="24"/>
          <w:rtl/>
        </w:rPr>
        <w:t>אזרחי</w:t>
      </w:r>
      <w:r>
        <w:rPr>
          <w:rFonts w:ascii="Times New Roman" w:hAnsi="Times New Roman" w:cs="Times New Roman"/>
          <w:color w:val="4F6228"/>
          <w:sz w:val="24"/>
          <w:szCs w:val="24"/>
          <w:rtl/>
        </w:rPr>
        <w:t xml:space="preserve">ה ו/או </w:t>
      </w:r>
      <w:r w:rsidRPr="008D2B18">
        <w:rPr>
          <w:rFonts w:ascii="Times New Roman" w:hAnsi="Times New Roman" w:cs="Times New Roman"/>
          <w:color w:val="4F6228"/>
          <w:sz w:val="24"/>
          <w:szCs w:val="24"/>
          <w:rtl/>
        </w:rPr>
        <w:t>בע</w:t>
      </w:r>
      <w:r>
        <w:rPr>
          <w:rFonts w:ascii="Times New Roman" w:hAnsi="Times New Roman" w:cs="Times New Roman"/>
          <w:color w:val="4F6228"/>
          <w:sz w:val="24"/>
          <w:szCs w:val="24"/>
          <w:rtl/>
        </w:rPr>
        <w:t>ת</w:t>
      </w:r>
      <w:r w:rsidRPr="008D2B18">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שלום. (2)</w:t>
      </w:r>
      <w:r w:rsidRPr="008D2B18">
        <w:rPr>
          <w:rFonts w:ascii="Times New Roman" w:hAnsi="Times New Roman" w:cs="Times New Roman"/>
          <w:color w:val="4F6228"/>
          <w:sz w:val="24"/>
          <w:szCs w:val="24"/>
          <w:rtl/>
        </w:rPr>
        <w:t xml:space="preserve"> כל הקטגוריות הללו (שלוש באופן מפורש ורצח עם ב</w:t>
      </w:r>
      <w:r>
        <w:rPr>
          <w:rFonts w:ascii="Times New Roman" w:hAnsi="Times New Roman" w:cs="Times New Roman"/>
          <w:color w:val="4F6228"/>
          <w:sz w:val="24"/>
          <w:szCs w:val="24"/>
          <w:rtl/>
        </w:rPr>
        <w:t>עקיפין</w:t>
      </w:r>
      <w:r w:rsidRPr="008D2B18">
        <w:rPr>
          <w:rFonts w:ascii="Times New Roman" w:hAnsi="Times New Roman" w:cs="Times New Roman"/>
          <w:color w:val="4F6228"/>
          <w:sz w:val="24"/>
          <w:szCs w:val="24"/>
          <w:rtl/>
        </w:rPr>
        <w:t>) נכללו בחוקת נירנברג. אם כי, חש</w:t>
      </w:r>
      <w:r>
        <w:rPr>
          <w:rFonts w:ascii="Times New Roman" w:hAnsi="Times New Roman" w:cs="Times New Roman"/>
          <w:color w:val="4F6228"/>
          <w:sz w:val="24"/>
          <w:szCs w:val="24"/>
          <w:rtl/>
        </w:rPr>
        <w:t>ו</w:t>
      </w:r>
      <w:r w:rsidRPr="008D2B18">
        <w:rPr>
          <w:rFonts w:ascii="Times New Roman" w:hAnsi="Times New Roman" w:cs="Times New Roman"/>
          <w:color w:val="4F6228"/>
          <w:sz w:val="24"/>
          <w:szCs w:val="24"/>
          <w:rtl/>
        </w:rPr>
        <w:t xml:space="preserve">ב לציין, שבכל אחת מהקטגוריות, </w:t>
      </w:r>
      <w:r>
        <w:rPr>
          <w:rFonts w:ascii="Times New Roman" w:hAnsi="Times New Roman" w:cs="Times New Roman"/>
          <w:color w:val="4F6228"/>
          <w:sz w:val="24"/>
          <w:szCs w:val="24"/>
          <w:rtl/>
        </w:rPr>
        <w:t>מאז</w:t>
      </w:r>
      <w:r w:rsidRPr="008D2B18">
        <w:rPr>
          <w:rFonts w:ascii="Times New Roman" w:hAnsi="Times New Roman" w:cs="Times New Roman"/>
          <w:color w:val="4F6228"/>
          <w:sz w:val="24"/>
          <w:szCs w:val="24"/>
          <w:rtl/>
        </w:rPr>
        <w:t xml:space="preserve"> נוספו </w:t>
      </w:r>
      <w:r>
        <w:rPr>
          <w:rFonts w:ascii="Times New Roman" w:hAnsi="Times New Roman" w:cs="Times New Roman"/>
          <w:color w:val="4F6228"/>
          <w:sz w:val="24"/>
          <w:szCs w:val="24"/>
          <w:rtl/>
        </w:rPr>
        <w:t>(</w:t>
      </w:r>
      <w:r w:rsidRPr="008D2B18">
        <w:rPr>
          <w:rFonts w:ascii="Times New Roman" w:hAnsi="Times New Roman" w:cs="Times New Roman"/>
          <w:color w:val="4F6228"/>
          <w:sz w:val="24"/>
          <w:szCs w:val="24"/>
          <w:rtl/>
        </w:rPr>
        <w:t>ולפעמים גם הוסרו</w:t>
      </w:r>
      <w:r>
        <w:rPr>
          <w:rFonts w:ascii="Times New Roman" w:hAnsi="Times New Roman" w:cs="Times New Roman"/>
          <w:color w:val="4F6228"/>
          <w:sz w:val="24"/>
          <w:szCs w:val="24"/>
          <w:rtl/>
        </w:rPr>
        <w:t>)</w:t>
      </w:r>
      <w:r w:rsidRPr="008D2B18">
        <w:rPr>
          <w:rFonts w:ascii="Times New Roman" w:hAnsi="Times New Roman" w:cs="Times New Roman"/>
          <w:color w:val="4F6228"/>
          <w:sz w:val="24"/>
          <w:szCs w:val="24"/>
          <w:rtl/>
        </w:rPr>
        <w:t xml:space="preserve"> איסורים. </w:t>
      </w:r>
      <w:r>
        <w:rPr>
          <w:rFonts w:ascii="Times New Roman" w:hAnsi="Times New Roman" w:cs="Times New Roman"/>
          <w:color w:val="4F6228"/>
          <w:sz w:val="24"/>
          <w:szCs w:val="24"/>
          <w:rtl/>
        </w:rPr>
        <w:t>(3)</w:t>
      </w:r>
      <w:r w:rsidRPr="008D2B18">
        <w:rPr>
          <w:rFonts w:ascii="Times New Roman" w:hAnsi="Times New Roman" w:cs="Times New Roman"/>
          <w:color w:val="4F6228"/>
          <w:sz w:val="24"/>
          <w:szCs w:val="24"/>
          <w:rtl/>
        </w:rPr>
        <w:t xml:space="preserve"> מלבד חלק מפשעי המלחמה מדובר </w:t>
      </w:r>
      <w:r>
        <w:rPr>
          <w:rFonts w:ascii="Times New Roman" w:hAnsi="Times New Roman" w:cs="Times New Roman"/>
          <w:color w:val="4F6228"/>
          <w:sz w:val="24"/>
          <w:szCs w:val="24"/>
          <w:rtl/>
        </w:rPr>
        <w:t xml:space="preserve">באיסורים שנועדו למנוע </w:t>
      </w:r>
      <w:r w:rsidRPr="008D2B18">
        <w:rPr>
          <w:rFonts w:ascii="Times New Roman" w:hAnsi="Times New Roman" w:cs="Times New Roman"/>
          <w:color w:val="4F6228"/>
          <w:sz w:val="24"/>
          <w:szCs w:val="24"/>
          <w:rtl/>
        </w:rPr>
        <w:t>פגיעות חמורות בזכויות אדם.</w:t>
      </w:r>
      <w:r w:rsidRPr="0043000D">
        <w:rPr>
          <w:rFonts w:ascii="Times New Roman" w:hAnsi="Times New Roman" w:cs="Times New Roman"/>
          <w:sz w:val="24"/>
          <w:szCs w:val="24"/>
          <w:rtl/>
        </w:rPr>
        <w:t xml:space="preserve"> </w:t>
      </w:r>
      <w:r>
        <w:rPr>
          <w:rFonts w:ascii="Times New Roman" w:hAnsi="Times New Roman" w:cs="Times New Roman"/>
          <w:color w:val="4F6228"/>
          <w:sz w:val="24"/>
          <w:szCs w:val="24"/>
          <w:rtl/>
        </w:rPr>
        <w:t>(4)</w:t>
      </w:r>
      <w:r w:rsidRPr="00B436F4">
        <w:rPr>
          <w:rFonts w:ascii="Times New Roman" w:hAnsi="Times New Roman" w:cs="Times New Roman"/>
          <w:color w:val="4F6228"/>
          <w:sz w:val="24"/>
          <w:szCs w:val="24"/>
          <w:rtl/>
        </w:rPr>
        <w:t xml:space="preserve"> ככלל מדובר במעשים שלמדינות בטווח הארוך יש אינטרס (לרוב מוסרי)</w:t>
      </w:r>
      <w:r>
        <w:rPr>
          <w:rFonts w:ascii="Times New Roman" w:hAnsi="Times New Roman" w:cs="Times New Roman"/>
          <w:color w:val="4F6228"/>
          <w:sz w:val="24"/>
          <w:szCs w:val="24"/>
          <w:rtl/>
        </w:rPr>
        <w:t xml:space="preserve"> לאסור</w:t>
      </w:r>
      <w:r w:rsidRPr="00B436F4">
        <w:rPr>
          <w:rFonts w:ascii="Times New Roman" w:hAnsi="Times New Roman" w:cs="Times New Roman"/>
          <w:color w:val="4F6228"/>
          <w:sz w:val="24"/>
          <w:szCs w:val="24"/>
          <w:rtl/>
        </w:rPr>
        <w:t xml:space="preserve">, אך בכל מקרה נקודתי המדינות המעורבות לא </w:t>
      </w:r>
      <w:r>
        <w:rPr>
          <w:rFonts w:ascii="Times New Roman" w:hAnsi="Times New Roman" w:cs="Times New Roman"/>
          <w:color w:val="4F6228"/>
          <w:sz w:val="24"/>
          <w:szCs w:val="24"/>
          <w:rtl/>
        </w:rPr>
        <w:t>תהיינה</w:t>
      </w:r>
      <w:r w:rsidRPr="00B436F4">
        <w:rPr>
          <w:rFonts w:ascii="Times New Roman" w:hAnsi="Times New Roman" w:cs="Times New Roman"/>
          <w:color w:val="4F6228"/>
          <w:sz w:val="24"/>
          <w:szCs w:val="24"/>
          <w:rtl/>
        </w:rPr>
        <w:t xml:space="preserve"> מעוניינות להעניש </w:t>
      </w:r>
      <w:r>
        <w:rPr>
          <w:rFonts w:ascii="Times New Roman" w:hAnsi="Times New Roman" w:cs="Times New Roman"/>
          <w:color w:val="4F6228"/>
          <w:sz w:val="24"/>
          <w:szCs w:val="24"/>
          <w:rtl/>
        </w:rPr>
        <w:t>(דוג' מדינ</w:t>
      </w:r>
      <w:r w:rsidRPr="00B436F4">
        <w:rPr>
          <w:rFonts w:ascii="Times New Roman" w:hAnsi="Times New Roman" w:cs="Times New Roman"/>
          <w:color w:val="4F6228"/>
          <w:sz w:val="24"/>
          <w:szCs w:val="24"/>
          <w:rtl/>
        </w:rPr>
        <w:t xml:space="preserve">ת המבצע שלרוב </w:t>
      </w:r>
      <w:r>
        <w:rPr>
          <w:rFonts w:ascii="Times New Roman" w:hAnsi="Times New Roman" w:cs="Times New Roman"/>
          <w:color w:val="4F6228"/>
          <w:sz w:val="24"/>
          <w:szCs w:val="24"/>
          <w:rtl/>
        </w:rPr>
        <w:t>הפ</w:t>
      </w:r>
      <w:r w:rsidRPr="00B436F4">
        <w:rPr>
          <w:rFonts w:ascii="Times New Roman" w:hAnsi="Times New Roman" w:cs="Times New Roman"/>
          <w:color w:val="4F6228"/>
          <w:sz w:val="24"/>
          <w:szCs w:val="24"/>
          <w:rtl/>
        </w:rPr>
        <w:t xml:space="preserve">שע </w:t>
      </w:r>
      <w:r>
        <w:rPr>
          <w:rFonts w:ascii="Times New Roman" w:hAnsi="Times New Roman" w:cs="Times New Roman"/>
          <w:color w:val="4F6228"/>
          <w:sz w:val="24"/>
          <w:szCs w:val="24"/>
          <w:rtl/>
        </w:rPr>
        <w:t>יבוצע</w:t>
      </w:r>
      <w:r w:rsidRPr="00B436F4">
        <w:rPr>
          <w:rFonts w:ascii="Times New Roman" w:hAnsi="Times New Roman" w:cs="Times New Roman"/>
          <w:color w:val="4F6228"/>
          <w:sz w:val="24"/>
          <w:szCs w:val="24"/>
          <w:rtl/>
        </w:rPr>
        <w:t xml:space="preserve"> בעוברה) או </w:t>
      </w:r>
      <w:r>
        <w:rPr>
          <w:rFonts w:ascii="Times New Roman" w:hAnsi="Times New Roman" w:cs="Times New Roman"/>
          <w:color w:val="4F6228"/>
          <w:sz w:val="24"/>
          <w:szCs w:val="24"/>
          <w:rtl/>
        </w:rPr>
        <w:t>לא</w:t>
      </w:r>
      <w:r w:rsidRPr="00B436F4">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 xml:space="preserve">תהיינה </w:t>
      </w:r>
      <w:r w:rsidRPr="00B436F4">
        <w:rPr>
          <w:rFonts w:ascii="Times New Roman" w:hAnsi="Times New Roman" w:cs="Times New Roman"/>
          <w:color w:val="4F6228"/>
          <w:sz w:val="24"/>
          <w:szCs w:val="24"/>
          <w:rtl/>
        </w:rPr>
        <w:t>מסוגלות</w:t>
      </w:r>
      <w:r>
        <w:rPr>
          <w:rFonts w:ascii="Times New Roman" w:hAnsi="Times New Roman" w:cs="Times New Roman"/>
          <w:color w:val="4F6228"/>
          <w:sz w:val="24"/>
          <w:szCs w:val="24"/>
          <w:rtl/>
        </w:rPr>
        <w:t xml:space="preserve"> לעשות כן</w:t>
      </w:r>
      <w:r w:rsidRPr="00B436F4">
        <w:rPr>
          <w:rFonts w:ascii="Times New Roman" w:hAnsi="Times New Roman" w:cs="Times New Roman"/>
          <w:color w:val="4F6228"/>
          <w:sz w:val="24"/>
          <w:szCs w:val="24"/>
          <w:rtl/>
        </w:rPr>
        <w:t xml:space="preserve"> (דוג</w:t>
      </w:r>
      <w:r>
        <w:rPr>
          <w:rFonts w:ascii="Times New Roman" w:hAnsi="Times New Roman" w:cs="Times New Roman"/>
          <w:color w:val="4F6228"/>
          <w:sz w:val="24"/>
          <w:szCs w:val="24"/>
          <w:rtl/>
        </w:rPr>
        <w:t>'</w:t>
      </w:r>
      <w:r w:rsidRPr="00B436F4">
        <w:rPr>
          <w:rFonts w:ascii="Times New Roman" w:hAnsi="Times New Roman" w:cs="Times New Roman"/>
          <w:color w:val="4F6228"/>
          <w:sz w:val="24"/>
          <w:szCs w:val="24"/>
          <w:rtl/>
        </w:rPr>
        <w:t xml:space="preserve"> מדינת הקורבנות ש</w:t>
      </w:r>
      <w:r>
        <w:rPr>
          <w:rFonts w:ascii="Times New Roman" w:hAnsi="Times New Roman" w:cs="Times New Roman"/>
          <w:color w:val="4F6228"/>
          <w:sz w:val="24"/>
          <w:szCs w:val="24"/>
          <w:rtl/>
        </w:rPr>
        <w:t>מת</w:t>
      </w:r>
      <w:r w:rsidRPr="00B436F4">
        <w:rPr>
          <w:rFonts w:ascii="Times New Roman" w:hAnsi="Times New Roman" w:cs="Times New Roman"/>
          <w:color w:val="4F6228"/>
          <w:sz w:val="24"/>
          <w:szCs w:val="24"/>
          <w:rtl/>
        </w:rPr>
        <w:t>קשה לשים יד על העבריין); שילוב זה של אינט</w:t>
      </w:r>
      <w:r>
        <w:rPr>
          <w:rFonts w:ascii="Times New Roman" w:hAnsi="Times New Roman" w:cs="Times New Roman"/>
          <w:color w:val="4F6228"/>
          <w:sz w:val="24"/>
          <w:szCs w:val="24"/>
          <w:rtl/>
        </w:rPr>
        <w:t>רס משותף וכשל אכיפתי הוביל</w:t>
      </w:r>
      <w:r w:rsidRPr="00B436F4">
        <w:rPr>
          <w:rFonts w:ascii="Times New Roman" w:hAnsi="Times New Roman" w:cs="Times New Roman"/>
          <w:color w:val="4F6228"/>
          <w:sz w:val="24"/>
          <w:szCs w:val="24"/>
          <w:rtl/>
        </w:rPr>
        <w:t xml:space="preserve"> לקביעת </w:t>
      </w:r>
      <w:r>
        <w:rPr>
          <w:rFonts w:ascii="Times New Roman" w:hAnsi="Times New Roman" w:cs="Times New Roman"/>
          <w:color w:val="4F6228"/>
          <w:sz w:val="24"/>
          <w:szCs w:val="24"/>
          <w:rtl/>
        </w:rPr>
        <w:t>איסורים הבינלאומיים הללו</w:t>
      </w:r>
      <w:r w:rsidRPr="00B436F4">
        <w:rPr>
          <w:rFonts w:ascii="Times New Roman" w:hAnsi="Times New Roman" w:cs="Times New Roman"/>
          <w:color w:val="4F6228"/>
          <w:sz w:val="24"/>
          <w:szCs w:val="24"/>
          <w:rtl/>
        </w:rPr>
        <w:t>.</w:t>
      </w:r>
      <w:r>
        <w:rPr>
          <w:rFonts w:ascii="Times New Roman" w:hAnsi="Times New Roman" w:cs="Times New Roman"/>
          <w:color w:val="4F6228"/>
          <w:sz w:val="24"/>
          <w:szCs w:val="24"/>
          <w:rtl/>
        </w:rPr>
        <w:t xml:space="preserve"> (5) ככלל מדובר בפשיעה ארגונית; משמע, פשיעה שמבוצעת ע"י חברים בארגון גדול (מדינה או ארגון דומה), לרוב עבור הארגון (מלבד מספר פשעי מלחמה). מאפיין זה, גורם לכך, שמחד, הקיף הנזק ככלל גדול, ומאידך, קיים קושי ראייתי להוכיח מי היה מעורב וכן קושי נורמטיבי להכריע בדבר ההיקף הראוי של מעגל ההפללה.</w:t>
      </w:r>
    </w:p>
    <w:p w:rsidR="00FD7094" w:rsidRPr="003D4AFE" w:rsidRDefault="00FD7094" w:rsidP="00322594">
      <w:pPr>
        <w:spacing w:after="0" w:line="240" w:lineRule="auto"/>
        <w:jc w:val="both"/>
        <w:rPr>
          <w:rFonts w:ascii="Times New Roman" w:hAnsi="Times New Roman" w:cs="Times New Roman"/>
          <w:b/>
          <w:bCs/>
          <w:sz w:val="24"/>
          <w:szCs w:val="24"/>
          <w:u w:val="single"/>
          <w:rtl/>
        </w:rPr>
      </w:pPr>
      <w:r w:rsidRPr="003D4AFE">
        <w:rPr>
          <w:rFonts w:ascii="Times New Roman" w:hAnsi="Times New Roman" w:cs="Times New Roman"/>
          <w:b/>
          <w:bCs/>
          <w:sz w:val="24"/>
          <w:szCs w:val="24"/>
          <w:u w:val="single"/>
          <w:rtl/>
        </w:rPr>
        <w:t xml:space="preserve">חלק </w:t>
      </w:r>
      <w:r>
        <w:rPr>
          <w:rFonts w:ascii="Times New Roman" w:hAnsi="Times New Roman" w:cs="Times New Roman"/>
          <w:b/>
          <w:bCs/>
          <w:sz w:val="24"/>
          <w:szCs w:val="24"/>
          <w:u w:val="single"/>
          <w:rtl/>
        </w:rPr>
        <w:t>ב</w:t>
      </w:r>
      <w:r w:rsidRPr="003D4AFE">
        <w:rPr>
          <w:rFonts w:ascii="Times New Roman" w:hAnsi="Times New Roman" w:cs="Times New Roman"/>
          <w:b/>
          <w:bCs/>
          <w:sz w:val="24"/>
          <w:szCs w:val="24"/>
          <w:u w:val="single"/>
          <w:rtl/>
        </w:rPr>
        <w:t xml:space="preserve"> </w:t>
      </w:r>
      <w:r w:rsidRPr="00E665B9">
        <w:rPr>
          <w:rFonts w:ascii="Times New Roman" w:hAnsi="Times New Roman" w:cs="Times New Roman"/>
          <w:b/>
          <w:bCs/>
          <w:sz w:val="24"/>
          <w:szCs w:val="24"/>
          <w:highlight w:val="yellow"/>
          <w:u w:val="single"/>
          <w:rtl/>
        </w:rPr>
        <w:t>(</w:t>
      </w:r>
      <w:r w:rsidRPr="00E665B9">
        <w:rPr>
          <w:rFonts w:ascii="Times New Roman" w:hAnsi="Times New Roman" w:cs="Times New Roman"/>
          <w:b/>
          <w:bCs/>
          <w:sz w:val="24"/>
          <w:szCs w:val="24"/>
          <w:highlight w:val="yellow"/>
          <w:u w:val="single"/>
        </w:rPr>
        <w:t>30</w:t>
      </w:r>
      <w:r w:rsidRPr="00E665B9">
        <w:rPr>
          <w:rFonts w:ascii="Times New Roman" w:hAnsi="Times New Roman" w:cs="Times New Roman"/>
          <w:b/>
          <w:bCs/>
          <w:sz w:val="24"/>
          <w:szCs w:val="24"/>
          <w:highlight w:val="yellow"/>
          <w:u w:val="single"/>
          <w:rtl/>
        </w:rPr>
        <w:t xml:space="preserve"> נקודות)</w:t>
      </w:r>
      <w:r w:rsidRPr="003D4AFE">
        <w:rPr>
          <w:rFonts w:ascii="Times New Roman" w:hAnsi="Times New Roman" w:cs="Times New Roman"/>
          <w:b/>
          <w:bCs/>
          <w:sz w:val="24"/>
          <w:szCs w:val="24"/>
          <w:u w:val="single"/>
          <w:rtl/>
        </w:rPr>
        <w:t xml:space="preserve"> – אנא השיבו </w:t>
      </w:r>
      <w:r>
        <w:rPr>
          <w:rFonts w:ascii="Times New Roman" w:hAnsi="Times New Roman" w:cs="Times New Roman"/>
          <w:b/>
          <w:bCs/>
          <w:sz w:val="24"/>
          <w:szCs w:val="24"/>
          <w:u w:val="single"/>
          <w:rtl/>
        </w:rPr>
        <w:t xml:space="preserve">על השאלה הבאה </w:t>
      </w:r>
      <w:r w:rsidRPr="003D4AFE">
        <w:rPr>
          <w:rFonts w:ascii="Times New Roman" w:hAnsi="Times New Roman" w:cs="Times New Roman"/>
          <w:b/>
          <w:bCs/>
          <w:sz w:val="24"/>
          <w:szCs w:val="24"/>
          <w:u w:val="single"/>
          <w:rtl/>
        </w:rPr>
        <w:t xml:space="preserve">(מגבלת מקום – </w:t>
      </w:r>
      <w:r>
        <w:rPr>
          <w:rFonts w:ascii="Times New Roman" w:hAnsi="Times New Roman" w:cs="Times New Roman"/>
          <w:b/>
          <w:bCs/>
          <w:sz w:val="24"/>
          <w:szCs w:val="24"/>
          <w:u w:val="single"/>
          <w:rtl/>
        </w:rPr>
        <w:t>20 שורות</w:t>
      </w:r>
      <w:r w:rsidRPr="003D4AFE">
        <w:rPr>
          <w:rFonts w:ascii="Times New Roman" w:hAnsi="Times New Roman" w:cs="Times New Roman"/>
          <w:b/>
          <w:bCs/>
          <w:sz w:val="24"/>
          <w:szCs w:val="24"/>
          <w:u w:val="single"/>
          <w:rtl/>
        </w:rPr>
        <w:t>)</w:t>
      </w:r>
    </w:p>
    <w:p w:rsidR="00FD7094" w:rsidRPr="00B50FAE" w:rsidRDefault="00FD7094" w:rsidP="00F42C96">
      <w:pPr>
        <w:spacing w:after="0" w:line="240" w:lineRule="auto"/>
        <w:jc w:val="both"/>
        <w:rPr>
          <w:rFonts w:ascii="Times New Roman" w:hAnsi="Times New Roman" w:cs="Times New Roman"/>
          <w:b/>
          <w:bCs/>
          <w:sz w:val="24"/>
          <w:szCs w:val="24"/>
          <w:rtl/>
        </w:rPr>
      </w:pPr>
      <w:r w:rsidRPr="00B27837">
        <w:rPr>
          <w:rFonts w:ascii="Times New Roman" w:hAnsi="Times New Roman" w:cs="Times New Roman"/>
          <w:sz w:val="24"/>
          <w:szCs w:val="24"/>
          <w:rtl/>
        </w:rPr>
        <w:t>ב</w:t>
      </w:r>
      <w:r w:rsidRPr="00B50FAE">
        <w:rPr>
          <w:rFonts w:ascii="Times New Roman" w:hAnsi="Times New Roman" w:cs="Times New Roman"/>
          <w:b/>
          <w:bCs/>
          <w:sz w:val="24"/>
          <w:szCs w:val="24"/>
          <w:rtl/>
        </w:rPr>
        <w:t xml:space="preserve">-14 בספטמבר 1982 חוסל בשיר </w:t>
      </w:r>
      <w:proofErr w:type="spellStart"/>
      <w:r w:rsidRPr="00B50FAE">
        <w:rPr>
          <w:rFonts w:ascii="Times New Roman" w:hAnsi="Times New Roman" w:cs="Times New Roman"/>
          <w:b/>
          <w:bCs/>
          <w:sz w:val="24"/>
          <w:szCs w:val="24"/>
          <w:rtl/>
        </w:rPr>
        <w:t>ג'ומאייל</w:t>
      </w:r>
      <w:proofErr w:type="spellEnd"/>
      <w:r w:rsidRPr="00B50FAE">
        <w:rPr>
          <w:rFonts w:ascii="Times New Roman" w:hAnsi="Times New Roman" w:cs="Times New Roman"/>
          <w:b/>
          <w:bCs/>
          <w:sz w:val="24"/>
          <w:szCs w:val="24"/>
          <w:rtl/>
        </w:rPr>
        <w:t xml:space="preserve">, מפקד הפלנגות הנוצריות (שנבחר במהלך חודש אוגוסט למשרת נשיא לבנון). הפלנגות היו כוח מזויין לא-מדינתי שלחם בעבור הנוצרים בלבנון במהלך מלחמת האזרחים </w:t>
      </w:r>
      <w:proofErr w:type="spellStart"/>
      <w:r w:rsidRPr="00B50FAE">
        <w:rPr>
          <w:rFonts w:ascii="Times New Roman" w:hAnsi="Times New Roman" w:cs="Times New Roman"/>
          <w:b/>
          <w:bCs/>
          <w:sz w:val="24"/>
          <w:szCs w:val="24"/>
          <w:rtl/>
        </w:rPr>
        <w:t>שתרחשה</w:t>
      </w:r>
      <w:proofErr w:type="spellEnd"/>
      <w:r w:rsidRPr="00B50FAE">
        <w:rPr>
          <w:rFonts w:ascii="Times New Roman" w:hAnsi="Times New Roman" w:cs="Times New Roman"/>
          <w:b/>
          <w:bCs/>
          <w:sz w:val="24"/>
          <w:szCs w:val="24"/>
          <w:rtl/>
        </w:rPr>
        <w:t xml:space="preserve"> שם, ובאותה העת הם היו בני ברית של ישראל ולחמו לצד צה"ל בלבנון. בעקבות </w:t>
      </w:r>
      <w:r>
        <w:rPr>
          <w:rFonts w:ascii="Times New Roman" w:hAnsi="Times New Roman" w:cs="Times New Roman"/>
          <w:b/>
          <w:bCs/>
          <w:sz w:val="24"/>
          <w:szCs w:val="24"/>
          <w:rtl/>
        </w:rPr>
        <w:t>החיסול</w:t>
      </w:r>
      <w:r w:rsidRPr="00B50FAE">
        <w:rPr>
          <w:rFonts w:ascii="Times New Roman" w:hAnsi="Times New Roman" w:cs="Times New Roman"/>
          <w:b/>
          <w:bCs/>
          <w:sz w:val="24"/>
          <w:szCs w:val="24"/>
          <w:rtl/>
        </w:rPr>
        <w:t xml:space="preserve"> הוחלט שצה"ל ישתלט על מערב ביירות וכחלק ממבצע זה הוטלה ), על כוחות הפלנגות משימת ההשתלטות על מחנות הפליטים</w:t>
      </w:r>
      <w:r>
        <w:rPr>
          <w:rFonts w:ascii="Times New Roman" w:hAnsi="Times New Roman" w:cs="Times New Roman"/>
          <w:b/>
          <w:bCs/>
          <w:sz w:val="24"/>
          <w:szCs w:val="24"/>
          <w:rtl/>
        </w:rPr>
        <w:t xml:space="preserve"> הפלסטינ</w:t>
      </w:r>
      <w:r w:rsidRPr="00B50FAE">
        <w:rPr>
          <w:rFonts w:ascii="Times New Roman" w:hAnsi="Times New Roman" w:cs="Times New Roman"/>
          <w:b/>
          <w:bCs/>
          <w:sz w:val="24"/>
          <w:szCs w:val="24"/>
          <w:rtl/>
        </w:rPr>
        <w:t>ים, סברה ושתילה (בהם ח</w:t>
      </w:r>
      <w:r>
        <w:rPr>
          <w:rFonts w:ascii="Times New Roman" w:hAnsi="Times New Roman" w:cs="Times New Roman"/>
          <w:b/>
          <w:bCs/>
          <w:sz w:val="24"/>
          <w:szCs w:val="24"/>
          <w:rtl/>
        </w:rPr>
        <w:t>שדו בצה"ל שמסתתרים כוחות פלסטינ</w:t>
      </w:r>
      <w:r w:rsidRPr="00B50FAE">
        <w:rPr>
          <w:rFonts w:ascii="Times New Roman" w:hAnsi="Times New Roman" w:cs="Times New Roman"/>
          <w:b/>
          <w:bCs/>
          <w:sz w:val="24"/>
          <w:szCs w:val="24"/>
          <w:rtl/>
        </w:rPr>
        <w:t>ים. לאחר כניסתם למחנות, החלו לוחמי הפלנגות לטבוח בתושבי</w:t>
      </w:r>
      <w:r>
        <w:rPr>
          <w:rFonts w:ascii="Times New Roman" w:hAnsi="Times New Roman" w:cs="Times New Roman"/>
          <w:b/>
          <w:bCs/>
          <w:sz w:val="24"/>
          <w:szCs w:val="24"/>
          <w:rtl/>
        </w:rPr>
        <w:t>ם הפלסטינ</w:t>
      </w:r>
      <w:r w:rsidRPr="00B50FAE">
        <w:rPr>
          <w:rFonts w:ascii="Times New Roman" w:hAnsi="Times New Roman" w:cs="Times New Roman"/>
          <w:b/>
          <w:bCs/>
          <w:sz w:val="24"/>
          <w:szCs w:val="24"/>
          <w:rtl/>
        </w:rPr>
        <w:t>ים של המחנות (כ-700-800 נהרגו, מרביתם אזרחים). בעקבות האירוע הוקמה בישראל ועדת חקירה ממלכתית. הוועדה קבעה שאין לישראל ולמי מאנשיה אחריות ישירה לטבח שבוצע בסברה ושתילה, כיוון שהגורמים הישראלים</w:t>
      </w:r>
      <w:r>
        <w:rPr>
          <w:rFonts w:ascii="Times New Roman" w:hAnsi="Times New Roman" w:cs="Times New Roman"/>
          <w:b/>
          <w:bCs/>
          <w:sz w:val="24"/>
          <w:szCs w:val="24"/>
          <w:rtl/>
        </w:rPr>
        <w:t>:</w:t>
      </w:r>
      <w:r w:rsidRPr="00B50FAE">
        <w:rPr>
          <w:rFonts w:ascii="Times New Roman" w:hAnsi="Times New Roman" w:cs="Times New Roman"/>
          <w:b/>
          <w:bCs/>
          <w:sz w:val="24"/>
          <w:szCs w:val="24"/>
          <w:rtl/>
        </w:rPr>
        <w:t xml:space="preserve"> לא שלטו בפעולות הפלנגות, לא ידעו על הכוונה לבצע את הטבח ומשנודע להם </w:t>
      </w:r>
      <w:r>
        <w:rPr>
          <w:rFonts w:ascii="Times New Roman" w:hAnsi="Times New Roman" w:cs="Times New Roman"/>
          <w:b/>
          <w:bCs/>
          <w:sz w:val="24"/>
          <w:szCs w:val="24"/>
          <w:rtl/>
        </w:rPr>
        <w:t xml:space="preserve">על </w:t>
      </w:r>
      <w:r w:rsidRPr="00B50FAE">
        <w:rPr>
          <w:rFonts w:ascii="Times New Roman" w:hAnsi="Times New Roman" w:cs="Times New Roman"/>
          <w:b/>
          <w:bCs/>
          <w:sz w:val="24"/>
          <w:szCs w:val="24"/>
          <w:rtl/>
        </w:rPr>
        <w:t>הטבח הם דרשו מהפלנגות לצאת מהמחנות. לאור זאת, לא המליצה הוועדה להעמיד לדין אף גורם ישראלי. יחד עם זאת, קבעה הוועדה כי יש</w:t>
      </w:r>
      <w:r>
        <w:rPr>
          <w:rFonts w:ascii="Times New Roman" w:hAnsi="Times New Roman" w:cs="Times New Roman"/>
          <w:b/>
          <w:bCs/>
          <w:sz w:val="24"/>
          <w:szCs w:val="24"/>
          <w:rtl/>
        </w:rPr>
        <w:t xml:space="preserve"> להטיל</w:t>
      </w:r>
      <w:r w:rsidRPr="00B50FAE">
        <w:rPr>
          <w:rFonts w:ascii="Times New Roman" w:hAnsi="Times New Roman" w:cs="Times New Roman"/>
          <w:b/>
          <w:bCs/>
          <w:sz w:val="24"/>
          <w:szCs w:val="24"/>
          <w:rtl/>
        </w:rPr>
        <w:t xml:space="preserve"> "אחריות אישית עקיפה" (אחריות שהועדה סברה מוטלת על אדם במישור הציבורי </w:t>
      </w:r>
      <w:r>
        <w:rPr>
          <w:rFonts w:ascii="Times New Roman" w:hAnsi="Times New Roman" w:cs="Times New Roman"/>
          <w:b/>
          <w:bCs/>
          <w:sz w:val="24"/>
          <w:szCs w:val="24"/>
          <w:rtl/>
        </w:rPr>
        <w:t xml:space="preserve">בלבד </w:t>
      </w:r>
      <w:r w:rsidRPr="00B50FAE">
        <w:rPr>
          <w:rFonts w:ascii="Times New Roman" w:hAnsi="Times New Roman" w:cs="Times New Roman"/>
          <w:b/>
          <w:bCs/>
          <w:sz w:val="24"/>
          <w:szCs w:val="24"/>
          <w:rtl/>
        </w:rPr>
        <w:t xml:space="preserve">ולא הפלילי), </w:t>
      </w:r>
      <w:r>
        <w:rPr>
          <w:rFonts w:ascii="Times New Roman" w:hAnsi="Times New Roman" w:cs="Times New Roman"/>
          <w:b/>
          <w:bCs/>
          <w:sz w:val="24"/>
          <w:szCs w:val="24"/>
          <w:rtl/>
        </w:rPr>
        <w:t xml:space="preserve">על </w:t>
      </w:r>
      <w:r w:rsidRPr="00B50FAE">
        <w:rPr>
          <w:rFonts w:ascii="Times New Roman" w:hAnsi="Times New Roman" w:cs="Times New Roman"/>
          <w:b/>
          <w:bCs/>
          <w:sz w:val="24"/>
          <w:szCs w:val="24"/>
          <w:rtl/>
        </w:rPr>
        <w:t xml:space="preserve">שר הביטחון </w:t>
      </w:r>
      <w:proofErr w:type="spellStart"/>
      <w:r w:rsidRPr="00B50FAE">
        <w:rPr>
          <w:rFonts w:ascii="Times New Roman" w:hAnsi="Times New Roman" w:cs="Times New Roman"/>
          <w:b/>
          <w:bCs/>
          <w:sz w:val="24"/>
          <w:szCs w:val="24"/>
          <w:rtl/>
        </w:rPr>
        <w:t>ד'אז</w:t>
      </w:r>
      <w:proofErr w:type="spellEnd"/>
      <w:r w:rsidRPr="00B50FAE">
        <w:rPr>
          <w:rFonts w:ascii="Times New Roman" w:hAnsi="Times New Roman" w:cs="Times New Roman"/>
          <w:b/>
          <w:bCs/>
          <w:sz w:val="24"/>
          <w:szCs w:val="24"/>
          <w:rtl/>
        </w:rPr>
        <w:t xml:space="preserve"> אריאל שרון ו</w:t>
      </w:r>
      <w:r>
        <w:rPr>
          <w:rFonts w:ascii="Times New Roman" w:hAnsi="Times New Roman" w:cs="Times New Roman"/>
          <w:b/>
          <w:bCs/>
          <w:sz w:val="24"/>
          <w:szCs w:val="24"/>
          <w:rtl/>
        </w:rPr>
        <w:t xml:space="preserve">על </w:t>
      </w:r>
      <w:r w:rsidRPr="00B50FAE">
        <w:rPr>
          <w:rFonts w:ascii="Times New Roman" w:hAnsi="Times New Roman" w:cs="Times New Roman"/>
          <w:b/>
          <w:bCs/>
          <w:sz w:val="24"/>
          <w:szCs w:val="24"/>
          <w:rtl/>
        </w:rPr>
        <w:t>מספר מפקדים בכירים בצה"ל, שכן לדעתה: "החשש מפני הטבח במחנות, אם יוכנסו לשם כוחות מזוינים של הפלנגות, מבלי שיהיה עליהם פיקוח וביקורת ממשיים ויעילים מצד צה"ל, היה צריך להתעורר אצל[ם</w:t>
      </w:r>
      <w:r>
        <w:rPr>
          <w:rFonts w:ascii="Times New Roman" w:hAnsi="Times New Roman" w:cs="Times New Roman"/>
          <w:b/>
          <w:bCs/>
          <w:sz w:val="24"/>
          <w:szCs w:val="24"/>
          <w:rtl/>
        </w:rPr>
        <w:t xml:space="preserve"> אך הם התעלמו מהסכנה]"</w:t>
      </w:r>
      <w:r w:rsidRPr="00B50FAE">
        <w:rPr>
          <w:rFonts w:ascii="Times New Roman" w:hAnsi="Times New Roman" w:cs="Times New Roman"/>
          <w:b/>
          <w:bCs/>
          <w:sz w:val="24"/>
          <w:szCs w:val="24"/>
          <w:rtl/>
        </w:rPr>
        <w:t xml:space="preserve">. לאחרונה, הותר לפרסום פרוטוקול הישיבה בה החליטה הממשלה לאמץ את מסקנות </w:t>
      </w:r>
      <w:r>
        <w:rPr>
          <w:rFonts w:ascii="Times New Roman" w:hAnsi="Times New Roman" w:cs="Times New Roman"/>
          <w:b/>
          <w:bCs/>
          <w:sz w:val="24"/>
          <w:szCs w:val="24"/>
          <w:rtl/>
        </w:rPr>
        <w:t xml:space="preserve">וועדת החקירה. </w:t>
      </w:r>
      <w:r w:rsidRPr="00B50FAE">
        <w:rPr>
          <w:rFonts w:ascii="Times New Roman" w:hAnsi="Times New Roman" w:cs="Times New Roman"/>
          <w:b/>
          <w:bCs/>
          <w:sz w:val="24"/>
          <w:szCs w:val="24"/>
          <w:rtl/>
        </w:rPr>
        <w:t xml:space="preserve">מתברר שבמהלך הישיבה האמורה הביע אריאל שרון </w:t>
      </w:r>
      <w:r>
        <w:rPr>
          <w:rFonts w:ascii="Times New Roman" w:hAnsi="Times New Roman" w:cs="Times New Roman"/>
          <w:b/>
          <w:bCs/>
          <w:sz w:val="24"/>
          <w:szCs w:val="24"/>
          <w:rtl/>
        </w:rPr>
        <w:t xml:space="preserve">חשש שקביעות הוועדה עלולות </w:t>
      </w:r>
      <w:r w:rsidRPr="00B50FAE">
        <w:rPr>
          <w:rFonts w:ascii="Times New Roman" w:hAnsi="Times New Roman" w:cs="Times New Roman"/>
          <w:b/>
          <w:bCs/>
          <w:sz w:val="24"/>
          <w:szCs w:val="24"/>
          <w:rtl/>
        </w:rPr>
        <w:t xml:space="preserve">להתפרש </w:t>
      </w:r>
      <w:r>
        <w:rPr>
          <w:rFonts w:ascii="Times New Roman" w:hAnsi="Times New Roman" w:cs="Times New Roman"/>
          <w:b/>
          <w:bCs/>
          <w:sz w:val="24"/>
          <w:szCs w:val="24"/>
          <w:rtl/>
        </w:rPr>
        <w:t xml:space="preserve">על ידי גורמים הרוצים ברעת ישראל </w:t>
      </w:r>
      <w:r w:rsidRPr="00B50FAE">
        <w:rPr>
          <w:rFonts w:ascii="Times New Roman" w:hAnsi="Times New Roman" w:cs="Times New Roman"/>
          <w:b/>
          <w:bCs/>
          <w:sz w:val="24"/>
          <w:szCs w:val="24"/>
          <w:rtl/>
        </w:rPr>
        <w:t>כקביעה על פיה הוא</w:t>
      </w:r>
      <w:r>
        <w:rPr>
          <w:rFonts w:ascii="Times New Roman" w:hAnsi="Times New Roman" w:cs="Times New Roman"/>
          <w:b/>
          <w:bCs/>
          <w:sz w:val="24"/>
          <w:szCs w:val="24"/>
          <w:rtl/>
        </w:rPr>
        <w:t xml:space="preserve"> (ושאר אלו שהוטלה עליהם אחריות אישית עקיפה)</w:t>
      </w:r>
      <w:r w:rsidRPr="00B50FAE">
        <w:rPr>
          <w:rFonts w:ascii="Times New Roman" w:hAnsi="Times New Roman" w:cs="Times New Roman"/>
          <w:b/>
          <w:bCs/>
          <w:sz w:val="24"/>
          <w:szCs w:val="24"/>
          <w:rtl/>
        </w:rPr>
        <w:t xml:space="preserve"> אשמים במעורבות ברצח-עם, שכן: </w:t>
      </w:r>
    </w:p>
    <w:p w:rsidR="00FD7094" w:rsidRPr="00B50FAE" w:rsidRDefault="00FD7094" w:rsidP="00F42C96">
      <w:pPr>
        <w:spacing w:after="0" w:line="240" w:lineRule="auto"/>
        <w:ind w:left="720" w:right="720"/>
        <w:jc w:val="both"/>
        <w:rPr>
          <w:rFonts w:ascii="Times New Roman" w:hAnsi="Times New Roman" w:cs="Times New Roman"/>
          <w:b/>
          <w:bCs/>
          <w:sz w:val="24"/>
          <w:szCs w:val="24"/>
          <w:rtl/>
        </w:rPr>
      </w:pPr>
      <w:r w:rsidRPr="00B50FAE">
        <w:rPr>
          <w:rFonts w:ascii="Times New Roman" w:hAnsi="Times New Roman" w:cs="Times New Roman"/>
          <w:b/>
          <w:bCs/>
          <w:sz w:val="24"/>
          <w:szCs w:val="24"/>
          <w:rtl/>
        </w:rPr>
        <w:t xml:space="preserve">"אנו פנינו שייכנסו [למחנות], סייענו, הארנו, ... . אנו החזקנו כוח בקרבת מקום, כדי להבטיח את הביצוע [של השתלטות הפלנגות על המחנות], שמא ייכשלו הכוחות שהובאו, שמא יהיה צורך לחלץ אותם משם. .. [ו]כל מי </w:t>
      </w:r>
      <w:proofErr w:type="spellStart"/>
      <w:r w:rsidRPr="00B50FAE">
        <w:rPr>
          <w:rFonts w:ascii="Times New Roman" w:hAnsi="Times New Roman" w:cs="Times New Roman"/>
          <w:b/>
          <w:bCs/>
          <w:sz w:val="24"/>
          <w:szCs w:val="24"/>
          <w:rtl/>
        </w:rPr>
        <w:t>שאיפשר</w:t>
      </w:r>
      <w:proofErr w:type="spellEnd"/>
      <w:r w:rsidRPr="00B50FAE">
        <w:rPr>
          <w:rFonts w:ascii="Times New Roman" w:hAnsi="Times New Roman" w:cs="Times New Roman"/>
          <w:b/>
          <w:bCs/>
          <w:sz w:val="24"/>
          <w:szCs w:val="24"/>
          <w:rtl/>
        </w:rPr>
        <w:t>, התיר, סייע, נוכח בעצמו להבטיח אי-התנגדות, או הבטיח את הביצוע של פעולת הפלנגות במחנות ... עשוי</w:t>
      </w:r>
      <w:r>
        <w:rPr>
          <w:rFonts w:ascii="Times New Roman" w:hAnsi="Times New Roman" w:cs="Times New Roman"/>
          <w:b/>
          <w:bCs/>
          <w:sz w:val="24"/>
          <w:szCs w:val="24"/>
          <w:rtl/>
        </w:rPr>
        <w:t xml:space="preserve"> </w:t>
      </w:r>
      <w:r w:rsidRPr="00B50FAE">
        <w:rPr>
          <w:rFonts w:ascii="Times New Roman" w:hAnsi="Times New Roman" w:cs="Times New Roman"/>
          <w:b/>
          <w:bCs/>
          <w:sz w:val="24"/>
          <w:szCs w:val="24"/>
          <w:rtl/>
        </w:rPr>
        <w:t xml:space="preserve">להראות [כצד] לדבר-עבירה של פשע השמדת עם" (ישיבת ממשלה מתאריך ה-10.02.83, עמ' 37, תעודה 6, ארכיון המדינה, א-4283/2 (במקור: "סודי ביותר")). </w:t>
      </w:r>
    </w:p>
    <w:p w:rsidR="00FD7094" w:rsidRPr="00B50FAE" w:rsidRDefault="00FD7094" w:rsidP="00C7224F">
      <w:pPr>
        <w:spacing w:after="0" w:line="240" w:lineRule="auto"/>
        <w:jc w:val="both"/>
        <w:rPr>
          <w:rFonts w:ascii="Times New Roman" w:hAnsi="Times New Roman" w:cs="Times New Roman"/>
          <w:b/>
          <w:bCs/>
          <w:sz w:val="24"/>
          <w:szCs w:val="24"/>
          <w:rtl/>
        </w:rPr>
      </w:pPr>
      <w:r w:rsidRPr="00B50FAE">
        <w:rPr>
          <w:rFonts w:ascii="Times New Roman" w:hAnsi="Times New Roman" w:cs="Times New Roman"/>
          <w:b/>
          <w:bCs/>
          <w:sz w:val="24"/>
          <w:szCs w:val="24"/>
          <w:rtl/>
        </w:rPr>
        <w:t xml:space="preserve">בתגובה לחשש שהועלה על ידי שרון, השיב היועץ המשפטי לממשלה </w:t>
      </w:r>
      <w:proofErr w:type="spellStart"/>
      <w:r w:rsidRPr="00B50FAE">
        <w:rPr>
          <w:rFonts w:ascii="Times New Roman" w:hAnsi="Times New Roman" w:cs="Times New Roman"/>
          <w:b/>
          <w:bCs/>
          <w:sz w:val="24"/>
          <w:szCs w:val="24"/>
          <w:rtl/>
        </w:rPr>
        <w:t>ד'אז</w:t>
      </w:r>
      <w:proofErr w:type="spellEnd"/>
      <w:r w:rsidRPr="00B50FAE">
        <w:rPr>
          <w:rFonts w:ascii="Times New Roman" w:hAnsi="Times New Roman" w:cs="Times New Roman"/>
          <w:b/>
          <w:bCs/>
          <w:sz w:val="24"/>
          <w:szCs w:val="24"/>
          <w:rtl/>
        </w:rPr>
        <w:t xml:space="preserve">, יצחק זמיר: </w:t>
      </w:r>
    </w:p>
    <w:p w:rsidR="00FD7094" w:rsidRPr="00B50FAE" w:rsidRDefault="00FD7094" w:rsidP="00C7224F">
      <w:pPr>
        <w:spacing w:after="0" w:line="240" w:lineRule="auto"/>
        <w:ind w:left="720" w:right="720"/>
        <w:jc w:val="both"/>
        <w:rPr>
          <w:rFonts w:ascii="Times New Roman" w:hAnsi="Times New Roman" w:cs="Times New Roman"/>
          <w:b/>
          <w:bCs/>
          <w:sz w:val="24"/>
          <w:szCs w:val="24"/>
          <w:rtl/>
        </w:rPr>
      </w:pPr>
      <w:r w:rsidRPr="00B50FAE">
        <w:rPr>
          <w:rFonts w:ascii="Times New Roman" w:hAnsi="Times New Roman" w:cs="Times New Roman"/>
          <w:b/>
          <w:bCs/>
          <w:sz w:val="24"/>
          <w:szCs w:val="24"/>
          <w:rtl/>
        </w:rPr>
        <w:t xml:space="preserve">"אני חושב, שאני חייב לומר, בלי שאראה לנכון להיכנס לניתוח משפטי מדוקדק, שאם תועלה טענה כזאת, לא זאת בלבד שהיא טענה נבזית, נוראה, אלא זו טענה שאין לה שום אחיזה לא בדו"ח הועדה ולא בהלכה משפטית." (שם, 51). </w:t>
      </w:r>
    </w:p>
    <w:p w:rsidR="00FD7094" w:rsidRPr="00B50FAE" w:rsidRDefault="00FD7094" w:rsidP="00C7224F">
      <w:pPr>
        <w:spacing w:after="0" w:line="240" w:lineRule="auto"/>
        <w:jc w:val="both"/>
        <w:rPr>
          <w:rFonts w:ascii="Times New Roman" w:hAnsi="Times New Roman" w:cs="Times New Roman"/>
          <w:b/>
          <w:bCs/>
          <w:sz w:val="24"/>
          <w:szCs w:val="24"/>
        </w:rPr>
      </w:pPr>
      <w:r w:rsidRPr="00B50FAE">
        <w:rPr>
          <w:rFonts w:ascii="Times New Roman" w:hAnsi="Times New Roman" w:cs="Times New Roman"/>
          <w:b/>
          <w:bCs/>
          <w:sz w:val="24"/>
          <w:szCs w:val="24"/>
          <w:rtl/>
        </w:rPr>
        <w:lastRenderedPageBreak/>
        <w:t xml:space="preserve">האם קיימת דוקטרינה </w:t>
      </w:r>
      <w:r>
        <w:rPr>
          <w:rFonts w:ascii="Times New Roman" w:hAnsi="Times New Roman" w:cs="Times New Roman"/>
          <w:b/>
          <w:bCs/>
          <w:sz w:val="24"/>
          <w:szCs w:val="24"/>
          <w:rtl/>
        </w:rPr>
        <w:t xml:space="preserve">משפטית </w:t>
      </w:r>
      <w:r w:rsidRPr="00B50FAE">
        <w:rPr>
          <w:rFonts w:ascii="Times New Roman" w:hAnsi="Times New Roman" w:cs="Times New Roman"/>
          <w:b/>
          <w:bCs/>
          <w:sz w:val="24"/>
          <w:szCs w:val="24"/>
          <w:rtl/>
        </w:rPr>
        <w:t xml:space="preserve">שהתפתחה </w:t>
      </w:r>
      <w:proofErr w:type="spellStart"/>
      <w:r w:rsidRPr="00B50FAE">
        <w:rPr>
          <w:rFonts w:ascii="Times New Roman" w:hAnsi="Times New Roman" w:cs="Times New Roman"/>
          <w:b/>
          <w:bCs/>
          <w:sz w:val="24"/>
          <w:szCs w:val="24"/>
          <w:rtl/>
        </w:rPr>
        <w:t>במשב"ל</w:t>
      </w:r>
      <w:proofErr w:type="spellEnd"/>
      <w:r w:rsidRPr="00B50FAE">
        <w:rPr>
          <w:rFonts w:ascii="Times New Roman" w:hAnsi="Times New Roman" w:cs="Times New Roman"/>
          <w:b/>
          <w:bCs/>
          <w:sz w:val="24"/>
          <w:szCs w:val="24"/>
          <w:rtl/>
        </w:rPr>
        <w:t xml:space="preserve"> הפלילי בזמן שחלף מאז 1983, אשר </w:t>
      </w:r>
      <w:r>
        <w:rPr>
          <w:rFonts w:ascii="Times New Roman" w:hAnsi="Times New Roman" w:cs="Times New Roman"/>
          <w:b/>
          <w:bCs/>
          <w:sz w:val="24"/>
          <w:szCs w:val="24"/>
          <w:rtl/>
        </w:rPr>
        <w:t>לאור התפתחותה ניתן לומר שחששו של שרון היה מוצדק</w:t>
      </w:r>
      <w:r w:rsidRPr="00B50FAE">
        <w:rPr>
          <w:rFonts w:ascii="Times New Roman" w:hAnsi="Times New Roman" w:cs="Times New Roman"/>
          <w:b/>
          <w:bCs/>
          <w:sz w:val="24"/>
          <w:szCs w:val="24"/>
          <w:rtl/>
        </w:rPr>
        <w:t xml:space="preserve">? (דונו בפרשנויות השונות לדוקטרינה זו, והכריעו בהתאם לכל </w:t>
      </w:r>
      <w:r>
        <w:rPr>
          <w:rFonts w:ascii="Times New Roman" w:hAnsi="Times New Roman" w:cs="Times New Roman"/>
          <w:b/>
          <w:bCs/>
          <w:sz w:val="24"/>
          <w:szCs w:val="24"/>
          <w:rtl/>
        </w:rPr>
        <w:t>אחת מפרשנויות אלו האם זמיר צדק או שמה חששו של שרון היה מוצדק</w:t>
      </w:r>
      <w:r w:rsidRPr="00B50FAE">
        <w:rPr>
          <w:rFonts w:ascii="Times New Roman" w:hAnsi="Times New Roman" w:cs="Times New Roman"/>
          <w:b/>
          <w:bCs/>
          <w:sz w:val="24"/>
          <w:szCs w:val="24"/>
          <w:rtl/>
        </w:rPr>
        <w:t>).</w:t>
      </w:r>
    </w:p>
    <w:p w:rsidR="00FD7094" w:rsidRPr="006D4774" w:rsidRDefault="00FD7094" w:rsidP="00F42C96">
      <w:pPr>
        <w:spacing w:after="0" w:line="360" w:lineRule="auto"/>
        <w:jc w:val="both"/>
        <w:rPr>
          <w:rFonts w:ascii="Times New Roman" w:hAnsi="Times New Roman" w:cs="Times New Roman"/>
          <w:color w:val="4F6228"/>
          <w:sz w:val="24"/>
          <w:szCs w:val="24"/>
          <w:rtl/>
        </w:rPr>
      </w:pPr>
      <w:r w:rsidRPr="006D4774">
        <w:rPr>
          <w:rFonts w:ascii="Times New Roman" w:hAnsi="Times New Roman" w:cs="Times New Roman"/>
          <w:color w:val="4F6228"/>
          <w:sz w:val="24"/>
          <w:szCs w:val="24"/>
          <w:rtl/>
        </w:rPr>
        <w:t>דוקטרינת ה-</w:t>
      </w:r>
      <w:r w:rsidRPr="006D4774">
        <w:rPr>
          <w:rFonts w:ascii="Times New Roman" w:hAnsi="Times New Roman" w:cs="Times New Roman"/>
          <w:color w:val="4F6228"/>
          <w:sz w:val="24"/>
          <w:szCs w:val="24"/>
        </w:rPr>
        <w:t>JCE(3)</w:t>
      </w:r>
      <w:r w:rsidRPr="006D4774">
        <w:rPr>
          <w:rFonts w:ascii="Times New Roman" w:hAnsi="Times New Roman" w:cs="Times New Roman"/>
          <w:color w:val="4F6228"/>
          <w:sz w:val="24"/>
          <w:szCs w:val="24"/>
          <w:rtl/>
        </w:rPr>
        <w:t xml:space="preserve"> שפותחה על ידי ה-</w:t>
      </w:r>
      <w:r w:rsidRPr="006D4774">
        <w:rPr>
          <w:rFonts w:ascii="Times New Roman" w:hAnsi="Times New Roman" w:cs="Times New Roman"/>
          <w:color w:val="4F6228"/>
          <w:sz w:val="24"/>
          <w:szCs w:val="24"/>
        </w:rPr>
        <w:t>ICTY</w:t>
      </w:r>
      <w:r w:rsidRPr="006D4774">
        <w:rPr>
          <w:rFonts w:ascii="Times New Roman" w:hAnsi="Times New Roman" w:cs="Times New Roman"/>
          <w:color w:val="4F6228"/>
          <w:sz w:val="24"/>
          <w:szCs w:val="24"/>
          <w:rtl/>
        </w:rPr>
        <w:t xml:space="preserve"> בפס"ד </w:t>
      </w:r>
      <w:proofErr w:type="spellStart"/>
      <w:r w:rsidRPr="006D4774">
        <w:rPr>
          <w:rFonts w:ascii="Times New Roman" w:hAnsi="Times New Roman" w:cs="Times New Roman"/>
          <w:color w:val="4F6228"/>
          <w:sz w:val="24"/>
          <w:szCs w:val="24"/>
          <w:rtl/>
        </w:rPr>
        <w:t>טאדיץ</w:t>
      </w:r>
      <w:proofErr w:type="spellEnd"/>
      <w:r w:rsidRPr="006D4774">
        <w:rPr>
          <w:rFonts w:ascii="Times New Roman" w:hAnsi="Times New Roman" w:cs="Times New Roman"/>
          <w:color w:val="4F6228"/>
          <w:sz w:val="24"/>
          <w:szCs w:val="24"/>
          <w:rtl/>
        </w:rPr>
        <w:t xml:space="preserve"> (משמע, בשנות ה-90) ובמהרה אומצה </w:t>
      </w:r>
      <w:proofErr w:type="spellStart"/>
      <w:r w:rsidRPr="006D4774">
        <w:rPr>
          <w:rFonts w:ascii="Times New Roman" w:hAnsi="Times New Roman" w:cs="Times New Roman"/>
          <w:color w:val="4F6228"/>
          <w:sz w:val="24"/>
          <w:szCs w:val="24"/>
          <w:rtl/>
        </w:rPr>
        <w:t>במשב"ל</w:t>
      </w:r>
      <w:proofErr w:type="spellEnd"/>
      <w:r w:rsidRPr="006D4774">
        <w:rPr>
          <w:rFonts w:ascii="Times New Roman" w:hAnsi="Times New Roman" w:cs="Times New Roman"/>
          <w:color w:val="4F6228"/>
          <w:sz w:val="24"/>
          <w:szCs w:val="24"/>
          <w:rtl/>
        </w:rPr>
        <w:t xml:space="preserve"> הפלילי קובעת שאם בוצעו פשעים בינלאומיים גרעיניים בניגוד </w:t>
      </w:r>
      <w:proofErr w:type="spellStart"/>
      <w:r w:rsidRPr="006D4774">
        <w:rPr>
          <w:rFonts w:ascii="Times New Roman" w:hAnsi="Times New Roman" w:cs="Times New Roman"/>
          <w:color w:val="4F6228"/>
          <w:sz w:val="24"/>
          <w:szCs w:val="24"/>
          <w:rtl/>
        </w:rPr>
        <w:t>לתוכניתה</w:t>
      </w:r>
      <w:proofErr w:type="spellEnd"/>
      <w:r w:rsidRPr="006D4774">
        <w:rPr>
          <w:rFonts w:ascii="Times New Roman" w:hAnsi="Times New Roman" w:cs="Times New Roman"/>
          <w:color w:val="4F6228"/>
          <w:sz w:val="24"/>
          <w:szCs w:val="24"/>
          <w:rtl/>
        </w:rPr>
        <w:t xml:space="preserve"> המקורית של קבוצה, תוטל אחריות גם על חבר בקבוצה שלא נטל חלק בביצועם. קיימים חילוקי דעות פרשניים בנוגע למספר רכיבים </w:t>
      </w:r>
      <w:r>
        <w:rPr>
          <w:rFonts w:ascii="Times New Roman" w:hAnsi="Times New Roman" w:cs="Times New Roman"/>
          <w:color w:val="4F6228"/>
          <w:sz w:val="24"/>
          <w:szCs w:val="24"/>
          <w:rtl/>
        </w:rPr>
        <w:t>ב</w:t>
      </w:r>
      <w:r w:rsidRPr="006D4774">
        <w:rPr>
          <w:rFonts w:ascii="Times New Roman" w:hAnsi="Times New Roman" w:cs="Times New Roman"/>
          <w:color w:val="4F6228"/>
          <w:sz w:val="24"/>
          <w:szCs w:val="24"/>
          <w:rtl/>
        </w:rPr>
        <w:t xml:space="preserve">דוקטרינה, והם: 1) האם התוכנית המקורית </w:t>
      </w:r>
      <w:r>
        <w:rPr>
          <w:rFonts w:ascii="Times New Roman" w:hAnsi="Times New Roman" w:cs="Times New Roman"/>
          <w:color w:val="4F6228"/>
          <w:sz w:val="24"/>
          <w:szCs w:val="24"/>
          <w:rtl/>
        </w:rPr>
        <w:t>צריכה להיות</w:t>
      </w:r>
      <w:r w:rsidRPr="006D4774">
        <w:rPr>
          <w:rFonts w:ascii="Times New Roman" w:hAnsi="Times New Roman" w:cs="Times New Roman"/>
          <w:color w:val="4F6228"/>
          <w:sz w:val="24"/>
          <w:szCs w:val="24"/>
          <w:rtl/>
        </w:rPr>
        <w:t xml:space="preserve"> פלילית?; 2) מה מידת התרומה לתוכנית הנדרשת לצורך הגדרת אדם כחבר בקבוצה?; 3) מה היסוד הנפשי שנדרש לשם הטלת אחריות פלילית על חבר בקבוצה? לפי פסיקה ישנה של ה-</w:t>
      </w:r>
      <w:r w:rsidRPr="006D4774">
        <w:rPr>
          <w:rFonts w:ascii="Times New Roman" w:hAnsi="Times New Roman" w:cs="Times New Roman"/>
          <w:color w:val="4F6228"/>
          <w:sz w:val="24"/>
          <w:szCs w:val="24"/>
        </w:rPr>
        <w:t>ICTY</w:t>
      </w:r>
      <w:r>
        <w:rPr>
          <w:rFonts w:ascii="Times New Roman" w:hAnsi="Times New Roman" w:cs="Times New Roman"/>
          <w:color w:val="4F6228"/>
          <w:sz w:val="24"/>
          <w:szCs w:val="24"/>
          <w:rtl/>
        </w:rPr>
        <w:t xml:space="preserve">, </w:t>
      </w:r>
      <w:r w:rsidRPr="006D4774">
        <w:rPr>
          <w:rFonts w:ascii="Times New Roman" w:hAnsi="Times New Roman" w:cs="Times New Roman"/>
          <w:color w:val="4F6228"/>
          <w:sz w:val="24"/>
          <w:szCs w:val="24"/>
          <w:rtl/>
        </w:rPr>
        <w:t>אין צורך בתרומה משמעותית לתוכנית, אין צורך שהתוכנית תהיה פלילית במקור (די בכך, שבאופן הדרגתי מתפתחת מהשטח התנהגות פלילית), ומבחינת יסוד נפשי, אין צורך בכוונה לקדם את האלמנט הפלילי של התוכנית, ודי שהאדם יהיה מודע לכך, שבשלב מסוים, התגבשה תכנית לבצע מעשים פלילים בקבוצה. על אף שמדובר בגישה מרחיבה, ניתן לטעון שאין בה כדי להטיל אחריות על הגורמים הישראלים</w:t>
      </w:r>
      <w:r>
        <w:rPr>
          <w:rFonts w:ascii="Times New Roman" w:hAnsi="Times New Roman" w:cs="Times New Roman"/>
          <w:color w:val="4F6228"/>
          <w:sz w:val="24"/>
          <w:szCs w:val="24"/>
          <w:rtl/>
        </w:rPr>
        <w:t>, וזאת</w:t>
      </w:r>
      <w:r w:rsidRPr="006D4774">
        <w:rPr>
          <w:rFonts w:ascii="Times New Roman" w:hAnsi="Times New Roman" w:cs="Times New Roman"/>
          <w:color w:val="4F6228"/>
          <w:sz w:val="24"/>
          <w:szCs w:val="24"/>
          <w:rtl/>
        </w:rPr>
        <w:t xml:space="preserve"> לאור קביעת ועדת כהן שהגורמים הישראלים לא ידעו על התוכנית לבצע את הטבח. לפי הפסיקה החדשה של ה-</w:t>
      </w:r>
      <w:r w:rsidRPr="006D4774">
        <w:rPr>
          <w:rFonts w:ascii="Times New Roman" w:hAnsi="Times New Roman" w:cs="Times New Roman"/>
          <w:color w:val="4F6228"/>
          <w:sz w:val="24"/>
          <w:szCs w:val="24"/>
        </w:rPr>
        <w:t>ICTY</w:t>
      </w:r>
      <w:r w:rsidRPr="006D4774">
        <w:rPr>
          <w:rFonts w:ascii="Times New Roman" w:hAnsi="Times New Roman" w:cs="Times New Roman"/>
          <w:color w:val="4F6228"/>
          <w:sz w:val="24"/>
          <w:szCs w:val="24"/>
          <w:rtl/>
        </w:rPr>
        <w:t xml:space="preserve"> נדרש שהתוכנית המקורית תהייה פלילית, ושהאדם יפעל מתוך כוונה לקדם </w:t>
      </w:r>
      <w:proofErr w:type="spellStart"/>
      <w:r w:rsidRPr="006D4774">
        <w:rPr>
          <w:rFonts w:ascii="Times New Roman" w:hAnsi="Times New Roman" w:cs="Times New Roman"/>
          <w:color w:val="4F6228"/>
          <w:sz w:val="24"/>
          <w:szCs w:val="24"/>
          <w:rtl/>
        </w:rPr>
        <w:t>תוכנית</w:t>
      </w:r>
      <w:proofErr w:type="spellEnd"/>
      <w:r w:rsidRPr="006D4774">
        <w:rPr>
          <w:rFonts w:ascii="Times New Roman" w:hAnsi="Times New Roman" w:cs="Times New Roman"/>
          <w:color w:val="4F6228"/>
          <w:sz w:val="24"/>
          <w:szCs w:val="24"/>
          <w:rtl/>
        </w:rPr>
        <w:t xml:space="preserve"> זו. לכן, לפי פסיקה זו, לבטח זמיר צודק ולא ניתן להטיל אחריות על </w:t>
      </w:r>
      <w:r>
        <w:rPr>
          <w:rFonts w:ascii="Times New Roman" w:hAnsi="Times New Roman" w:cs="Times New Roman"/>
          <w:color w:val="4F6228"/>
          <w:sz w:val="24"/>
          <w:szCs w:val="24"/>
          <w:rtl/>
        </w:rPr>
        <w:t>שרון ושאר הגורמים הישראלים</w:t>
      </w:r>
      <w:r w:rsidRPr="006D4774">
        <w:rPr>
          <w:rFonts w:ascii="Times New Roman" w:hAnsi="Times New Roman" w:cs="Times New Roman"/>
          <w:color w:val="4F6228"/>
          <w:sz w:val="24"/>
          <w:szCs w:val="24"/>
          <w:rtl/>
        </w:rPr>
        <w:t xml:space="preserve">, שכן לא הייתה </w:t>
      </w:r>
      <w:r>
        <w:rPr>
          <w:rFonts w:ascii="Times New Roman" w:hAnsi="Times New Roman" w:cs="Times New Roman"/>
          <w:color w:val="4F6228"/>
          <w:sz w:val="24"/>
          <w:szCs w:val="24"/>
          <w:rtl/>
        </w:rPr>
        <w:t>לה</w:t>
      </w:r>
      <w:r w:rsidRPr="006D4774">
        <w:rPr>
          <w:rFonts w:ascii="Times New Roman" w:hAnsi="Times New Roman" w:cs="Times New Roman"/>
          <w:color w:val="4F6228"/>
          <w:sz w:val="24"/>
          <w:szCs w:val="24"/>
          <w:rtl/>
        </w:rPr>
        <w:t xml:space="preserve">ם כוונה לקדם את התוכנית </w:t>
      </w:r>
      <w:r>
        <w:rPr>
          <w:rFonts w:ascii="Times New Roman" w:hAnsi="Times New Roman" w:cs="Times New Roman"/>
          <w:color w:val="4F6228"/>
          <w:sz w:val="24"/>
          <w:szCs w:val="24"/>
          <w:rtl/>
        </w:rPr>
        <w:t>לבצע</w:t>
      </w:r>
      <w:r w:rsidRPr="006D4774">
        <w:rPr>
          <w:rFonts w:ascii="Times New Roman" w:hAnsi="Times New Roman" w:cs="Times New Roman"/>
          <w:color w:val="4F6228"/>
          <w:sz w:val="24"/>
          <w:szCs w:val="24"/>
          <w:rtl/>
        </w:rPr>
        <w:t xml:space="preserve"> רצח העם. יחד עם זאת, לעומת גישות אלו, קיימת גישה שהובעה בפסיקת ה-</w:t>
      </w:r>
      <w:r w:rsidRPr="006D4774">
        <w:rPr>
          <w:rFonts w:ascii="Times New Roman" w:hAnsi="Times New Roman" w:cs="Times New Roman"/>
          <w:color w:val="4F6228"/>
          <w:sz w:val="24"/>
          <w:szCs w:val="24"/>
        </w:rPr>
        <w:t>ICC</w:t>
      </w:r>
      <w:r w:rsidRPr="006D4774">
        <w:rPr>
          <w:rFonts w:ascii="Times New Roman" w:hAnsi="Times New Roman" w:cs="Times New Roman"/>
          <w:color w:val="4F6228"/>
          <w:sz w:val="24"/>
          <w:szCs w:val="24"/>
          <w:rtl/>
        </w:rPr>
        <w:t xml:space="preserve"> לפיה: לא נדרש שהתוכנית המקורית תהיה פלילי, וגם אין צורך במודעות לכך שמבוצעים מעשים פלילים; כל שנדרש זה שהאפשרות שמימוש התוכנית יחייב ביצוע מעשים פלילים תהווה ברמה הסתברותית גבוהה תוצאה טבעית של התוכנית ושהאדם יהיה מודע להסתברות זו, וכמו כן, נדרש שתרומתו של האדם לתוכנית (הלא פלילית) תהיה משמעותית. יתכן</w:t>
      </w:r>
      <w:r>
        <w:rPr>
          <w:rFonts w:ascii="Times New Roman" w:hAnsi="Times New Roman" w:cs="Times New Roman"/>
          <w:color w:val="4F6228"/>
          <w:sz w:val="24"/>
          <w:szCs w:val="24"/>
          <w:rtl/>
        </w:rPr>
        <w:t xml:space="preserve"> ויהיה מי שיבסס טענה מהסוג ממנה חשש שרון על הפרשנות הזו לדוקטרינה וזאת לאור דברי</w:t>
      </w:r>
      <w:r w:rsidRPr="006D4774">
        <w:rPr>
          <w:rFonts w:ascii="Times New Roman" w:hAnsi="Times New Roman" w:cs="Times New Roman"/>
          <w:color w:val="4F6228"/>
          <w:sz w:val="24"/>
          <w:szCs w:val="24"/>
          <w:rtl/>
        </w:rPr>
        <w:t xml:space="preserve"> שרון בדבר היקף הסיוע </w:t>
      </w:r>
      <w:r>
        <w:rPr>
          <w:rFonts w:ascii="Times New Roman" w:hAnsi="Times New Roman" w:cs="Times New Roman"/>
          <w:color w:val="4F6228"/>
          <w:sz w:val="24"/>
          <w:szCs w:val="24"/>
          <w:rtl/>
        </w:rPr>
        <w:t>ה</w:t>
      </w:r>
      <w:r w:rsidRPr="006D4774">
        <w:rPr>
          <w:rFonts w:ascii="Times New Roman" w:hAnsi="Times New Roman" w:cs="Times New Roman"/>
          <w:color w:val="4F6228"/>
          <w:sz w:val="24"/>
          <w:szCs w:val="24"/>
          <w:rtl/>
        </w:rPr>
        <w:t>צה"ל</w:t>
      </w:r>
      <w:r>
        <w:rPr>
          <w:rFonts w:ascii="Times New Roman" w:hAnsi="Times New Roman" w:cs="Times New Roman"/>
          <w:color w:val="4F6228"/>
          <w:sz w:val="24"/>
          <w:szCs w:val="24"/>
          <w:rtl/>
        </w:rPr>
        <w:t>י</w:t>
      </w:r>
      <w:r w:rsidRPr="006D4774">
        <w:rPr>
          <w:rFonts w:ascii="Times New Roman" w:hAnsi="Times New Roman" w:cs="Times New Roman"/>
          <w:color w:val="4F6228"/>
          <w:sz w:val="24"/>
          <w:szCs w:val="24"/>
          <w:rtl/>
        </w:rPr>
        <w:t xml:space="preserve"> לפלנגות בפעולת ההשתלטות על </w:t>
      </w:r>
      <w:proofErr w:type="spellStart"/>
      <w:r w:rsidRPr="006D4774">
        <w:rPr>
          <w:rFonts w:ascii="Times New Roman" w:hAnsi="Times New Roman" w:cs="Times New Roman"/>
          <w:color w:val="4F6228"/>
          <w:sz w:val="24"/>
          <w:szCs w:val="24"/>
          <w:rtl/>
        </w:rPr>
        <w:t>המ</w:t>
      </w:r>
      <w:r>
        <w:rPr>
          <w:rFonts w:ascii="Times New Roman" w:hAnsi="Times New Roman" w:cs="Times New Roman"/>
          <w:color w:val="4F6228"/>
          <w:sz w:val="24"/>
          <w:szCs w:val="24"/>
          <w:rtl/>
        </w:rPr>
        <w:t>ח</w:t>
      </w:r>
      <w:r w:rsidRPr="006D4774">
        <w:rPr>
          <w:rFonts w:ascii="Times New Roman" w:hAnsi="Times New Roman" w:cs="Times New Roman"/>
          <w:color w:val="4F6228"/>
          <w:sz w:val="24"/>
          <w:szCs w:val="24"/>
          <w:rtl/>
        </w:rPr>
        <w:t>ונות</w:t>
      </w:r>
      <w:proofErr w:type="spellEnd"/>
      <w:r w:rsidRPr="006D4774">
        <w:rPr>
          <w:rFonts w:ascii="Times New Roman" w:hAnsi="Times New Roman" w:cs="Times New Roman"/>
          <w:color w:val="4F6228"/>
          <w:sz w:val="24"/>
          <w:szCs w:val="24"/>
          <w:rtl/>
        </w:rPr>
        <w:t xml:space="preserve"> (משמע הקיף הסיוע לתוכנית הלא פלילית המקורית), ודברי </w:t>
      </w:r>
      <w:r>
        <w:rPr>
          <w:rFonts w:ascii="Times New Roman" w:hAnsi="Times New Roman" w:cs="Times New Roman"/>
          <w:color w:val="4F6228"/>
          <w:sz w:val="24"/>
          <w:szCs w:val="24"/>
          <w:rtl/>
        </w:rPr>
        <w:t>הועדה</w:t>
      </w:r>
      <w:r w:rsidRPr="006D4774">
        <w:rPr>
          <w:rFonts w:ascii="Times New Roman" w:hAnsi="Times New Roman" w:cs="Times New Roman"/>
          <w:color w:val="4F6228"/>
          <w:sz w:val="24"/>
          <w:szCs w:val="24"/>
          <w:rtl/>
        </w:rPr>
        <w:t xml:space="preserve"> בדבר צפיות הטבח. </w:t>
      </w:r>
    </w:p>
    <w:p w:rsidR="00FD7094" w:rsidRPr="003D4AFE" w:rsidRDefault="00FD7094" w:rsidP="00062FDE">
      <w:pPr>
        <w:spacing w:after="0" w:line="240" w:lineRule="auto"/>
        <w:jc w:val="both"/>
        <w:rPr>
          <w:rFonts w:ascii="Times New Roman" w:hAnsi="Times New Roman" w:cs="Times New Roman"/>
          <w:b/>
          <w:bCs/>
          <w:sz w:val="24"/>
          <w:szCs w:val="24"/>
          <w:u w:val="single"/>
          <w:rtl/>
        </w:rPr>
      </w:pPr>
      <w:r w:rsidRPr="003D4AFE">
        <w:rPr>
          <w:rFonts w:ascii="Times New Roman" w:hAnsi="Times New Roman" w:cs="Times New Roman"/>
          <w:b/>
          <w:bCs/>
          <w:sz w:val="24"/>
          <w:szCs w:val="24"/>
          <w:u w:val="single"/>
          <w:rtl/>
        </w:rPr>
        <w:t xml:space="preserve">חלק </w:t>
      </w:r>
      <w:r>
        <w:rPr>
          <w:rFonts w:ascii="Times New Roman" w:hAnsi="Times New Roman" w:cs="Times New Roman"/>
          <w:b/>
          <w:bCs/>
          <w:sz w:val="24"/>
          <w:szCs w:val="24"/>
          <w:u w:val="single"/>
          <w:rtl/>
        </w:rPr>
        <w:t>ג</w:t>
      </w:r>
      <w:r w:rsidRPr="003D4AFE">
        <w:rPr>
          <w:rFonts w:ascii="Times New Roman" w:hAnsi="Times New Roman" w:cs="Times New Roman"/>
          <w:b/>
          <w:bCs/>
          <w:sz w:val="24"/>
          <w:szCs w:val="24"/>
          <w:u w:val="single"/>
          <w:rtl/>
        </w:rPr>
        <w:t xml:space="preserve"> </w:t>
      </w:r>
      <w:r w:rsidRPr="00E665B9">
        <w:rPr>
          <w:rFonts w:ascii="Times New Roman" w:hAnsi="Times New Roman" w:cs="Times New Roman"/>
          <w:b/>
          <w:bCs/>
          <w:sz w:val="24"/>
          <w:szCs w:val="24"/>
          <w:highlight w:val="yellow"/>
          <w:u w:val="single"/>
          <w:rtl/>
        </w:rPr>
        <w:t>(45 נקודות)</w:t>
      </w:r>
      <w:r w:rsidRPr="003D4AFE">
        <w:rPr>
          <w:rFonts w:ascii="Times New Roman" w:hAnsi="Times New Roman" w:cs="Times New Roman"/>
          <w:b/>
          <w:bCs/>
          <w:sz w:val="24"/>
          <w:szCs w:val="24"/>
          <w:u w:val="single"/>
          <w:rtl/>
        </w:rPr>
        <w:t xml:space="preserve"> – אנא השיבו</w:t>
      </w:r>
      <w:r>
        <w:rPr>
          <w:rFonts w:ascii="Times New Roman" w:hAnsi="Times New Roman" w:cs="Times New Roman"/>
          <w:b/>
          <w:bCs/>
          <w:sz w:val="24"/>
          <w:szCs w:val="24"/>
          <w:u w:val="single"/>
          <w:rtl/>
        </w:rPr>
        <w:t xml:space="preserve"> על</w:t>
      </w:r>
      <w:r w:rsidRPr="003D4AFE">
        <w:rPr>
          <w:rFonts w:ascii="Times New Roman" w:hAnsi="Times New Roman" w:cs="Times New Roman"/>
          <w:b/>
          <w:bCs/>
          <w:sz w:val="24"/>
          <w:szCs w:val="24"/>
          <w:u w:val="single"/>
          <w:rtl/>
        </w:rPr>
        <w:t xml:space="preserve"> </w:t>
      </w:r>
      <w:r>
        <w:rPr>
          <w:rFonts w:ascii="Times New Roman" w:hAnsi="Times New Roman" w:cs="Times New Roman"/>
          <w:b/>
          <w:bCs/>
          <w:sz w:val="24"/>
          <w:szCs w:val="24"/>
          <w:u w:val="single"/>
          <w:rtl/>
        </w:rPr>
        <w:t xml:space="preserve">השאלה הבאה </w:t>
      </w:r>
      <w:r w:rsidRPr="003D4AFE">
        <w:rPr>
          <w:rFonts w:ascii="Times New Roman" w:hAnsi="Times New Roman" w:cs="Times New Roman"/>
          <w:b/>
          <w:bCs/>
          <w:sz w:val="24"/>
          <w:szCs w:val="24"/>
          <w:u w:val="single"/>
          <w:rtl/>
        </w:rPr>
        <w:t xml:space="preserve">(מגבלת מקום – </w:t>
      </w:r>
      <w:r>
        <w:rPr>
          <w:rFonts w:ascii="Times New Roman" w:hAnsi="Times New Roman" w:cs="Times New Roman"/>
          <w:b/>
          <w:bCs/>
          <w:sz w:val="24"/>
          <w:szCs w:val="24"/>
          <w:u w:val="single"/>
          <w:rtl/>
        </w:rPr>
        <w:t>עמוד וחצי</w:t>
      </w:r>
      <w:r w:rsidRPr="003D4AFE">
        <w:rPr>
          <w:rFonts w:ascii="Times New Roman" w:hAnsi="Times New Roman" w:cs="Times New Roman"/>
          <w:b/>
          <w:bCs/>
          <w:sz w:val="24"/>
          <w:szCs w:val="24"/>
          <w:u w:val="single"/>
          <w:rtl/>
        </w:rPr>
        <w:t>)</w:t>
      </w:r>
    </w:p>
    <w:p w:rsidR="00FD7094" w:rsidRPr="00931FC7" w:rsidRDefault="00FD7094" w:rsidP="00F42C96">
      <w:pPr>
        <w:spacing w:after="0" w:line="240" w:lineRule="auto"/>
        <w:jc w:val="both"/>
        <w:rPr>
          <w:rFonts w:ascii="Times New Roman" w:hAnsi="Times New Roman" w:cs="Times New Roman"/>
          <w:b/>
          <w:bCs/>
          <w:sz w:val="24"/>
          <w:szCs w:val="24"/>
          <w:rtl/>
        </w:rPr>
      </w:pPr>
      <w:r w:rsidRPr="00931FC7">
        <w:rPr>
          <w:rFonts w:ascii="Times New Roman" w:hAnsi="Times New Roman" w:cs="Times New Roman"/>
          <w:b/>
          <w:bCs/>
          <w:sz w:val="24"/>
          <w:szCs w:val="24"/>
          <w:rtl/>
        </w:rPr>
        <w:t xml:space="preserve">במהלך </w:t>
      </w:r>
      <w:r>
        <w:rPr>
          <w:rFonts w:ascii="Times New Roman" w:hAnsi="Times New Roman" w:cs="Times New Roman"/>
          <w:b/>
          <w:bCs/>
          <w:sz w:val="24"/>
          <w:szCs w:val="24"/>
          <w:rtl/>
        </w:rPr>
        <w:t>"</w:t>
      </w:r>
      <w:r w:rsidRPr="00931FC7">
        <w:rPr>
          <w:rFonts w:ascii="Times New Roman" w:hAnsi="Times New Roman" w:cs="Times New Roman"/>
          <w:b/>
          <w:bCs/>
          <w:sz w:val="24"/>
          <w:szCs w:val="24"/>
          <w:rtl/>
        </w:rPr>
        <w:t>מבצע צוק איתן</w:t>
      </w:r>
      <w:r>
        <w:rPr>
          <w:rFonts w:ascii="Times New Roman" w:hAnsi="Times New Roman" w:cs="Times New Roman"/>
          <w:b/>
          <w:bCs/>
          <w:sz w:val="24"/>
          <w:szCs w:val="24"/>
          <w:rtl/>
        </w:rPr>
        <w:t>",</w:t>
      </w:r>
      <w:r w:rsidRPr="00931FC7">
        <w:rPr>
          <w:rFonts w:ascii="Times New Roman" w:hAnsi="Times New Roman" w:cs="Times New Roman"/>
          <w:b/>
          <w:bCs/>
          <w:sz w:val="24"/>
          <w:szCs w:val="24"/>
          <w:rtl/>
        </w:rPr>
        <w:t xml:space="preserve"> בעת הלחימה ברפיח, נחטף סגן </w:t>
      </w:r>
      <w:r>
        <w:rPr>
          <w:rFonts w:ascii="Times New Roman" w:hAnsi="Times New Roman" w:cs="Times New Roman"/>
          <w:b/>
          <w:bCs/>
          <w:sz w:val="24"/>
          <w:szCs w:val="24"/>
          <w:rtl/>
        </w:rPr>
        <w:t xml:space="preserve">הדר </w:t>
      </w:r>
      <w:proofErr w:type="spellStart"/>
      <w:r>
        <w:rPr>
          <w:rFonts w:ascii="Times New Roman" w:hAnsi="Times New Roman" w:cs="Times New Roman"/>
          <w:b/>
          <w:bCs/>
          <w:sz w:val="24"/>
          <w:szCs w:val="24"/>
          <w:rtl/>
        </w:rPr>
        <w:t>גולדין</w:t>
      </w:r>
      <w:proofErr w:type="spellEnd"/>
      <w:r>
        <w:rPr>
          <w:rFonts w:ascii="Times New Roman" w:hAnsi="Times New Roman" w:cs="Times New Roman"/>
          <w:b/>
          <w:bCs/>
          <w:sz w:val="24"/>
          <w:szCs w:val="24"/>
          <w:rtl/>
        </w:rPr>
        <w:t xml:space="preserve"> (אשר בדיעבד התברר ש</w:t>
      </w:r>
      <w:r w:rsidRPr="00931FC7">
        <w:rPr>
          <w:rFonts w:ascii="Times New Roman" w:hAnsi="Times New Roman" w:cs="Times New Roman"/>
          <w:b/>
          <w:bCs/>
          <w:sz w:val="24"/>
          <w:szCs w:val="24"/>
          <w:rtl/>
        </w:rPr>
        <w:t>נהרג). על פ</w:t>
      </w:r>
      <w:r>
        <w:rPr>
          <w:rFonts w:ascii="Times New Roman" w:hAnsi="Times New Roman" w:cs="Times New Roman"/>
          <w:b/>
          <w:bCs/>
          <w:sz w:val="24"/>
          <w:szCs w:val="24"/>
          <w:rtl/>
        </w:rPr>
        <w:t>י פרסומים שונים בתקשורת, עם היוו</w:t>
      </w:r>
      <w:r w:rsidRPr="00931FC7">
        <w:rPr>
          <w:rFonts w:ascii="Times New Roman" w:hAnsi="Times New Roman" w:cs="Times New Roman"/>
          <w:b/>
          <w:bCs/>
          <w:sz w:val="24"/>
          <w:szCs w:val="24"/>
          <w:rtl/>
        </w:rPr>
        <w:t>דע מעשה החטיפה לכוחות חטיבת גבעתי שנכחו באיזור הם הגיבו בירי מאסיבי במטרה ליצור "מסך אש" אשר יקשה על הכוחות החוטפים להתרחק מזירת החטיפה. לטענת הפלסטינים מהירי האמור נהרגו בין 130-150 פלסטינים, מרביתם אזרחים. לפני מספר שבועות התראיין שר הביטחון, משה (בוגי) יעלון, לתקשורת ואמר את הדברים הבאים:</w:t>
      </w:r>
    </w:p>
    <w:p w:rsidR="00FD7094" w:rsidRPr="00931FC7" w:rsidRDefault="00FD7094" w:rsidP="00F42C96">
      <w:pPr>
        <w:spacing w:after="0" w:line="240" w:lineRule="auto"/>
        <w:ind w:left="720" w:right="720"/>
        <w:jc w:val="both"/>
        <w:rPr>
          <w:rFonts w:ascii="Times New Roman" w:hAnsi="Times New Roman" w:cs="Times New Roman"/>
          <w:b/>
          <w:bCs/>
          <w:sz w:val="24"/>
          <w:szCs w:val="24"/>
          <w:rtl/>
        </w:rPr>
      </w:pPr>
      <w:r w:rsidRPr="00931FC7">
        <w:rPr>
          <w:rFonts w:ascii="Times New Roman" w:hAnsi="Times New Roman" w:cs="Times New Roman"/>
          <w:b/>
          <w:bCs/>
          <w:sz w:val="24"/>
          <w:szCs w:val="24"/>
          <w:rtl/>
        </w:rPr>
        <w:t xml:space="preserve">"למשל באירוע של חטיבת גבעתי באותו יום שישי ברפיח. האירוע הזה לא נמצא בחקירת מצ"ח ואני מקווה שאף אחד לא יחליט להכניס אותו לחקירת מצ"ח. זה אירוע מבצעי שהתקבלו בו החלטות כאלו ואחרות, זה לא משהו שבודקים אותו בכלים פליליים. צריך לתחקר אותו בכלים פיקודיים כדי להשתפר בפעם הבאה ... עולה כעת השאלה של תחקירים וחקירות, אחד המבחנים של מפקד זה מתן גיבוי לאנשיו. כמובן כל עוד הם לא סרחו. הדרך הנכונה לתחקר אירועים מבצעיים באופן שבו מתחזק האמון של אנשיך בך – גם אם נעשו טעויות מקצועיות או אחרות, המלחמה היא שדה אי הוודאות. התחקיר, לעומת החקירה, צופה פני העתיד. אתה רוצה ללמוד מהתרגיל או מהפעולה או מהקרב מה נכון ומה לא נכון, מה טוב ומה לא טוב, כדי להפיק לקחים ולהשתפר בעתיד. זו מהות התחקיר. לא סתם אנחנו אומרים שיש צורך בחיסיון לתחקיר, כדי שאנשים ידברו באופן חופשי </w:t>
      </w:r>
      <w:r w:rsidRPr="00931FC7">
        <w:rPr>
          <w:rFonts w:ascii="Times New Roman" w:hAnsi="Times New Roman" w:cs="Times New Roman"/>
          <w:b/>
          <w:bCs/>
          <w:sz w:val="24"/>
          <w:szCs w:val="24"/>
          <w:rtl/>
        </w:rPr>
        <w:lastRenderedPageBreak/>
        <w:t xml:space="preserve">ויקחו אחריות על טעויות שלהם ... חקירה מחפשת אשמים. היא צופה פני עבר ומסתכלת אל העבר. יש מקרים שזה חיוני. אם מישהו, תוך כדי קרב, סרח, עד כדי עבירה פלילית – למשל ביזה, אונס, ירי בזדון על אישה או ילד או מישהו שהניף דגל לבן – יש בזה עבירה על הכללים, יש בזה היבט פלילי. זה המקום שבו חוקרים חקירת מצ"ח פלילית". [נועם אמיר, "יעלון: 'מאוד מקווה שלא תתחיל חקירת מצ"ח על האירוע ברפיח'", </w:t>
      </w:r>
      <w:r w:rsidRPr="0020252D">
        <w:rPr>
          <w:rFonts w:ascii="Times New Roman" w:hAnsi="Times New Roman" w:cs="Times New Roman"/>
          <w:b/>
          <w:bCs/>
          <w:sz w:val="24"/>
          <w:szCs w:val="24"/>
          <w:rtl/>
        </w:rPr>
        <w:t>מעריב-און-ליין</w:t>
      </w:r>
      <w:r w:rsidRPr="00931FC7">
        <w:rPr>
          <w:rFonts w:ascii="Times New Roman" w:hAnsi="Times New Roman" w:cs="Times New Roman"/>
          <w:b/>
          <w:bCs/>
          <w:sz w:val="24"/>
          <w:szCs w:val="24"/>
          <w:rtl/>
        </w:rPr>
        <w:t xml:space="preserve"> </w:t>
      </w:r>
      <w:r w:rsidRPr="00931FC7">
        <w:rPr>
          <w:rFonts w:ascii="Times New Roman" w:hAnsi="Times New Roman" w:cs="Times New Roman"/>
          <w:b/>
          <w:bCs/>
          <w:sz w:val="24"/>
          <w:szCs w:val="24"/>
        </w:rPr>
        <w:t>(08/01/2015)</w:t>
      </w:r>
      <w:r w:rsidRPr="00931FC7">
        <w:rPr>
          <w:rFonts w:ascii="Times New Roman" w:hAnsi="Times New Roman" w:cs="Times New Roman"/>
          <w:b/>
          <w:bCs/>
          <w:sz w:val="24"/>
          <w:szCs w:val="24"/>
          <w:rtl/>
        </w:rPr>
        <w:t xml:space="preserve">]. </w:t>
      </w:r>
    </w:p>
    <w:p w:rsidR="00FD7094" w:rsidRPr="00931FC7" w:rsidRDefault="00FD7094" w:rsidP="00C7224F">
      <w:pPr>
        <w:pStyle w:val="a6"/>
        <w:numPr>
          <w:ilvl w:val="0"/>
          <w:numId w:val="27"/>
        </w:numPr>
        <w:bidi/>
        <w:spacing w:after="0" w:line="240" w:lineRule="auto"/>
        <w:jc w:val="both"/>
        <w:rPr>
          <w:rFonts w:ascii="Times New Roman" w:hAnsi="Times New Roman" w:cs="Times New Roman"/>
          <w:b/>
          <w:bCs/>
          <w:sz w:val="24"/>
          <w:szCs w:val="24"/>
        </w:rPr>
      </w:pPr>
      <w:r w:rsidRPr="00931FC7">
        <w:rPr>
          <w:rFonts w:ascii="Times New Roman" w:hAnsi="Times New Roman" w:cs="Times New Roman"/>
          <w:b/>
          <w:bCs/>
          <w:sz w:val="24"/>
          <w:szCs w:val="24"/>
          <w:rtl/>
        </w:rPr>
        <w:t>האם לאור מה שנלמד בקורס, צודק שר הביטחון בנוגע לאבחנתו בין מקרים שראוי ומקרים שלא ראוי לפתוח בהם בחקירה?</w:t>
      </w:r>
    </w:p>
    <w:p w:rsidR="00FD7094" w:rsidRPr="004D050C" w:rsidRDefault="00FD7094" w:rsidP="004D050C">
      <w:pPr>
        <w:pStyle w:val="a6"/>
        <w:numPr>
          <w:ilvl w:val="0"/>
          <w:numId w:val="27"/>
        </w:numPr>
        <w:bidi/>
        <w:spacing w:after="0" w:line="240" w:lineRule="auto"/>
        <w:jc w:val="both"/>
        <w:rPr>
          <w:rFonts w:ascii="Times New Roman" w:hAnsi="Times New Roman" w:cs="Times New Roman"/>
          <w:b/>
          <w:bCs/>
          <w:sz w:val="24"/>
          <w:szCs w:val="24"/>
        </w:rPr>
      </w:pPr>
      <w:r w:rsidRPr="004D050C">
        <w:rPr>
          <w:rFonts w:ascii="Times New Roman" w:hAnsi="Times New Roman" w:cs="Times New Roman"/>
          <w:b/>
          <w:bCs/>
          <w:sz w:val="24"/>
          <w:szCs w:val="24"/>
          <w:rtl/>
        </w:rPr>
        <w:t xml:space="preserve">הניחו [הנחה תיאורטית – לצורך השאלה בלבד] שבעקבות </w:t>
      </w:r>
      <w:r>
        <w:rPr>
          <w:rFonts w:ascii="Times New Roman" w:hAnsi="Times New Roman" w:cs="Times New Roman"/>
          <w:b/>
          <w:bCs/>
          <w:sz w:val="24"/>
          <w:szCs w:val="24"/>
          <w:rtl/>
        </w:rPr>
        <w:t>לחץ מצד</w:t>
      </w:r>
      <w:r w:rsidRPr="004D050C">
        <w:rPr>
          <w:rFonts w:ascii="Times New Roman" w:hAnsi="Times New Roman" w:cs="Times New Roman"/>
          <w:b/>
          <w:bCs/>
          <w:sz w:val="24"/>
          <w:szCs w:val="24"/>
          <w:rtl/>
        </w:rPr>
        <w:t xml:space="preserve"> שר הביטחון החליט הפרקליט הצבאי הראשי (הפצ"ר) שלא לפתוח בחקירה בנוגע לאירוע ברפיח, ובעקבות </w:t>
      </w:r>
      <w:r>
        <w:rPr>
          <w:rFonts w:ascii="Times New Roman" w:hAnsi="Times New Roman" w:cs="Times New Roman"/>
          <w:b/>
          <w:bCs/>
          <w:sz w:val="24"/>
          <w:szCs w:val="24"/>
          <w:rtl/>
        </w:rPr>
        <w:t>ההחלטה האמורה</w:t>
      </w:r>
      <w:r w:rsidRPr="004D050C">
        <w:rPr>
          <w:rFonts w:ascii="Times New Roman" w:hAnsi="Times New Roman" w:cs="Times New Roman"/>
          <w:b/>
          <w:bCs/>
          <w:sz w:val="24"/>
          <w:szCs w:val="24"/>
          <w:rtl/>
        </w:rPr>
        <w:t xml:space="preserve">, מתראיין אבו-מאזן לעיתונות ואומר "עתה ברור לחלוטין שהישראלים לא מסוגלים לחקור את עצמם. עובדה זו תאפשר לנו לדאוג לכך ששר </w:t>
      </w:r>
      <w:r>
        <w:rPr>
          <w:rFonts w:ascii="Times New Roman" w:hAnsi="Times New Roman" w:cs="Times New Roman"/>
          <w:b/>
          <w:bCs/>
          <w:sz w:val="24"/>
          <w:szCs w:val="24"/>
          <w:rtl/>
        </w:rPr>
        <w:t>ה</w:t>
      </w:r>
      <w:r w:rsidRPr="004D050C">
        <w:rPr>
          <w:rFonts w:ascii="Times New Roman" w:hAnsi="Times New Roman" w:cs="Times New Roman"/>
          <w:b/>
          <w:bCs/>
          <w:sz w:val="24"/>
          <w:szCs w:val="24"/>
          <w:rtl/>
        </w:rPr>
        <w:t>ביטחון הישראלי יועמד לדין, או ב-</w:t>
      </w:r>
      <w:r w:rsidRPr="004D050C">
        <w:rPr>
          <w:rFonts w:ascii="Times New Roman" w:hAnsi="Times New Roman" w:cs="Times New Roman"/>
          <w:b/>
          <w:bCs/>
          <w:sz w:val="24"/>
          <w:szCs w:val="24"/>
        </w:rPr>
        <w:t>ICC</w:t>
      </w:r>
      <w:r w:rsidRPr="004D050C">
        <w:rPr>
          <w:rFonts w:ascii="Times New Roman" w:hAnsi="Times New Roman" w:cs="Times New Roman"/>
          <w:b/>
          <w:bCs/>
          <w:sz w:val="24"/>
          <w:szCs w:val="24"/>
          <w:rtl/>
        </w:rPr>
        <w:t xml:space="preserve"> או במדינה אירופית מתוקף הסמכות אוניברסאלית, בגין מעורבותו בפשע המלחמה של ירי בלתי מאבחן שבוצע ברפיח." האם צודק אבו-מאזן בהצהרתו? [אין צורך </w:t>
      </w:r>
      <w:r>
        <w:rPr>
          <w:rFonts w:ascii="Times New Roman" w:hAnsi="Times New Roman" w:cs="Times New Roman"/>
          <w:b/>
          <w:bCs/>
          <w:sz w:val="24"/>
          <w:szCs w:val="24"/>
          <w:rtl/>
        </w:rPr>
        <w:t xml:space="preserve">לדון בסוגיית </w:t>
      </w:r>
      <w:r w:rsidRPr="004D050C">
        <w:rPr>
          <w:rFonts w:ascii="Times New Roman" w:hAnsi="Times New Roman" w:cs="Times New Roman"/>
          <w:b/>
          <w:bCs/>
          <w:sz w:val="24"/>
          <w:szCs w:val="24"/>
          <w:rtl/>
        </w:rPr>
        <w:t>הצטרפות</w:t>
      </w:r>
      <w:r>
        <w:rPr>
          <w:rFonts w:ascii="Times New Roman" w:hAnsi="Times New Roman" w:cs="Times New Roman"/>
          <w:b/>
          <w:bCs/>
          <w:sz w:val="24"/>
          <w:szCs w:val="24"/>
          <w:rtl/>
        </w:rPr>
        <w:t>ם הפלסטינ</w:t>
      </w:r>
      <w:r w:rsidRPr="004D050C">
        <w:rPr>
          <w:rFonts w:ascii="Times New Roman" w:hAnsi="Times New Roman" w:cs="Times New Roman"/>
          <w:b/>
          <w:bCs/>
          <w:sz w:val="24"/>
          <w:szCs w:val="24"/>
          <w:rtl/>
        </w:rPr>
        <w:t>ים ל-</w:t>
      </w:r>
      <w:r w:rsidRPr="004D050C">
        <w:rPr>
          <w:rFonts w:ascii="Times New Roman" w:hAnsi="Times New Roman" w:cs="Times New Roman"/>
          <w:b/>
          <w:bCs/>
          <w:sz w:val="24"/>
          <w:szCs w:val="24"/>
        </w:rPr>
        <w:t>ICC</w:t>
      </w:r>
      <w:r w:rsidRPr="004D050C">
        <w:rPr>
          <w:rFonts w:ascii="Times New Roman" w:hAnsi="Times New Roman" w:cs="Times New Roman"/>
          <w:b/>
          <w:bCs/>
          <w:sz w:val="24"/>
          <w:szCs w:val="24"/>
          <w:rtl/>
        </w:rPr>
        <w:t xml:space="preserve"> או בהסכמי אוסלו</w:t>
      </w:r>
      <w:r>
        <w:rPr>
          <w:rFonts w:ascii="Times New Roman" w:hAnsi="Times New Roman" w:cs="Times New Roman"/>
          <w:b/>
          <w:bCs/>
          <w:sz w:val="24"/>
          <w:szCs w:val="24"/>
          <w:rtl/>
        </w:rPr>
        <w:t xml:space="preserve">; </w:t>
      </w:r>
      <w:r w:rsidRPr="004D050C">
        <w:rPr>
          <w:rFonts w:ascii="Times New Roman" w:hAnsi="Times New Roman" w:cs="Times New Roman"/>
          <w:b/>
          <w:bCs/>
          <w:sz w:val="24"/>
          <w:szCs w:val="24"/>
          <w:rtl/>
        </w:rPr>
        <w:t>הניחו לצורך הסעיף</w:t>
      </w:r>
      <w:r>
        <w:rPr>
          <w:rFonts w:ascii="Times New Roman" w:hAnsi="Times New Roman" w:cs="Times New Roman"/>
          <w:b/>
          <w:bCs/>
          <w:sz w:val="24"/>
          <w:szCs w:val="24"/>
          <w:rtl/>
        </w:rPr>
        <w:t xml:space="preserve"> (ולצורך הסעיף בלבד)</w:t>
      </w:r>
      <w:r w:rsidRPr="004D050C">
        <w:rPr>
          <w:rFonts w:ascii="Times New Roman" w:hAnsi="Times New Roman" w:cs="Times New Roman"/>
          <w:b/>
          <w:bCs/>
          <w:sz w:val="24"/>
          <w:szCs w:val="24"/>
          <w:rtl/>
        </w:rPr>
        <w:t xml:space="preserve"> שמוסדות ה-</w:t>
      </w:r>
      <w:r w:rsidRPr="004D050C">
        <w:rPr>
          <w:rFonts w:ascii="Times New Roman" w:hAnsi="Times New Roman" w:cs="Times New Roman"/>
          <w:b/>
          <w:bCs/>
          <w:sz w:val="24"/>
          <w:szCs w:val="24"/>
        </w:rPr>
        <w:t>ICC</w:t>
      </w:r>
      <w:r w:rsidRPr="004D050C">
        <w:rPr>
          <w:rFonts w:ascii="Times New Roman" w:hAnsi="Times New Roman" w:cs="Times New Roman"/>
          <w:b/>
          <w:bCs/>
          <w:sz w:val="24"/>
          <w:szCs w:val="24"/>
          <w:rtl/>
        </w:rPr>
        <w:t xml:space="preserve"> החליטו לקבל את הפלסטינאים כחברים לאמנת ר</w:t>
      </w:r>
      <w:r>
        <w:rPr>
          <w:rFonts w:ascii="Times New Roman" w:hAnsi="Times New Roman" w:cs="Times New Roman"/>
          <w:b/>
          <w:bCs/>
          <w:sz w:val="24"/>
          <w:szCs w:val="24"/>
          <w:rtl/>
        </w:rPr>
        <w:t>ומא ועזה הוכרה כטריטוריה פלסטינ</w:t>
      </w:r>
      <w:r w:rsidRPr="004D050C">
        <w:rPr>
          <w:rFonts w:ascii="Times New Roman" w:hAnsi="Times New Roman" w:cs="Times New Roman"/>
          <w:b/>
          <w:bCs/>
          <w:sz w:val="24"/>
          <w:szCs w:val="24"/>
          <w:rtl/>
        </w:rPr>
        <w:t>ית].</w:t>
      </w:r>
    </w:p>
    <w:p w:rsidR="00FD7094" w:rsidRDefault="00FD7094" w:rsidP="00931FC7">
      <w:pPr>
        <w:rPr>
          <w:rFonts w:ascii="Times New Roman" w:hAnsi="Times New Roman" w:cs="Times New Roman"/>
          <w:color w:val="4F6228"/>
          <w:sz w:val="24"/>
          <w:szCs w:val="24"/>
          <w:rtl/>
        </w:rPr>
      </w:pPr>
      <w:r>
        <w:rPr>
          <w:rFonts w:ascii="Times New Roman" w:hAnsi="Times New Roman" w:cs="Times New Roman"/>
          <w:color w:val="4F6228"/>
          <w:sz w:val="24"/>
          <w:szCs w:val="24"/>
          <w:rtl/>
        </w:rPr>
        <w:br w:type="page"/>
      </w:r>
    </w:p>
    <w:p w:rsidR="00FD7094" w:rsidRDefault="00FD7094" w:rsidP="00801D0C">
      <w:pPr>
        <w:spacing w:after="0" w:line="360" w:lineRule="auto"/>
        <w:jc w:val="both"/>
        <w:rPr>
          <w:rFonts w:ascii="Times New Roman" w:hAnsi="Times New Roman" w:cs="Times New Roman"/>
          <w:color w:val="4F6228"/>
          <w:sz w:val="24"/>
          <w:szCs w:val="24"/>
          <w:rtl/>
        </w:rPr>
      </w:pPr>
      <w:r>
        <w:rPr>
          <w:rFonts w:ascii="Times New Roman" w:hAnsi="Times New Roman" w:cs="Times New Roman"/>
          <w:color w:val="4F6228"/>
          <w:sz w:val="24"/>
          <w:szCs w:val="24"/>
          <w:rtl/>
        </w:rPr>
        <w:t xml:space="preserve">א) </w:t>
      </w:r>
      <w:r w:rsidRPr="00C76CED">
        <w:rPr>
          <w:rFonts w:ascii="Times New Roman" w:hAnsi="Times New Roman" w:cs="Times New Roman"/>
          <w:color w:val="4F6228"/>
          <w:sz w:val="24"/>
          <w:szCs w:val="24"/>
          <w:rtl/>
        </w:rPr>
        <w:t xml:space="preserve">דבריו של יעלון מבטאים את "נקודת המבט הפנימי" בה לרוב מחזיקים גורמים במדינה המעורבת בלחימה כשהם בוחנים את מעשי </w:t>
      </w:r>
      <w:r>
        <w:rPr>
          <w:rFonts w:ascii="Times New Roman" w:hAnsi="Times New Roman" w:cs="Times New Roman"/>
          <w:color w:val="4F6228"/>
          <w:sz w:val="24"/>
          <w:szCs w:val="24"/>
          <w:rtl/>
        </w:rPr>
        <w:t>חייליה</w:t>
      </w:r>
      <w:r w:rsidRPr="00C76CED">
        <w:rPr>
          <w:rFonts w:ascii="Times New Roman" w:hAnsi="Times New Roman" w:cs="Times New Roman"/>
          <w:color w:val="4F6228"/>
          <w:sz w:val="24"/>
          <w:szCs w:val="24"/>
          <w:rtl/>
        </w:rPr>
        <w:t>ם. נקודת מבט זו, ככלל, מניחה שההסתברות שהחיילים מבצעים פשעים היא קטנה</w:t>
      </w:r>
      <w:r>
        <w:rPr>
          <w:rFonts w:ascii="Times New Roman" w:hAnsi="Times New Roman" w:cs="Times New Roman"/>
          <w:color w:val="4F6228"/>
          <w:sz w:val="24"/>
          <w:szCs w:val="24"/>
          <w:rtl/>
        </w:rPr>
        <w:t xml:space="preserve"> ביותר</w:t>
      </w:r>
      <w:r w:rsidRPr="00C76CED">
        <w:rPr>
          <w:rFonts w:ascii="Times New Roman" w:hAnsi="Times New Roman" w:cs="Times New Roman"/>
          <w:color w:val="4F6228"/>
          <w:sz w:val="24"/>
          <w:szCs w:val="24"/>
          <w:rtl/>
        </w:rPr>
        <w:t>, ולכן המחזיקים בה בעיקר חוששים מההשלכות השליליות שעשויות להיות לפתיחה בחקירות פליליות. השלכות אלו ה</w:t>
      </w:r>
      <w:r>
        <w:rPr>
          <w:rFonts w:ascii="Times New Roman" w:hAnsi="Times New Roman" w:cs="Times New Roman"/>
          <w:color w:val="4F6228"/>
          <w:sz w:val="24"/>
          <w:szCs w:val="24"/>
          <w:rtl/>
        </w:rPr>
        <w:t>ן</w:t>
      </w:r>
      <w:r w:rsidRPr="00C76CED">
        <w:rPr>
          <w:rFonts w:ascii="Times New Roman" w:hAnsi="Times New Roman" w:cs="Times New Roman"/>
          <w:color w:val="4F6228"/>
          <w:sz w:val="24"/>
          <w:szCs w:val="24"/>
          <w:rtl/>
        </w:rPr>
        <w:t xml:space="preserve">: פגיעה במוטיבציה של החיילים להילחם </w:t>
      </w:r>
      <w:r>
        <w:rPr>
          <w:rFonts w:ascii="Times New Roman" w:hAnsi="Times New Roman" w:cs="Times New Roman"/>
          <w:color w:val="4F6228"/>
          <w:sz w:val="24"/>
          <w:szCs w:val="24"/>
          <w:rtl/>
        </w:rPr>
        <w:t xml:space="preserve">עקב החשש מפני העמדה לדין בדיעבד </w:t>
      </w:r>
      <w:r w:rsidRPr="00C76CED">
        <w:rPr>
          <w:rFonts w:ascii="Times New Roman" w:hAnsi="Times New Roman" w:cs="Times New Roman"/>
          <w:color w:val="4F6228"/>
          <w:sz w:val="24"/>
          <w:szCs w:val="24"/>
          <w:rtl/>
        </w:rPr>
        <w:t xml:space="preserve">("אפקט מצנן"),  והחשש שהחיילים לא ישתפו פעולה עם גוף חוקר חיצוני (משטרה), ולעומת זאת אם יעשה שימוש בתחקיר לבירור האמת, הם </w:t>
      </w:r>
      <w:r>
        <w:rPr>
          <w:rFonts w:ascii="Times New Roman" w:hAnsi="Times New Roman" w:cs="Times New Roman"/>
          <w:color w:val="4F6228"/>
          <w:sz w:val="24"/>
          <w:szCs w:val="24"/>
          <w:rtl/>
        </w:rPr>
        <w:t xml:space="preserve">כן </w:t>
      </w:r>
      <w:r w:rsidRPr="00C76CED">
        <w:rPr>
          <w:rFonts w:ascii="Times New Roman" w:hAnsi="Times New Roman" w:cs="Times New Roman"/>
          <w:color w:val="4F6228"/>
          <w:sz w:val="24"/>
          <w:szCs w:val="24"/>
          <w:rtl/>
        </w:rPr>
        <w:t xml:space="preserve">ישתפו פעולה והדבר שיאפשר </w:t>
      </w:r>
      <w:r>
        <w:rPr>
          <w:rFonts w:ascii="Times New Roman" w:hAnsi="Times New Roman" w:cs="Times New Roman"/>
          <w:color w:val="4F6228"/>
          <w:sz w:val="24"/>
          <w:szCs w:val="24"/>
          <w:rtl/>
        </w:rPr>
        <w:t>גילוי ותיקון של</w:t>
      </w:r>
      <w:r w:rsidRPr="00C76CED">
        <w:rPr>
          <w:rFonts w:ascii="Times New Roman" w:hAnsi="Times New Roman" w:cs="Times New Roman"/>
          <w:color w:val="4F6228"/>
          <w:sz w:val="24"/>
          <w:szCs w:val="24"/>
          <w:rtl/>
        </w:rPr>
        <w:t xml:space="preserve"> כשלים מערכתיים. הקושי </w:t>
      </w:r>
      <w:r>
        <w:rPr>
          <w:rFonts w:ascii="Times New Roman" w:hAnsi="Times New Roman" w:cs="Times New Roman"/>
          <w:color w:val="4F6228"/>
          <w:sz w:val="24"/>
          <w:szCs w:val="24"/>
          <w:rtl/>
        </w:rPr>
        <w:t xml:space="preserve">הוא שנקודת מבט זו, לעיתים, </w:t>
      </w:r>
      <w:r w:rsidRPr="00C76CED">
        <w:rPr>
          <w:rFonts w:ascii="Times New Roman" w:hAnsi="Times New Roman" w:cs="Times New Roman"/>
          <w:color w:val="4F6228"/>
          <w:sz w:val="24"/>
          <w:szCs w:val="24"/>
          <w:rtl/>
        </w:rPr>
        <w:t>סובלת מהערכת חסר של היקף הפש</w:t>
      </w:r>
      <w:r>
        <w:rPr>
          <w:rFonts w:ascii="Times New Roman" w:hAnsi="Times New Roman" w:cs="Times New Roman"/>
          <w:color w:val="4F6228"/>
          <w:sz w:val="24"/>
          <w:szCs w:val="24"/>
          <w:rtl/>
        </w:rPr>
        <w:t>י</w:t>
      </w:r>
      <w:r w:rsidRPr="00C76CED">
        <w:rPr>
          <w:rFonts w:ascii="Times New Roman" w:hAnsi="Times New Roman" w:cs="Times New Roman"/>
          <w:color w:val="4F6228"/>
          <w:sz w:val="24"/>
          <w:szCs w:val="24"/>
          <w:rtl/>
        </w:rPr>
        <w:t>עה</w:t>
      </w:r>
      <w:r>
        <w:rPr>
          <w:rFonts w:ascii="Times New Roman" w:hAnsi="Times New Roman" w:cs="Times New Roman"/>
          <w:color w:val="4F6228"/>
          <w:sz w:val="24"/>
          <w:szCs w:val="24"/>
          <w:rtl/>
        </w:rPr>
        <w:t>. הערכת חסר זו מושפעת מ</w:t>
      </w:r>
      <w:r w:rsidRPr="00C76CED">
        <w:rPr>
          <w:rFonts w:ascii="Times New Roman" w:hAnsi="Times New Roman" w:cs="Times New Roman"/>
          <w:color w:val="4F6228"/>
          <w:sz w:val="24"/>
          <w:szCs w:val="24"/>
          <w:rtl/>
        </w:rPr>
        <w:t xml:space="preserve">ההנחה שכל פשעי המלחמה הם מעשים נוראים; שכן, הנחה זו, </w:t>
      </w:r>
      <w:r>
        <w:rPr>
          <w:rFonts w:ascii="Times New Roman" w:hAnsi="Times New Roman" w:cs="Times New Roman"/>
          <w:color w:val="4F6228"/>
          <w:sz w:val="24"/>
          <w:szCs w:val="24"/>
          <w:rtl/>
        </w:rPr>
        <w:t xml:space="preserve">מובילה את </w:t>
      </w:r>
      <w:r w:rsidRPr="00C76CED">
        <w:rPr>
          <w:rFonts w:ascii="Times New Roman" w:hAnsi="Times New Roman" w:cs="Times New Roman"/>
          <w:color w:val="4F6228"/>
          <w:sz w:val="24"/>
          <w:szCs w:val="24"/>
          <w:rtl/>
        </w:rPr>
        <w:t xml:space="preserve">המחזיקים בנקודת המבט הפנימית, </w:t>
      </w:r>
      <w:r>
        <w:rPr>
          <w:rFonts w:ascii="Times New Roman" w:hAnsi="Times New Roman" w:cs="Times New Roman"/>
          <w:color w:val="4F6228"/>
          <w:sz w:val="24"/>
          <w:szCs w:val="24"/>
          <w:rtl/>
        </w:rPr>
        <w:t>לגבש</w:t>
      </w:r>
      <w:r w:rsidRPr="00C76CED">
        <w:rPr>
          <w:rFonts w:ascii="Times New Roman" w:hAnsi="Times New Roman" w:cs="Times New Roman"/>
          <w:color w:val="4F6228"/>
          <w:sz w:val="24"/>
          <w:szCs w:val="24"/>
          <w:rtl/>
        </w:rPr>
        <w:t xml:space="preserve"> עמדה לפיה: "אצלנו לא מבוצעים מעשי זוועה ולכן אצלנו ככלל לא מבוצעים פשעי מלחמה" ("הצבא המוסרי בעולם"). אך עמדה זו היא שגויה</w:t>
      </w:r>
      <w:r>
        <w:rPr>
          <w:rFonts w:ascii="Times New Roman" w:hAnsi="Times New Roman" w:cs="Times New Roman"/>
          <w:color w:val="4F6228"/>
          <w:sz w:val="24"/>
          <w:szCs w:val="24"/>
          <w:rtl/>
        </w:rPr>
        <w:t>, שכן</w:t>
      </w:r>
      <w:r w:rsidRPr="00C76CED">
        <w:rPr>
          <w:rFonts w:ascii="Times New Roman" w:hAnsi="Times New Roman" w:cs="Times New Roman"/>
          <w:color w:val="4F6228"/>
          <w:sz w:val="24"/>
          <w:szCs w:val="24"/>
          <w:rtl/>
        </w:rPr>
        <w:t xml:space="preserve">: 1) גם בצבאות של מדינות דמוקרטיות ההיסטוריה הוכיחה שלעיתים מבוצעים </w:t>
      </w:r>
      <w:r>
        <w:rPr>
          <w:rFonts w:ascii="Times New Roman" w:hAnsi="Times New Roman" w:cs="Times New Roman"/>
          <w:color w:val="4F6228"/>
          <w:sz w:val="24"/>
          <w:szCs w:val="24"/>
          <w:rtl/>
        </w:rPr>
        <w:t>פשעי מלחמה נוראים</w:t>
      </w:r>
      <w:r w:rsidRPr="00C76CED">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ו-</w:t>
      </w:r>
      <w:r w:rsidRPr="00C76CED">
        <w:rPr>
          <w:rFonts w:ascii="Times New Roman" w:hAnsi="Times New Roman" w:cs="Times New Roman"/>
          <w:color w:val="4F6228"/>
          <w:sz w:val="24"/>
          <w:szCs w:val="24"/>
          <w:rtl/>
        </w:rPr>
        <w:t xml:space="preserve">2) </w:t>
      </w:r>
      <w:r>
        <w:rPr>
          <w:rFonts w:ascii="Times New Roman" w:hAnsi="Times New Roman" w:cs="Times New Roman"/>
          <w:color w:val="4F6228"/>
          <w:sz w:val="24"/>
          <w:szCs w:val="24"/>
          <w:rtl/>
        </w:rPr>
        <w:t>זו טעות לסבור שכל פשעים המלחמה הם נוראים באופן קיצוני וכל פושעי המלחמה הם מפלצות</w:t>
      </w:r>
      <w:r w:rsidRPr="00C76CED">
        <w:rPr>
          <w:rFonts w:ascii="Times New Roman" w:hAnsi="Times New Roman" w:cs="Times New Roman"/>
          <w:color w:val="4F6228"/>
          <w:sz w:val="24"/>
          <w:szCs w:val="24"/>
          <w:rtl/>
        </w:rPr>
        <w:t xml:space="preserve"> (וזאת בשונה מעמדתו של יעלון שסבור שצריך לפתוח בחקירה רק במקרה של חשד ל-אונס, ביזה וכו), שכן, הנ</w:t>
      </w:r>
      <w:r>
        <w:rPr>
          <w:rFonts w:ascii="Times New Roman" w:hAnsi="Times New Roman" w:cs="Times New Roman"/>
          <w:color w:val="4F6228"/>
          <w:sz w:val="24"/>
          <w:szCs w:val="24"/>
          <w:rtl/>
        </w:rPr>
        <w:t>י</w:t>
      </w:r>
      <w:r w:rsidRPr="00C76CED">
        <w:rPr>
          <w:rFonts w:ascii="Times New Roman" w:hAnsi="Times New Roman" w:cs="Times New Roman"/>
          <w:color w:val="4F6228"/>
          <w:sz w:val="24"/>
          <w:szCs w:val="24"/>
          <w:rtl/>
        </w:rPr>
        <w:t xml:space="preserve">סיון הוכיח, שאי אכיפה גם </w:t>
      </w:r>
      <w:r>
        <w:rPr>
          <w:rFonts w:ascii="Times New Roman" w:hAnsi="Times New Roman" w:cs="Times New Roman"/>
          <w:color w:val="4F6228"/>
          <w:sz w:val="24"/>
          <w:szCs w:val="24"/>
          <w:rtl/>
        </w:rPr>
        <w:t>הפשעים ה</w:t>
      </w:r>
      <w:r w:rsidRPr="00C76CED">
        <w:rPr>
          <w:rFonts w:ascii="Times New Roman" w:hAnsi="Times New Roman" w:cs="Times New Roman"/>
          <w:color w:val="4F6228"/>
          <w:sz w:val="24"/>
          <w:szCs w:val="24"/>
          <w:rtl/>
        </w:rPr>
        <w:t xml:space="preserve">פחות </w:t>
      </w:r>
      <w:proofErr w:type="spellStart"/>
      <w:r w:rsidRPr="00C76CED">
        <w:rPr>
          <w:rFonts w:ascii="Times New Roman" w:hAnsi="Times New Roman" w:cs="Times New Roman"/>
          <w:color w:val="4F6228"/>
          <w:sz w:val="24"/>
          <w:szCs w:val="24"/>
          <w:rtl/>
        </w:rPr>
        <w:t>מזוועים</w:t>
      </w:r>
      <w:proofErr w:type="spellEnd"/>
      <w:r w:rsidRPr="00C76CED">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עלולה ליצור אווירה המספקת ל</w:t>
      </w:r>
      <w:r w:rsidRPr="00C76CED">
        <w:rPr>
          <w:rFonts w:ascii="Times New Roman" w:hAnsi="Times New Roman" w:cs="Times New Roman"/>
          <w:color w:val="4F6228"/>
          <w:sz w:val="24"/>
          <w:szCs w:val="24"/>
          <w:rtl/>
        </w:rPr>
        <w:t xml:space="preserve">חיילים </w:t>
      </w:r>
      <w:proofErr w:type="spellStart"/>
      <w:r w:rsidRPr="00C76CED">
        <w:rPr>
          <w:rFonts w:ascii="Times New Roman" w:hAnsi="Times New Roman" w:cs="Times New Roman"/>
          <w:color w:val="4F6228"/>
          <w:sz w:val="24"/>
          <w:szCs w:val="24"/>
          <w:rtl/>
        </w:rPr>
        <w:t>מסויימים</w:t>
      </w:r>
      <w:proofErr w:type="spellEnd"/>
      <w:r w:rsidRPr="00C76CED">
        <w:rPr>
          <w:rFonts w:ascii="Times New Roman" w:hAnsi="Times New Roman" w:cs="Times New Roman"/>
          <w:color w:val="4F6228"/>
          <w:sz w:val="24"/>
          <w:szCs w:val="24"/>
          <w:rtl/>
        </w:rPr>
        <w:t xml:space="preserve"> </w:t>
      </w:r>
      <w:proofErr w:type="spellStart"/>
      <w:r w:rsidRPr="00C76CED">
        <w:rPr>
          <w:rFonts w:ascii="Times New Roman" w:hAnsi="Times New Roman" w:cs="Times New Roman"/>
          <w:color w:val="4F6228"/>
          <w:sz w:val="24"/>
          <w:szCs w:val="24"/>
          <w:rtl/>
        </w:rPr>
        <w:t>ליטימציה</w:t>
      </w:r>
      <w:proofErr w:type="spellEnd"/>
      <w:r w:rsidRPr="00C76CED">
        <w:rPr>
          <w:rFonts w:ascii="Times New Roman" w:hAnsi="Times New Roman" w:cs="Times New Roman"/>
          <w:color w:val="4F6228"/>
          <w:sz w:val="24"/>
          <w:szCs w:val="24"/>
          <w:rtl/>
        </w:rPr>
        <w:t xml:space="preserve"> לבצע את מעשי זוועה. יתר על כן, על אף שאין זו כוונתו של התחקיר, יש בו אלמנט מסויים של תיאום עדויות, שכן הלוחמים נפגשים יחדיו במטרה </w:t>
      </w:r>
      <w:r>
        <w:rPr>
          <w:rFonts w:ascii="Times New Roman" w:hAnsi="Times New Roman" w:cs="Times New Roman"/>
          <w:color w:val="4F6228"/>
          <w:sz w:val="24"/>
          <w:szCs w:val="24"/>
          <w:rtl/>
        </w:rPr>
        <w:t>לגבש נרטיב מוסכם</w:t>
      </w:r>
      <w:r w:rsidRPr="00C76CED">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וכתוצאה מכך, לאחר</w:t>
      </w:r>
      <w:r w:rsidRPr="00C76CED">
        <w:rPr>
          <w:rFonts w:ascii="Times New Roman" w:hAnsi="Times New Roman" w:cs="Times New Roman"/>
          <w:color w:val="4F6228"/>
          <w:sz w:val="24"/>
          <w:szCs w:val="24"/>
          <w:rtl/>
        </w:rPr>
        <w:t xml:space="preserve"> שנערך תחקיר קיים, פעמים רבות, קושי משמעותי לנהל חקירה פלילית יעילה, שכן, בשונה מתחקיר חקירה פלילית מנסה להגיע לבירור האמת באמצעות ניסיון למצוא סתירות בין </w:t>
      </w:r>
      <w:r>
        <w:rPr>
          <w:rFonts w:ascii="Times New Roman" w:hAnsi="Times New Roman" w:cs="Times New Roman"/>
          <w:color w:val="4F6228"/>
          <w:sz w:val="24"/>
          <w:szCs w:val="24"/>
          <w:rtl/>
        </w:rPr>
        <w:t>ה</w:t>
      </w:r>
      <w:r w:rsidRPr="00C76CED">
        <w:rPr>
          <w:rFonts w:ascii="Times New Roman" w:hAnsi="Times New Roman" w:cs="Times New Roman"/>
          <w:color w:val="4F6228"/>
          <w:sz w:val="24"/>
          <w:szCs w:val="24"/>
          <w:rtl/>
        </w:rPr>
        <w:t xml:space="preserve">גרסאות </w:t>
      </w:r>
      <w:r>
        <w:rPr>
          <w:rFonts w:ascii="Times New Roman" w:hAnsi="Times New Roman" w:cs="Times New Roman"/>
          <w:color w:val="4F6228"/>
          <w:sz w:val="24"/>
          <w:szCs w:val="24"/>
          <w:rtl/>
        </w:rPr>
        <w:t xml:space="preserve">של </w:t>
      </w:r>
      <w:r w:rsidRPr="00C76CED">
        <w:rPr>
          <w:rFonts w:ascii="Times New Roman" w:hAnsi="Times New Roman" w:cs="Times New Roman"/>
          <w:color w:val="4F6228"/>
          <w:sz w:val="24"/>
          <w:szCs w:val="24"/>
          <w:rtl/>
        </w:rPr>
        <w:t xml:space="preserve">הגורמים השונים המעורבים (והתחקיר שנערך קודם, אף אם לא במתכוון, מאפשר להם ליצור </w:t>
      </w:r>
      <w:proofErr w:type="spellStart"/>
      <w:r w:rsidRPr="00C76CED">
        <w:rPr>
          <w:rFonts w:ascii="Times New Roman" w:hAnsi="Times New Roman" w:cs="Times New Roman"/>
          <w:color w:val="4F6228"/>
          <w:sz w:val="24"/>
          <w:szCs w:val="24"/>
          <w:rtl/>
        </w:rPr>
        <w:t>גרסא</w:t>
      </w:r>
      <w:proofErr w:type="spellEnd"/>
      <w:r w:rsidRPr="00C76CED">
        <w:rPr>
          <w:rFonts w:ascii="Times New Roman" w:hAnsi="Times New Roman" w:cs="Times New Roman"/>
          <w:color w:val="4F6228"/>
          <w:sz w:val="24"/>
          <w:szCs w:val="24"/>
          <w:rtl/>
        </w:rPr>
        <w:t xml:space="preserve"> משותפת). [כמו כן, לעיתים, חיילים, באופן מצער, משקרים גם בתחקירים]. אין להבין מהדברים האמורים, שהעמדה של אלו המביטים על העימות מהצד</w:t>
      </w:r>
      <w:r>
        <w:rPr>
          <w:rFonts w:ascii="Times New Roman" w:hAnsi="Times New Roman" w:cs="Times New Roman"/>
          <w:color w:val="4F6228"/>
          <w:sz w:val="24"/>
          <w:szCs w:val="24"/>
          <w:rtl/>
        </w:rPr>
        <w:t xml:space="preserve"> (נקודת המבט החיצונית</w:t>
      </w:r>
      <w:r w:rsidRPr="00C76CED">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ש</w:t>
      </w:r>
      <w:r w:rsidRPr="00C76CED">
        <w:rPr>
          <w:rFonts w:ascii="Times New Roman" w:hAnsi="Times New Roman" w:cs="Times New Roman"/>
          <w:color w:val="4F6228"/>
          <w:sz w:val="24"/>
          <w:szCs w:val="24"/>
          <w:rtl/>
        </w:rPr>
        <w:t>לרוב ת</w:t>
      </w:r>
      <w:r>
        <w:rPr>
          <w:rFonts w:ascii="Times New Roman" w:hAnsi="Times New Roman" w:cs="Times New Roman"/>
          <w:color w:val="4F6228"/>
          <w:sz w:val="24"/>
          <w:szCs w:val="24"/>
          <w:rtl/>
        </w:rPr>
        <w:t>ומכת</w:t>
      </w:r>
      <w:r w:rsidRPr="00C76CED">
        <w:rPr>
          <w:rFonts w:ascii="Times New Roman" w:hAnsi="Times New Roman" w:cs="Times New Roman"/>
          <w:color w:val="4F6228"/>
          <w:sz w:val="24"/>
          <w:szCs w:val="24"/>
          <w:rtl/>
        </w:rPr>
        <w:t xml:space="preserve"> בשימוש נרחב בחקירות פליליות היא העמדה הנכונה. גם עמדה זו, סובלת מהטיות, </w:t>
      </w:r>
      <w:r>
        <w:rPr>
          <w:rFonts w:ascii="Times New Roman" w:hAnsi="Times New Roman" w:cs="Times New Roman"/>
          <w:color w:val="4F6228"/>
          <w:sz w:val="24"/>
          <w:szCs w:val="24"/>
          <w:rtl/>
        </w:rPr>
        <w:t xml:space="preserve">ואלו </w:t>
      </w:r>
      <w:r w:rsidRPr="00C76CED">
        <w:rPr>
          <w:rFonts w:ascii="Times New Roman" w:hAnsi="Times New Roman" w:cs="Times New Roman"/>
          <w:color w:val="4F6228"/>
          <w:sz w:val="24"/>
          <w:szCs w:val="24"/>
          <w:rtl/>
        </w:rPr>
        <w:t xml:space="preserve">מובילות אותה </w:t>
      </w:r>
      <w:r>
        <w:rPr>
          <w:rFonts w:ascii="Times New Roman" w:hAnsi="Times New Roman" w:cs="Times New Roman"/>
          <w:color w:val="4F6228"/>
          <w:sz w:val="24"/>
          <w:szCs w:val="24"/>
          <w:rtl/>
        </w:rPr>
        <w:t>לרוב ל</w:t>
      </w:r>
      <w:r w:rsidRPr="00C76CED">
        <w:rPr>
          <w:rFonts w:ascii="Times New Roman" w:hAnsi="Times New Roman" w:cs="Times New Roman"/>
          <w:color w:val="4F6228"/>
          <w:sz w:val="24"/>
          <w:szCs w:val="24"/>
          <w:rtl/>
        </w:rPr>
        <w:t xml:space="preserve">הערכת יתר של כמות הפשעים. כפי שהוסבר בקורס, אין פתרון טוב לדילמה, וככלל צבא יתחיל לסבול </w:t>
      </w:r>
      <w:r>
        <w:rPr>
          <w:rFonts w:ascii="Times New Roman" w:hAnsi="Times New Roman" w:cs="Times New Roman"/>
          <w:color w:val="4F6228"/>
          <w:sz w:val="24"/>
          <w:szCs w:val="24"/>
          <w:rtl/>
        </w:rPr>
        <w:t>מהשלכות</w:t>
      </w:r>
      <w:r w:rsidRPr="00C76CED">
        <w:rPr>
          <w:rFonts w:ascii="Times New Roman" w:hAnsi="Times New Roman" w:cs="Times New Roman"/>
          <w:color w:val="4F6228"/>
          <w:sz w:val="24"/>
          <w:szCs w:val="24"/>
          <w:rtl/>
        </w:rPr>
        <w:t xml:space="preserve"> השליליות של </w:t>
      </w:r>
      <w:r>
        <w:rPr>
          <w:rFonts w:ascii="Times New Roman" w:hAnsi="Times New Roman" w:cs="Times New Roman"/>
          <w:color w:val="4F6228"/>
          <w:sz w:val="24"/>
          <w:szCs w:val="24"/>
          <w:rtl/>
        </w:rPr>
        <w:t>אמצעי האכיפה הפליליים</w:t>
      </w:r>
      <w:r w:rsidRPr="00C76CED">
        <w:rPr>
          <w:rFonts w:ascii="Times New Roman" w:hAnsi="Times New Roman" w:cs="Times New Roman"/>
          <w:color w:val="4F6228"/>
          <w:sz w:val="24"/>
          <w:szCs w:val="24"/>
          <w:rtl/>
        </w:rPr>
        <w:t xml:space="preserve">, עוד לפני שהוא יגיע לרמת אכיפה והרתעה מספקת. יחד עם זאת, נראה שלאור התעצמות </w:t>
      </w:r>
      <w:proofErr w:type="spellStart"/>
      <w:r w:rsidRPr="00C76CED">
        <w:rPr>
          <w:rFonts w:ascii="Times New Roman" w:hAnsi="Times New Roman" w:cs="Times New Roman"/>
          <w:color w:val="4F6228"/>
          <w:sz w:val="24"/>
          <w:szCs w:val="24"/>
          <w:rtl/>
        </w:rPr>
        <w:t>המשב"ל</w:t>
      </w:r>
      <w:proofErr w:type="spellEnd"/>
      <w:r w:rsidRPr="00C76CED">
        <w:rPr>
          <w:rFonts w:ascii="Times New Roman" w:hAnsi="Times New Roman" w:cs="Times New Roman"/>
          <w:color w:val="4F6228"/>
          <w:sz w:val="24"/>
          <w:szCs w:val="24"/>
          <w:rtl/>
        </w:rPr>
        <w:t xml:space="preserve"> הפלילי קיים צורך לשנות את האיזון ביחס לעבר ולהגביר </w:t>
      </w:r>
      <w:r>
        <w:rPr>
          <w:rFonts w:ascii="Times New Roman" w:hAnsi="Times New Roman" w:cs="Times New Roman"/>
          <w:color w:val="4F6228"/>
          <w:sz w:val="24"/>
          <w:szCs w:val="24"/>
          <w:rtl/>
        </w:rPr>
        <w:t>(</w:t>
      </w:r>
      <w:r w:rsidRPr="00C76CED">
        <w:rPr>
          <w:rFonts w:ascii="Times New Roman" w:hAnsi="Times New Roman" w:cs="Times New Roman"/>
          <w:color w:val="4F6228"/>
          <w:sz w:val="24"/>
          <w:szCs w:val="24"/>
          <w:rtl/>
        </w:rPr>
        <w:t>במידת מה</w:t>
      </w:r>
      <w:r>
        <w:rPr>
          <w:rFonts w:ascii="Times New Roman" w:hAnsi="Times New Roman" w:cs="Times New Roman"/>
          <w:color w:val="4F6228"/>
          <w:sz w:val="24"/>
          <w:szCs w:val="24"/>
          <w:rtl/>
        </w:rPr>
        <w:t>)</w:t>
      </w:r>
      <w:r w:rsidRPr="00C76CED">
        <w:rPr>
          <w:rFonts w:ascii="Times New Roman" w:hAnsi="Times New Roman" w:cs="Times New Roman"/>
          <w:color w:val="4F6228"/>
          <w:sz w:val="24"/>
          <w:szCs w:val="24"/>
          <w:rtl/>
        </w:rPr>
        <w:t xml:space="preserve"> את ההפניה של אירועים </w:t>
      </w:r>
      <w:r>
        <w:rPr>
          <w:rFonts w:ascii="Times New Roman" w:hAnsi="Times New Roman" w:cs="Times New Roman"/>
          <w:color w:val="4F6228"/>
          <w:sz w:val="24"/>
          <w:szCs w:val="24"/>
          <w:rtl/>
        </w:rPr>
        <w:t>ל</w:t>
      </w:r>
      <w:r w:rsidRPr="00C76CED">
        <w:rPr>
          <w:rFonts w:ascii="Times New Roman" w:hAnsi="Times New Roman" w:cs="Times New Roman"/>
          <w:color w:val="4F6228"/>
          <w:sz w:val="24"/>
          <w:szCs w:val="24"/>
          <w:rtl/>
        </w:rPr>
        <w:t xml:space="preserve">חקירות ולא תחקירים </w:t>
      </w:r>
      <w:r>
        <w:rPr>
          <w:rFonts w:ascii="Times New Roman" w:hAnsi="Times New Roman" w:cs="Times New Roman"/>
          <w:color w:val="4F6228"/>
          <w:sz w:val="24"/>
          <w:szCs w:val="24"/>
          <w:rtl/>
        </w:rPr>
        <w:t>(</w:t>
      </w:r>
      <w:r w:rsidRPr="00C76CED">
        <w:rPr>
          <w:rFonts w:ascii="Times New Roman" w:hAnsi="Times New Roman" w:cs="Times New Roman"/>
          <w:color w:val="4F6228"/>
          <w:sz w:val="24"/>
          <w:szCs w:val="24"/>
          <w:rtl/>
        </w:rPr>
        <w:t xml:space="preserve">עמדה זו משתמעת מדו"ח </w:t>
      </w:r>
      <w:proofErr w:type="spellStart"/>
      <w:r w:rsidRPr="00C76CED">
        <w:rPr>
          <w:rFonts w:ascii="Times New Roman" w:hAnsi="Times New Roman" w:cs="Times New Roman"/>
          <w:color w:val="4F6228"/>
          <w:sz w:val="24"/>
          <w:szCs w:val="24"/>
          <w:rtl/>
        </w:rPr>
        <w:t>טירקל</w:t>
      </w:r>
      <w:proofErr w:type="spellEnd"/>
      <w:r>
        <w:rPr>
          <w:rFonts w:ascii="Times New Roman" w:hAnsi="Times New Roman" w:cs="Times New Roman"/>
          <w:color w:val="4F6228"/>
          <w:sz w:val="24"/>
          <w:szCs w:val="24"/>
          <w:rtl/>
        </w:rPr>
        <w:t xml:space="preserve"> </w:t>
      </w:r>
      <w:r w:rsidRPr="00C76CED">
        <w:rPr>
          <w:rFonts w:ascii="Times New Roman" w:hAnsi="Times New Roman" w:cs="Times New Roman"/>
          <w:color w:val="4F6228"/>
          <w:sz w:val="24"/>
          <w:szCs w:val="24"/>
          <w:rtl/>
        </w:rPr>
        <w:t>והסקירה שבוצע</w:t>
      </w:r>
      <w:r>
        <w:rPr>
          <w:rFonts w:ascii="Times New Roman" w:hAnsi="Times New Roman" w:cs="Times New Roman"/>
          <w:color w:val="4F6228"/>
          <w:sz w:val="24"/>
          <w:szCs w:val="24"/>
          <w:rtl/>
        </w:rPr>
        <w:t xml:space="preserve">ה </w:t>
      </w:r>
      <w:r w:rsidRPr="00C76CED">
        <w:rPr>
          <w:rFonts w:ascii="Times New Roman" w:hAnsi="Times New Roman" w:cs="Times New Roman"/>
          <w:color w:val="4F6228"/>
          <w:sz w:val="24"/>
          <w:szCs w:val="24"/>
          <w:rtl/>
        </w:rPr>
        <w:t xml:space="preserve">בה של הרפורמות שנעשו בצבאות רבים בתחום החקירה והאכיפה </w:t>
      </w:r>
      <w:r>
        <w:rPr>
          <w:rFonts w:ascii="Times New Roman" w:hAnsi="Times New Roman" w:cs="Times New Roman"/>
          <w:color w:val="4F6228"/>
          <w:sz w:val="24"/>
          <w:szCs w:val="24"/>
          <w:rtl/>
        </w:rPr>
        <w:t xml:space="preserve">של </w:t>
      </w:r>
      <w:proofErr w:type="spellStart"/>
      <w:r>
        <w:rPr>
          <w:rFonts w:ascii="Times New Roman" w:hAnsi="Times New Roman" w:cs="Times New Roman"/>
          <w:color w:val="4F6228"/>
          <w:sz w:val="24"/>
          <w:szCs w:val="24"/>
          <w:rtl/>
        </w:rPr>
        <w:t>המשב"ל</w:t>
      </w:r>
      <w:proofErr w:type="spellEnd"/>
      <w:r>
        <w:rPr>
          <w:rFonts w:ascii="Times New Roman" w:hAnsi="Times New Roman" w:cs="Times New Roman"/>
          <w:color w:val="4F6228"/>
          <w:sz w:val="24"/>
          <w:szCs w:val="24"/>
          <w:rtl/>
        </w:rPr>
        <w:t xml:space="preserve"> </w:t>
      </w:r>
      <w:r w:rsidRPr="00C76CED">
        <w:rPr>
          <w:rFonts w:ascii="Times New Roman" w:hAnsi="Times New Roman" w:cs="Times New Roman"/>
          <w:color w:val="4F6228"/>
          <w:sz w:val="24"/>
          <w:szCs w:val="24"/>
          <w:rtl/>
        </w:rPr>
        <w:t>בעת לחימה).</w:t>
      </w:r>
    </w:p>
    <w:p w:rsidR="00FD7094" w:rsidRDefault="00FD7094" w:rsidP="004D050C">
      <w:pPr>
        <w:spacing w:after="0" w:line="360" w:lineRule="auto"/>
        <w:jc w:val="both"/>
        <w:rPr>
          <w:rFonts w:ascii="Times New Roman" w:hAnsi="Times New Roman" w:cs="Times New Roman"/>
          <w:color w:val="4F6228"/>
          <w:sz w:val="24"/>
          <w:szCs w:val="24"/>
          <w:rtl/>
        </w:rPr>
      </w:pPr>
      <w:r>
        <w:rPr>
          <w:rFonts w:ascii="Times New Roman" w:hAnsi="Times New Roman" w:cs="Times New Roman"/>
          <w:color w:val="4F6228"/>
          <w:sz w:val="24"/>
          <w:szCs w:val="24"/>
          <w:rtl/>
        </w:rPr>
        <w:t>ב) בהנחה שהפלסטינים התקבלו כחברים ב-</w:t>
      </w:r>
      <w:r>
        <w:rPr>
          <w:rFonts w:ascii="Times New Roman" w:hAnsi="Times New Roman" w:cs="Times New Roman"/>
          <w:color w:val="4F6228"/>
          <w:sz w:val="24"/>
          <w:szCs w:val="24"/>
        </w:rPr>
        <w:t>ICC</w:t>
      </w:r>
      <w:r>
        <w:rPr>
          <w:rFonts w:ascii="Times New Roman" w:hAnsi="Times New Roman" w:cs="Times New Roman"/>
          <w:color w:val="4F6228"/>
          <w:sz w:val="24"/>
          <w:szCs w:val="24"/>
          <w:rtl/>
        </w:rPr>
        <w:t xml:space="preserve">, הרי שלבית הדין יש סמכות על פשעי מלחמה שבוצעו </w:t>
      </w:r>
      <w:proofErr w:type="spellStart"/>
      <w:r>
        <w:rPr>
          <w:rFonts w:ascii="Times New Roman" w:hAnsi="Times New Roman" w:cs="Times New Roman"/>
          <w:color w:val="4F6228"/>
          <w:sz w:val="24"/>
          <w:szCs w:val="24"/>
          <w:rtl/>
        </w:rPr>
        <w:t>בטירטוריה</w:t>
      </w:r>
      <w:proofErr w:type="spellEnd"/>
      <w:r>
        <w:rPr>
          <w:rFonts w:ascii="Times New Roman" w:hAnsi="Times New Roman" w:cs="Times New Roman"/>
          <w:color w:val="4F6228"/>
          <w:sz w:val="24"/>
          <w:szCs w:val="24"/>
          <w:rtl/>
        </w:rPr>
        <w:t xml:space="preserve"> שהוכרה </w:t>
      </w:r>
      <w:proofErr w:type="spellStart"/>
      <w:r>
        <w:rPr>
          <w:rFonts w:ascii="Times New Roman" w:hAnsi="Times New Roman" w:cs="Times New Roman"/>
          <w:color w:val="4F6228"/>
          <w:sz w:val="24"/>
          <w:szCs w:val="24"/>
          <w:rtl/>
        </w:rPr>
        <w:t>כשלהם</w:t>
      </w:r>
      <w:proofErr w:type="spellEnd"/>
      <w:r>
        <w:rPr>
          <w:rFonts w:ascii="Times New Roman" w:hAnsi="Times New Roman" w:cs="Times New Roman"/>
          <w:color w:val="4F6228"/>
          <w:sz w:val="24"/>
          <w:szCs w:val="24"/>
          <w:rtl/>
        </w:rPr>
        <w:t xml:space="preserve"> אף אם הם בוצעו ע"י ישראלים. סמכות אוניברסאלית היא דוקטרינה לפיה כל מדינה </w:t>
      </w:r>
      <w:proofErr w:type="spellStart"/>
      <w:r>
        <w:rPr>
          <w:rFonts w:ascii="Times New Roman" w:hAnsi="Times New Roman" w:cs="Times New Roman"/>
          <w:color w:val="4F6228"/>
          <w:sz w:val="24"/>
          <w:szCs w:val="24"/>
          <w:rtl/>
        </w:rPr>
        <w:t>יוכלה</w:t>
      </w:r>
      <w:proofErr w:type="spellEnd"/>
      <w:r>
        <w:rPr>
          <w:rFonts w:ascii="Times New Roman" w:hAnsi="Times New Roman" w:cs="Times New Roman"/>
          <w:color w:val="4F6228"/>
          <w:sz w:val="24"/>
          <w:szCs w:val="24"/>
          <w:rtl/>
        </w:rPr>
        <w:t xml:space="preserve"> להעמיד לדין מבצעים של פשעים </w:t>
      </w:r>
      <w:proofErr w:type="spellStart"/>
      <w:r>
        <w:rPr>
          <w:rFonts w:ascii="Times New Roman" w:hAnsi="Times New Roman" w:cs="Times New Roman"/>
          <w:color w:val="4F6228"/>
          <w:sz w:val="24"/>
          <w:szCs w:val="24"/>
          <w:rtl/>
        </w:rPr>
        <w:t>בינלאומים</w:t>
      </w:r>
      <w:proofErr w:type="spellEnd"/>
      <w:r>
        <w:rPr>
          <w:rFonts w:ascii="Times New Roman" w:hAnsi="Times New Roman" w:cs="Times New Roman"/>
          <w:color w:val="4F6228"/>
          <w:sz w:val="24"/>
          <w:szCs w:val="24"/>
          <w:rtl/>
        </w:rPr>
        <w:t xml:space="preserve"> גרעינים אף אם היא אינה מדינת הקורבן, העבריין או הטריטוריה בה בוצע הפשע. על אף שיש עמדות שונות בנושא, העמדה הרווחת היא שדוקטרינה זו הינה חלק מהמשפט הבינלאומי </w:t>
      </w:r>
      <w:proofErr w:type="spellStart"/>
      <w:r>
        <w:rPr>
          <w:rFonts w:ascii="Times New Roman" w:hAnsi="Times New Roman" w:cs="Times New Roman"/>
          <w:color w:val="4F6228"/>
          <w:sz w:val="24"/>
          <w:szCs w:val="24"/>
          <w:rtl/>
        </w:rPr>
        <w:t>המנהגי</w:t>
      </w:r>
      <w:proofErr w:type="spellEnd"/>
      <w:r>
        <w:rPr>
          <w:rFonts w:ascii="Times New Roman" w:hAnsi="Times New Roman" w:cs="Times New Roman"/>
          <w:color w:val="4F6228"/>
          <w:sz w:val="24"/>
          <w:szCs w:val="24"/>
          <w:rtl/>
        </w:rPr>
        <w:t>. עקרון המשלימות, הקבוע באמנת רומא, קובע שה-</w:t>
      </w:r>
      <w:r>
        <w:rPr>
          <w:rFonts w:ascii="Times New Roman" w:hAnsi="Times New Roman" w:cs="Times New Roman"/>
          <w:color w:val="4F6228"/>
          <w:sz w:val="24"/>
          <w:szCs w:val="24"/>
        </w:rPr>
        <w:lastRenderedPageBreak/>
        <w:t>ICC</w:t>
      </w:r>
      <w:r>
        <w:rPr>
          <w:rFonts w:ascii="Times New Roman" w:hAnsi="Times New Roman" w:cs="Times New Roman"/>
          <w:color w:val="4F6228"/>
          <w:sz w:val="24"/>
          <w:szCs w:val="24"/>
          <w:rtl/>
        </w:rPr>
        <w:t xml:space="preserve"> יפעיל את סמכותו רק מקום בו המדינות הנוגעות במקרה אינן מעוניינות ו/או אינן יכולות לנהל הליך ראוי. עקרון השיוריות, הזוכה לתמיכה הולכת וגוברת (אך טרם הפך באופן ודאי לדין מנהגי) מנסה ליצור הסדר דומה בנוגע לסמכות האוניברסאלית, לפיו מדינה המעוניינת להעמיד לדין על סמך סמכות זו רשאית לעשות כן רק אם המדינות הנוגעות בדבר אינן מעוניינת ו/או אינן מסוגלות לנהל הליך ראוי. בהנחה שהפצ"ר סגר את החקירה עקב לחץ מצד שר הביטחון (גורם פוליטי), הרי שישראל תתקשה לטעון שהיא עומדת בעקרונות המשלימות והשיוריות ומסוגלת לנהל הליך ראוי. יתר על כן, יהיה ניתן להחיל על יעלון אחריות פלילית בגין המעשים שבוצעו ברפיח (היה ובוצעו פשעים) לפי דוקטרינת אחריות מפקדים (או יותר נכון אחריות ממונה אזרחי) שקובעת שממונה אזרחי יהיה אחראי אם הוא ידע או עצם </w:t>
      </w:r>
      <w:proofErr w:type="spellStart"/>
      <w:r>
        <w:rPr>
          <w:rFonts w:ascii="Times New Roman" w:hAnsi="Times New Roman" w:cs="Times New Roman"/>
          <w:color w:val="4F6228"/>
          <w:sz w:val="24"/>
          <w:szCs w:val="24"/>
          <w:rtl/>
        </w:rPr>
        <w:t>עינים</w:t>
      </w:r>
      <w:proofErr w:type="spellEnd"/>
      <w:r>
        <w:rPr>
          <w:rFonts w:ascii="Times New Roman" w:hAnsi="Times New Roman" w:cs="Times New Roman"/>
          <w:color w:val="4F6228"/>
          <w:sz w:val="24"/>
          <w:szCs w:val="24"/>
          <w:rtl/>
        </w:rPr>
        <w:t xml:space="preserve"> מקיום פשעים על ידי הכפופים לו ולא נקט באמצעים הסבירים כדי למנוע, להעניש ו/או לחקור את הפשעים. במקרה הנוכחי שר הביטחון היה מודע </w:t>
      </w:r>
      <w:r w:rsidRPr="004D050C">
        <w:rPr>
          <w:rFonts w:ascii="Times New Roman" w:hAnsi="Times New Roman" w:cs="Times New Roman"/>
          <w:b/>
          <w:bCs/>
          <w:color w:val="4F6228"/>
          <w:sz w:val="24"/>
          <w:szCs w:val="24"/>
          <w:rtl/>
        </w:rPr>
        <w:t>לחשדות</w:t>
      </w:r>
      <w:r>
        <w:rPr>
          <w:rFonts w:ascii="Times New Roman" w:hAnsi="Times New Roman" w:cs="Times New Roman"/>
          <w:color w:val="4F6228"/>
          <w:sz w:val="24"/>
          <w:szCs w:val="24"/>
          <w:rtl/>
        </w:rPr>
        <w:t xml:space="preserve"> בדבר ביצוע פשעים ע"י חיילי צה"ל ומנע את חקירתם. יחד עם זאת, הדברים שהובאו בשאלה מפי אבו-מאזן עדיין שגויים: לא יהיה ניתן להעמיד לדין את יעלון, על סמך סמכות אוניברסאלית כל עוד הוא מכהן כשר ביטחון, שכן לפי העמדה המקובלת כיום (שהתגבשה בעקבות פסיקת ה-</w:t>
      </w:r>
      <w:r>
        <w:rPr>
          <w:rFonts w:ascii="Times New Roman" w:hAnsi="Times New Roman" w:cs="Times New Roman"/>
          <w:color w:val="4F6228"/>
          <w:sz w:val="24"/>
          <w:szCs w:val="24"/>
        </w:rPr>
        <w:t>ICJ</w:t>
      </w:r>
      <w:r>
        <w:rPr>
          <w:rFonts w:ascii="Times New Roman" w:hAnsi="Times New Roman" w:cs="Times New Roman"/>
          <w:color w:val="4F6228"/>
          <w:sz w:val="24"/>
          <w:szCs w:val="24"/>
          <w:rtl/>
        </w:rPr>
        <w:t>), שר הביטחון נהנה מחסינות ראשי מדינה כל עוד משמש בתפקידו; ועל אף שחסינות זו אינה חלה בהליכים ב-</w:t>
      </w:r>
      <w:r>
        <w:rPr>
          <w:rFonts w:ascii="Times New Roman" w:hAnsi="Times New Roman" w:cs="Times New Roman"/>
          <w:color w:val="4F6228"/>
          <w:sz w:val="24"/>
          <w:szCs w:val="24"/>
        </w:rPr>
        <w:t>ICC</w:t>
      </w:r>
      <w:r w:rsidRPr="00D02682">
        <w:rPr>
          <w:rFonts w:ascii="Times New Roman" w:hAnsi="Times New Roman" w:cs="Times New Roman"/>
          <w:color w:val="4F6228"/>
          <w:sz w:val="24"/>
          <w:szCs w:val="24"/>
          <w:rtl/>
        </w:rPr>
        <w:t xml:space="preserve"> </w:t>
      </w:r>
      <w:r>
        <w:rPr>
          <w:rFonts w:ascii="Times New Roman" w:hAnsi="Times New Roman" w:cs="Times New Roman"/>
          <w:color w:val="4F6228"/>
          <w:sz w:val="24"/>
          <w:szCs w:val="24"/>
          <w:rtl/>
        </w:rPr>
        <w:t>לא יהיה ניתן להעמיד לדין את יעלון ב-</w:t>
      </w:r>
      <w:r>
        <w:rPr>
          <w:rFonts w:ascii="Times New Roman" w:hAnsi="Times New Roman" w:cs="Times New Roman"/>
          <w:color w:val="4F6228"/>
          <w:sz w:val="24"/>
          <w:szCs w:val="24"/>
        </w:rPr>
        <w:t>ICC</w:t>
      </w:r>
      <w:r>
        <w:rPr>
          <w:rFonts w:ascii="Times New Roman" w:hAnsi="Times New Roman" w:cs="Times New Roman"/>
          <w:color w:val="4F6228"/>
          <w:sz w:val="24"/>
          <w:szCs w:val="24"/>
          <w:rtl/>
        </w:rPr>
        <w:t xml:space="preserve"> בגין פשע המלחמה של ירי בלתי מאבחן (שאוזכר בשאלה), שכן פשע זה אינו כלול באמנת רומא. </w:t>
      </w:r>
    </w:p>
    <w:p w:rsidR="00FD7094" w:rsidRPr="000E7975" w:rsidRDefault="00FD7094" w:rsidP="005C7807">
      <w:pPr>
        <w:spacing w:after="0" w:line="360" w:lineRule="auto"/>
        <w:jc w:val="both"/>
        <w:rPr>
          <w:rFonts w:ascii="Times New Roman" w:hAnsi="Times New Roman" w:cs="Times New Roman"/>
          <w:color w:val="4F6228"/>
          <w:sz w:val="24"/>
          <w:szCs w:val="24"/>
          <w:rtl/>
        </w:rPr>
      </w:pPr>
    </w:p>
    <w:sectPr w:rsidR="00FD7094" w:rsidRPr="000E7975" w:rsidSect="00B062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onotype Hadassah">
    <w:altName w:val="Times New Roman"/>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Light">
    <w:altName w:val="Courier New"/>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CC8"/>
    <w:multiLevelType w:val="hybridMultilevel"/>
    <w:tmpl w:val="8AE4D7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26DC3"/>
    <w:multiLevelType w:val="hybridMultilevel"/>
    <w:tmpl w:val="84680610"/>
    <w:lvl w:ilvl="0" w:tplc="2CD8BA0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D1CCE"/>
    <w:multiLevelType w:val="hybridMultilevel"/>
    <w:tmpl w:val="03B8E292"/>
    <w:lvl w:ilvl="0" w:tplc="9FE6CA7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E7FE5"/>
    <w:multiLevelType w:val="hybridMultilevel"/>
    <w:tmpl w:val="F8A2E7E8"/>
    <w:lvl w:ilvl="0" w:tplc="3ABC9C20">
      <w:start w:val="1"/>
      <w:numFmt w:val="hebrew1"/>
      <w:lvlText w:val="%1."/>
      <w:lvlJc w:val="left"/>
      <w:pPr>
        <w:ind w:left="7335" w:hanging="6975"/>
      </w:pPr>
      <w:rPr>
        <w:rFonts w:cs="Times New Roman" w:hint="default"/>
        <w:b/>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72664E"/>
    <w:multiLevelType w:val="hybridMultilevel"/>
    <w:tmpl w:val="54C6A2C0"/>
    <w:lvl w:ilvl="0" w:tplc="C378446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0F69AD"/>
    <w:multiLevelType w:val="hybridMultilevel"/>
    <w:tmpl w:val="8AE4D7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5958F9"/>
    <w:multiLevelType w:val="hybridMultilevel"/>
    <w:tmpl w:val="C868F5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0F037C"/>
    <w:multiLevelType w:val="hybridMultilevel"/>
    <w:tmpl w:val="BD1698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86658"/>
    <w:multiLevelType w:val="hybridMultilevel"/>
    <w:tmpl w:val="26282138"/>
    <w:lvl w:ilvl="0" w:tplc="775EF0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0B6360"/>
    <w:multiLevelType w:val="hybridMultilevel"/>
    <w:tmpl w:val="499C4C04"/>
    <w:lvl w:ilvl="0" w:tplc="B54E0BC2">
      <w:start w:val="1"/>
      <w:numFmt w:val="hebrew1"/>
      <w:lvlText w:val="%1."/>
      <w:lvlJc w:val="left"/>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FD0401"/>
    <w:multiLevelType w:val="hybridMultilevel"/>
    <w:tmpl w:val="C4FEFBB4"/>
    <w:lvl w:ilvl="0" w:tplc="D836257A">
      <w:start w:val="1"/>
      <w:numFmt w:val="hebrew1"/>
      <w:lvlText w:val="%1)"/>
      <w:lvlJc w:val="left"/>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F3135C"/>
    <w:multiLevelType w:val="hybridMultilevel"/>
    <w:tmpl w:val="A5C4D896"/>
    <w:lvl w:ilvl="0" w:tplc="CF7A22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1A3F3F"/>
    <w:multiLevelType w:val="hybridMultilevel"/>
    <w:tmpl w:val="1BCA9CF0"/>
    <w:lvl w:ilvl="0" w:tplc="9244A7B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AE777D"/>
    <w:multiLevelType w:val="hybridMultilevel"/>
    <w:tmpl w:val="7ED40210"/>
    <w:lvl w:ilvl="0" w:tplc="7BE20E8E">
      <w:start w:val="1"/>
      <w:numFmt w:val="decimal"/>
      <w:lvlText w:val="%1."/>
      <w:lvlJc w:val="left"/>
      <w:pPr>
        <w:ind w:left="-9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F0C4793"/>
    <w:multiLevelType w:val="hybridMultilevel"/>
    <w:tmpl w:val="12080964"/>
    <w:lvl w:ilvl="0" w:tplc="92F8DB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4667C3"/>
    <w:multiLevelType w:val="hybridMultilevel"/>
    <w:tmpl w:val="0840E2E6"/>
    <w:lvl w:ilvl="0" w:tplc="2138EB7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395294"/>
    <w:multiLevelType w:val="hybridMultilevel"/>
    <w:tmpl w:val="B3EE671C"/>
    <w:lvl w:ilvl="0" w:tplc="7BE20E8E">
      <w:start w:val="1"/>
      <w:numFmt w:val="decimal"/>
      <w:lvlText w:val="%1."/>
      <w:lvlJc w:val="left"/>
      <w:pPr>
        <w:ind w:left="-94" w:hanging="360"/>
      </w:pPr>
      <w:rPr>
        <w:rFonts w:cs="Times New Roman" w:hint="default"/>
      </w:rPr>
    </w:lvl>
    <w:lvl w:ilvl="1" w:tplc="04090019">
      <w:start w:val="1"/>
      <w:numFmt w:val="lowerLetter"/>
      <w:lvlText w:val="%2."/>
      <w:lvlJc w:val="left"/>
      <w:pPr>
        <w:ind w:left="626" w:hanging="360"/>
      </w:pPr>
      <w:rPr>
        <w:rFonts w:cs="Times New Roman"/>
      </w:rPr>
    </w:lvl>
    <w:lvl w:ilvl="2" w:tplc="0409001B">
      <w:start w:val="1"/>
      <w:numFmt w:val="lowerRoman"/>
      <w:lvlText w:val="%3."/>
      <w:lvlJc w:val="right"/>
      <w:pPr>
        <w:ind w:left="1346" w:hanging="180"/>
      </w:pPr>
      <w:rPr>
        <w:rFonts w:cs="Times New Roman"/>
      </w:rPr>
    </w:lvl>
    <w:lvl w:ilvl="3" w:tplc="0409000F">
      <w:start w:val="1"/>
      <w:numFmt w:val="decimal"/>
      <w:lvlText w:val="%4."/>
      <w:lvlJc w:val="left"/>
      <w:pPr>
        <w:ind w:left="2066" w:hanging="360"/>
      </w:pPr>
      <w:rPr>
        <w:rFonts w:cs="Times New Roman"/>
      </w:rPr>
    </w:lvl>
    <w:lvl w:ilvl="4" w:tplc="04090019">
      <w:start w:val="1"/>
      <w:numFmt w:val="lowerLetter"/>
      <w:lvlText w:val="%5."/>
      <w:lvlJc w:val="left"/>
      <w:pPr>
        <w:ind w:left="2786" w:hanging="360"/>
      </w:pPr>
      <w:rPr>
        <w:rFonts w:cs="Times New Roman"/>
      </w:rPr>
    </w:lvl>
    <w:lvl w:ilvl="5" w:tplc="0409001B">
      <w:start w:val="1"/>
      <w:numFmt w:val="lowerRoman"/>
      <w:lvlText w:val="%6."/>
      <w:lvlJc w:val="right"/>
      <w:pPr>
        <w:ind w:left="3506" w:hanging="180"/>
      </w:pPr>
      <w:rPr>
        <w:rFonts w:cs="Times New Roman"/>
      </w:rPr>
    </w:lvl>
    <w:lvl w:ilvl="6" w:tplc="0409000F">
      <w:start w:val="1"/>
      <w:numFmt w:val="decimal"/>
      <w:lvlText w:val="%7."/>
      <w:lvlJc w:val="left"/>
      <w:pPr>
        <w:ind w:left="4226" w:hanging="360"/>
      </w:pPr>
      <w:rPr>
        <w:rFonts w:cs="Times New Roman"/>
      </w:rPr>
    </w:lvl>
    <w:lvl w:ilvl="7" w:tplc="04090019">
      <w:start w:val="1"/>
      <w:numFmt w:val="lowerLetter"/>
      <w:lvlText w:val="%8."/>
      <w:lvlJc w:val="left"/>
      <w:pPr>
        <w:ind w:left="4946" w:hanging="360"/>
      </w:pPr>
      <w:rPr>
        <w:rFonts w:cs="Times New Roman"/>
      </w:rPr>
    </w:lvl>
    <w:lvl w:ilvl="8" w:tplc="0409001B">
      <w:start w:val="1"/>
      <w:numFmt w:val="lowerRoman"/>
      <w:lvlText w:val="%9."/>
      <w:lvlJc w:val="right"/>
      <w:pPr>
        <w:ind w:left="5666" w:hanging="180"/>
      </w:pPr>
      <w:rPr>
        <w:rFonts w:cs="Times New Roman"/>
      </w:rPr>
    </w:lvl>
  </w:abstractNum>
  <w:abstractNum w:abstractNumId="17" w15:restartNumberingAfterBreak="0">
    <w:nsid w:val="506041E1"/>
    <w:multiLevelType w:val="hybridMultilevel"/>
    <w:tmpl w:val="499C4C04"/>
    <w:lvl w:ilvl="0" w:tplc="B54E0BC2">
      <w:start w:val="1"/>
      <w:numFmt w:val="hebrew1"/>
      <w:lvlText w:val="%1."/>
      <w:lvlJc w:val="left"/>
      <w:pPr>
        <w:ind w:left="720" w:hanging="360"/>
      </w:pPr>
      <w:rPr>
        <w:rFonts w:cs="Times New Roman"/>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1C37611"/>
    <w:multiLevelType w:val="hybridMultilevel"/>
    <w:tmpl w:val="DEEA7C4E"/>
    <w:lvl w:ilvl="0" w:tplc="282CA8F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2542004"/>
    <w:multiLevelType w:val="hybridMultilevel"/>
    <w:tmpl w:val="5DC22D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7E5DA6"/>
    <w:multiLevelType w:val="hybridMultilevel"/>
    <w:tmpl w:val="66983256"/>
    <w:lvl w:ilvl="0" w:tplc="3E00E888">
      <w:start w:val="8"/>
      <w:numFmt w:val="bullet"/>
      <w:lvlText w:val=""/>
      <w:lvlJc w:val="left"/>
      <w:pPr>
        <w:tabs>
          <w:tab w:val="num" w:pos="720"/>
        </w:tabs>
        <w:ind w:left="720" w:hanging="360"/>
      </w:pPr>
      <w:rPr>
        <w:rFonts w:ascii="Symbol" w:eastAsia="Times New Roman"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E52E4"/>
    <w:multiLevelType w:val="hybridMultilevel"/>
    <w:tmpl w:val="5DC22D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C41CA4"/>
    <w:multiLevelType w:val="hybridMultilevel"/>
    <w:tmpl w:val="C0E0F0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44874D2"/>
    <w:multiLevelType w:val="hybridMultilevel"/>
    <w:tmpl w:val="7234C8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7951B2B"/>
    <w:multiLevelType w:val="hybridMultilevel"/>
    <w:tmpl w:val="F20081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9DB50EC"/>
    <w:multiLevelType w:val="hybridMultilevel"/>
    <w:tmpl w:val="984E6CE8"/>
    <w:lvl w:ilvl="0" w:tplc="C518DD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13"/>
  </w:num>
  <w:num w:numId="5">
    <w:abstractNumId w:val="15"/>
  </w:num>
  <w:num w:numId="6">
    <w:abstractNumId w:val="11"/>
  </w:num>
  <w:num w:numId="7">
    <w:abstractNumId w:val="3"/>
  </w:num>
  <w:num w:numId="8">
    <w:abstractNumId w:val="12"/>
  </w:num>
  <w:num w:numId="9">
    <w:abstractNumId w:val="21"/>
  </w:num>
  <w:num w:numId="10">
    <w:abstractNumId w:val="19"/>
  </w:num>
  <w:num w:numId="11">
    <w:abstractNumId w:val="25"/>
  </w:num>
  <w:num w:numId="12">
    <w:abstractNumId w:val="14"/>
  </w:num>
  <w:num w:numId="13">
    <w:abstractNumId w:val="9"/>
  </w:num>
  <w:num w:numId="14">
    <w:abstractNumId w:val="22"/>
  </w:num>
  <w:num w:numId="15">
    <w:abstractNumId w:val="6"/>
  </w:num>
  <w:num w:numId="16">
    <w:abstractNumId w:val="17"/>
  </w:num>
  <w:num w:numId="17">
    <w:abstractNumId w:val="4"/>
  </w:num>
  <w:num w:numId="18">
    <w:abstractNumId w:val="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0"/>
  </w:num>
  <w:num w:numId="24">
    <w:abstractNumId w:val="5"/>
  </w:num>
  <w:num w:numId="25">
    <w:abstractNumId w:val="23"/>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45"/>
    <w:rsid w:val="00015D25"/>
    <w:rsid w:val="00021E30"/>
    <w:rsid w:val="00045A83"/>
    <w:rsid w:val="000517BC"/>
    <w:rsid w:val="00062FDE"/>
    <w:rsid w:val="00065CCE"/>
    <w:rsid w:val="000703E9"/>
    <w:rsid w:val="00080D85"/>
    <w:rsid w:val="000828A4"/>
    <w:rsid w:val="000A397D"/>
    <w:rsid w:val="000B3DA2"/>
    <w:rsid w:val="000C03C2"/>
    <w:rsid w:val="000C5690"/>
    <w:rsid w:val="000C784B"/>
    <w:rsid w:val="000E7975"/>
    <w:rsid w:val="000F7E54"/>
    <w:rsid w:val="00153934"/>
    <w:rsid w:val="00173CB2"/>
    <w:rsid w:val="00180C7F"/>
    <w:rsid w:val="0018614B"/>
    <w:rsid w:val="001C0FAF"/>
    <w:rsid w:val="001C4671"/>
    <w:rsid w:val="001D4CA1"/>
    <w:rsid w:val="001E37D0"/>
    <w:rsid w:val="0020252D"/>
    <w:rsid w:val="0020749E"/>
    <w:rsid w:val="0022439C"/>
    <w:rsid w:val="00254B2B"/>
    <w:rsid w:val="00257D1D"/>
    <w:rsid w:val="002620CD"/>
    <w:rsid w:val="00276C44"/>
    <w:rsid w:val="00292EA7"/>
    <w:rsid w:val="0029334E"/>
    <w:rsid w:val="002951F2"/>
    <w:rsid w:val="002A1E34"/>
    <w:rsid w:val="002A5710"/>
    <w:rsid w:val="002B129E"/>
    <w:rsid w:val="002C1245"/>
    <w:rsid w:val="002C4F70"/>
    <w:rsid w:val="0030103F"/>
    <w:rsid w:val="003011D8"/>
    <w:rsid w:val="003107B7"/>
    <w:rsid w:val="00317D1A"/>
    <w:rsid w:val="00322594"/>
    <w:rsid w:val="00334064"/>
    <w:rsid w:val="00344EAD"/>
    <w:rsid w:val="00360CE4"/>
    <w:rsid w:val="00367FFA"/>
    <w:rsid w:val="0037110C"/>
    <w:rsid w:val="00385571"/>
    <w:rsid w:val="003D4AFE"/>
    <w:rsid w:val="003F3733"/>
    <w:rsid w:val="0040362E"/>
    <w:rsid w:val="0043000D"/>
    <w:rsid w:val="00435D72"/>
    <w:rsid w:val="00453576"/>
    <w:rsid w:val="00455225"/>
    <w:rsid w:val="00456047"/>
    <w:rsid w:val="00457E4C"/>
    <w:rsid w:val="0047638B"/>
    <w:rsid w:val="004A097E"/>
    <w:rsid w:val="004A2B25"/>
    <w:rsid w:val="004A58BB"/>
    <w:rsid w:val="004A604C"/>
    <w:rsid w:val="004C04A3"/>
    <w:rsid w:val="004C13C7"/>
    <w:rsid w:val="004C6758"/>
    <w:rsid w:val="004D050C"/>
    <w:rsid w:val="004D0B51"/>
    <w:rsid w:val="004D1381"/>
    <w:rsid w:val="004F38D6"/>
    <w:rsid w:val="004F7A1E"/>
    <w:rsid w:val="00503788"/>
    <w:rsid w:val="00504FA3"/>
    <w:rsid w:val="00510E79"/>
    <w:rsid w:val="00516353"/>
    <w:rsid w:val="00523D04"/>
    <w:rsid w:val="005350B0"/>
    <w:rsid w:val="0053768F"/>
    <w:rsid w:val="00552B75"/>
    <w:rsid w:val="00567E21"/>
    <w:rsid w:val="005720E0"/>
    <w:rsid w:val="00592E30"/>
    <w:rsid w:val="005A302B"/>
    <w:rsid w:val="005C7807"/>
    <w:rsid w:val="005D0B52"/>
    <w:rsid w:val="005D1E61"/>
    <w:rsid w:val="005D51B2"/>
    <w:rsid w:val="005E03F3"/>
    <w:rsid w:val="005F05AE"/>
    <w:rsid w:val="005F3B30"/>
    <w:rsid w:val="00616D8D"/>
    <w:rsid w:val="006224BD"/>
    <w:rsid w:val="0063125E"/>
    <w:rsid w:val="006317E8"/>
    <w:rsid w:val="00654CAF"/>
    <w:rsid w:val="00667173"/>
    <w:rsid w:val="00670405"/>
    <w:rsid w:val="00671D7F"/>
    <w:rsid w:val="0069458C"/>
    <w:rsid w:val="006D45FF"/>
    <w:rsid w:val="006D4774"/>
    <w:rsid w:val="006E766D"/>
    <w:rsid w:val="00711ED5"/>
    <w:rsid w:val="00746E8A"/>
    <w:rsid w:val="00756605"/>
    <w:rsid w:val="0077006D"/>
    <w:rsid w:val="007B0B6F"/>
    <w:rsid w:val="007B29EC"/>
    <w:rsid w:val="007E6219"/>
    <w:rsid w:val="007F5124"/>
    <w:rsid w:val="00801D0C"/>
    <w:rsid w:val="0084426A"/>
    <w:rsid w:val="0084479E"/>
    <w:rsid w:val="008452DA"/>
    <w:rsid w:val="00853E51"/>
    <w:rsid w:val="00867B4A"/>
    <w:rsid w:val="008700B9"/>
    <w:rsid w:val="00871BCE"/>
    <w:rsid w:val="0087428C"/>
    <w:rsid w:val="00874474"/>
    <w:rsid w:val="00895E11"/>
    <w:rsid w:val="008A40A8"/>
    <w:rsid w:val="008D2B18"/>
    <w:rsid w:val="008E0001"/>
    <w:rsid w:val="008E268B"/>
    <w:rsid w:val="008E27CE"/>
    <w:rsid w:val="008E7BE2"/>
    <w:rsid w:val="00902345"/>
    <w:rsid w:val="00903E92"/>
    <w:rsid w:val="009043C5"/>
    <w:rsid w:val="00931FC7"/>
    <w:rsid w:val="009352AD"/>
    <w:rsid w:val="0094436B"/>
    <w:rsid w:val="00954D79"/>
    <w:rsid w:val="0095759C"/>
    <w:rsid w:val="009616D9"/>
    <w:rsid w:val="00962B75"/>
    <w:rsid w:val="00977ADD"/>
    <w:rsid w:val="00995FB6"/>
    <w:rsid w:val="009A0C15"/>
    <w:rsid w:val="009A1030"/>
    <w:rsid w:val="009B036A"/>
    <w:rsid w:val="009B7A6E"/>
    <w:rsid w:val="009D46B7"/>
    <w:rsid w:val="009F58F8"/>
    <w:rsid w:val="00A11506"/>
    <w:rsid w:val="00A134CF"/>
    <w:rsid w:val="00A14DE8"/>
    <w:rsid w:val="00A22D43"/>
    <w:rsid w:val="00A308BC"/>
    <w:rsid w:val="00A34B97"/>
    <w:rsid w:val="00A47A9A"/>
    <w:rsid w:val="00A511FF"/>
    <w:rsid w:val="00A55C68"/>
    <w:rsid w:val="00A55E41"/>
    <w:rsid w:val="00A66DE6"/>
    <w:rsid w:val="00A6736B"/>
    <w:rsid w:val="00A86E23"/>
    <w:rsid w:val="00A96FD8"/>
    <w:rsid w:val="00AB456A"/>
    <w:rsid w:val="00B0628E"/>
    <w:rsid w:val="00B06358"/>
    <w:rsid w:val="00B17542"/>
    <w:rsid w:val="00B21D46"/>
    <w:rsid w:val="00B27837"/>
    <w:rsid w:val="00B373BA"/>
    <w:rsid w:val="00B412EB"/>
    <w:rsid w:val="00B436F4"/>
    <w:rsid w:val="00B50FAE"/>
    <w:rsid w:val="00B54883"/>
    <w:rsid w:val="00B56B35"/>
    <w:rsid w:val="00B74361"/>
    <w:rsid w:val="00B85C79"/>
    <w:rsid w:val="00BC194C"/>
    <w:rsid w:val="00BD4D18"/>
    <w:rsid w:val="00BE5AB0"/>
    <w:rsid w:val="00BE78D5"/>
    <w:rsid w:val="00C11B0E"/>
    <w:rsid w:val="00C27D47"/>
    <w:rsid w:val="00C36B56"/>
    <w:rsid w:val="00C57EAD"/>
    <w:rsid w:val="00C7224F"/>
    <w:rsid w:val="00C73707"/>
    <w:rsid w:val="00C76CED"/>
    <w:rsid w:val="00C955CB"/>
    <w:rsid w:val="00CA0489"/>
    <w:rsid w:val="00CA61F1"/>
    <w:rsid w:val="00CB40FB"/>
    <w:rsid w:val="00CC5865"/>
    <w:rsid w:val="00CC73F6"/>
    <w:rsid w:val="00D0041F"/>
    <w:rsid w:val="00D02682"/>
    <w:rsid w:val="00D20F2A"/>
    <w:rsid w:val="00D34DED"/>
    <w:rsid w:val="00D42286"/>
    <w:rsid w:val="00D43F39"/>
    <w:rsid w:val="00D5753A"/>
    <w:rsid w:val="00D66848"/>
    <w:rsid w:val="00D709B9"/>
    <w:rsid w:val="00D70F76"/>
    <w:rsid w:val="00D7564D"/>
    <w:rsid w:val="00D802D3"/>
    <w:rsid w:val="00DA2B9D"/>
    <w:rsid w:val="00DB3491"/>
    <w:rsid w:val="00DB495C"/>
    <w:rsid w:val="00DF1B8D"/>
    <w:rsid w:val="00E104DB"/>
    <w:rsid w:val="00E13ACC"/>
    <w:rsid w:val="00E21024"/>
    <w:rsid w:val="00E262A0"/>
    <w:rsid w:val="00E278F7"/>
    <w:rsid w:val="00E35222"/>
    <w:rsid w:val="00E3745B"/>
    <w:rsid w:val="00E403EE"/>
    <w:rsid w:val="00E665B9"/>
    <w:rsid w:val="00E71BD4"/>
    <w:rsid w:val="00E90E3C"/>
    <w:rsid w:val="00E95F8B"/>
    <w:rsid w:val="00E97BE2"/>
    <w:rsid w:val="00EA48BF"/>
    <w:rsid w:val="00EB7BE6"/>
    <w:rsid w:val="00EC61DF"/>
    <w:rsid w:val="00ED3345"/>
    <w:rsid w:val="00EE0D04"/>
    <w:rsid w:val="00EF36E9"/>
    <w:rsid w:val="00EF6EA3"/>
    <w:rsid w:val="00F22553"/>
    <w:rsid w:val="00F42C96"/>
    <w:rsid w:val="00F51AAB"/>
    <w:rsid w:val="00F52014"/>
    <w:rsid w:val="00F5509C"/>
    <w:rsid w:val="00F90BA9"/>
    <w:rsid w:val="00FA52C3"/>
    <w:rsid w:val="00FA6CA6"/>
    <w:rsid w:val="00FB37D1"/>
    <w:rsid w:val="00FC054B"/>
    <w:rsid w:val="00FC29DC"/>
    <w:rsid w:val="00FC7013"/>
    <w:rsid w:val="00FD1B38"/>
    <w:rsid w:val="00FD7094"/>
    <w:rsid w:val="00FE4E0E"/>
    <w:rsid w:val="00FE5D4A"/>
    <w:rsid w:val="00FF6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882CB3-C823-49F3-B513-FFFE582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1"/>
    <w:pPr>
      <w:bidi/>
      <w:spacing w:after="200" w:line="276" w:lineRule="auto"/>
    </w:pPr>
  </w:style>
  <w:style w:type="paragraph" w:styleId="1">
    <w:name w:val="heading 1"/>
    <w:basedOn w:val="a"/>
    <w:next w:val="a"/>
    <w:link w:val="10"/>
    <w:uiPriority w:val="99"/>
    <w:qFormat/>
    <w:rsid w:val="00F22553"/>
    <w:pPr>
      <w:keepNext/>
      <w:spacing w:after="0" w:line="360" w:lineRule="auto"/>
      <w:jc w:val="center"/>
      <w:outlineLvl w:val="0"/>
    </w:pPr>
    <w:rPr>
      <w:rFonts w:ascii="Times New Roman" w:hAnsi="Times New Roman" w:cs="David"/>
      <w:b/>
      <w:bCs/>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F22553"/>
    <w:rPr>
      <w:rFonts w:ascii="Times New Roman" w:hAnsi="Times New Roman" w:cs="David"/>
      <w:b/>
      <w:bCs/>
      <w:sz w:val="28"/>
      <w:szCs w:val="28"/>
      <w:lang w:eastAsia="he-IL" w:bidi="he-IL"/>
    </w:rPr>
  </w:style>
  <w:style w:type="paragraph" w:customStyle="1" w:styleId="a3">
    <w:name w:val="תו תו תו תו תו תו"/>
    <w:basedOn w:val="a"/>
    <w:autoRedefine/>
    <w:uiPriority w:val="99"/>
    <w:rsid w:val="002C124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hAnsi="Arial" w:cs="David"/>
      <w:sz w:val="24"/>
      <w:szCs w:val="28"/>
      <w:lang w:eastAsia="he-IL"/>
    </w:rPr>
  </w:style>
  <w:style w:type="paragraph" w:styleId="a4">
    <w:name w:val="Body Text"/>
    <w:basedOn w:val="a"/>
    <w:link w:val="a5"/>
    <w:uiPriority w:val="99"/>
    <w:rsid w:val="002C1245"/>
    <w:pPr>
      <w:autoSpaceDE w:val="0"/>
      <w:autoSpaceDN w:val="0"/>
      <w:adjustRightInd w:val="0"/>
      <w:spacing w:before="120" w:after="0" w:line="260" w:lineRule="exact"/>
      <w:jc w:val="both"/>
    </w:pPr>
    <w:rPr>
      <w:rFonts w:ascii="Times New Roman" w:hAnsi="Times New Roman" w:cs="Monotype Hadassah"/>
      <w:spacing w:val="6"/>
      <w:sz w:val="20"/>
      <w:szCs w:val="16"/>
    </w:rPr>
  </w:style>
  <w:style w:type="character" w:customStyle="1" w:styleId="a5">
    <w:name w:val="גוף טקסט תו"/>
    <w:basedOn w:val="a0"/>
    <w:link w:val="a4"/>
    <w:uiPriority w:val="99"/>
    <w:locked/>
    <w:rsid w:val="002C1245"/>
    <w:rPr>
      <w:rFonts w:ascii="Times New Roman" w:hAnsi="Times New Roman" w:cs="Monotype Hadassah"/>
      <w:spacing w:val="6"/>
      <w:sz w:val="16"/>
      <w:szCs w:val="16"/>
      <w:lang w:bidi="he-IL"/>
    </w:rPr>
  </w:style>
  <w:style w:type="paragraph" w:styleId="a6">
    <w:name w:val="List Paragraph"/>
    <w:basedOn w:val="a"/>
    <w:uiPriority w:val="99"/>
    <w:qFormat/>
    <w:rsid w:val="002C1245"/>
    <w:pPr>
      <w:bidi w:val="0"/>
      <w:ind w:left="720"/>
      <w:contextualSpacing/>
    </w:pPr>
  </w:style>
  <w:style w:type="paragraph" w:styleId="a7">
    <w:name w:val="No Spacing"/>
    <w:uiPriority w:val="99"/>
    <w:qFormat/>
    <w:rsid w:val="002C1245"/>
  </w:style>
  <w:style w:type="paragraph" w:customStyle="1" w:styleId="Default">
    <w:name w:val="Default"/>
    <w:uiPriority w:val="99"/>
    <w:rsid w:val="00A6736B"/>
    <w:pPr>
      <w:autoSpaceDE w:val="0"/>
      <w:autoSpaceDN w:val="0"/>
      <w:adjustRightInd w:val="0"/>
    </w:pPr>
    <w:rPr>
      <w:rFonts w:ascii="Times New Roman" w:hAnsi="Times New Roman" w:cs="Times New Roman"/>
      <w:color w:val="000000"/>
      <w:sz w:val="24"/>
      <w:szCs w:val="24"/>
    </w:rPr>
  </w:style>
  <w:style w:type="paragraph" w:customStyle="1" w:styleId="CM245">
    <w:name w:val="CM245"/>
    <w:basedOn w:val="Default"/>
    <w:next w:val="Default"/>
    <w:uiPriority w:val="99"/>
    <w:rsid w:val="00A6736B"/>
    <w:rPr>
      <w:color w:val="auto"/>
    </w:rPr>
  </w:style>
  <w:style w:type="character" w:customStyle="1" w:styleId="kno-a-v">
    <w:name w:val="kno-a-v"/>
    <w:basedOn w:val="a0"/>
    <w:uiPriority w:val="99"/>
    <w:rsid w:val="00D43F39"/>
    <w:rPr>
      <w:rFonts w:cs="Times New Roman"/>
    </w:rPr>
  </w:style>
  <w:style w:type="paragraph" w:customStyle="1" w:styleId="ruller4">
    <w:name w:val="ruller4"/>
    <w:basedOn w:val="a"/>
    <w:uiPriority w:val="99"/>
    <w:rsid w:val="00EF6EA3"/>
    <w:pPr>
      <w:bidi w:val="0"/>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rsid w:val="00A34B9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A34B97"/>
    <w:rPr>
      <w:rFonts w:ascii="Tahoma" w:hAnsi="Tahoma" w:cs="Tahoma"/>
      <w:sz w:val="16"/>
      <w:szCs w:val="16"/>
    </w:rPr>
  </w:style>
  <w:style w:type="character" w:styleId="aa">
    <w:name w:val="annotation reference"/>
    <w:basedOn w:val="a0"/>
    <w:uiPriority w:val="99"/>
    <w:semiHidden/>
    <w:rsid w:val="00510E79"/>
    <w:rPr>
      <w:rFonts w:cs="Times New Roman"/>
      <w:sz w:val="16"/>
      <w:szCs w:val="16"/>
    </w:rPr>
  </w:style>
  <w:style w:type="paragraph" w:styleId="ab">
    <w:name w:val="annotation text"/>
    <w:basedOn w:val="a"/>
    <w:link w:val="ac"/>
    <w:uiPriority w:val="99"/>
    <w:semiHidden/>
    <w:rsid w:val="00510E79"/>
    <w:pPr>
      <w:spacing w:line="240" w:lineRule="auto"/>
    </w:pPr>
    <w:rPr>
      <w:sz w:val="20"/>
      <w:szCs w:val="20"/>
    </w:rPr>
  </w:style>
  <w:style w:type="character" w:customStyle="1" w:styleId="ac">
    <w:name w:val="טקסט הערה תו"/>
    <w:basedOn w:val="a0"/>
    <w:link w:val="ab"/>
    <w:uiPriority w:val="99"/>
    <w:semiHidden/>
    <w:locked/>
    <w:rsid w:val="00510E79"/>
    <w:rPr>
      <w:rFonts w:cs="Times New Roman"/>
      <w:sz w:val="20"/>
      <w:szCs w:val="20"/>
    </w:rPr>
  </w:style>
  <w:style w:type="paragraph" w:styleId="ad">
    <w:name w:val="annotation subject"/>
    <w:basedOn w:val="ab"/>
    <w:next w:val="ab"/>
    <w:link w:val="ae"/>
    <w:uiPriority w:val="99"/>
    <w:semiHidden/>
    <w:rsid w:val="00510E79"/>
    <w:rPr>
      <w:b/>
      <w:bCs/>
    </w:rPr>
  </w:style>
  <w:style w:type="character" w:customStyle="1" w:styleId="ae">
    <w:name w:val="נושא הערה תו"/>
    <w:basedOn w:val="ac"/>
    <w:link w:val="ad"/>
    <w:uiPriority w:val="99"/>
    <w:semiHidden/>
    <w:locked/>
    <w:rsid w:val="00510E79"/>
    <w:rPr>
      <w:rFonts w:cs="Times New Roman"/>
      <w:b/>
      <w:bCs/>
      <w:sz w:val="20"/>
      <w:szCs w:val="20"/>
    </w:rPr>
  </w:style>
  <w:style w:type="character" w:customStyle="1" w:styleId="st1">
    <w:name w:val="st1"/>
    <w:basedOn w:val="a0"/>
    <w:uiPriority w:val="99"/>
    <w:rsid w:val="001C46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81">
      <w:marLeft w:val="0"/>
      <w:marRight w:val="0"/>
      <w:marTop w:val="0"/>
      <w:marBottom w:val="0"/>
      <w:divBdr>
        <w:top w:val="none" w:sz="0" w:space="0" w:color="auto"/>
        <w:left w:val="none" w:sz="0" w:space="0" w:color="auto"/>
        <w:bottom w:val="none" w:sz="0" w:space="0" w:color="auto"/>
        <w:right w:val="none" w:sz="0" w:space="0" w:color="auto"/>
      </w:divBdr>
    </w:div>
    <w:div w:id="4788582">
      <w:marLeft w:val="0"/>
      <w:marRight w:val="0"/>
      <w:marTop w:val="0"/>
      <w:marBottom w:val="0"/>
      <w:divBdr>
        <w:top w:val="none" w:sz="0" w:space="0" w:color="auto"/>
        <w:left w:val="none" w:sz="0" w:space="0" w:color="auto"/>
        <w:bottom w:val="none" w:sz="0" w:space="0" w:color="auto"/>
        <w:right w:val="none" w:sz="0" w:space="0" w:color="auto"/>
      </w:divBdr>
      <w:divsChild>
        <w:div w:id="47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11769</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אוניברסיטת בר אילן- הפקולטה למשפטים</vt:lpstr>
    </vt:vector>
  </TitlesOfParts>
  <Company>Microsoft</Company>
  <LinksUpToDate>false</LinksUpToDate>
  <CharactersWithSpaces>14094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בר אילן- הפקולטה למשפטים</dc:title>
  <dc:subject/>
  <dc:creator>Ziv Bohrer</dc:creator>
  <cp:keywords/>
  <dc:description/>
  <cp:lastModifiedBy>דל</cp:lastModifiedBy>
  <cp:revision>2</cp:revision>
  <cp:lastPrinted>2015-01-25T15:56:00Z</cp:lastPrinted>
  <dcterms:created xsi:type="dcterms:W3CDTF">2016-01-19T18:28:00Z</dcterms:created>
  <dcterms:modified xsi:type="dcterms:W3CDTF">2016-01-19T18:28:00Z</dcterms:modified>
</cp:coreProperties>
</file>