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156B9" w14:textId="77777777" w:rsidR="000045CA" w:rsidRPr="00B019A9" w:rsidRDefault="000045CA" w:rsidP="000045CA">
      <w:pPr>
        <w:spacing w:line="360" w:lineRule="auto"/>
        <w:jc w:val="both"/>
        <w:rPr>
          <w:rFonts w:cs="FrankRuehl"/>
          <w:sz w:val="26"/>
          <w:szCs w:val="26"/>
          <w:u w:val="single"/>
          <w:rtl/>
        </w:rPr>
      </w:pPr>
      <w:r w:rsidRPr="00C800CB">
        <w:rPr>
          <w:rFonts w:cs="Guttman Keren" w:hint="cs"/>
          <w:sz w:val="24"/>
          <w:szCs w:val="26"/>
          <w:u w:val="single"/>
          <w:rtl/>
        </w:rPr>
        <w:t xml:space="preserve">שאלה מס' 1 </w:t>
      </w:r>
    </w:p>
    <w:p w14:paraId="72E8FADA" w14:textId="77777777" w:rsidR="000045CA" w:rsidRDefault="000045CA" w:rsidP="000045CA">
      <w:pPr>
        <w:spacing w:line="360" w:lineRule="auto"/>
        <w:jc w:val="both"/>
        <w:rPr>
          <w:rFonts w:cs="FrankRuehl"/>
          <w:sz w:val="26"/>
          <w:szCs w:val="26"/>
          <w:rtl/>
        </w:rPr>
      </w:pPr>
      <w:r>
        <w:rPr>
          <w:rFonts w:cs="FrankRuehl" w:hint="cs"/>
          <w:sz w:val="26"/>
          <w:szCs w:val="26"/>
          <w:rtl/>
        </w:rPr>
        <w:t>א. התַּנָאִים הכירו בהתחייבות כשהיא לעצמה. הביאו שלש דוגמאות לכך.</w:t>
      </w:r>
    </w:p>
    <w:p w14:paraId="6EEC82F1" w14:textId="77777777" w:rsidR="000045CA" w:rsidRDefault="000045CA" w:rsidP="000045CA">
      <w:pPr>
        <w:spacing w:line="360" w:lineRule="auto"/>
        <w:jc w:val="both"/>
        <w:rPr>
          <w:rFonts w:cs="FrankRuehl"/>
          <w:sz w:val="26"/>
          <w:szCs w:val="26"/>
          <w:rtl/>
        </w:rPr>
      </w:pPr>
      <w:r>
        <w:rPr>
          <w:rFonts w:cs="FrankRuehl" w:hint="cs"/>
          <w:sz w:val="26"/>
          <w:szCs w:val="26"/>
          <w:rtl/>
        </w:rPr>
        <w:t>ב. מדוע אין התלמוד מכיר בהתחייבות כשהיא לעצמה? מה גרם לתלמוד לסטות מדברי</w:t>
      </w:r>
      <w:r w:rsidRPr="007A7377">
        <w:rPr>
          <w:rFonts w:cs="FrankRuehl" w:hint="cs"/>
          <w:sz w:val="26"/>
          <w:szCs w:val="26"/>
          <w:rtl/>
        </w:rPr>
        <w:t xml:space="preserve"> </w:t>
      </w:r>
      <w:r>
        <w:rPr>
          <w:rFonts w:cs="FrankRuehl" w:hint="cs"/>
          <w:sz w:val="26"/>
          <w:szCs w:val="26"/>
          <w:rtl/>
        </w:rPr>
        <w:t>התַּנָאִים?</w:t>
      </w:r>
    </w:p>
    <w:p w14:paraId="02683A3C" w14:textId="77777777" w:rsidR="000045CA" w:rsidRDefault="000045CA" w:rsidP="000045CA">
      <w:pPr>
        <w:spacing w:line="360" w:lineRule="auto"/>
        <w:jc w:val="both"/>
        <w:rPr>
          <w:rFonts w:cs="FrankRuehl"/>
          <w:sz w:val="26"/>
          <w:szCs w:val="26"/>
          <w:rtl/>
        </w:rPr>
      </w:pPr>
      <w:r>
        <w:rPr>
          <w:rFonts w:cs="FrankRuehl" w:hint="cs"/>
          <w:sz w:val="26"/>
          <w:szCs w:val="26"/>
          <w:rtl/>
        </w:rPr>
        <w:t>ג. בתלמוד מוצעים מספר פתרונות לבעיית ההתחייבות, וביניהן: תפיסת ההתחייבות כהודאה; קנו מידו; בההיא הנאה.</w:t>
      </w:r>
    </w:p>
    <w:p w14:paraId="738ECBD0" w14:textId="77777777" w:rsidR="000045CA" w:rsidRDefault="000045CA" w:rsidP="000045CA">
      <w:pPr>
        <w:spacing w:line="360" w:lineRule="auto"/>
        <w:jc w:val="both"/>
        <w:rPr>
          <w:rFonts w:cs="FrankRuehl"/>
          <w:sz w:val="26"/>
          <w:szCs w:val="26"/>
          <w:rtl/>
        </w:rPr>
      </w:pPr>
      <w:r>
        <w:rPr>
          <w:rFonts w:cs="FrankRuehl" w:hint="cs"/>
          <w:sz w:val="26"/>
          <w:szCs w:val="26"/>
          <w:rtl/>
        </w:rPr>
        <w:t>(1) הביאו דוגמא אחת</w:t>
      </w:r>
      <w:r>
        <w:rPr>
          <w:rFonts w:cs="FrankRuehl" w:hint="cs"/>
          <w:sz w:val="26"/>
          <w:szCs w:val="26"/>
        </w:rPr>
        <w:t xml:space="preserve"> </w:t>
      </w:r>
      <w:r>
        <w:rPr>
          <w:rFonts w:cs="FrankRuehl" w:hint="cs"/>
          <w:sz w:val="26"/>
          <w:szCs w:val="26"/>
          <w:rtl/>
        </w:rPr>
        <w:t>(מן התלמוד)</w:t>
      </w:r>
      <w:r>
        <w:rPr>
          <w:rFonts w:cs="FrankRuehl" w:hint="cs"/>
          <w:sz w:val="26"/>
          <w:szCs w:val="26"/>
        </w:rPr>
        <w:t xml:space="preserve"> </w:t>
      </w:r>
      <w:r>
        <w:rPr>
          <w:rFonts w:cs="FrankRuehl" w:hint="cs"/>
          <w:sz w:val="26"/>
          <w:szCs w:val="26"/>
          <w:rtl/>
        </w:rPr>
        <w:t>לכל אחד מן הפתרונות הנ"ל.</w:t>
      </w:r>
    </w:p>
    <w:p w14:paraId="482DD75C" w14:textId="77777777" w:rsidR="000045CA" w:rsidRDefault="000045CA" w:rsidP="000045CA">
      <w:pPr>
        <w:spacing w:line="360" w:lineRule="auto"/>
        <w:jc w:val="both"/>
        <w:rPr>
          <w:rFonts w:cs="FrankRuehl"/>
          <w:sz w:val="26"/>
          <w:szCs w:val="26"/>
          <w:rtl/>
        </w:rPr>
      </w:pPr>
      <w:r>
        <w:rPr>
          <w:rFonts w:cs="FrankRuehl" w:hint="cs"/>
          <w:sz w:val="26"/>
          <w:szCs w:val="26"/>
          <w:rtl/>
        </w:rPr>
        <w:t>(2) הסבירו כיצד מתגבר כל פתרון (מהנ"ל) על בעיית ההתחייבות. עשו זאת בשני שלבים: תחילה, תארו את הבעיה המסויימת אליה מתייחס כל פתרון. לאחר מכן, הסבירו את הפתרון (ביחס לבעיה המסויימת אותה תיארתם).</w:t>
      </w:r>
    </w:p>
    <w:p w14:paraId="21ABCB73" w14:textId="77777777" w:rsidR="000045CA" w:rsidRDefault="000045CA" w:rsidP="000045CA">
      <w:pPr>
        <w:spacing w:line="360" w:lineRule="auto"/>
        <w:jc w:val="both"/>
        <w:rPr>
          <w:rFonts w:cs="FrankRuehl"/>
          <w:sz w:val="26"/>
          <w:szCs w:val="26"/>
          <w:rtl/>
        </w:rPr>
      </w:pPr>
    </w:p>
    <w:p w14:paraId="56A8CB40" w14:textId="77777777" w:rsidR="000045CA" w:rsidRPr="00C800CB" w:rsidRDefault="000045CA" w:rsidP="000045CA">
      <w:pPr>
        <w:spacing w:line="360" w:lineRule="auto"/>
        <w:jc w:val="both"/>
        <w:rPr>
          <w:rFonts w:cs="FrankRuehl"/>
          <w:sz w:val="26"/>
          <w:szCs w:val="26"/>
          <w:u w:val="single"/>
          <w:rtl/>
        </w:rPr>
      </w:pPr>
      <w:r w:rsidRPr="00C800CB">
        <w:rPr>
          <w:rFonts w:cs="Guttman Keren" w:hint="cs"/>
          <w:sz w:val="24"/>
          <w:szCs w:val="26"/>
          <w:u w:val="single"/>
          <w:rtl/>
        </w:rPr>
        <w:t xml:space="preserve">שאלה מס' </w:t>
      </w:r>
      <w:r>
        <w:rPr>
          <w:rFonts w:cs="Guttman Keren" w:hint="cs"/>
          <w:sz w:val="24"/>
          <w:szCs w:val="26"/>
          <w:u w:val="single"/>
          <w:rtl/>
        </w:rPr>
        <w:t>2</w:t>
      </w:r>
      <w:r w:rsidRPr="00C800CB">
        <w:rPr>
          <w:rFonts w:cs="Guttman Keren" w:hint="cs"/>
          <w:sz w:val="24"/>
          <w:szCs w:val="26"/>
          <w:u w:val="single"/>
          <w:rtl/>
        </w:rPr>
        <w:t xml:space="preserve"> </w:t>
      </w:r>
    </w:p>
    <w:p w14:paraId="248A333D" w14:textId="77777777" w:rsidR="000045CA" w:rsidRPr="00C800CB" w:rsidRDefault="000045CA" w:rsidP="000045CA">
      <w:pPr>
        <w:spacing w:line="360" w:lineRule="auto"/>
        <w:jc w:val="both"/>
        <w:rPr>
          <w:rFonts w:cs="Aharoni"/>
          <w:sz w:val="24"/>
          <w:szCs w:val="24"/>
          <w:rtl/>
        </w:rPr>
      </w:pPr>
      <w:r w:rsidRPr="00C800CB">
        <w:rPr>
          <w:rFonts w:cs="Aharoni"/>
          <w:sz w:val="24"/>
          <w:szCs w:val="24"/>
          <w:rtl/>
        </w:rPr>
        <w:t>ור</w:t>
      </w:r>
      <w:r w:rsidRPr="00C800CB">
        <w:rPr>
          <w:rFonts w:cs="Aharoni" w:hint="cs"/>
          <w:sz w:val="24"/>
          <w:szCs w:val="24"/>
          <w:rtl/>
        </w:rPr>
        <w:t>בנו תם</w:t>
      </w:r>
      <w:r w:rsidRPr="00C800CB">
        <w:rPr>
          <w:rFonts w:cs="Aharoni"/>
          <w:sz w:val="24"/>
          <w:szCs w:val="24"/>
          <w:rtl/>
        </w:rPr>
        <w:t xml:space="preserve"> מפרש כולה סוגיא</w:t>
      </w:r>
      <w:r w:rsidRPr="00C800CB">
        <w:rPr>
          <w:rFonts w:cs="Aharoni" w:hint="cs"/>
          <w:sz w:val="24"/>
          <w:szCs w:val="24"/>
          <w:rtl/>
        </w:rPr>
        <w:t xml:space="preserve"> (= את כל הסוגיה)</w:t>
      </w:r>
      <w:r w:rsidRPr="00C800CB">
        <w:rPr>
          <w:rFonts w:cs="Aharoni"/>
          <w:sz w:val="24"/>
          <w:szCs w:val="24"/>
          <w:rtl/>
        </w:rPr>
        <w:t xml:space="preserve"> בלא הודאה</w:t>
      </w:r>
      <w:r w:rsidRPr="00C800CB">
        <w:rPr>
          <w:rFonts w:cs="Aharoni" w:hint="cs"/>
          <w:sz w:val="24"/>
          <w:szCs w:val="24"/>
          <w:rtl/>
        </w:rPr>
        <w:t>,</w:t>
      </w:r>
      <w:r w:rsidRPr="00C800CB">
        <w:rPr>
          <w:rFonts w:cs="Aharoni"/>
          <w:sz w:val="24"/>
          <w:szCs w:val="24"/>
          <w:rtl/>
        </w:rPr>
        <w:t xml:space="preserve"> שלא היה חייב לו כלום מתחלה</w:t>
      </w:r>
      <w:r w:rsidRPr="00C800CB">
        <w:rPr>
          <w:rFonts w:cs="Aharoni" w:hint="cs"/>
          <w:sz w:val="24"/>
          <w:szCs w:val="24"/>
          <w:rtl/>
        </w:rPr>
        <w:t>.</w:t>
      </w:r>
      <w:r w:rsidRPr="00C800CB">
        <w:rPr>
          <w:rFonts w:cs="Aharoni"/>
          <w:sz w:val="24"/>
          <w:szCs w:val="24"/>
          <w:rtl/>
        </w:rPr>
        <w:t xml:space="preserve"> והא דקאמר</w:t>
      </w:r>
      <w:r w:rsidRPr="00C800CB">
        <w:rPr>
          <w:rFonts w:cs="Aharoni" w:hint="cs"/>
          <w:sz w:val="24"/>
          <w:szCs w:val="24"/>
          <w:rtl/>
        </w:rPr>
        <w:t xml:space="preserve"> (= ומה שאמר)</w:t>
      </w:r>
      <w:r w:rsidRPr="00C800CB">
        <w:rPr>
          <w:rFonts w:cs="Aharoni"/>
          <w:sz w:val="24"/>
          <w:szCs w:val="24"/>
          <w:rtl/>
        </w:rPr>
        <w:t xml:space="preserve"> חייב אני לך מנה בשטר</w:t>
      </w:r>
      <w:r w:rsidRPr="00C800CB">
        <w:rPr>
          <w:rFonts w:cs="Aharoni" w:hint="cs"/>
          <w:sz w:val="24"/>
          <w:szCs w:val="24"/>
          <w:rtl/>
        </w:rPr>
        <w:t>,</w:t>
      </w:r>
      <w:r w:rsidRPr="00C800CB">
        <w:rPr>
          <w:rFonts w:cs="Aharoni"/>
          <w:sz w:val="24"/>
          <w:szCs w:val="24"/>
          <w:rtl/>
        </w:rPr>
        <w:t xml:space="preserve"> היינו בשטר גמור</w:t>
      </w:r>
      <w:r w:rsidRPr="00C800CB">
        <w:rPr>
          <w:rFonts w:cs="Aharoni" w:hint="cs"/>
          <w:sz w:val="24"/>
          <w:szCs w:val="24"/>
          <w:rtl/>
        </w:rPr>
        <w:t>,</w:t>
      </w:r>
      <w:r w:rsidRPr="00C800CB">
        <w:rPr>
          <w:rFonts w:cs="Aharoni"/>
          <w:sz w:val="24"/>
          <w:szCs w:val="24"/>
          <w:rtl/>
        </w:rPr>
        <w:t xml:space="preserve"> שחתמו היטב</w:t>
      </w:r>
      <w:r w:rsidRPr="00C800CB">
        <w:rPr>
          <w:rFonts w:cs="Aharoni" w:hint="cs"/>
          <w:sz w:val="24"/>
          <w:szCs w:val="24"/>
          <w:rtl/>
        </w:rPr>
        <w:t>,</w:t>
      </w:r>
      <w:r w:rsidRPr="00C800CB">
        <w:rPr>
          <w:rFonts w:cs="Aharoni"/>
          <w:sz w:val="24"/>
          <w:szCs w:val="24"/>
          <w:rtl/>
        </w:rPr>
        <w:t xml:space="preserve"> שרוצה להשתעבד ולהתחייב לו מנה בשטר זה</w:t>
      </w:r>
      <w:r w:rsidRPr="00C800CB">
        <w:rPr>
          <w:rFonts w:cs="Aharoni" w:hint="cs"/>
          <w:sz w:val="24"/>
          <w:szCs w:val="24"/>
          <w:rtl/>
        </w:rPr>
        <w:t>...</w:t>
      </w:r>
      <w:r w:rsidRPr="00C800CB">
        <w:rPr>
          <w:rFonts w:cs="Aharoni"/>
          <w:sz w:val="24"/>
          <w:szCs w:val="24"/>
          <w:rtl/>
        </w:rPr>
        <w:t xml:space="preserve"> </w:t>
      </w:r>
    </w:p>
    <w:p w14:paraId="64DC6E98" w14:textId="77777777" w:rsidR="000045CA" w:rsidRPr="00A92E00" w:rsidRDefault="000045CA" w:rsidP="000045CA">
      <w:pPr>
        <w:spacing w:line="360" w:lineRule="auto"/>
        <w:jc w:val="both"/>
        <w:rPr>
          <w:rFonts w:cs="FrankRuehl"/>
          <w:sz w:val="26"/>
          <w:szCs w:val="26"/>
          <w:rtl/>
        </w:rPr>
      </w:pPr>
      <w:r w:rsidRPr="00C800CB">
        <w:rPr>
          <w:rFonts w:cs="Aharoni"/>
          <w:sz w:val="24"/>
          <w:szCs w:val="24"/>
          <w:rtl/>
        </w:rPr>
        <w:t>ואין לתמוה</w:t>
      </w:r>
      <w:r w:rsidRPr="00C800CB">
        <w:rPr>
          <w:rFonts w:cs="Aharoni" w:hint="cs"/>
          <w:sz w:val="24"/>
          <w:szCs w:val="24"/>
          <w:rtl/>
        </w:rPr>
        <w:t>:</w:t>
      </w:r>
      <w:r w:rsidRPr="00C800CB">
        <w:rPr>
          <w:rFonts w:cs="Aharoni"/>
          <w:sz w:val="24"/>
          <w:szCs w:val="24"/>
          <w:rtl/>
        </w:rPr>
        <w:t xml:space="preserve"> היכי</w:t>
      </w:r>
      <w:r w:rsidRPr="00C800CB">
        <w:rPr>
          <w:rFonts w:cs="Aharoni" w:hint="cs"/>
          <w:sz w:val="24"/>
          <w:szCs w:val="24"/>
          <w:rtl/>
        </w:rPr>
        <w:t xml:space="preserve"> (= איך)</w:t>
      </w:r>
      <w:r w:rsidRPr="00C800CB">
        <w:rPr>
          <w:rFonts w:cs="Aharoni"/>
          <w:sz w:val="24"/>
          <w:szCs w:val="24"/>
          <w:rtl/>
        </w:rPr>
        <w:t xml:space="preserve"> משתעבד בשטר זה</w:t>
      </w:r>
      <w:r w:rsidRPr="00C800CB">
        <w:rPr>
          <w:rFonts w:cs="Aharoni" w:hint="cs"/>
          <w:sz w:val="24"/>
          <w:szCs w:val="24"/>
          <w:rtl/>
        </w:rPr>
        <w:t>,</w:t>
      </w:r>
      <w:r w:rsidRPr="00C800CB">
        <w:rPr>
          <w:rFonts w:cs="Aharoni"/>
          <w:sz w:val="24"/>
          <w:szCs w:val="24"/>
          <w:rtl/>
        </w:rPr>
        <w:t xml:space="preserve"> הא</w:t>
      </w:r>
      <w:r w:rsidRPr="00C800CB">
        <w:rPr>
          <w:rFonts w:cs="Aharoni" w:hint="cs"/>
          <w:sz w:val="24"/>
          <w:szCs w:val="24"/>
          <w:rtl/>
        </w:rPr>
        <w:t xml:space="preserve"> (= והרי)</w:t>
      </w:r>
      <w:r w:rsidRPr="00C800CB">
        <w:rPr>
          <w:rFonts w:cs="Aharoni"/>
          <w:sz w:val="24"/>
          <w:szCs w:val="24"/>
          <w:rtl/>
        </w:rPr>
        <w:t xml:space="preserve"> אין מטלטלין נקנין בשטר</w:t>
      </w:r>
      <w:r w:rsidRPr="00C800CB">
        <w:rPr>
          <w:rFonts w:cs="Aharoni" w:hint="cs"/>
          <w:sz w:val="24"/>
          <w:szCs w:val="24"/>
          <w:rtl/>
        </w:rPr>
        <w:t>!</w:t>
      </w:r>
      <w:r w:rsidRPr="00C800CB">
        <w:rPr>
          <w:rFonts w:cs="Aharoni"/>
          <w:sz w:val="24"/>
          <w:szCs w:val="24"/>
          <w:rtl/>
        </w:rPr>
        <w:t xml:space="preserve"> דיש לומר</w:t>
      </w:r>
      <w:r w:rsidRPr="00C800CB">
        <w:rPr>
          <w:rFonts w:cs="Aharoni" w:hint="cs"/>
          <w:sz w:val="24"/>
          <w:szCs w:val="24"/>
          <w:rtl/>
        </w:rPr>
        <w:t>,</w:t>
      </w:r>
      <w:r w:rsidRPr="00C800CB">
        <w:rPr>
          <w:rFonts w:cs="Aharoni"/>
          <w:sz w:val="24"/>
          <w:szCs w:val="24"/>
          <w:rtl/>
        </w:rPr>
        <w:t xml:space="preserve"> דהואיל וטרח למכתב שטרא</w:t>
      </w:r>
      <w:r w:rsidRPr="00C800CB">
        <w:rPr>
          <w:rFonts w:cs="Aharoni" w:hint="cs"/>
          <w:sz w:val="24"/>
          <w:szCs w:val="24"/>
          <w:rtl/>
        </w:rPr>
        <w:t xml:space="preserve"> (= לכתוב שטר),</w:t>
      </w:r>
      <w:r w:rsidRPr="00C800CB">
        <w:rPr>
          <w:rFonts w:cs="Aharoni"/>
          <w:sz w:val="24"/>
          <w:szCs w:val="24"/>
          <w:rtl/>
        </w:rPr>
        <w:t xml:space="preserve"> גמר ומשעבד נפשיה</w:t>
      </w:r>
      <w:r w:rsidRPr="00C800CB">
        <w:rPr>
          <w:rFonts w:cs="Aharoni" w:hint="cs"/>
          <w:sz w:val="24"/>
          <w:szCs w:val="24"/>
          <w:rtl/>
        </w:rPr>
        <w:t>,</w:t>
      </w:r>
      <w:r w:rsidRPr="00C800CB">
        <w:rPr>
          <w:rFonts w:cs="Aharoni"/>
          <w:sz w:val="24"/>
          <w:szCs w:val="24"/>
          <w:rtl/>
        </w:rPr>
        <w:t xml:space="preserve"> שהרי אפילו באמירה בעלמא</w:t>
      </w:r>
      <w:r w:rsidRPr="00C800CB">
        <w:rPr>
          <w:rFonts w:cs="Aharoni" w:hint="cs"/>
          <w:sz w:val="24"/>
          <w:szCs w:val="24"/>
          <w:rtl/>
        </w:rPr>
        <w:t xml:space="preserve"> -</w:t>
      </w:r>
      <w:r w:rsidRPr="00C800CB">
        <w:rPr>
          <w:rFonts w:cs="Aharoni"/>
          <w:sz w:val="24"/>
          <w:szCs w:val="24"/>
          <w:rtl/>
        </w:rPr>
        <w:t xml:space="preserve"> יש דברים שנקנים</w:t>
      </w:r>
      <w:r w:rsidRPr="00C800CB">
        <w:rPr>
          <w:rFonts w:cs="Aharoni" w:hint="cs"/>
          <w:sz w:val="24"/>
          <w:szCs w:val="24"/>
          <w:rtl/>
        </w:rPr>
        <w:t>...</w:t>
      </w:r>
      <w:r w:rsidRPr="00A92E00">
        <w:rPr>
          <w:rFonts w:cs="FrankRuehl" w:hint="cs"/>
          <w:sz w:val="26"/>
          <w:szCs w:val="26"/>
          <w:rtl/>
        </w:rPr>
        <w:t xml:space="preserve"> (תוספות).</w:t>
      </w:r>
    </w:p>
    <w:p w14:paraId="778BA956" w14:textId="77777777" w:rsidR="000045CA" w:rsidRDefault="000045CA" w:rsidP="000045CA">
      <w:pPr>
        <w:spacing w:line="360" w:lineRule="auto"/>
        <w:jc w:val="both"/>
        <w:rPr>
          <w:rFonts w:cs="FrankRuehl"/>
          <w:sz w:val="26"/>
          <w:szCs w:val="26"/>
          <w:rtl/>
        </w:rPr>
      </w:pPr>
    </w:p>
    <w:p w14:paraId="43EC4C91" w14:textId="77777777" w:rsidR="000045CA" w:rsidRDefault="000045CA" w:rsidP="000045CA">
      <w:pPr>
        <w:spacing w:line="360" w:lineRule="auto"/>
        <w:jc w:val="both"/>
        <w:rPr>
          <w:rFonts w:cs="FrankRuehl"/>
          <w:sz w:val="26"/>
          <w:szCs w:val="26"/>
          <w:rtl/>
        </w:rPr>
      </w:pPr>
      <w:r w:rsidRPr="00A92E00">
        <w:rPr>
          <w:rFonts w:cs="FrankRuehl" w:hint="cs"/>
          <w:sz w:val="26"/>
          <w:szCs w:val="26"/>
          <w:rtl/>
        </w:rPr>
        <w:t xml:space="preserve">א. </w:t>
      </w:r>
      <w:r>
        <w:rPr>
          <w:rFonts w:cs="FrankRuehl" w:hint="cs"/>
          <w:sz w:val="26"/>
          <w:szCs w:val="26"/>
          <w:rtl/>
        </w:rPr>
        <w:t>בתחילת הפיסקה (הציטוט שלעיל) חולק רבנו תם על רש"י (הגישה הראייתית). הסבירו בקצרה את דעת רש"י ואת הביקורת של רבנו תם (על רש"י).</w:t>
      </w:r>
    </w:p>
    <w:p w14:paraId="5B42281F" w14:textId="77777777" w:rsidR="000045CA" w:rsidRPr="00A92E00" w:rsidRDefault="000045CA" w:rsidP="000045CA">
      <w:pPr>
        <w:spacing w:line="360" w:lineRule="auto"/>
        <w:jc w:val="both"/>
        <w:rPr>
          <w:rFonts w:cs="FrankRuehl"/>
          <w:sz w:val="26"/>
          <w:szCs w:val="26"/>
          <w:rtl/>
        </w:rPr>
      </w:pPr>
      <w:r w:rsidRPr="00A92E00">
        <w:rPr>
          <w:rFonts w:cs="FrankRuehl" w:hint="cs"/>
          <w:sz w:val="26"/>
          <w:szCs w:val="26"/>
          <w:rtl/>
        </w:rPr>
        <w:t>ב.  (1) מהו מקור תוקפה של התחייבות כספית בשטר, לדעת רבנו תם?</w:t>
      </w:r>
    </w:p>
    <w:p w14:paraId="140A181D" w14:textId="77777777" w:rsidR="000045CA" w:rsidRPr="00A92E00" w:rsidRDefault="000045CA" w:rsidP="000045CA">
      <w:pPr>
        <w:spacing w:line="360" w:lineRule="auto"/>
        <w:jc w:val="both"/>
        <w:rPr>
          <w:rFonts w:cs="FrankRuehl"/>
          <w:sz w:val="26"/>
          <w:szCs w:val="26"/>
          <w:rtl/>
        </w:rPr>
      </w:pPr>
      <w:r w:rsidRPr="00A92E00">
        <w:rPr>
          <w:rFonts w:cs="FrankRuehl" w:hint="cs"/>
          <w:sz w:val="26"/>
          <w:szCs w:val="26"/>
          <w:rtl/>
        </w:rPr>
        <w:t>(2) מהו הקושי בהצעתו של רבנו תם (שבסעיף 1), ומהו הפתרון לקושי זה?</w:t>
      </w:r>
    </w:p>
    <w:p w14:paraId="624BC4C2" w14:textId="77777777" w:rsidR="000045CA" w:rsidRDefault="000045CA" w:rsidP="000045CA">
      <w:pPr>
        <w:spacing w:line="360" w:lineRule="auto"/>
        <w:jc w:val="both"/>
        <w:rPr>
          <w:rFonts w:cs="FrankRuehl"/>
          <w:sz w:val="26"/>
          <w:szCs w:val="26"/>
          <w:rtl/>
        </w:rPr>
      </w:pPr>
      <w:r>
        <w:rPr>
          <w:rFonts w:cs="FrankRuehl" w:hint="cs"/>
          <w:sz w:val="26"/>
          <w:szCs w:val="26"/>
          <w:rtl/>
        </w:rPr>
        <w:t xml:space="preserve">ג. </w:t>
      </w:r>
      <w:r w:rsidRPr="00A92E00">
        <w:rPr>
          <w:rFonts w:cs="FrankRuehl" w:hint="cs"/>
          <w:sz w:val="26"/>
          <w:szCs w:val="26"/>
          <w:rtl/>
        </w:rPr>
        <w:t>רבנו תם קובע</w:t>
      </w:r>
      <w:r>
        <w:rPr>
          <w:rFonts w:cs="FrankRuehl" w:hint="cs"/>
          <w:sz w:val="26"/>
          <w:szCs w:val="26"/>
          <w:rtl/>
        </w:rPr>
        <w:t>,</w:t>
      </w:r>
      <w:r w:rsidRPr="00A92E00">
        <w:rPr>
          <w:rFonts w:cs="FrankRuehl" w:hint="cs"/>
          <w:sz w:val="26"/>
          <w:szCs w:val="26"/>
          <w:rtl/>
        </w:rPr>
        <w:t xml:space="preserve"> שלפעמים קניין תקף באמצעות אמירה (או כתב), ובלא מעשה קניין. את טענתו זאת הוא מוכיח באמצעות </w:t>
      </w:r>
      <w:r>
        <w:rPr>
          <w:rFonts w:cs="FrankRuehl" w:hint="cs"/>
          <w:sz w:val="26"/>
          <w:szCs w:val="26"/>
          <w:rtl/>
        </w:rPr>
        <w:t xml:space="preserve">הלכת </w:t>
      </w:r>
      <w:r w:rsidRPr="00A92E00">
        <w:rPr>
          <w:rFonts w:cs="FrankRuehl" w:hint="cs"/>
          <w:sz w:val="26"/>
          <w:szCs w:val="26"/>
          <w:rtl/>
        </w:rPr>
        <w:t xml:space="preserve">דברים הנקנים באמירה. </w:t>
      </w:r>
      <w:r>
        <w:rPr>
          <w:rFonts w:cs="FrankRuehl" w:hint="cs"/>
          <w:sz w:val="26"/>
          <w:szCs w:val="26"/>
          <w:rtl/>
        </w:rPr>
        <w:t>מהי הלכה זו, וכיצד ניתן להוכיח באמצעותה את קביעתו של רבנו תם?</w:t>
      </w:r>
    </w:p>
    <w:p w14:paraId="0FC83779" w14:textId="77777777" w:rsidR="000045CA" w:rsidRDefault="000045CA" w:rsidP="000045CA">
      <w:pPr>
        <w:spacing w:line="360" w:lineRule="auto"/>
        <w:jc w:val="both"/>
        <w:rPr>
          <w:rFonts w:cs="FrankRuehl"/>
          <w:sz w:val="26"/>
          <w:szCs w:val="26"/>
          <w:rtl/>
        </w:rPr>
      </w:pPr>
      <w:r>
        <w:rPr>
          <w:rFonts w:cs="FrankRuehl" w:hint="cs"/>
          <w:sz w:val="26"/>
          <w:szCs w:val="26"/>
          <w:rtl/>
        </w:rPr>
        <w:t xml:space="preserve">ד. היגד: "ההתפתחות של הלכת דברים הנקנים באמירה, בשלביה השונים </w:t>
      </w:r>
      <w:r>
        <w:rPr>
          <w:rFonts w:cs="FrankRuehl"/>
          <w:sz w:val="26"/>
          <w:szCs w:val="26"/>
          <w:rtl/>
        </w:rPr>
        <w:t>–</w:t>
      </w:r>
      <w:r>
        <w:rPr>
          <w:rFonts w:cs="FrankRuehl" w:hint="cs"/>
          <w:sz w:val="26"/>
          <w:szCs w:val="26"/>
          <w:rtl/>
        </w:rPr>
        <w:t xml:space="preserve"> אינה תואמת (ושמא אף סותרת) את ההוכחה של רבנו תם" (שבסעיף ב). </w:t>
      </w:r>
    </w:p>
    <w:p w14:paraId="0F04CD24" w14:textId="77777777" w:rsidR="000045CA" w:rsidRDefault="000045CA" w:rsidP="000045CA">
      <w:pPr>
        <w:spacing w:line="360" w:lineRule="auto"/>
        <w:jc w:val="both"/>
        <w:rPr>
          <w:rFonts w:cs="FrankRuehl"/>
          <w:sz w:val="26"/>
          <w:szCs w:val="26"/>
          <w:rtl/>
        </w:rPr>
      </w:pPr>
      <w:r>
        <w:rPr>
          <w:rFonts w:cs="FrankRuehl" w:hint="cs"/>
          <w:sz w:val="26"/>
          <w:szCs w:val="26"/>
          <w:rtl/>
        </w:rPr>
        <w:t xml:space="preserve">(1) תארו בקצרה את השלבים השונים של ההלכה (מקסימום </w:t>
      </w:r>
      <w:r>
        <w:rPr>
          <w:rFonts w:cs="FrankRuehl"/>
          <w:sz w:val="26"/>
          <w:szCs w:val="26"/>
          <w:rtl/>
        </w:rPr>
        <w:t>–</w:t>
      </w:r>
      <w:r>
        <w:rPr>
          <w:rFonts w:cs="FrankRuehl" w:hint="cs"/>
          <w:sz w:val="26"/>
          <w:szCs w:val="26"/>
          <w:rtl/>
        </w:rPr>
        <w:t xml:space="preserve"> 10 שורות).</w:t>
      </w:r>
    </w:p>
    <w:p w14:paraId="463E89B0" w14:textId="77777777" w:rsidR="000045CA" w:rsidRDefault="000045CA" w:rsidP="000045CA">
      <w:pPr>
        <w:spacing w:line="360" w:lineRule="auto"/>
        <w:jc w:val="both"/>
        <w:rPr>
          <w:rFonts w:cs="FrankRuehl"/>
          <w:sz w:val="26"/>
          <w:szCs w:val="26"/>
          <w:rtl/>
        </w:rPr>
      </w:pPr>
      <w:r>
        <w:rPr>
          <w:rFonts w:cs="FrankRuehl" w:hint="cs"/>
          <w:sz w:val="26"/>
          <w:szCs w:val="26"/>
          <w:rtl/>
        </w:rPr>
        <w:t xml:space="preserve">(2) חוו דעתכם על ההיגד הנ"ל, לפי תשובתכם בסעיף הקודם.  </w:t>
      </w:r>
    </w:p>
    <w:p w14:paraId="6834F3D6" w14:textId="77777777" w:rsidR="000045CA" w:rsidRDefault="000045CA" w:rsidP="000045CA">
      <w:pPr>
        <w:spacing w:line="360" w:lineRule="auto"/>
        <w:jc w:val="both"/>
        <w:rPr>
          <w:rFonts w:cs="FrankRuehl"/>
          <w:sz w:val="26"/>
          <w:szCs w:val="26"/>
          <w:rtl/>
        </w:rPr>
      </w:pPr>
    </w:p>
    <w:p w14:paraId="527B3CD8" w14:textId="77777777" w:rsidR="00537D67" w:rsidRDefault="00537D67">
      <w:pPr>
        <w:rPr>
          <w:rtl/>
        </w:rPr>
      </w:pPr>
    </w:p>
    <w:p w14:paraId="5CDA1E15" w14:textId="77777777" w:rsidR="001B6847" w:rsidRDefault="001B6847">
      <w:pPr>
        <w:rPr>
          <w:rtl/>
        </w:rPr>
      </w:pPr>
    </w:p>
    <w:p w14:paraId="36C0EFE2" w14:textId="77777777" w:rsidR="001B6847" w:rsidRDefault="001B6847">
      <w:pPr>
        <w:rPr>
          <w:rtl/>
        </w:rPr>
      </w:pPr>
    </w:p>
    <w:p w14:paraId="22BF8C4B" w14:textId="77777777" w:rsidR="001B6847" w:rsidRDefault="001B6847">
      <w:pPr>
        <w:rPr>
          <w:rtl/>
        </w:rPr>
      </w:pPr>
    </w:p>
    <w:p w14:paraId="2975CEE5" w14:textId="77777777" w:rsidR="001B6847" w:rsidRDefault="001B6847">
      <w:pPr>
        <w:rPr>
          <w:rtl/>
        </w:rPr>
      </w:pPr>
    </w:p>
    <w:p w14:paraId="278F0321" w14:textId="77777777" w:rsidR="001B6847" w:rsidRDefault="001B6847">
      <w:pPr>
        <w:rPr>
          <w:rtl/>
        </w:rPr>
      </w:pPr>
    </w:p>
    <w:p w14:paraId="3477DDF5" w14:textId="77777777" w:rsidR="001B6847" w:rsidRDefault="001B6847">
      <w:pPr>
        <w:rPr>
          <w:rtl/>
        </w:rPr>
      </w:pPr>
    </w:p>
    <w:p w14:paraId="758AD917" w14:textId="77777777" w:rsidR="001B6847" w:rsidRDefault="001B6847">
      <w:pPr>
        <w:rPr>
          <w:rtl/>
        </w:rPr>
      </w:pPr>
    </w:p>
    <w:p w14:paraId="6AB7466E" w14:textId="77777777" w:rsidR="001B6847" w:rsidRDefault="001B6847">
      <w:pPr>
        <w:rPr>
          <w:rtl/>
        </w:rPr>
      </w:pPr>
    </w:p>
    <w:p w14:paraId="1415EC90" w14:textId="77777777" w:rsidR="001B6847" w:rsidRDefault="001B6847">
      <w:pPr>
        <w:rPr>
          <w:rtl/>
        </w:rPr>
      </w:pPr>
    </w:p>
    <w:p w14:paraId="28211ACB" w14:textId="77777777" w:rsidR="001B6847" w:rsidRPr="00B019A9" w:rsidRDefault="001B6847" w:rsidP="001B6847">
      <w:pPr>
        <w:spacing w:line="360" w:lineRule="auto"/>
        <w:jc w:val="both"/>
        <w:rPr>
          <w:rFonts w:cs="FrankRuehl"/>
          <w:sz w:val="26"/>
          <w:szCs w:val="26"/>
          <w:u w:val="single"/>
          <w:rtl/>
        </w:rPr>
      </w:pPr>
      <w:r w:rsidRPr="00C800CB">
        <w:rPr>
          <w:rFonts w:cs="Guttman Keren" w:hint="cs"/>
          <w:sz w:val="24"/>
          <w:szCs w:val="26"/>
          <w:u w:val="single"/>
          <w:rtl/>
        </w:rPr>
        <w:lastRenderedPageBreak/>
        <w:t xml:space="preserve">שאלה מס' 1 </w:t>
      </w:r>
      <w:r w:rsidRPr="00C800CB">
        <w:rPr>
          <w:rFonts w:cs="FrankRuehl" w:hint="cs"/>
          <w:sz w:val="24"/>
          <w:szCs w:val="26"/>
          <w:u w:val="single"/>
          <w:rtl/>
        </w:rPr>
        <w:t>(4</w:t>
      </w:r>
      <w:r>
        <w:rPr>
          <w:rFonts w:cs="FrankRuehl" w:hint="cs"/>
          <w:sz w:val="24"/>
          <w:szCs w:val="26"/>
          <w:u w:val="single"/>
          <w:rtl/>
        </w:rPr>
        <w:t>2</w:t>
      </w:r>
      <w:r w:rsidRPr="00C800CB">
        <w:rPr>
          <w:rFonts w:cs="FrankRuehl" w:hint="cs"/>
          <w:sz w:val="24"/>
          <w:szCs w:val="26"/>
          <w:u w:val="single"/>
          <w:rtl/>
        </w:rPr>
        <w:t xml:space="preserve"> נק'; מקסימום </w:t>
      </w:r>
      <w:r w:rsidRPr="00C800CB">
        <w:rPr>
          <w:rFonts w:cs="FrankRuehl"/>
          <w:sz w:val="24"/>
          <w:szCs w:val="26"/>
          <w:u w:val="single"/>
          <w:rtl/>
        </w:rPr>
        <w:t>–</w:t>
      </w:r>
      <w:r w:rsidRPr="00C800CB">
        <w:rPr>
          <w:rFonts w:cs="FrankRuehl" w:hint="cs"/>
          <w:sz w:val="26"/>
          <w:szCs w:val="26"/>
          <w:u w:val="single"/>
          <w:rtl/>
        </w:rPr>
        <w:t xml:space="preserve"> 2 עמ')</w:t>
      </w:r>
    </w:p>
    <w:p w14:paraId="190DA65B" w14:textId="77777777" w:rsidR="001B6847" w:rsidRDefault="001B6847" w:rsidP="001B6847">
      <w:pPr>
        <w:spacing w:line="360" w:lineRule="auto"/>
        <w:jc w:val="both"/>
        <w:rPr>
          <w:rFonts w:cs="FrankRuehl"/>
          <w:sz w:val="26"/>
          <w:szCs w:val="26"/>
          <w:rtl/>
        </w:rPr>
      </w:pPr>
      <w:r>
        <w:rPr>
          <w:rFonts w:cs="FrankRuehl" w:hint="cs"/>
          <w:sz w:val="26"/>
          <w:szCs w:val="26"/>
          <w:rtl/>
        </w:rPr>
        <w:t xml:space="preserve">א. </w:t>
      </w:r>
      <w:r w:rsidRPr="00C528B6">
        <w:rPr>
          <w:rFonts w:cs="FrankRuehl" w:hint="cs"/>
          <w:sz w:val="26"/>
          <w:szCs w:val="26"/>
          <w:highlight w:val="yellow"/>
          <w:rtl/>
        </w:rPr>
        <w:t>12 נק'</w:t>
      </w:r>
      <w:r>
        <w:rPr>
          <w:rFonts w:cs="FrankRuehl" w:hint="cs"/>
          <w:sz w:val="26"/>
          <w:szCs w:val="26"/>
          <w:rtl/>
        </w:rPr>
        <w:t xml:space="preserve"> די בשלש דוגמאות. </w:t>
      </w:r>
      <w:r w:rsidRPr="00C528B6">
        <w:rPr>
          <w:rFonts w:cs="FrankRuehl" w:hint="cs"/>
          <w:sz w:val="26"/>
          <w:szCs w:val="26"/>
          <w:highlight w:val="yellow"/>
          <w:rtl/>
        </w:rPr>
        <w:t>4 נק' לכל דוגמא</w:t>
      </w:r>
      <w:r>
        <w:rPr>
          <w:rFonts w:cs="FrankRuehl" w:hint="cs"/>
          <w:sz w:val="26"/>
          <w:szCs w:val="26"/>
          <w:rtl/>
        </w:rPr>
        <w:t>.</w:t>
      </w:r>
    </w:p>
    <w:p w14:paraId="3BB3A4E9" w14:textId="77777777" w:rsidR="001B6847" w:rsidRDefault="001B6847" w:rsidP="001B6847">
      <w:pPr>
        <w:spacing w:line="360" w:lineRule="auto"/>
        <w:jc w:val="both"/>
        <w:rPr>
          <w:rFonts w:cs="FrankRuehl"/>
          <w:sz w:val="26"/>
          <w:szCs w:val="26"/>
          <w:rtl/>
        </w:rPr>
      </w:pPr>
      <w:r>
        <w:rPr>
          <w:rFonts w:cs="FrankRuehl" w:hint="cs"/>
          <w:sz w:val="26"/>
          <w:szCs w:val="26"/>
          <w:rtl/>
        </w:rPr>
        <w:t>*</w:t>
      </w:r>
      <w:r w:rsidRPr="004417D9">
        <w:rPr>
          <w:rFonts w:cs="FrankRuehl"/>
          <w:sz w:val="26"/>
          <w:szCs w:val="26"/>
          <w:rtl/>
        </w:rPr>
        <w:t>הנושא את האשה, ופסקה עמו כדי שיזון את בתה חמש שנים - חייב לזונה חמש שנים.</w:t>
      </w:r>
    </w:p>
    <w:p w14:paraId="75CA4CCB" w14:textId="77777777" w:rsidR="001B6847" w:rsidRDefault="001B6847" w:rsidP="001B6847">
      <w:pPr>
        <w:spacing w:line="360" w:lineRule="auto"/>
        <w:jc w:val="both"/>
        <w:rPr>
          <w:rFonts w:cs="FrankRuehl"/>
          <w:sz w:val="26"/>
          <w:szCs w:val="26"/>
          <w:rtl/>
        </w:rPr>
      </w:pPr>
      <w:r>
        <w:rPr>
          <w:rFonts w:cs="FrankRuehl" w:hint="cs"/>
          <w:sz w:val="26"/>
          <w:szCs w:val="26"/>
          <w:rtl/>
        </w:rPr>
        <w:t xml:space="preserve">*הסכם פירוק שיתוף במקרקעין - </w:t>
      </w:r>
      <w:r w:rsidRPr="002F4F0F">
        <w:rPr>
          <w:rFonts w:cs="FrankRuehl"/>
          <w:sz w:val="26"/>
          <w:szCs w:val="26"/>
          <w:rtl/>
        </w:rPr>
        <w:t>השותפין שרצו לעשות מחיצה בחצר - בונין את הכותל באמצע</w:t>
      </w:r>
      <w:r>
        <w:rPr>
          <w:rFonts w:cs="FrankRuehl" w:hint="cs"/>
          <w:sz w:val="26"/>
          <w:szCs w:val="26"/>
          <w:rtl/>
        </w:rPr>
        <w:t>.</w:t>
      </w:r>
    </w:p>
    <w:p w14:paraId="6CF0F2E4" w14:textId="77777777" w:rsidR="001B6847" w:rsidRDefault="001B6847" w:rsidP="001B6847">
      <w:pPr>
        <w:pStyle w:val="a3"/>
        <w:rPr>
          <w:rFonts w:cs="FrankRuehl"/>
          <w:sz w:val="26"/>
          <w:szCs w:val="26"/>
          <w:rtl/>
        </w:rPr>
      </w:pPr>
      <w:r>
        <w:rPr>
          <w:rFonts w:cs="FrankRuehl" w:hint="cs"/>
          <w:sz w:val="26"/>
          <w:szCs w:val="26"/>
          <w:rtl/>
        </w:rPr>
        <w:t xml:space="preserve">*הסכם שמירה - תניות פטור: </w:t>
      </w:r>
      <w:r w:rsidRPr="00FC5DC8">
        <w:rPr>
          <w:rFonts w:cs="FrankRuehl"/>
          <w:sz w:val="26"/>
          <w:szCs w:val="26"/>
          <w:rtl/>
        </w:rPr>
        <w:t>מתנה שומר חנם להיות פטור משבועה והשואל להיות פטור מלשלם נושא שכר והשוכר להיות פטורין משבועה ומלשלם.</w:t>
      </w:r>
    </w:p>
    <w:p w14:paraId="72A30B70" w14:textId="77777777" w:rsidR="001B6847" w:rsidRPr="00FC5DC8" w:rsidRDefault="001B6847" w:rsidP="001B6847">
      <w:pPr>
        <w:pStyle w:val="a3"/>
        <w:rPr>
          <w:rFonts w:cs="FrankRuehl"/>
          <w:sz w:val="26"/>
          <w:szCs w:val="26"/>
          <w:rtl/>
        </w:rPr>
      </w:pPr>
      <w:r>
        <w:rPr>
          <w:rFonts w:cs="FrankRuehl" w:hint="cs"/>
          <w:sz w:val="26"/>
          <w:szCs w:val="26"/>
          <w:rtl/>
        </w:rPr>
        <w:t xml:space="preserve">*הסכם שמירה: </w:t>
      </w:r>
      <w:r w:rsidRPr="00FC5DC8">
        <w:rPr>
          <w:rFonts w:cs="FrankRuehl"/>
          <w:sz w:val="26"/>
          <w:szCs w:val="26"/>
          <w:rtl/>
        </w:rPr>
        <w:t xml:space="preserve">שמור לי ואשמור לך - שומר שכר. שמור לי, ואמר לו: הנח לפני - שומר חנם. </w:t>
      </w:r>
    </w:p>
    <w:p w14:paraId="73FAB634" w14:textId="77777777" w:rsidR="001B6847" w:rsidRDefault="001B6847" w:rsidP="001B6847">
      <w:pPr>
        <w:spacing w:line="360" w:lineRule="auto"/>
        <w:jc w:val="both"/>
        <w:rPr>
          <w:rFonts w:cs="FrankRuehl"/>
          <w:sz w:val="26"/>
          <w:szCs w:val="26"/>
          <w:rtl/>
        </w:rPr>
      </w:pPr>
    </w:p>
    <w:p w14:paraId="742CE618" w14:textId="77777777" w:rsidR="001B6847" w:rsidRDefault="001B6847" w:rsidP="001B6847">
      <w:pPr>
        <w:spacing w:line="360" w:lineRule="auto"/>
        <w:jc w:val="both"/>
        <w:rPr>
          <w:rFonts w:cs="FrankRuehl"/>
          <w:sz w:val="26"/>
          <w:szCs w:val="26"/>
          <w:rtl/>
        </w:rPr>
      </w:pPr>
      <w:r>
        <w:rPr>
          <w:rFonts w:cs="FrankRuehl" w:hint="cs"/>
          <w:sz w:val="26"/>
          <w:szCs w:val="26"/>
          <w:rtl/>
        </w:rPr>
        <w:t xml:space="preserve">ב. </w:t>
      </w:r>
      <w:r w:rsidRPr="00C528B6">
        <w:rPr>
          <w:rFonts w:cs="FrankRuehl" w:hint="cs"/>
          <w:sz w:val="26"/>
          <w:szCs w:val="26"/>
          <w:highlight w:val="yellow"/>
          <w:rtl/>
        </w:rPr>
        <w:t>2 נק'</w:t>
      </w:r>
      <w:r>
        <w:rPr>
          <w:rFonts w:cs="FrankRuehl" w:hint="cs"/>
          <w:sz w:val="26"/>
          <w:szCs w:val="26"/>
          <w:rtl/>
        </w:rPr>
        <w:t xml:space="preserve"> לפי התלמוד להתחייבות כשהיא לעצמה אין תוקף, משום שהיא ערטילאית, ולא ניתן להעביר זכויות מופשטות מצד לצד. סיבת הסטיה מן המקורות התנאיים:</w:t>
      </w:r>
    </w:p>
    <w:p w14:paraId="798414A3" w14:textId="77777777" w:rsidR="001B6847" w:rsidRDefault="001B6847" w:rsidP="001B6847">
      <w:pPr>
        <w:spacing w:line="360" w:lineRule="auto"/>
        <w:jc w:val="both"/>
        <w:rPr>
          <w:rFonts w:cs="FrankRuehl"/>
          <w:sz w:val="26"/>
          <w:szCs w:val="26"/>
          <w:rtl/>
        </w:rPr>
      </w:pPr>
      <w:r w:rsidRPr="00C528B6">
        <w:rPr>
          <w:rFonts w:cs="FrankRuehl" w:hint="cs"/>
          <w:sz w:val="26"/>
          <w:szCs w:val="26"/>
          <w:highlight w:val="yellow"/>
          <w:rtl/>
        </w:rPr>
        <w:t>5 נק'</w:t>
      </w:r>
      <w:r>
        <w:rPr>
          <w:rFonts w:cs="FrankRuehl" w:hint="cs"/>
          <w:sz w:val="26"/>
          <w:szCs w:val="26"/>
          <w:rtl/>
        </w:rPr>
        <w:t xml:space="preserve"> *ריאלית - </w:t>
      </w:r>
      <w:r w:rsidRPr="00EA62A3">
        <w:rPr>
          <w:rFonts w:cs="FrankRuehl" w:hint="cs"/>
          <w:sz w:val="26"/>
          <w:szCs w:val="26"/>
          <w:rtl/>
        </w:rPr>
        <w:t>ההבדל שבין משפטי הסביבה שבה מתפתחת ההלכה: בא"י - ערש היצירה התנאית - שולט המשפט הרומי, המכיר בתופעה החוזית בדרכים שונות (סטיפולציו ועוד). לעומת זאת, בבבל שולט המשפט הבבלי-פרסי שאינו מכיר בתוקפן של פעולות משפטיות ערטילאיות.</w:t>
      </w:r>
    </w:p>
    <w:p w14:paraId="5B189D09" w14:textId="77777777" w:rsidR="001B6847" w:rsidRPr="00EA62A3" w:rsidRDefault="001B6847" w:rsidP="001B6847">
      <w:pPr>
        <w:spacing w:line="360" w:lineRule="auto"/>
        <w:jc w:val="both"/>
        <w:rPr>
          <w:rFonts w:cs="FrankRuehl"/>
          <w:sz w:val="26"/>
          <w:szCs w:val="26"/>
          <w:rtl/>
        </w:rPr>
      </w:pPr>
      <w:r w:rsidRPr="00C528B6">
        <w:rPr>
          <w:rFonts w:cs="FrankRuehl" w:hint="cs"/>
          <w:sz w:val="26"/>
          <w:szCs w:val="26"/>
          <w:highlight w:val="yellow"/>
          <w:rtl/>
        </w:rPr>
        <w:t>2 נק'</w:t>
      </w:r>
      <w:r>
        <w:rPr>
          <w:rFonts w:cs="FrankRuehl" w:hint="cs"/>
          <w:sz w:val="26"/>
          <w:szCs w:val="26"/>
          <w:rtl/>
        </w:rPr>
        <w:t xml:space="preserve"> *ערכית-חברתית: יחסי נאמנות וחיברות נבנים בצורה עמוקה יותר, אם התחייבות אינה אכיפה, אלא תלויה באמון, ביחס חברי וברצון טוב. </w:t>
      </w:r>
    </w:p>
    <w:p w14:paraId="5A4D4ACB" w14:textId="77777777" w:rsidR="001B6847" w:rsidRDefault="001B6847" w:rsidP="001B6847">
      <w:pPr>
        <w:spacing w:line="360" w:lineRule="auto"/>
        <w:jc w:val="both"/>
        <w:rPr>
          <w:rFonts w:cs="FrankRuehl"/>
          <w:sz w:val="26"/>
          <w:szCs w:val="26"/>
          <w:rtl/>
        </w:rPr>
      </w:pPr>
    </w:p>
    <w:p w14:paraId="623B367E" w14:textId="77777777" w:rsidR="001B6847" w:rsidRDefault="001B6847" w:rsidP="001B6847">
      <w:pPr>
        <w:spacing w:line="360" w:lineRule="auto"/>
        <w:jc w:val="both"/>
        <w:rPr>
          <w:rFonts w:cs="FrankRuehl"/>
          <w:sz w:val="26"/>
          <w:szCs w:val="26"/>
          <w:rtl/>
        </w:rPr>
      </w:pPr>
      <w:r>
        <w:rPr>
          <w:rFonts w:cs="FrankRuehl" w:hint="cs"/>
          <w:sz w:val="26"/>
          <w:szCs w:val="26"/>
          <w:rtl/>
        </w:rPr>
        <w:t xml:space="preserve">ג. (1) </w:t>
      </w:r>
      <w:r w:rsidRPr="00C528B6">
        <w:rPr>
          <w:rFonts w:cs="FrankRuehl" w:hint="cs"/>
          <w:sz w:val="26"/>
          <w:szCs w:val="26"/>
          <w:highlight w:val="yellow"/>
          <w:rtl/>
        </w:rPr>
        <w:t>9 נק'</w:t>
      </w:r>
      <w:r>
        <w:rPr>
          <w:rFonts w:cs="FrankRuehl" w:hint="cs"/>
          <w:sz w:val="26"/>
          <w:szCs w:val="26"/>
          <w:rtl/>
        </w:rPr>
        <w:t xml:space="preserve"> די בדוגמא אחת לכל סעיף (#). 3 נק' לכל דוגמא.</w:t>
      </w:r>
    </w:p>
    <w:p w14:paraId="14A67D6E" w14:textId="77777777" w:rsidR="001B6847" w:rsidRDefault="001B6847" w:rsidP="001B6847">
      <w:pPr>
        <w:spacing w:line="360" w:lineRule="auto"/>
        <w:jc w:val="both"/>
        <w:rPr>
          <w:rFonts w:cs="FrankRuehl"/>
          <w:sz w:val="26"/>
          <w:szCs w:val="26"/>
          <w:rtl/>
        </w:rPr>
      </w:pPr>
      <w:r>
        <w:rPr>
          <w:rFonts w:cs="FrankRuehl" w:hint="cs"/>
          <w:sz w:val="26"/>
          <w:szCs w:val="26"/>
          <w:rtl/>
        </w:rPr>
        <w:t>#</w:t>
      </w:r>
      <w:r w:rsidRPr="00404305">
        <w:rPr>
          <w:rFonts w:cs="FrankRuehl" w:hint="cs"/>
          <w:sz w:val="26"/>
          <w:szCs w:val="26"/>
          <w:u w:val="single"/>
          <w:rtl/>
        </w:rPr>
        <w:t>תפיסת ההתחייבות כהודאה</w:t>
      </w:r>
      <w:r>
        <w:rPr>
          <w:rFonts w:cs="FrankRuehl" w:hint="cs"/>
          <w:sz w:val="26"/>
          <w:szCs w:val="26"/>
          <w:rtl/>
        </w:rPr>
        <w:t xml:space="preserve"> </w:t>
      </w:r>
      <w:r>
        <w:rPr>
          <w:rFonts w:cs="FrankRuehl"/>
          <w:sz w:val="26"/>
          <w:szCs w:val="26"/>
          <w:rtl/>
        </w:rPr>
        <w:t>–</w:t>
      </w:r>
      <w:r>
        <w:rPr>
          <w:rFonts w:cs="FrankRuehl" w:hint="cs"/>
          <w:sz w:val="26"/>
          <w:szCs w:val="26"/>
          <w:rtl/>
        </w:rPr>
        <w:t xml:space="preserve"> *לפי הבבלי "חייב אני לך מנה [בשטר]" -</w:t>
      </w:r>
      <w:r w:rsidRPr="004C6B2E">
        <w:rPr>
          <w:rFonts w:cs="FrankRuehl" w:hint="cs"/>
          <w:sz w:val="26"/>
          <w:szCs w:val="26"/>
          <w:rtl/>
        </w:rPr>
        <w:t xml:space="preserve"> </w:t>
      </w:r>
      <w:r>
        <w:rPr>
          <w:rFonts w:cs="FrankRuehl" w:hint="cs"/>
          <w:sz w:val="26"/>
          <w:szCs w:val="26"/>
          <w:rtl/>
        </w:rPr>
        <w:t>אינה נוסחת התחייבות, אלא נוסחת הודאה, שצריכה לעמוד בתנאי הודאה ("אתם עדיי" או תחליפיו).</w:t>
      </w:r>
    </w:p>
    <w:p w14:paraId="5226AFE3" w14:textId="77777777" w:rsidR="001B6847" w:rsidRDefault="001B6847" w:rsidP="001B6847">
      <w:pPr>
        <w:spacing w:line="360" w:lineRule="auto"/>
        <w:jc w:val="both"/>
        <w:rPr>
          <w:rFonts w:cs="FrankRuehl"/>
          <w:sz w:val="26"/>
          <w:szCs w:val="26"/>
          <w:rtl/>
        </w:rPr>
      </w:pPr>
      <w:r>
        <w:rPr>
          <w:rFonts w:cs="FrankRuehl" w:hint="cs"/>
          <w:sz w:val="26"/>
          <w:szCs w:val="26"/>
          <w:rtl/>
        </w:rPr>
        <w:t xml:space="preserve">*אודייתא </w:t>
      </w:r>
      <w:r>
        <w:rPr>
          <w:rFonts w:cs="FrankRuehl"/>
          <w:sz w:val="26"/>
          <w:szCs w:val="26"/>
          <w:rtl/>
        </w:rPr>
        <w:t>–</w:t>
      </w:r>
      <w:r>
        <w:rPr>
          <w:rFonts w:cs="FrankRuehl" w:hint="cs"/>
          <w:sz w:val="26"/>
          <w:szCs w:val="26"/>
          <w:rtl/>
        </w:rPr>
        <w:t xml:space="preserve"> התחייבות תקפה על בסיס הודאה (לדעת רשב"א).</w:t>
      </w:r>
    </w:p>
    <w:p w14:paraId="313689E2" w14:textId="77777777" w:rsidR="001B6847" w:rsidRDefault="001B6847" w:rsidP="001B6847">
      <w:pPr>
        <w:spacing w:line="360" w:lineRule="auto"/>
        <w:jc w:val="both"/>
        <w:rPr>
          <w:rFonts w:cs="FrankRuehl"/>
          <w:sz w:val="26"/>
          <w:szCs w:val="26"/>
          <w:rtl/>
        </w:rPr>
      </w:pPr>
      <w:r>
        <w:rPr>
          <w:rFonts w:cs="FrankRuehl" w:hint="cs"/>
          <w:sz w:val="26"/>
          <w:szCs w:val="26"/>
          <w:rtl/>
        </w:rPr>
        <w:t>#</w:t>
      </w:r>
      <w:r w:rsidRPr="00404305">
        <w:rPr>
          <w:rFonts w:cs="FrankRuehl" w:hint="cs"/>
          <w:sz w:val="26"/>
          <w:szCs w:val="26"/>
          <w:u w:val="single"/>
          <w:rtl/>
        </w:rPr>
        <w:t>קנו מידו</w:t>
      </w:r>
      <w:r w:rsidRPr="004C6B2E">
        <w:rPr>
          <w:rFonts w:cs="FrankRuehl" w:hint="cs"/>
          <w:sz w:val="26"/>
          <w:szCs w:val="26"/>
          <w:rtl/>
        </w:rPr>
        <w:t xml:space="preserve"> </w:t>
      </w:r>
      <w:r>
        <w:rPr>
          <w:rFonts w:cs="FrankRuehl"/>
          <w:sz w:val="26"/>
          <w:szCs w:val="26"/>
          <w:rtl/>
        </w:rPr>
        <w:t>–</w:t>
      </w:r>
      <w:r>
        <w:rPr>
          <w:rFonts w:cs="FrankRuehl" w:hint="cs"/>
          <w:sz w:val="26"/>
          <w:szCs w:val="26"/>
          <w:rtl/>
        </w:rPr>
        <w:t xml:space="preserve"> *הסכם פירוק שיתוף במקרקעין משתכלל ע"י קנו מידו ביחס למיקום החלקות (קנו מידו ברוחות).</w:t>
      </w:r>
    </w:p>
    <w:p w14:paraId="14546498" w14:textId="77777777" w:rsidR="001B6847" w:rsidRDefault="001B6847" w:rsidP="001B6847">
      <w:pPr>
        <w:spacing w:line="360" w:lineRule="auto"/>
        <w:jc w:val="both"/>
        <w:rPr>
          <w:rFonts w:cs="FrankRuehl"/>
          <w:sz w:val="26"/>
          <w:szCs w:val="26"/>
          <w:rtl/>
        </w:rPr>
      </w:pPr>
      <w:r>
        <w:rPr>
          <w:rFonts w:cs="FrankRuehl" w:hint="cs"/>
          <w:sz w:val="26"/>
          <w:szCs w:val="26"/>
          <w:rtl/>
        </w:rPr>
        <w:t xml:space="preserve">*הסכם שומרים (תניות פטור) </w:t>
      </w:r>
      <w:r>
        <w:rPr>
          <w:rFonts w:cs="FrankRuehl"/>
          <w:sz w:val="26"/>
          <w:szCs w:val="26"/>
          <w:rtl/>
        </w:rPr>
        <w:t>–</w:t>
      </w:r>
      <w:r>
        <w:rPr>
          <w:rFonts w:cs="FrankRuehl" w:hint="cs"/>
          <w:sz w:val="26"/>
          <w:szCs w:val="26"/>
          <w:rtl/>
        </w:rPr>
        <w:t xml:space="preserve"> משתכלל באמצעות קנו מידו.</w:t>
      </w:r>
    </w:p>
    <w:p w14:paraId="04A3C542" w14:textId="77777777" w:rsidR="001B6847" w:rsidRDefault="001B6847" w:rsidP="001B6847">
      <w:pPr>
        <w:spacing w:line="360" w:lineRule="auto"/>
        <w:jc w:val="both"/>
        <w:rPr>
          <w:rFonts w:cs="FrankRuehl"/>
          <w:sz w:val="26"/>
          <w:szCs w:val="26"/>
          <w:rtl/>
        </w:rPr>
      </w:pPr>
      <w:r>
        <w:rPr>
          <w:rFonts w:cs="FrankRuehl" w:hint="cs"/>
          <w:sz w:val="26"/>
          <w:szCs w:val="26"/>
          <w:rtl/>
        </w:rPr>
        <w:t>#</w:t>
      </w:r>
      <w:r w:rsidRPr="00404305">
        <w:rPr>
          <w:rFonts w:cs="FrankRuehl" w:hint="cs"/>
          <w:sz w:val="26"/>
          <w:szCs w:val="26"/>
          <w:u w:val="single"/>
          <w:rtl/>
        </w:rPr>
        <w:t>בההיא הנאה</w:t>
      </w:r>
      <w:r>
        <w:rPr>
          <w:rFonts w:cs="FrankRuehl" w:hint="cs"/>
          <w:sz w:val="26"/>
          <w:szCs w:val="26"/>
          <w:rtl/>
        </w:rPr>
        <w:t xml:space="preserve"> </w:t>
      </w:r>
      <w:r>
        <w:rPr>
          <w:rFonts w:cs="FrankRuehl"/>
          <w:sz w:val="26"/>
          <w:szCs w:val="26"/>
          <w:rtl/>
        </w:rPr>
        <w:t>–</w:t>
      </w:r>
      <w:r>
        <w:rPr>
          <w:rFonts w:cs="FrankRuehl" w:hint="cs"/>
          <w:sz w:val="26"/>
          <w:szCs w:val="26"/>
          <w:rtl/>
        </w:rPr>
        <w:t xml:space="preserve"> *הסכם בין הורי החתן לבין הורי הכלה עובר לנישואי ילדיהם (דברים הנקנים באמירה) משתכלל באמצעות בההיא הנאה דקמיחתני בהדדי.</w:t>
      </w:r>
    </w:p>
    <w:p w14:paraId="19D324A2" w14:textId="77777777" w:rsidR="001B6847" w:rsidRDefault="001B6847" w:rsidP="001B6847">
      <w:pPr>
        <w:spacing w:line="360" w:lineRule="auto"/>
        <w:jc w:val="both"/>
        <w:rPr>
          <w:rFonts w:cs="FrankRuehl"/>
          <w:sz w:val="26"/>
          <w:szCs w:val="26"/>
          <w:rtl/>
        </w:rPr>
      </w:pPr>
      <w:r>
        <w:rPr>
          <w:rFonts w:cs="FrankRuehl" w:hint="cs"/>
          <w:sz w:val="26"/>
          <w:szCs w:val="26"/>
          <w:rtl/>
        </w:rPr>
        <w:t>*מעמד שלשתן משתכלל באמצעות בההיא הנאה הנוצרת מן השינוי מן המלוה הישן למלוה החדש.</w:t>
      </w:r>
    </w:p>
    <w:p w14:paraId="54312268" w14:textId="77777777" w:rsidR="001B6847" w:rsidRDefault="001B6847" w:rsidP="001B6847">
      <w:pPr>
        <w:spacing w:line="360" w:lineRule="auto"/>
        <w:jc w:val="both"/>
        <w:rPr>
          <w:rFonts w:cs="FrankRuehl"/>
          <w:sz w:val="26"/>
          <w:szCs w:val="26"/>
          <w:rtl/>
        </w:rPr>
      </w:pPr>
      <w:r>
        <w:rPr>
          <w:rFonts w:cs="FrankRuehl" w:hint="cs"/>
          <w:sz w:val="26"/>
          <w:szCs w:val="26"/>
          <w:rtl/>
        </w:rPr>
        <w:t>* הסכם שמירה משתכלל באמצעות בההיא הנאה המוסבת לשומר, בכך שמתפרסם שהוא אדם מהימן.</w:t>
      </w:r>
    </w:p>
    <w:p w14:paraId="7C01DB86" w14:textId="77777777" w:rsidR="001B6847" w:rsidRDefault="001B6847" w:rsidP="001B6847">
      <w:pPr>
        <w:spacing w:line="360" w:lineRule="auto"/>
        <w:jc w:val="both"/>
        <w:rPr>
          <w:rFonts w:cs="FrankRuehl"/>
          <w:sz w:val="26"/>
          <w:szCs w:val="26"/>
          <w:rtl/>
        </w:rPr>
      </w:pPr>
    </w:p>
    <w:p w14:paraId="6E4FAB86" w14:textId="77777777" w:rsidR="001B6847" w:rsidRDefault="001B6847" w:rsidP="001B6847">
      <w:pPr>
        <w:spacing w:line="360" w:lineRule="auto"/>
        <w:jc w:val="both"/>
        <w:rPr>
          <w:rFonts w:cs="FrankRuehl"/>
          <w:sz w:val="26"/>
          <w:szCs w:val="26"/>
          <w:rtl/>
        </w:rPr>
      </w:pPr>
      <w:r>
        <w:rPr>
          <w:rFonts w:cs="FrankRuehl" w:hint="cs"/>
          <w:sz w:val="26"/>
          <w:szCs w:val="26"/>
          <w:rtl/>
        </w:rPr>
        <w:t xml:space="preserve">(2) </w:t>
      </w:r>
      <w:r w:rsidRPr="00C528B6">
        <w:rPr>
          <w:rFonts w:cs="FrankRuehl" w:hint="cs"/>
          <w:sz w:val="26"/>
          <w:szCs w:val="26"/>
          <w:highlight w:val="yellow"/>
          <w:rtl/>
        </w:rPr>
        <w:t>12 נק'</w:t>
      </w:r>
      <w:r>
        <w:rPr>
          <w:rFonts w:cs="FrankRuehl" w:hint="cs"/>
          <w:sz w:val="26"/>
          <w:szCs w:val="26"/>
          <w:rtl/>
        </w:rPr>
        <w:t xml:space="preserve">; 4 נק' לכל סעיף =&gt; 2 נק' על הבעיה + 2 נק' על הפתרון </w:t>
      </w:r>
    </w:p>
    <w:p w14:paraId="017419A9" w14:textId="77777777" w:rsidR="001B6847" w:rsidRDefault="001B6847" w:rsidP="001B6847">
      <w:pPr>
        <w:spacing w:line="360" w:lineRule="auto"/>
        <w:jc w:val="both"/>
        <w:rPr>
          <w:rFonts w:cs="FrankRuehl"/>
          <w:sz w:val="26"/>
          <w:szCs w:val="26"/>
          <w:rtl/>
        </w:rPr>
      </w:pPr>
      <w:r w:rsidRPr="00E23DE7">
        <w:rPr>
          <w:rFonts w:cs="FrankRuehl" w:hint="cs"/>
          <w:sz w:val="26"/>
          <w:szCs w:val="26"/>
          <w:rtl/>
        </w:rPr>
        <w:t xml:space="preserve">1. </w:t>
      </w:r>
      <w:r w:rsidRPr="00E23DE7">
        <w:rPr>
          <w:rFonts w:cs="FrankRuehl" w:hint="cs"/>
          <w:sz w:val="26"/>
          <w:szCs w:val="26"/>
          <w:u w:val="single"/>
          <w:rtl/>
        </w:rPr>
        <w:t>תפיסת ההתחייבות כהודאה</w:t>
      </w:r>
      <w:r w:rsidRPr="00E23DE7">
        <w:rPr>
          <w:rFonts w:cs="FrankRuehl" w:hint="cs"/>
          <w:sz w:val="26"/>
          <w:szCs w:val="26"/>
          <w:rtl/>
        </w:rPr>
        <w:t xml:space="preserve"> </w:t>
      </w:r>
      <w:r w:rsidRPr="00E23DE7">
        <w:rPr>
          <w:rFonts w:cs="FrankRuehl"/>
          <w:sz w:val="26"/>
          <w:szCs w:val="26"/>
          <w:rtl/>
        </w:rPr>
        <w:t>–</w:t>
      </w:r>
      <w:r w:rsidRPr="00E23DE7">
        <w:rPr>
          <w:rFonts w:cs="FrankRuehl" w:hint="cs"/>
          <w:sz w:val="26"/>
          <w:szCs w:val="26"/>
          <w:rtl/>
        </w:rPr>
        <w:t xml:space="preserve"> הבעיה: להתחייבות כשלעצמה אין תוקף משום שהחיוב ו/או העברת הזכות הם ערטילאיים. </w:t>
      </w:r>
    </w:p>
    <w:p w14:paraId="5E09241C" w14:textId="77777777" w:rsidR="001B6847" w:rsidRPr="00E23DE7" w:rsidRDefault="001B6847" w:rsidP="001B6847">
      <w:pPr>
        <w:spacing w:line="360" w:lineRule="auto"/>
        <w:jc w:val="both"/>
        <w:rPr>
          <w:rFonts w:cs="FrankRuehl"/>
          <w:sz w:val="26"/>
          <w:szCs w:val="26"/>
          <w:rtl/>
        </w:rPr>
      </w:pPr>
      <w:r w:rsidRPr="00E23DE7">
        <w:rPr>
          <w:rFonts w:cs="FrankRuehl" w:hint="cs"/>
          <w:sz w:val="26"/>
          <w:szCs w:val="26"/>
          <w:rtl/>
        </w:rPr>
        <w:t xml:space="preserve">הפתרון: ההתחייבות אינה העברה של </w:t>
      </w:r>
      <w:r>
        <w:rPr>
          <w:rFonts w:cs="FrankRuehl" w:hint="cs"/>
          <w:sz w:val="26"/>
          <w:szCs w:val="26"/>
          <w:rtl/>
        </w:rPr>
        <w:t>ה</w:t>
      </w:r>
      <w:r w:rsidRPr="00E23DE7">
        <w:rPr>
          <w:rFonts w:cs="FrankRuehl" w:hint="cs"/>
          <w:sz w:val="26"/>
          <w:szCs w:val="26"/>
          <w:rtl/>
        </w:rPr>
        <w:t>זכות, אלא הודאה</w:t>
      </w:r>
      <w:r>
        <w:rPr>
          <w:rFonts w:cs="FrankRuehl" w:hint="cs"/>
          <w:sz w:val="26"/>
          <w:szCs w:val="26"/>
          <w:rtl/>
        </w:rPr>
        <w:t xml:space="preserve"> מצידו</w:t>
      </w:r>
      <w:r w:rsidRPr="00E23DE7">
        <w:rPr>
          <w:rFonts w:cs="FrankRuehl" w:hint="cs"/>
          <w:sz w:val="26"/>
          <w:szCs w:val="26"/>
          <w:rtl/>
        </w:rPr>
        <w:t xml:space="preserve"> של המתחייב. להודאה ראייתית (פלילית או אזרחית) כוח לחייב את מי שהודה, ועל כן, ניתן ליצור התחייבות על פיה.</w:t>
      </w:r>
    </w:p>
    <w:p w14:paraId="1FBB3D76" w14:textId="77777777" w:rsidR="001B6847" w:rsidRDefault="001B6847" w:rsidP="001B6847">
      <w:pPr>
        <w:spacing w:line="360" w:lineRule="auto"/>
        <w:jc w:val="both"/>
        <w:rPr>
          <w:rFonts w:cs="FrankRuehl"/>
          <w:sz w:val="26"/>
          <w:szCs w:val="26"/>
          <w:rtl/>
        </w:rPr>
      </w:pPr>
      <w:r w:rsidRPr="00E23DE7">
        <w:rPr>
          <w:rFonts w:cs="FrankRuehl" w:hint="cs"/>
          <w:sz w:val="26"/>
          <w:szCs w:val="26"/>
          <w:rtl/>
        </w:rPr>
        <w:t xml:space="preserve">2. קנו מידו </w:t>
      </w:r>
      <w:r w:rsidRPr="00E23DE7">
        <w:rPr>
          <w:rFonts w:cs="FrankRuehl"/>
          <w:sz w:val="26"/>
          <w:szCs w:val="26"/>
          <w:rtl/>
        </w:rPr>
        <w:t>–</w:t>
      </w:r>
      <w:r w:rsidRPr="00E23DE7">
        <w:rPr>
          <w:rFonts w:cs="FrankRuehl" w:hint="cs"/>
          <w:sz w:val="26"/>
          <w:szCs w:val="26"/>
          <w:rtl/>
        </w:rPr>
        <w:t xml:space="preserve"> קניין סודר: הבעיה: העברת הזכויות/החיובים כשלעצמה היא ערטילאית. </w:t>
      </w:r>
    </w:p>
    <w:p w14:paraId="6D319D66" w14:textId="77777777" w:rsidR="001B6847" w:rsidRPr="00E23DE7" w:rsidRDefault="001B6847" w:rsidP="001B6847">
      <w:pPr>
        <w:spacing w:line="360" w:lineRule="auto"/>
        <w:jc w:val="both"/>
        <w:rPr>
          <w:rFonts w:cs="FrankRuehl"/>
          <w:sz w:val="26"/>
          <w:szCs w:val="26"/>
          <w:rtl/>
        </w:rPr>
      </w:pPr>
      <w:r>
        <w:rPr>
          <w:rFonts w:cs="FrankRuehl" w:hint="cs"/>
          <w:sz w:val="26"/>
          <w:szCs w:val="26"/>
          <w:rtl/>
        </w:rPr>
        <w:lastRenderedPageBreak/>
        <w:t xml:space="preserve">הפתרון: ב"קנו מידו" עובר סודר מיד ליד. </w:t>
      </w:r>
      <w:r w:rsidRPr="00E23DE7">
        <w:rPr>
          <w:rFonts w:cs="FrankRuehl" w:hint="cs"/>
          <w:sz w:val="26"/>
          <w:szCs w:val="26"/>
          <w:rtl/>
        </w:rPr>
        <w:t xml:space="preserve">הסודר מגלם את הזכויות והחיובים והעברתו מיד המתחייב ליד הזוכה </w:t>
      </w:r>
      <w:r>
        <w:rPr>
          <w:rFonts w:cs="FrankRuehl" w:hint="cs"/>
          <w:sz w:val="26"/>
          <w:szCs w:val="26"/>
          <w:rtl/>
        </w:rPr>
        <w:t>מעניקה</w:t>
      </w:r>
      <w:r w:rsidRPr="00E23DE7">
        <w:rPr>
          <w:rFonts w:cs="FrankRuehl" w:hint="cs"/>
          <w:sz w:val="26"/>
          <w:szCs w:val="26"/>
          <w:rtl/>
        </w:rPr>
        <w:t xml:space="preserve"> ממשות להעברה. </w:t>
      </w:r>
    </w:p>
    <w:p w14:paraId="2370417A" w14:textId="77777777" w:rsidR="001B6847" w:rsidRDefault="001B6847" w:rsidP="001B6847">
      <w:pPr>
        <w:spacing w:line="360" w:lineRule="auto"/>
        <w:jc w:val="both"/>
        <w:rPr>
          <w:rFonts w:cs="FrankRuehl"/>
          <w:sz w:val="26"/>
          <w:szCs w:val="26"/>
          <w:rtl/>
        </w:rPr>
      </w:pPr>
      <w:r w:rsidRPr="00E23DE7">
        <w:rPr>
          <w:rFonts w:cs="FrankRuehl" w:hint="cs"/>
          <w:sz w:val="26"/>
          <w:szCs w:val="26"/>
          <w:rtl/>
        </w:rPr>
        <w:t xml:space="preserve">3. בההיא הנאה </w:t>
      </w:r>
      <w:r w:rsidRPr="00E23DE7">
        <w:rPr>
          <w:rFonts w:cs="FrankRuehl"/>
          <w:sz w:val="26"/>
          <w:szCs w:val="26"/>
          <w:rtl/>
        </w:rPr>
        <w:t>–</w:t>
      </w:r>
      <w:r w:rsidRPr="00E23DE7">
        <w:rPr>
          <w:rFonts w:cs="FrankRuehl" w:hint="cs"/>
          <w:sz w:val="26"/>
          <w:szCs w:val="26"/>
          <w:rtl/>
        </w:rPr>
        <w:t xml:space="preserve"> </w:t>
      </w:r>
      <w:r>
        <w:rPr>
          <w:rFonts w:cs="FrankRuehl" w:hint="cs"/>
          <w:sz w:val="26"/>
          <w:szCs w:val="26"/>
          <w:rtl/>
        </w:rPr>
        <w:t>הבעיה: כנ"ל, ערטילאיות העברת הזכויות/החיובים.</w:t>
      </w:r>
    </w:p>
    <w:p w14:paraId="248C9CB2" w14:textId="77777777" w:rsidR="001B6847" w:rsidRPr="00E23DE7" w:rsidRDefault="001B6847" w:rsidP="001B6847">
      <w:pPr>
        <w:spacing w:line="360" w:lineRule="auto"/>
        <w:jc w:val="both"/>
        <w:rPr>
          <w:rFonts w:cs="FrankRuehl"/>
          <w:sz w:val="26"/>
          <w:szCs w:val="26"/>
          <w:rtl/>
        </w:rPr>
      </w:pPr>
      <w:r>
        <w:rPr>
          <w:rFonts w:cs="FrankRuehl" w:hint="cs"/>
          <w:sz w:val="26"/>
          <w:szCs w:val="26"/>
          <w:rtl/>
        </w:rPr>
        <w:t xml:space="preserve">הפתרון: </w:t>
      </w:r>
      <w:r w:rsidRPr="00E23DE7">
        <w:rPr>
          <w:rFonts w:cs="FrankRuehl" w:hint="cs"/>
          <w:sz w:val="26"/>
          <w:szCs w:val="26"/>
          <w:rtl/>
        </w:rPr>
        <w:t xml:space="preserve">בצד העיסקה החוזית מתקיימת מעין עיסקת חליפין של טובות הנאה (הדדיות) שצומחות לצדדים מן העיסקה. </w:t>
      </w:r>
      <w:r>
        <w:rPr>
          <w:rFonts w:cs="FrankRuehl" w:hint="cs"/>
          <w:sz w:val="26"/>
          <w:szCs w:val="26"/>
          <w:rtl/>
        </w:rPr>
        <w:t>למשל, בדוגמת הסכם השמירה -</w:t>
      </w:r>
      <w:r w:rsidRPr="00E23DE7">
        <w:rPr>
          <w:rFonts w:cs="FrankRuehl" w:hint="cs"/>
          <w:sz w:val="26"/>
          <w:szCs w:val="26"/>
          <w:rtl/>
        </w:rPr>
        <w:t xml:space="preserve"> טובת ההנאה של המפקיד היא שמירת הפקדון עבורו, וטובת ההנאה של השומר היא דימויו הפומבי כאדם נאמן שסומכים עליו ומפקידים בידיו פקדון.</w:t>
      </w:r>
    </w:p>
    <w:p w14:paraId="4164150E" w14:textId="77777777" w:rsidR="001B6847" w:rsidRDefault="001B6847">
      <w:pPr>
        <w:rPr>
          <w:rtl/>
        </w:rPr>
      </w:pPr>
    </w:p>
    <w:p w14:paraId="3788A35C" w14:textId="77777777" w:rsidR="001B6847" w:rsidRDefault="001B6847">
      <w:pPr>
        <w:rPr>
          <w:rtl/>
        </w:rPr>
      </w:pPr>
    </w:p>
    <w:p w14:paraId="0FEFE222" w14:textId="77777777" w:rsidR="001B6847" w:rsidRDefault="001B6847">
      <w:pPr>
        <w:rPr>
          <w:rtl/>
        </w:rPr>
      </w:pPr>
    </w:p>
    <w:p w14:paraId="00C2E070" w14:textId="77777777" w:rsidR="001B6847" w:rsidRPr="007F7FA8" w:rsidRDefault="001B6847" w:rsidP="001B6847">
      <w:pPr>
        <w:spacing w:line="360" w:lineRule="auto"/>
        <w:jc w:val="both"/>
        <w:rPr>
          <w:rFonts w:cs="FrankRuehl"/>
          <w:sz w:val="26"/>
          <w:szCs w:val="26"/>
          <w:u w:val="single"/>
          <w:rtl/>
        </w:rPr>
      </w:pPr>
      <w:r w:rsidRPr="00C800CB">
        <w:rPr>
          <w:rFonts w:cs="Guttman Keren" w:hint="cs"/>
          <w:sz w:val="24"/>
          <w:szCs w:val="26"/>
          <w:u w:val="single"/>
          <w:rtl/>
        </w:rPr>
        <w:t xml:space="preserve">שאלה מס' </w:t>
      </w:r>
      <w:r>
        <w:rPr>
          <w:rFonts w:cs="Guttman Keren" w:hint="cs"/>
          <w:sz w:val="24"/>
          <w:szCs w:val="26"/>
          <w:u w:val="single"/>
          <w:rtl/>
        </w:rPr>
        <w:t>2</w:t>
      </w:r>
      <w:r w:rsidRPr="00C800CB">
        <w:rPr>
          <w:rFonts w:cs="Guttman Keren" w:hint="cs"/>
          <w:sz w:val="24"/>
          <w:szCs w:val="26"/>
          <w:u w:val="single"/>
          <w:rtl/>
        </w:rPr>
        <w:t xml:space="preserve"> </w:t>
      </w:r>
      <w:r w:rsidRPr="00C800CB">
        <w:rPr>
          <w:rFonts w:cs="FrankRuehl" w:hint="cs"/>
          <w:sz w:val="24"/>
          <w:szCs w:val="26"/>
          <w:u w:val="single"/>
          <w:rtl/>
        </w:rPr>
        <w:t xml:space="preserve">(40 נק'; מקסימום </w:t>
      </w:r>
      <w:r w:rsidRPr="00C800CB">
        <w:rPr>
          <w:rFonts w:cs="FrankRuehl"/>
          <w:sz w:val="24"/>
          <w:szCs w:val="26"/>
          <w:u w:val="single"/>
          <w:rtl/>
        </w:rPr>
        <w:t>–</w:t>
      </w:r>
      <w:r w:rsidRPr="00C800CB">
        <w:rPr>
          <w:rFonts w:cs="FrankRuehl" w:hint="cs"/>
          <w:sz w:val="26"/>
          <w:szCs w:val="26"/>
          <w:u w:val="single"/>
          <w:rtl/>
        </w:rPr>
        <w:t xml:space="preserve"> 2 עמ')</w:t>
      </w:r>
    </w:p>
    <w:p w14:paraId="4F28D100" w14:textId="77777777" w:rsidR="001B6847" w:rsidRDefault="001B6847" w:rsidP="001B6847">
      <w:pPr>
        <w:spacing w:line="360" w:lineRule="auto"/>
        <w:jc w:val="both"/>
        <w:rPr>
          <w:rFonts w:cs="FrankRuehl"/>
          <w:sz w:val="26"/>
          <w:szCs w:val="26"/>
          <w:rtl/>
        </w:rPr>
      </w:pPr>
      <w:r w:rsidRPr="00A92E00">
        <w:rPr>
          <w:rFonts w:cs="FrankRuehl" w:hint="cs"/>
          <w:sz w:val="26"/>
          <w:szCs w:val="26"/>
          <w:rtl/>
        </w:rPr>
        <w:t xml:space="preserve">א. </w:t>
      </w:r>
      <w:r>
        <w:rPr>
          <w:rFonts w:cs="FrankRuehl" w:hint="cs"/>
          <w:sz w:val="26"/>
          <w:szCs w:val="26"/>
          <w:highlight w:val="cyan"/>
          <w:rtl/>
        </w:rPr>
        <w:t>4</w:t>
      </w:r>
      <w:r w:rsidRPr="007F7FA8">
        <w:rPr>
          <w:rFonts w:cs="FrankRuehl" w:hint="cs"/>
          <w:sz w:val="26"/>
          <w:szCs w:val="26"/>
          <w:highlight w:val="cyan"/>
          <w:rtl/>
        </w:rPr>
        <w:t xml:space="preserve"> נק'</w:t>
      </w:r>
      <w:r>
        <w:rPr>
          <w:rFonts w:cs="FrankRuehl" w:hint="cs"/>
          <w:sz w:val="26"/>
          <w:szCs w:val="26"/>
          <w:rtl/>
        </w:rPr>
        <w:t xml:space="preserve"> לדעת רש"י התחייבות כספית (חייב אני לך מנה) איננה תקפה כחוזה, אולם היא תקפה כהודאה (גישה ראייתית): המתחייב מודה, כביכול, שהוא חייב כסף לזוכה.</w:t>
      </w:r>
    </w:p>
    <w:p w14:paraId="6BE6BC33" w14:textId="77777777" w:rsidR="001B6847" w:rsidRDefault="001B6847" w:rsidP="001B6847">
      <w:pPr>
        <w:spacing w:line="360" w:lineRule="auto"/>
        <w:jc w:val="both"/>
        <w:rPr>
          <w:rFonts w:cs="FrankRuehl"/>
          <w:sz w:val="26"/>
          <w:szCs w:val="26"/>
          <w:rtl/>
        </w:rPr>
      </w:pPr>
      <w:r>
        <w:rPr>
          <w:rFonts w:cs="FrankRuehl" w:hint="cs"/>
          <w:sz w:val="26"/>
          <w:szCs w:val="26"/>
          <w:highlight w:val="cyan"/>
          <w:rtl/>
        </w:rPr>
        <w:t>4</w:t>
      </w:r>
      <w:r w:rsidRPr="007F7FA8">
        <w:rPr>
          <w:rFonts w:cs="FrankRuehl" w:hint="cs"/>
          <w:sz w:val="26"/>
          <w:szCs w:val="26"/>
          <w:highlight w:val="cyan"/>
          <w:rtl/>
        </w:rPr>
        <w:t xml:space="preserve"> נק'</w:t>
      </w:r>
      <w:r>
        <w:rPr>
          <w:rFonts w:cs="FrankRuehl" w:hint="cs"/>
          <w:sz w:val="26"/>
          <w:szCs w:val="26"/>
          <w:rtl/>
        </w:rPr>
        <w:t xml:space="preserve"> הביקורת של רבנו תם: </w:t>
      </w:r>
      <w:r>
        <w:rPr>
          <w:rFonts w:cs="Aharoni" w:hint="cs"/>
          <w:sz w:val="24"/>
          <w:szCs w:val="24"/>
          <w:rtl/>
        </w:rPr>
        <w:t>"</w:t>
      </w:r>
      <w:r w:rsidRPr="00C800CB">
        <w:rPr>
          <w:rFonts w:cs="Aharoni"/>
          <w:sz w:val="24"/>
          <w:szCs w:val="24"/>
          <w:rtl/>
        </w:rPr>
        <w:t>שלא היה חייב לו כלום מתחלה</w:t>
      </w:r>
      <w:r>
        <w:rPr>
          <w:rFonts w:cs="Aharoni" w:hint="cs"/>
          <w:sz w:val="24"/>
          <w:szCs w:val="24"/>
          <w:rtl/>
        </w:rPr>
        <w:t xml:space="preserve">". </w:t>
      </w:r>
      <w:r>
        <w:rPr>
          <w:rFonts w:cs="FrankRuehl" w:hint="cs"/>
          <w:sz w:val="26"/>
          <w:szCs w:val="26"/>
          <w:rtl/>
        </w:rPr>
        <w:t xml:space="preserve">לפי הבנת ר"ת הודאת בעל דין תקפה משום שהיא משקפת את האמת העובדתית. לכן, במקרה זה מכיון שהמתחייב, לא חייב בפועל, אין כאן אמת עובדתית ואין כאן הודאה.  </w:t>
      </w:r>
    </w:p>
    <w:p w14:paraId="0DCED59C" w14:textId="77777777" w:rsidR="001B6847" w:rsidRDefault="001B6847" w:rsidP="001B6847">
      <w:pPr>
        <w:spacing w:line="360" w:lineRule="auto"/>
        <w:jc w:val="both"/>
        <w:rPr>
          <w:rFonts w:cs="FrankRuehl"/>
          <w:sz w:val="26"/>
          <w:szCs w:val="26"/>
          <w:rtl/>
        </w:rPr>
      </w:pPr>
    </w:p>
    <w:p w14:paraId="52E5767F" w14:textId="77777777" w:rsidR="001B6847" w:rsidRPr="00A92E00" w:rsidRDefault="001B6847" w:rsidP="001B6847">
      <w:pPr>
        <w:spacing w:line="360" w:lineRule="auto"/>
        <w:jc w:val="both"/>
        <w:rPr>
          <w:rFonts w:cs="FrankRuehl"/>
          <w:sz w:val="26"/>
          <w:szCs w:val="26"/>
          <w:rtl/>
        </w:rPr>
      </w:pPr>
      <w:r w:rsidRPr="00A92E00">
        <w:rPr>
          <w:rFonts w:cs="FrankRuehl" w:hint="cs"/>
          <w:sz w:val="26"/>
          <w:szCs w:val="26"/>
          <w:rtl/>
        </w:rPr>
        <w:t xml:space="preserve">ב.  </w:t>
      </w:r>
      <w:r>
        <w:rPr>
          <w:rFonts w:cs="FrankRuehl" w:hint="cs"/>
          <w:sz w:val="26"/>
          <w:szCs w:val="26"/>
          <w:highlight w:val="cyan"/>
          <w:rtl/>
        </w:rPr>
        <w:t>4</w:t>
      </w:r>
      <w:r w:rsidRPr="007F7FA8">
        <w:rPr>
          <w:rFonts w:cs="FrankRuehl" w:hint="cs"/>
          <w:sz w:val="26"/>
          <w:szCs w:val="26"/>
          <w:highlight w:val="cyan"/>
          <w:rtl/>
        </w:rPr>
        <w:t xml:space="preserve"> נק'</w:t>
      </w:r>
      <w:r>
        <w:rPr>
          <w:rFonts w:cs="FrankRuehl" w:hint="cs"/>
          <w:sz w:val="26"/>
          <w:szCs w:val="26"/>
          <w:rtl/>
        </w:rPr>
        <w:t xml:space="preserve"> </w:t>
      </w:r>
      <w:r w:rsidRPr="00A92E00">
        <w:rPr>
          <w:rFonts w:cs="FrankRuehl" w:hint="cs"/>
          <w:sz w:val="26"/>
          <w:szCs w:val="26"/>
          <w:rtl/>
        </w:rPr>
        <w:t xml:space="preserve">(1) </w:t>
      </w:r>
      <w:r>
        <w:rPr>
          <w:rFonts w:cs="FrankRuehl" w:hint="cs"/>
          <w:sz w:val="26"/>
          <w:szCs w:val="26"/>
          <w:rtl/>
        </w:rPr>
        <w:t>לדעת רבנו תם התחייבות כספית בשטר תוקפה הוא מעין קנייני ובדומה לשעבוד. כביכול, המתחייב מקנה לזוכה באמצעות שטר את סכום הכסף לו הוא מתחייב.</w:t>
      </w:r>
    </w:p>
    <w:p w14:paraId="47FFC226" w14:textId="77777777" w:rsidR="001B6847" w:rsidRDefault="001B6847" w:rsidP="001B6847">
      <w:pPr>
        <w:spacing w:line="360" w:lineRule="auto"/>
        <w:jc w:val="both"/>
        <w:rPr>
          <w:rFonts w:cs="FrankRuehl"/>
          <w:sz w:val="26"/>
          <w:szCs w:val="26"/>
          <w:rtl/>
        </w:rPr>
      </w:pPr>
      <w:r>
        <w:rPr>
          <w:rFonts w:cs="FrankRuehl" w:hint="cs"/>
          <w:sz w:val="26"/>
          <w:szCs w:val="26"/>
          <w:highlight w:val="cyan"/>
          <w:rtl/>
        </w:rPr>
        <w:t>6</w:t>
      </w:r>
      <w:r w:rsidRPr="007F7FA8">
        <w:rPr>
          <w:rFonts w:cs="FrankRuehl" w:hint="cs"/>
          <w:sz w:val="26"/>
          <w:szCs w:val="26"/>
          <w:highlight w:val="cyan"/>
          <w:rtl/>
        </w:rPr>
        <w:t xml:space="preserve"> נק'</w:t>
      </w:r>
      <w:r>
        <w:rPr>
          <w:rFonts w:cs="FrankRuehl" w:hint="cs"/>
          <w:sz w:val="26"/>
          <w:szCs w:val="26"/>
          <w:rtl/>
        </w:rPr>
        <w:t xml:space="preserve"> </w:t>
      </w:r>
      <w:r w:rsidRPr="00A92E00">
        <w:rPr>
          <w:rFonts w:cs="FrankRuehl" w:hint="cs"/>
          <w:sz w:val="26"/>
          <w:szCs w:val="26"/>
          <w:rtl/>
        </w:rPr>
        <w:t xml:space="preserve">(2) </w:t>
      </w:r>
      <w:r>
        <w:rPr>
          <w:rFonts w:cs="FrankRuehl" w:hint="cs"/>
          <w:sz w:val="26"/>
          <w:szCs w:val="26"/>
          <w:rtl/>
        </w:rPr>
        <w:t>הקושי: אם הכסף הוא מושא קניין, הריהו מטלטלין, ומטלטלין אינם נקנים בשטר.</w:t>
      </w:r>
    </w:p>
    <w:p w14:paraId="39C807BE" w14:textId="77777777" w:rsidR="001B6847" w:rsidRPr="00A92E00" w:rsidRDefault="001B6847" w:rsidP="001B6847">
      <w:pPr>
        <w:spacing w:line="360" w:lineRule="auto"/>
        <w:jc w:val="both"/>
        <w:rPr>
          <w:rFonts w:cs="FrankRuehl"/>
          <w:sz w:val="26"/>
          <w:szCs w:val="26"/>
          <w:rtl/>
        </w:rPr>
      </w:pPr>
      <w:r>
        <w:rPr>
          <w:rFonts w:cs="FrankRuehl" w:hint="cs"/>
          <w:sz w:val="26"/>
          <w:szCs w:val="26"/>
          <w:rtl/>
        </w:rPr>
        <w:t>הפתרון: ניתן להקנות מטלטלין גם בלא מעשה קניין ובלא אמצעי קניין, אלא באמצעות גמירות דעת בלבד. במקרה זה, נכונות המתחייב לטרוח ולכתוב שטר היא-היא גמירות דעתו.</w:t>
      </w:r>
    </w:p>
    <w:p w14:paraId="49DDD8FE" w14:textId="77777777" w:rsidR="001B6847" w:rsidRDefault="001B6847" w:rsidP="001B6847">
      <w:pPr>
        <w:spacing w:line="360" w:lineRule="auto"/>
        <w:jc w:val="both"/>
        <w:rPr>
          <w:rFonts w:cs="FrankRuehl"/>
          <w:sz w:val="26"/>
          <w:szCs w:val="26"/>
          <w:rtl/>
        </w:rPr>
      </w:pPr>
      <w:r>
        <w:rPr>
          <w:rFonts w:cs="FrankRuehl" w:hint="cs"/>
          <w:sz w:val="26"/>
          <w:szCs w:val="26"/>
          <w:highlight w:val="cyan"/>
          <w:rtl/>
        </w:rPr>
        <w:t>6</w:t>
      </w:r>
      <w:r w:rsidRPr="007F7FA8">
        <w:rPr>
          <w:rFonts w:cs="FrankRuehl" w:hint="cs"/>
          <w:sz w:val="26"/>
          <w:szCs w:val="26"/>
          <w:highlight w:val="cyan"/>
          <w:rtl/>
        </w:rPr>
        <w:t xml:space="preserve"> נק'</w:t>
      </w:r>
      <w:r>
        <w:rPr>
          <w:rFonts w:cs="FrankRuehl" w:hint="cs"/>
          <w:sz w:val="26"/>
          <w:szCs w:val="26"/>
          <w:rtl/>
        </w:rPr>
        <w:t xml:space="preserve"> ג. הלכת דברים הנקנים באמירה קובעת שהורים המבטיחים לילדיהם הנישאים סכום כסף, יוצרים </w:t>
      </w:r>
      <w:r>
        <w:rPr>
          <w:rFonts w:cs="FrankRuehl"/>
          <w:sz w:val="26"/>
          <w:szCs w:val="26"/>
          <w:rtl/>
        </w:rPr>
        <w:t>–</w:t>
      </w:r>
      <w:r>
        <w:rPr>
          <w:rFonts w:cs="FrankRuehl" w:hint="cs"/>
          <w:sz w:val="26"/>
          <w:szCs w:val="26"/>
          <w:rtl/>
        </w:rPr>
        <w:t xml:space="preserve"> מכח ההבטחה </w:t>
      </w:r>
      <w:r>
        <w:rPr>
          <w:rFonts w:cs="FrankRuehl"/>
          <w:sz w:val="26"/>
          <w:szCs w:val="26"/>
          <w:rtl/>
        </w:rPr>
        <w:t>–</w:t>
      </w:r>
      <w:r>
        <w:rPr>
          <w:rFonts w:cs="FrankRuehl" w:hint="cs"/>
          <w:sz w:val="26"/>
          <w:szCs w:val="26"/>
          <w:rtl/>
        </w:rPr>
        <w:t xml:space="preserve"> זכות קניינית של ילדיהם כלפי אותו סכום. מכאן, שניתן ליצור זכות קניין גם באמצעות אמירה בלבד (ללא מעשה קניין), וקל וחומר </w:t>
      </w:r>
      <w:r>
        <w:rPr>
          <w:rFonts w:cs="FrankRuehl"/>
          <w:sz w:val="26"/>
          <w:szCs w:val="26"/>
          <w:rtl/>
        </w:rPr>
        <w:t>–</w:t>
      </w:r>
      <w:r>
        <w:rPr>
          <w:rFonts w:cs="FrankRuehl" w:hint="cs"/>
          <w:sz w:val="26"/>
          <w:szCs w:val="26"/>
          <w:rtl/>
        </w:rPr>
        <w:t xml:space="preserve"> באמצעות שטר.</w:t>
      </w:r>
    </w:p>
    <w:p w14:paraId="5EDA615D" w14:textId="77777777" w:rsidR="001B6847" w:rsidRDefault="001B6847" w:rsidP="001B6847">
      <w:pPr>
        <w:spacing w:line="360" w:lineRule="auto"/>
        <w:jc w:val="both"/>
        <w:rPr>
          <w:rFonts w:cs="FrankRuehl"/>
          <w:sz w:val="26"/>
          <w:szCs w:val="26"/>
          <w:rtl/>
        </w:rPr>
      </w:pPr>
      <w:r>
        <w:rPr>
          <w:rFonts w:cs="FrankRuehl" w:hint="cs"/>
          <w:sz w:val="26"/>
          <w:szCs w:val="26"/>
          <w:rtl/>
        </w:rPr>
        <w:t xml:space="preserve">ד. </w:t>
      </w:r>
      <w:r w:rsidRPr="007F7FA8">
        <w:rPr>
          <w:rFonts w:cs="FrankRuehl" w:hint="cs"/>
          <w:sz w:val="26"/>
          <w:szCs w:val="26"/>
          <w:highlight w:val="cyan"/>
          <w:rtl/>
        </w:rPr>
        <w:t>10 נק'</w:t>
      </w:r>
      <w:r>
        <w:rPr>
          <w:rFonts w:cs="FrankRuehl" w:hint="cs"/>
          <w:sz w:val="26"/>
          <w:szCs w:val="26"/>
          <w:rtl/>
        </w:rPr>
        <w:t xml:space="preserve"> (1) שלב א': רב </w:t>
      </w:r>
      <w:r>
        <w:rPr>
          <w:rFonts w:cs="FrankRuehl"/>
          <w:sz w:val="26"/>
          <w:szCs w:val="26"/>
          <w:rtl/>
        </w:rPr>
        <w:t>–</w:t>
      </w:r>
      <w:r>
        <w:rPr>
          <w:rFonts w:cs="FrankRuehl" w:hint="cs"/>
          <w:sz w:val="26"/>
          <w:szCs w:val="26"/>
          <w:rtl/>
        </w:rPr>
        <w:t xml:space="preserve"> הבטחת הורים לטובת ילדיהם כנ"ל </w:t>
      </w:r>
      <w:r>
        <w:rPr>
          <w:rFonts w:cs="FrankRuehl"/>
          <w:sz w:val="26"/>
          <w:szCs w:val="26"/>
          <w:rtl/>
        </w:rPr>
        <w:t>–</w:t>
      </w:r>
      <w:r>
        <w:rPr>
          <w:rFonts w:cs="FrankRuehl" w:hint="cs"/>
          <w:sz w:val="26"/>
          <w:szCs w:val="26"/>
          <w:rtl/>
        </w:rPr>
        <w:t xml:space="preserve"> תקפה קניינית, כנ"ל. </w:t>
      </w:r>
    </w:p>
    <w:p w14:paraId="7AD6057F" w14:textId="77777777" w:rsidR="001B6847" w:rsidRDefault="001B6847" w:rsidP="001B6847">
      <w:pPr>
        <w:spacing w:line="360" w:lineRule="auto"/>
        <w:jc w:val="both"/>
        <w:rPr>
          <w:rFonts w:cs="FrankRuehl"/>
          <w:sz w:val="26"/>
          <w:szCs w:val="26"/>
          <w:rtl/>
        </w:rPr>
      </w:pPr>
      <w:r>
        <w:rPr>
          <w:rFonts w:cs="FrankRuehl" w:hint="cs"/>
          <w:sz w:val="26"/>
          <w:szCs w:val="26"/>
          <w:rtl/>
        </w:rPr>
        <w:t xml:space="preserve">שלב ב': תלמידיו של רב </w:t>
      </w:r>
      <w:r>
        <w:rPr>
          <w:rFonts w:cs="FrankRuehl"/>
          <w:sz w:val="26"/>
          <w:szCs w:val="26"/>
          <w:rtl/>
        </w:rPr>
        <w:t>–</w:t>
      </w:r>
      <w:r>
        <w:rPr>
          <w:rFonts w:cs="FrankRuehl" w:hint="cs"/>
          <w:sz w:val="26"/>
          <w:szCs w:val="26"/>
          <w:rtl/>
        </w:rPr>
        <w:t xml:space="preserve"> מחלוקת אם ההבטחה תקפה רק כנגד תמורה. לדעת רב גידל, תקפה רק כנגד תמורה, ולכן ההבטחה תקפה רק כשהיא ניתנת לבת והיא נערה. במקרה כזה, האב-המבטיח מקבל תמורה באמצעות כסף הקידושין. לדתע רב חייא בר יוסף ההבטחה תקפה גם שלא כנגד תמורה (הבטחה לבן או לבת בוגרת </w:t>
      </w:r>
      <w:r>
        <w:rPr>
          <w:rFonts w:cs="FrankRuehl"/>
          <w:sz w:val="26"/>
          <w:szCs w:val="26"/>
          <w:rtl/>
        </w:rPr>
        <w:t>–</w:t>
      </w:r>
      <w:r>
        <w:rPr>
          <w:rFonts w:cs="FrankRuehl" w:hint="cs"/>
          <w:sz w:val="26"/>
          <w:szCs w:val="26"/>
          <w:rtl/>
        </w:rPr>
        <w:t xml:space="preserve"> בשני המקרים האב אינו זכאי לכסף הקידושין).</w:t>
      </w:r>
    </w:p>
    <w:p w14:paraId="7F9DDBBC" w14:textId="77777777" w:rsidR="001B6847" w:rsidRDefault="001B6847" w:rsidP="001B6847">
      <w:pPr>
        <w:spacing w:line="360" w:lineRule="auto"/>
        <w:jc w:val="both"/>
        <w:rPr>
          <w:rFonts w:cs="FrankRuehl"/>
          <w:sz w:val="26"/>
          <w:szCs w:val="26"/>
          <w:rtl/>
        </w:rPr>
      </w:pPr>
      <w:r>
        <w:rPr>
          <w:rFonts w:cs="FrankRuehl" w:hint="cs"/>
          <w:sz w:val="26"/>
          <w:szCs w:val="26"/>
          <w:rtl/>
        </w:rPr>
        <w:t xml:space="preserve">שלב ג': רבא </w:t>
      </w:r>
      <w:r>
        <w:rPr>
          <w:rFonts w:cs="FrankRuehl"/>
          <w:sz w:val="26"/>
          <w:szCs w:val="26"/>
          <w:rtl/>
        </w:rPr>
        <w:t>–</w:t>
      </w:r>
      <w:r>
        <w:rPr>
          <w:rFonts w:cs="FrankRuehl" w:hint="cs"/>
          <w:sz w:val="26"/>
          <w:szCs w:val="26"/>
          <w:rtl/>
        </w:rPr>
        <w:t xml:space="preserve"> ההבטחה תקפה רק כנגד תמורה. עם זאת, תמורה אינה דווקא כספית, אלא בההיא הנאה: טובת ההנאה של החיתון ההדדי שבין ההורים משני הצדדים </w:t>
      </w:r>
      <w:r>
        <w:rPr>
          <w:rFonts w:cs="FrankRuehl"/>
          <w:sz w:val="26"/>
          <w:szCs w:val="26"/>
          <w:rtl/>
        </w:rPr>
        <w:t>–</w:t>
      </w:r>
      <w:r>
        <w:rPr>
          <w:rFonts w:cs="FrankRuehl" w:hint="cs"/>
          <w:sz w:val="26"/>
          <w:szCs w:val="26"/>
          <w:rtl/>
        </w:rPr>
        <w:t xml:space="preserve"> תמורתה באה התחייבותם של ההורים.</w:t>
      </w:r>
    </w:p>
    <w:p w14:paraId="6603AC36" w14:textId="77777777" w:rsidR="001B6847" w:rsidRDefault="001B6847" w:rsidP="001B6847">
      <w:pPr>
        <w:spacing w:line="360" w:lineRule="auto"/>
        <w:jc w:val="both"/>
        <w:rPr>
          <w:rFonts w:cs="FrankRuehl"/>
          <w:sz w:val="26"/>
          <w:szCs w:val="26"/>
          <w:rtl/>
        </w:rPr>
      </w:pPr>
      <w:r>
        <w:rPr>
          <w:rFonts w:cs="FrankRuehl" w:hint="cs"/>
          <w:sz w:val="26"/>
          <w:szCs w:val="26"/>
          <w:rtl/>
        </w:rPr>
        <w:t xml:space="preserve">שלב ד': דברים הללו לא ניתנו להיכתב </w:t>
      </w:r>
      <w:r>
        <w:rPr>
          <w:rFonts w:cs="FrankRuehl"/>
          <w:sz w:val="26"/>
          <w:szCs w:val="26"/>
          <w:rtl/>
        </w:rPr>
        <w:t>–</w:t>
      </w:r>
      <w:r>
        <w:rPr>
          <w:rFonts w:cs="FrankRuehl" w:hint="cs"/>
          <w:sz w:val="26"/>
          <w:szCs w:val="26"/>
          <w:rtl/>
        </w:rPr>
        <w:t xml:space="preserve"> לא ניתן לכתוב התחייבות הורים כנ"ל אם ניתנה בע"פ, משום שעלול להיות בכך מצג מטעה. דברים שבע"פ מחייבים רק אובליגטורית-אישית, ודברים שבכתב יוצרים שעבוד ומחייבים גם חפצית (נכסי המתחייב שבידי צד ג').</w:t>
      </w:r>
    </w:p>
    <w:p w14:paraId="35F289A1" w14:textId="77777777" w:rsidR="001B6847" w:rsidRDefault="001B6847" w:rsidP="001B6847">
      <w:pPr>
        <w:spacing w:line="360" w:lineRule="auto"/>
        <w:jc w:val="both"/>
        <w:rPr>
          <w:rFonts w:cs="FrankRuehl"/>
          <w:sz w:val="26"/>
          <w:szCs w:val="26"/>
          <w:rtl/>
        </w:rPr>
      </w:pPr>
      <w:r>
        <w:rPr>
          <w:rFonts w:cs="FrankRuehl" w:hint="cs"/>
          <w:sz w:val="26"/>
          <w:szCs w:val="26"/>
          <w:rtl/>
        </w:rPr>
        <w:t xml:space="preserve">שלב ה': הורים המתחייבים לטובת ילדיהם </w:t>
      </w:r>
      <w:r>
        <w:rPr>
          <w:rFonts w:cs="FrankRuehl"/>
          <w:sz w:val="26"/>
          <w:szCs w:val="26"/>
          <w:rtl/>
        </w:rPr>
        <w:t>–</w:t>
      </w:r>
      <w:r>
        <w:rPr>
          <w:rFonts w:cs="FrankRuehl" w:hint="cs"/>
          <w:sz w:val="26"/>
          <w:szCs w:val="26"/>
          <w:rtl/>
        </w:rPr>
        <w:t xml:space="preserve"> ההתחייבות תקפה רק אם היא כתובה (שטרי פסיקתא) וכנספח לקידושין (נספח לשטר הארוסין).</w:t>
      </w:r>
    </w:p>
    <w:p w14:paraId="3496C28D" w14:textId="77777777" w:rsidR="001B6847" w:rsidRDefault="001B6847" w:rsidP="001B6847">
      <w:pPr>
        <w:spacing w:line="360" w:lineRule="auto"/>
        <w:jc w:val="both"/>
        <w:rPr>
          <w:rFonts w:cs="FrankRuehl"/>
          <w:sz w:val="26"/>
          <w:szCs w:val="26"/>
          <w:rtl/>
        </w:rPr>
      </w:pPr>
      <w:r w:rsidRPr="007F7FA8">
        <w:rPr>
          <w:rFonts w:cs="FrankRuehl" w:hint="cs"/>
          <w:sz w:val="26"/>
          <w:szCs w:val="26"/>
          <w:highlight w:val="cyan"/>
          <w:rtl/>
        </w:rPr>
        <w:lastRenderedPageBreak/>
        <w:t>6 נק'</w:t>
      </w:r>
      <w:r>
        <w:rPr>
          <w:rFonts w:cs="FrankRuehl" w:hint="cs"/>
          <w:sz w:val="26"/>
          <w:szCs w:val="26"/>
          <w:rtl/>
        </w:rPr>
        <w:t xml:space="preserve"> (2) מתיאור השלבים עולה, שהתלמוד מתקשה לקבל תופעה של זכות קניינית הבאה מכוחה של הבטחה. לכן, נדרשת בתחילה תמורה כנגד ההבטחה (שלבים ב-ג), ולבסוף נשללת הזכות הקניינית, כך שהדברים לא ניתנים להיכתב אם היו בע"פ בלבד (שלב ד), ולחילופין, נדרש שיהיו בכתב וכנספח לפועלה משפטית אחרת (שלב ה). </w:t>
      </w:r>
    </w:p>
    <w:p w14:paraId="16B265A1" w14:textId="77777777" w:rsidR="001B6847" w:rsidRDefault="001B6847" w:rsidP="001B6847">
      <w:pPr>
        <w:spacing w:line="360" w:lineRule="auto"/>
        <w:jc w:val="both"/>
        <w:rPr>
          <w:rFonts w:cs="FrankRuehl"/>
          <w:sz w:val="26"/>
          <w:szCs w:val="26"/>
          <w:rtl/>
        </w:rPr>
      </w:pPr>
      <w:r>
        <w:rPr>
          <w:rFonts w:cs="FrankRuehl" w:hint="cs"/>
          <w:sz w:val="26"/>
          <w:szCs w:val="26"/>
          <w:rtl/>
        </w:rPr>
        <w:t xml:space="preserve">התפתחות ההלכה היא אפוא בניגוד לדעת רבנו תם, הגורס שהלכת דברים הנקנים באמירה מלמדת שהבטחה יכולה ליצור זכות קניינית.  </w:t>
      </w:r>
    </w:p>
    <w:p w14:paraId="54F19320" w14:textId="5B014330" w:rsidR="001B6847" w:rsidRDefault="001B6847">
      <w:pPr>
        <w:rPr>
          <w:rtl/>
        </w:rPr>
      </w:pPr>
    </w:p>
    <w:p w14:paraId="5A7B5D54" w14:textId="49B85800" w:rsidR="00BF16C9" w:rsidRDefault="00BF16C9">
      <w:pPr>
        <w:rPr>
          <w:rtl/>
        </w:rPr>
      </w:pPr>
    </w:p>
    <w:p w14:paraId="4014D4D6" w14:textId="7A35F19A" w:rsidR="00BF16C9" w:rsidRDefault="00BF16C9">
      <w:pPr>
        <w:rPr>
          <w:rtl/>
        </w:rPr>
      </w:pPr>
    </w:p>
    <w:p w14:paraId="02829550" w14:textId="66A6D4FC" w:rsidR="00BF16C9" w:rsidRDefault="00BF16C9">
      <w:pPr>
        <w:rPr>
          <w:rtl/>
        </w:rPr>
      </w:pPr>
    </w:p>
    <w:p w14:paraId="2945A6DC" w14:textId="701F1232" w:rsidR="00BF16C9" w:rsidRDefault="00BF16C9">
      <w:pPr>
        <w:rPr>
          <w:rtl/>
        </w:rPr>
      </w:pPr>
    </w:p>
    <w:p w14:paraId="730A04EB" w14:textId="626B95D8" w:rsidR="00BF16C9" w:rsidRDefault="00BF16C9">
      <w:pPr>
        <w:rPr>
          <w:rtl/>
        </w:rPr>
      </w:pPr>
    </w:p>
    <w:p w14:paraId="54605DA7" w14:textId="0FF5B5E0" w:rsidR="00BF16C9" w:rsidRDefault="00BF16C9">
      <w:pPr>
        <w:rPr>
          <w:rtl/>
        </w:rPr>
      </w:pPr>
    </w:p>
    <w:p w14:paraId="604EFC8F" w14:textId="513BDDE7" w:rsidR="00BF16C9" w:rsidRDefault="00BF16C9">
      <w:pPr>
        <w:rPr>
          <w:rtl/>
        </w:rPr>
      </w:pPr>
    </w:p>
    <w:p w14:paraId="00BCCC9A" w14:textId="6601CFB7" w:rsidR="00BF16C9" w:rsidRDefault="00BF16C9">
      <w:pPr>
        <w:rPr>
          <w:rtl/>
        </w:rPr>
      </w:pPr>
    </w:p>
    <w:p w14:paraId="6E8A79EB" w14:textId="51741AE4" w:rsidR="00BF16C9" w:rsidRDefault="00BF16C9">
      <w:pPr>
        <w:rPr>
          <w:rtl/>
        </w:rPr>
      </w:pPr>
    </w:p>
    <w:p w14:paraId="6E3873AB" w14:textId="06BA54F8" w:rsidR="00BF16C9" w:rsidRDefault="00BF16C9">
      <w:pPr>
        <w:rPr>
          <w:rtl/>
        </w:rPr>
      </w:pPr>
    </w:p>
    <w:p w14:paraId="355A6CA9" w14:textId="69075C92" w:rsidR="00BF16C9" w:rsidRDefault="00BF16C9">
      <w:pPr>
        <w:rPr>
          <w:rtl/>
        </w:rPr>
      </w:pPr>
    </w:p>
    <w:p w14:paraId="5A772A53" w14:textId="289F9176" w:rsidR="00BF16C9" w:rsidRDefault="00BF16C9">
      <w:pPr>
        <w:rPr>
          <w:rtl/>
        </w:rPr>
      </w:pPr>
    </w:p>
    <w:p w14:paraId="0C9C3782" w14:textId="600A2F52" w:rsidR="00BF16C9" w:rsidRDefault="00BF16C9">
      <w:pPr>
        <w:rPr>
          <w:rtl/>
        </w:rPr>
      </w:pPr>
    </w:p>
    <w:p w14:paraId="01C6465E" w14:textId="2E863501" w:rsidR="00BF16C9" w:rsidRDefault="00BF16C9">
      <w:pPr>
        <w:rPr>
          <w:rtl/>
        </w:rPr>
      </w:pPr>
    </w:p>
    <w:p w14:paraId="6DAC2B53" w14:textId="0106F655" w:rsidR="00BF16C9" w:rsidRDefault="00BF16C9">
      <w:pPr>
        <w:rPr>
          <w:rtl/>
        </w:rPr>
      </w:pPr>
    </w:p>
    <w:p w14:paraId="0324D301" w14:textId="36BF82B7" w:rsidR="00BF16C9" w:rsidRDefault="00BF16C9">
      <w:pPr>
        <w:rPr>
          <w:rtl/>
        </w:rPr>
      </w:pPr>
    </w:p>
    <w:p w14:paraId="6C06720A" w14:textId="4E51ED22" w:rsidR="00BF16C9" w:rsidRDefault="00BF16C9">
      <w:pPr>
        <w:rPr>
          <w:rtl/>
        </w:rPr>
      </w:pPr>
    </w:p>
    <w:p w14:paraId="380302CD" w14:textId="668F36F5" w:rsidR="00BF16C9" w:rsidRDefault="00BF16C9">
      <w:pPr>
        <w:rPr>
          <w:rtl/>
        </w:rPr>
      </w:pPr>
    </w:p>
    <w:p w14:paraId="1F3C2F98" w14:textId="62FAA4D8" w:rsidR="00BF16C9" w:rsidRDefault="00BF16C9">
      <w:pPr>
        <w:rPr>
          <w:rtl/>
        </w:rPr>
      </w:pPr>
    </w:p>
    <w:p w14:paraId="4492EF60" w14:textId="53F607D8" w:rsidR="00BF16C9" w:rsidRDefault="00BF16C9">
      <w:pPr>
        <w:rPr>
          <w:rtl/>
        </w:rPr>
      </w:pPr>
    </w:p>
    <w:p w14:paraId="2097DEBC" w14:textId="7D489009" w:rsidR="00BF16C9" w:rsidRDefault="00BF16C9">
      <w:pPr>
        <w:rPr>
          <w:rtl/>
        </w:rPr>
      </w:pPr>
    </w:p>
    <w:p w14:paraId="63CA9CE2" w14:textId="6EF16E6E" w:rsidR="00BF16C9" w:rsidRDefault="00BF16C9">
      <w:pPr>
        <w:rPr>
          <w:rtl/>
        </w:rPr>
      </w:pPr>
    </w:p>
    <w:p w14:paraId="3F26541E" w14:textId="3C75DAF1" w:rsidR="00BF16C9" w:rsidRDefault="00BF16C9">
      <w:pPr>
        <w:rPr>
          <w:rtl/>
        </w:rPr>
      </w:pPr>
    </w:p>
    <w:p w14:paraId="105D1370" w14:textId="5DBF78E4" w:rsidR="00BF16C9" w:rsidRDefault="00BF16C9">
      <w:pPr>
        <w:rPr>
          <w:rtl/>
        </w:rPr>
      </w:pPr>
    </w:p>
    <w:p w14:paraId="158DAE6E" w14:textId="77695F24" w:rsidR="00BF16C9" w:rsidRDefault="00BF16C9">
      <w:pPr>
        <w:rPr>
          <w:rtl/>
        </w:rPr>
      </w:pPr>
    </w:p>
    <w:p w14:paraId="2073D63A" w14:textId="16EE2326" w:rsidR="00BF16C9" w:rsidRDefault="00BF16C9">
      <w:pPr>
        <w:rPr>
          <w:rtl/>
        </w:rPr>
      </w:pPr>
    </w:p>
    <w:p w14:paraId="48C7257F" w14:textId="1AF657EC" w:rsidR="00BF16C9" w:rsidRDefault="00BF16C9">
      <w:pPr>
        <w:rPr>
          <w:rtl/>
        </w:rPr>
      </w:pPr>
    </w:p>
    <w:p w14:paraId="7797C9F4" w14:textId="152B91F3" w:rsidR="00BF16C9" w:rsidRDefault="00BF16C9">
      <w:pPr>
        <w:rPr>
          <w:rtl/>
        </w:rPr>
      </w:pPr>
    </w:p>
    <w:p w14:paraId="438AD7F1" w14:textId="408B0906" w:rsidR="00BF16C9" w:rsidRDefault="00BF16C9">
      <w:pPr>
        <w:rPr>
          <w:rtl/>
        </w:rPr>
      </w:pPr>
    </w:p>
    <w:p w14:paraId="30E6082B" w14:textId="03D41D10" w:rsidR="00BF16C9" w:rsidRDefault="00BF16C9">
      <w:pPr>
        <w:rPr>
          <w:rtl/>
        </w:rPr>
      </w:pPr>
    </w:p>
    <w:p w14:paraId="7B6B8E34" w14:textId="683B6536" w:rsidR="00BF16C9" w:rsidRDefault="00BF16C9">
      <w:pPr>
        <w:rPr>
          <w:rtl/>
        </w:rPr>
      </w:pPr>
    </w:p>
    <w:p w14:paraId="49A6C06D" w14:textId="1D310073" w:rsidR="00BF16C9" w:rsidRDefault="00BF16C9">
      <w:pPr>
        <w:rPr>
          <w:rtl/>
        </w:rPr>
      </w:pPr>
    </w:p>
    <w:p w14:paraId="7BEAF000" w14:textId="7F0620FD" w:rsidR="00BF16C9" w:rsidRDefault="00BF16C9">
      <w:pPr>
        <w:rPr>
          <w:rtl/>
        </w:rPr>
      </w:pPr>
    </w:p>
    <w:p w14:paraId="292C86D1" w14:textId="2C3CD1F9" w:rsidR="00BF16C9" w:rsidRDefault="00BF16C9">
      <w:pPr>
        <w:rPr>
          <w:rtl/>
        </w:rPr>
      </w:pPr>
    </w:p>
    <w:p w14:paraId="34501353" w14:textId="7F023722" w:rsidR="00BF16C9" w:rsidRDefault="00BF16C9">
      <w:pPr>
        <w:rPr>
          <w:rtl/>
        </w:rPr>
      </w:pPr>
    </w:p>
    <w:p w14:paraId="130A0758" w14:textId="02C87558" w:rsidR="00BF16C9" w:rsidRDefault="00BF16C9">
      <w:pPr>
        <w:rPr>
          <w:rtl/>
        </w:rPr>
      </w:pPr>
    </w:p>
    <w:p w14:paraId="5F4A5130" w14:textId="41197C53" w:rsidR="00BF16C9" w:rsidRDefault="00BF16C9">
      <w:pPr>
        <w:rPr>
          <w:rtl/>
        </w:rPr>
      </w:pPr>
    </w:p>
    <w:p w14:paraId="09C35D7D" w14:textId="26E63604" w:rsidR="00BF16C9" w:rsidRDefault="00BF16C9">
      <w:pPr>
        <w:rPr>
          <w:rtl/>
        </w:rPr>
      </w:pPr>
    </w:p>
    <w:p w14:paraId="68B2F45E" w14:textId="3455ADD7" w:rsidR="00BF16C9" w:rsidRDefault="00BF16C9">
      <w:pPr>
        <w:rPr>
          <w:rtl/>
        </w:rPr>
      </w:pPr>
    </w:p>
    <w:p w14:paraId="55FAD5F7" w14:textId="12EF3BCD" w:rsidR="00BF16C9" w:rsidRDefault="00BF16C9">
      <w:pPr>
        <w:rPr>
          <w:rtl/>
        </w:rPr>
      </w:pPr>
    </w:p>
    <w:p w14:paraId="7ED5DD7E" w14:textId="6D9F298D" w:rsidR="00BF16C9" w:rsidRDefault="00BF16C9">
      <w:pPr>
        <w:rPr>
          <w:rtl/>
        </w:rPr>
      </w:pPr>
    </w:p>
    <w:p w14:paraId="0E09ECF4" w14:textId="2DD40151" w:rsidR="00BF16C9" w:rsidRDefault="00BF16C9">
      <w:pPr>
        <w:rPr>
          <w:rtl/>
        </w:rPr>
      </w:pPr>
    </w:p>
    <w:p w14:paraId="39434E80" w14:textId="662768AD" w:rsidR="00BF16C9" w:rsidRDefault="00BF16C9">
      <w:pPr>
        <w:rPr>
          <w:rtl/>
        </w:rPr>
      </w:pPr>
    </w:p>
    <w:p w14:paraId="10E7AF6F" w14:textId="2341EF19" w:rsidR="00BF16C9" w:rsidRDefault="00BF16C9">
      <w:pPr>
        <w:rPr>
          <w:rtl/>
        </w:rPr>
      </w:pPr>
    </w:p>
    <w:p w14:paraId="337E4748" w14:textId="0E816DA6" w:rsidR="00BF16C9" w:rsidRDefault="00BF16C9">
      <w:pPr>
        <w:rPr>
          <w:rtl/>
        </w:rPr>
      </w:pPr>
    </w:p>
    <w:p w14:paraId="165840A4" w14:textId="52B4840E" w:rsidR="00BF16C9" w:rsidRDefault="00BF16C9">
      <w:pPr>
        <w:rPr>
          <w:rtl/>
        </w:rPr>
      </w:pPr>
    </w:p>
    <w:p w14:paraId="723AFAEE" w14:textId="5BB9613D" w:rsidR="00BF16C9" w:rsidRDefault="00BF16C9">
      <w:pPr>
        <w:rPr>
          <w:rtl/>
        </w:rPr>
      </w:pPr>
    </w:p>
    <w:p w14:paraId="71D446D6" w14:textId="77AE6C3C" w:rsidR="00BF16C9" w:rsidRDefault="00BF16C9">
      <w:pPr>
        <w:rPr>
          <w:rtl/>
        </w:rPr>
      </w:pPr>
    </w:p>
    <w:p w14:paraId="797B3A98" w14:textId="0783E2B7" w:rsidR="00BF16C9" w:rsidRDefault="00BF16C9">
      <w:pPr>
        <w:rPr>
          <w:rtl/>
        </w:rPr>
      </w:pPr>
    </w:p>
    <w:p w14:paraId="699D45F1" w14:textId="519128FC" w:rsidR="00BF16C9" w:rsidRDefault="00BF16C9">
      <w:pPr>
        <w:rPr>
          <w:rtl/>
        </w:rPr>
      </w:pPr>
    </w:p>
    <w:p w14:paraId="48DE1DBE" w14:textId="0C27E5D5" w:rsidR="00BF16C9" w:rsidRDefault="00BF16C9">
      <w:pPr>
        <w:rPr>
          <w:rtl/>
        </w:rPr>
      </w:pPr>
    </w:p>
    <w:p w14:paraId="71A8CDC1" w14:textId="73EA59D9" w:rsidR="00BF16C9" w:rsidRDefault="00BF16C9">
      <w:pPr>
        <w:rPr>
          <w:rtl/>
        </w:rPr>
      </w:pPr>
    </w:p>
    <w:p w14:paraId="0085DA0A" w14:textId="2A0A5D05" w:rsidR="00BF16C9" w:rsidRDefault="00BF16C9">
      <w:pPr>
        <w:rPr>
          <w:rtl/>
        </w:rPr>
      </w:pPr>
    </w:p>
    <w:p w14:paraId="6A9F42CF" w14:textId="7AD2FB2A" w:rsidR="00BF16C9" w:rsidRDefault="00BF16C9">
      <w:pPr>
        <w:rPr>
          <w:rtl/>
        </w:rPr>
      </w:pPr>
    </w:p>
    <w:p w14:paraId="0AFA7B70" w14:textId="465E30DC" w:rsidR="00BF16C9" w:rsidRDefault="00BF16C9">
      <w:pPr>
        <w:rPr>
          <w:rtl/>
        </w:rPr>
      </w:pPr>
    </w:p>
    <w:p w14:paraId="2685321A" w14:textId="5EDFE28A" w:rsidR="00BF16C9" w:rsidRDefault="00BF16C9">
      <w:pPr>
        <w:rPr>
          <w:rtl/>
        </w:rPr>
      </w:pPr>
    </w:p>
    <w:p w14:paraId="4E02B2D5" w14:textId="1F2FD20E" w:rsidR="00BF16C9" w:rsidRPr="00BF16C9" w:rsidRDefault="00BF16C9" w:rsidP="00BF16C9">
      <w:pPr>
        <w:jc w:val="center"/>
        <w:rPr>
          <w:b/>
          <w:bCs/>
          <w:u w:val="single"/>
          <w:rtl/>
        </w:rPr>
      </w:pPr>
      <w:r w:rsidRPr="00BF16C9">
        <w:rPr>
          <w:rFonts w:hint="cs"/>
          <w:b/>
          <w:bCs/>
          <w:u w:val="single"/>
          <w:rtl/>
        </w:rPr>
        <w:t>מבחן 2 (תשע"ו מועד א</w:t>
      </w:r>
    </w:p>
    <w:p w14:paraId="089A3177" w14:textId="1E68558F" w:rsidR="00BF16C9" w:rsidRPr="00BF16C9" w:rsidRDefault="00BF16C9" w:rsidP="00BF16C9">
      <w:pPr>
        <w:spacing w:line="360" w:lineRule="auto"/>
        <w:jc w:val="both"/>
        <w:rPr>
          <w:rFonts w:ascii="David" w:hAnsi="David" w:cs="David"/>
          <w:sz w:val="24"/>
          <w:szCs w:val="24"/>
          <w:rtl/>
        </w:rPr>
      </w:pPr>
    </w:p>
    <w:p w14:paraId="72B8B6F7" w14:textId="77777777" w:rsidR="00BF16C9" w:rsidRPr="00BF16C9" w:rsidRDefault="00BF16C9" w:rsidP="00BF16C9">
      <w:pPr>
        <w:spacing w:line="360" w:lineRule="auto"/>
        <w:jc w:val="both"/>
        <w:rPr>
          <w:rFonts w:ascii="David" w:hAnsi="David" w:cs="David"/>
          <w:sz w:val="24"/>
          <w:szCs w:val="24"/>
          <w:rtl/>
        </w:rPr>
      </w:pPr>
      <w:r w:rsidRPr="00BF16C9">
        <w:rPr>
          <w:rFonts w:ascii="David" w:hAnsi="David" w:cs="David"/>
          <w:sz w:val="24"/>
          <w:szCs w:val="24"/>
          <w:rtl/>
        </w:rPr>
        <w:t>שאלה מספר 1 (מקסימום – 3 עמ'; 45 נק')</w:t>
      </w:r>
    </w:p>
    <w:p w14:paraId="7A61D383" w14:textId="77777777" w:rsidR="00BF16C9" w:rsidRPr="00BF16C9" w:rsidRDefault="00BF16C9" w:rsidP="00BF16C9">
      <w:pPr>
        <w:spacing w:line="360" w:lineRule="auto"/>
        <w:jc w:val="both"/>
        <w:rPr>
          <w:rFonts w:ascii="David" w:hAnsi="David" w:cs="David"/>
          <w:sz w:val="24"/>
          <w:szCs w:val="24"/>
          <w:rtl/>
        </w:rPr>
      </w:pPr>
      <w:r w:rsidRPr="00BF16C9">
        <w:rPr>
          <w:rFonts w:ascii="David" w:hAnsi="David" w:cs="David"/>
          <w:sz w:val="24"/>
          <w:szCs w:val="24"/>
          <w:rtl/>
        </w:rPr>
        <w:t>לפי גישה רווחת, הדרך היחידה לפתרון בעיית החוזה במשפט העברי היא באמצעות "קנו מידו".</w:t>
      </w:r>
    </w:p>
    <w:p w14:paraId="4BB4EDC7" w14:textId="77777777" w:rsidR="00BF16C9" w:rsidRPr="00BF16C9" w:rsidRDefault="00BF16C9" w:rsidP="00BF16C9">
      <w:pPr>
        <w:spacing w:line="360" w:lineRule="auto"/>
        <w:jc w:val="both"/>
        <w:rPr>
          <w:rFonts w:ascii="David" w:hAnsi="David" w:cs="David"/>
          <w:sz w:val="24"/>
          <w:szCs w:val="24"/>
          <w:rtl/>
        </w:rPr>
      </w:pPr>
      <w:r w:rsidRPr="00BF16C9">
        <w:rPr>
          <w:rFonts w:ascii="David" w:hAnsi="David" w:cs="David"/>
          <w:sz w:val="24"/>
          <w:szCs w:val="24"/>
          <w:rtl/>
        </w:rPr>
        <w:t>ניתן להסתייג מן הגישה הרווחת בשתי דרכים מרכזיות:</w:t>
      </w:r>
    </w:p>
    <w:p w14:paraId="1ABB5079" w14:textId="77777777" w:rsidR="00BF16C9" w:rsidRPr="00BF16C9" w:rsidRDefault="00BF16C9" w:rsidP="00BF16C9">
      <w:pPr>
        <w:spacing w:line="360" w:lineRule="auto"/>
        <w:jc w:val="both"/>
        <w:rPr>
          <w:rFonts w:ascii="David" w:hAnsi="David" w:cs="David"/>
          <w:sz w:val="24"/>
          <w:szCs w:val="24"/>
          <w:rtl/>
        </w:rPr>
      </w:pPr>
      <w:r w:rsidRPr="00BF16C9">
        <w:rPr>
          <w:rFonts w:ascii="David" w:hAnsi="David" w:cs="David"/>
          <w:sz w:val="24"/>
          <w:szCs w:val="24"/>
          <w:rtl/>
        </w:rPr>
        <w:t>א. ההסתייגות ביחס לסיפא:"קנו מידו" אינה דרך מתאימה לפתרון בעיית החוזה.</w:t>
      </w:r>
    </w:p>
    <w:p w14:paraId="764D90DE" w14:textId="77777777" w:rsidR="00BF16C9" w:rsidRPr="00BF16C9" w:rsidRDefault="00BF16C9" w:rsidP="00BF16C9">
      <w:pPr>
        <w:spacing w:line="360" w:lineRule="auto"/>
        <w:jc w:val="both"/>
        <w:rPr>
          <w:rFonts w:ascii="David" w:hAnsi="David" w:cs="David"/>
          <w:sz w:val="24"/>
          <w:szCs w:val="24"/>
          <w:rtl/>
        </w:rPr>
      </w:pPr>
      <w:r w:rsidRPr="00BF16C9">
        <w:rPr>
          <w:rFonts w:ascii="David" w:hAnsi="David" w:cs="David"/>
          <w:sz w:val="24"/>
          <w:szCs w:val="24"/>
          <w:rtl/>
        </w:rPr>
        <w:t>5 נק' "קנו מידו" הוא אקט שמשכלל חוזה. לפי הסברו של גולאק, העברת הזכויות בחוזה היא ערטילאית, וההלכה התלמודית מבכרת פעולות ריאליות-ממשיות, ומסתייגת מפעולות ערטילאיות. הפתרון לכך הוא "קנו מידו": הצדדים לחוזה מעבירים ביניהם חפץ כלשהו שמגלם את הזכויות המועברות. בדרך זו, הזכויות מסומלות באמצעות חפץ ריאלי, וכך גם ההליך החוזי הופך ריאלי, כביכול קניין לפנינו ולא רק חוזה ("קנו מידו").</w:t>
      </w:r>
    </w:p>
    <w:p w14:paraId="455EDF55" w14:textId="77777777" w:rsidR="00BF16C9" w:rsidRPr="00BF16C9" w:rsidRDefault="00BF16C9" w:rsidP="00BF16C9">
      <w:pPr>
        <w:spacing w:line="360" w:lineRule="auto"/>
        <w:jc w:val="both"/>
        <w:rPr>
          <w:rFonts w:ascii="David" w:hAnsi="David" w:cs="David"/>
          <w:sz w:val="24"/>
          <w:szCs w:val="24"/>
          <w:rtl/>
        </w:rPr>
      </w:pPr>
      <w:r w:rsidRPr="00BF16C9">
        <w:rPr>
          <w:rFonts w:ascii="David" w:hAnsi="David" w:cs="David"/>
          <w:sz w:val="24"/>
          <w:szCs w:val="24"/>
          <w:rtl/>
        </w:rPr>
        <w:t>עם זאת, "קנו מידו" אינו מתאים לשכלולו של כל חוזה. הוא אינו מתאים לחוזים לביצוע פעולה, וכזה הוא חלק ניכר של החוזים.</w:t>
      </w:r>
    </w:p>
    <w:p w14:paraId="1E74672F" w14:textId="77777777" w:rsidR="00BF16C9" w:rsidRPr="00BF16C9" w:rsidRDefault="00BF16C9" w:rsidP="00BF16C9">
      <w:pPr>
        <w:spacing w:line="360" w:lineRule="auto"/>
        <w:jc w:val="both"/>
        <w:rPr>
          <w:rFonts w:ascii="David" w:hAnsi="David" w:cs="David"/>
          <w:sz w:val="24"/>
          <w:szCs w:val="24"/>
          <w:rtl/>
        </w:rPr>
      </w:pPr>
      <w:r w:rsidRPr="00BF16C9">
        <w:rPr>
          <w:rFonts w:ascii="David" w:hAnsi="David" w:cs="David"/>
          <w:sz w:val="24"/>
          <w:szCs w:val="24"/>
          <w:rtl/>
        </w:rPr>
        <w:t>5 נק' נפרט: לפי דין המשנה "שותפים שרצו לעשות מחיצה בחצר, בונים את הכתל באמצע". כלומר: הסכם פירוק שיתוף, באמצעות בניית מחיצה, מחייב את השותפים. התלמוד יוצא כנגד דין המשנה, ולפי עמדתו הסכם פירוק השיתוף אינו תקף, משום ש"קניין דברים בעלמא הוא", כלומר: "קנו מידו" מתייחס כאן לפעולה (פירוק השיתוף), והוא אינו מתאים לשכלולה. בחוזה להעברת זכויות או נכסים, הקושי הוא בהליך המופשט. "קנו מידו" פותר קושי זה, כנ"ל. ברם, כשמושא החוזה הוא פעולה, הערטילאיות אינה רק בהליך. היא גם במושא החוזה עצמו. על קושי זה "קנו מידו" אינו יכול להתגבר.</w:t>
      </w:r>
    </w:p>
    <w:p w14:paraId="295F84F1" w14:textId="77777777" w:rsidR="00BF16C9" w:rsidRPr="00BF16C9" w:rsidRDefault="00BF16C9" w:rsidP="00BF16C9">
      <w:pPr>
        <w:spacing w:line="360" w:lineRule="auto"/>
        <w:jc w:val="both"/>
        <w:rPr>
          <w:rFonts w:ascii="David" w:hAnsi="David" w:cs="David"/>
          <w:sz w:val="24"/>
          <w:szCs w:val="24"/>
          <w:rtl/>
        </w:rPr>
      </w:pPr>
      <w:r w:rsidRPr="00BF16C9">
        <w:rPr>
          <w:rFonts w:ascii="David" w:hAnsi="David" w:cs="David"/>
          <w:sz w:val="24"/>
          <w:szCs w:val="24"/>
          <w:rtl/>
        </w:rPr>
        <w:t>3 נק' לפי גישה אחרת (אלבק), בעיית החוזה אינה הערטילאיות כשלעצמה. הבעייה היא העדר גמירת הדעת, כתוצאה מהערטילאיות. "קנו מידו" הוא אקט ממשי, המבטא גמירת-דעת. לפי גישה זו, ההנחה היא שכאשר מדובר בפעולה, המרחק מגמירת הדעת לא ניתן לגישור באמצעות "קנו מידו".</w:t>
      </w:r>
    </w:p>
    <w:p w14:paraId="17C1B06D" w14:textId="77777777" w:rsidR="00BF16C9" w:rsidRPr="00BF16C9" w:rsidRDefault="00BF16C9" w:rsidP="00BF16C9">
      <w:pPr>
        <w:spacing w:line="360" w:lineRule="auto"/>
        <w:jc w:val="both"/>
        <w:rPr>
          <w:rFonts w:ascii="David" w:hAnsi="David" w:cs="David"/>
          <w:sz w:val="24"/>
          <w:szCs w:val="24"/>
          <w:rtl/>
        </w:rPr>
      </w:pPr>
      <w:r w:rsidRPr="00BF16C9">
        <w:rPr>
          <w:rFonts w:ascii="David" w:hAnsi="David" w:cs="David"/>
          <w:sz w:val="24"/>
          <w:szCs w:val="24"/>
          <w:rtl/>
        </w:rPr>
        <w:t>3 נק' לצד הסתייגות זו, צריך לציין שבין הגאונים והראשונים (ביד רמ"ה ובטור) יש שסייגו את האמור לעיל, ולדעתם יש חוזים לביצוע פעולה שניתן לשכללם באמצעות "קנו מידו". כך בהתחייבות "לתת" או "לבנות" (דעת הרא"ש). הרציונאל הוא שניתן לראות פעולות אלו ככרוכות במושאים פיזיים-ריאליים, וכך אינן ערטילאיות לגמרי. ברקע עמדה זו יש שיקולי מדיניות: הניסיון להכשיר, ככל שניתן, חוזים לביצוע פעולה. עם זאת, הר"ע יוסף עומד על כך, שעמדה זו מופיעה בשו"ע כעמדה משנית, ולכן יש לדחות אותה מן ההלכה.</w:t>
      </w:r>
    </w:p>
    <w:p w14:paraId="63312230" w14:textId="77777777" w:rsidR="00BF16C9" w:rsidRPr="00BF16C9" w:rsidRDefault="00BF16C9" w:rsidP="00BF16C9">
      <w:pPr>
        <w:spacing w:line="360" w:lineRule="auto"/>
        <w:jc w:val="both"/>
        <w:rPr>
          <w:rFonts w:ascii="David" w:hAnsi="David" w:cs="David"/>
          <w:sz w:val="24"/>
          <w:szCs w:val="24"/>
          <w:rtl/>
        </w:rPr>
      </w:pPr>
      <w:r w:rsidRPr="00BF16C9">
        <w:rPr>
          <w:rFonts w:ascii="David" w:hAnsi="David" w:cs="David"/>
          <w:sz w:val="24"/>
          <w:szCs w:val="24"/>
          <w:rtl/>
        </w:rPr>
        <w:t>ב. דרך אחרת להסתייגות מן הגישה הרווחת מתייחסת לרישא. לפי דרך זו, עשויים להיות פתרונות נוספים לבעיית החוזה.</w:t>
      </w:r>
    </w:p>
    <w:p w14:paraId="46ABD017" w14:textId="77777777" w:rsidR="00BF16C9" w:rsidRPr="00BF16C9" w:rsidRDefault="00BF16C9" w:rsidP="00BF16C9">
      <w:pPr>
        <w:spacing w:line="360" w:lineRule="auto"/>
        <w:jc w:val="both"/>
        <w:rPr>
          <w:rFonts w:ascii="David" w:hAnsi="David" w:cs="David"/>
          <w:sz w:val="24"/>
          <w:szCs w:val="24"/>
          <w:rtl/>
        </w:rPr>
      </w:pPr>
      <w:r w:rsidRPr="00BF16C9">
        <w:rPr>
          <w:rFonts w:ascii="David" w:hAnsi="David" w:cs="David"/>
          <w:sz w:val="24"/>
          <w:szCs w:val="24"/>
          <w:rtl/>
        </w:rPr>
        <w:t>5 נק' (1) הסתמכות – ריטב"א, בשורה של פסקים ופירושים, מציע לפתור את בעיית החוזה באמצעות הסתמכות. כלומר: תוקפו של החוזה אינו נובע מתקפות ההתחייבות/ההבטחה, אלא הוא נובע מכך שהצד האחר מסתמך על ההתחייבות/ההבטחה, ואם יופרו יש בכך כדי לפגוע בו או להזיק לו. זהו שיקול מעין נזיקי, וזהו המקור לחיוב פיצויים במקרה של הפרת החוזה (פיצויים מעין נזיקיים).</w:t>
      </w:r>
    </w:p>
    <w:p w14:paraId="485AD839" w14:textId="77777777" w:rsidR="00BF16C9" w:rsidRPr="00BF16C9" w:rsidRDefault="00BF16C9" w:rsidP="00BF16C9">
      <w:pPr>
        <w:spacing w:line="360" w:lineRule="auto"/>
        <w:jc w:val="both"/>
        <w:rPr>
          <w:rFonts w:ascii="David" w:hAnsi="David" w:cs="David"/>
          <w:sz w:val="24"/>
          <w:szCs w:val="24"/>
          <w:rtl/>
        </w:rPr>
      </w:pPr>
    </w:p>
    <w:p w14:paraId="6025E2B0" w14:textId="77777777" w:rsidR="00BF16C9" w:rsidRPr="00BF16C9" w:rsidRDefault="00BF16C9" w:rsidP="00BF16C9">
      <w:pPr>
        <w:spacing w:line="360" w:lineRule="auto"/>
        <w:jc w:val="both"/>
        <w:rPr>
          <w:rFonts w:ascii="David" w:hAnsi="David" w:cs="David"/>
          <w:sz w:val="24"/>
          <w:szCs w:val="24"/>
          <w:rtl/>
        </w:rPr>
      </w:pPr>
    </w:p>
    <w:p w14:paraId="28766DEE" w14:textId="77777777" w:rsidR="00BF16C9" w:rsidRPr="00BF16C9" w:rsidRDefault="00BF16C9" w:rsidP="00BF16C9">
      <w:pPr>
        <w:spacing w:line="360" w:lineRule="auto"/>
        <w:jc w:val="both"/>
        <w:rPr>
          <w:rFonts w:ascii="David" w:hAnsi="David" w:cs="David"/>
          <w:sz w:val="24"/>
          <w:szCs w:val="24"/>
          <w:rtl/>
        </w:rPr>
      </w:pPr>
    </w:p>
    <w:p w14:paraId="6263FDD4" w14:textId="77777777" w:rsidR="00BF16C9" w:rsidRPr="00BF16C9" w:rsidRDefault="00BF16C9" w:rsidP="00BF16C9">
      <w:pPr>
        <w:spacing w:line="360" w:lineRule="auto"/>
        <w:jc w:val="both"/>
        <w:rPr>
          <w:rFonts w:ascii="David" w:hAnsi="David" w:cs="David"/>
          <w:sz w:val="24"/>
          <w:szCs w:val="24"/>
          <w:rtl/>
        </w:rPr>
      </w:pPr>
      <w:r w:rsidRPr="00BF16C9">
        <w:rPr>
          <w:rFonts w:ascii="David" w:hAnsi="David" w:cs="David"/>
          <w:sz w:val="24"/>
          <w:szCs w:val="24"/>
          <w:rtl/>
        </w:rPr>
        <w:t>מקורות תלמודיים (די בשלושה מקורות. 3 נק' לכל מקור): * אדם שנתן לחברו סכום כסף לטובת רווחים מעיסקה של רכישת יין, וחברו התרשל ולא ביצע את העיסקה – חייב האחרון לפצות את הראשון, במחיר אותו ניתן היה להשיג מן העיסקה בשוק היין (=אמר רב חמא: האי מאן דיהיב זוזי לחבריה למיזבן ליה חמרא, ופשע ולא זבין ליה - משלם ליה כדקא אזיל אפרוותא דזולשפט). חיוב  זה בעייתי משום שהוא נובע מחוזה, ואין תוקף לחוזה. פתרון הריטב"א לכך הוא "כיון שנתן לו מעותיו ליקח סחורתו, ואלמלא הוא, היה לוקח ע"י עצמו או ע"י אחרים, אלא שזה הבטיחו שיקח לו, וסמך עליו ונתן לו מעותיו על דעת כן, הרי הוא חייב לשלם לו מה שהפסיד בהבטחתו, דבההיא הנאה דסמיך עליה ונותן לו ממונו משתעבד ליה משום ערב".</w:t>
      </w:r>
    </w:p>
    <w:p w14:paraId="6418DE95" w14:textId="77777777" w:rsidR="00BF16C9" w:rsidRPr="00BF16C9" w:rsidRDefault="00BF16C9" w:rsidP="00BF16C9">
      <w:pPr>
        <w:spacing w:line="360" w:lineRule="auto"/>
        <w:jc w:val="both"/>
        <w:rPr>
          <w:rFonts w:ascii="David" w:hAnsi="David" w:cs="David"/>
          <w:sz w:val="24"/>
          <w:szCs w:val="24"/>
          <w:rtl/>
        </w:rPr>
      </w:pPr>
      <w:r w:rsidRPr="00BF16C9">
        <w:rPr>
          <w:rFonts w:ascii="David" w:hAnsi="David" w:cs="David"/>
          <w:sz w:val="24"/>
          <w:szCs w:val="24"/>
          <w:rtl/>
        </w:rPr>
        <w:t>*ההבטחה יוצרת הסתמכות, ומתוך כך הפסד למובטח. מקור ההשראה לכך הוא חיובו של הערב. הבטחתו של הערב לנושה, גורמת לו להסתמך על ההבטחה ולהלוות לחייב, ולכן אם החייב אינו פורע, זהו הפסד/נזק שבגין ההסתמכות, וחיובו של הערב לפרוע הוא מעין פיצוי להפסד זה.</w:t>
      </w:r>
    </w:p>
    <w:p w14:paraId="521626C3" w14:textId="77777777" w:rsidR="00BF16C9" w:rsidRPr="00BF16C9" w:rsidRDefault="00BF16C9" w:rsidP="00BF16C9">
      <w:pPr>
        <w:spacing w:line="360" w:lineRule="auto"/>
        <w:jc w:val="both"/>
        <w:rPr>
          <w:rFonts w:ascii="David" w:hAnsi="David" w:cs="David"/>
          <w:sz w:val="24"/>
          <w:szCs w:val="24"/>
          <w:rtl/>
        </w:rPr>
      </w:pPr>
      <w:r w:rsidRPr="00BF16C9">
        <w:rPr>
          <w:rFonts w:ascii="David" w:hAnsi="David" w:cs="David"/>
          <w:sz w:val="24"/>
          <w:szCs w:val="24"/>
          <w:rtl/>
        </w:rPr>
        <w:t>מקורות נוספים לחיוב בגין הסתמכות: *הפרת הסכמי עבודה, מצד המעביד או מצד העובדים. המפר חייב, משום שהצד האחר מסתמך על ההבטחה שניתנה לו, וההפרה גורמת לו הפסד.</w:t>
      </w:r>
    </w:p>
    <w:p w14:paraId="7800C6E7" w14:textId="77777777" w:rsidR="00BF16C9" w:rsidRPr="00BF16C9" w:rsidRDefault="00BF16C9" w:rsidP="00BF16C9">
      <w:pPr>
        <w:spacing w:line="360" w:lineRule="auto"/>
        <w:jc w:val="both"/>
        <w:rPr>
          <w:rFonts w:ascii="David" w:hAnsi="David" w:cs="David"/>
          <w:sz w:val="24"/>
          <w:szCs w:val="24"/>
          <w:rtl/>
        </w:rPr>
      </w:pPr>
      <w:r w:rsidRPr="00BF16C9">
        <w:rPr>
          <w:rFonts w:ascii="David" w:hAnsi="David" w:cs="David"/>
          <w:sz w:val="24"/>
          <w:szCs w:val="24"/>
          <w:rtl/>
        </w:rPr>
        <w:t>*הפרת הסכמי שומרים: הבעלים מפקיד את הנכס לשמירה, ומסתמך על הבטחתו של השומר לשמור. לכן, אם לא שמר כראוי ואירע נזק, יש כאן פגיעה או הפסד למפקיד, ולכן  השומר חייב לפצותו.</w:t>
      </w:r>
    </w:p>
    <w:p w14:paraId="17157977" w14:textId="77777777" w:rsidR="00BF16C9" w:rsidRPr="00BF16C9" w:rsidRDefault="00BF16C9" w:rsidP="00BF16C9">
      <w:pPr>
        <w:spacing w:line="360" w:lineRule="auto"/>
        <w:jc w:val="both"/>
        <w:rPr>
          <w:rFonts w:ascii="David" w:hAnsi="David" w:cs="David"/>
          <w:sz w:val="24"/>
          <w:szCs w:val="24"/>
          <w:rtl/>
        </w:rPr>
      </w:pPr>
      <w:r w:rsidRPr="00BF16C9">
        <w:rPr>
          <w:rFonts w:ascii="David" w:hAnsi="David" w:cs="David"/>
          <w:sz w:val="24"/>
          <w:szCs w:val="24"/>
          <w:rtl/>
        </w:rPr>
        <w:t>*תשלום מקדמה בעיסקת מקרקעין: אם המוכר בו ידו על התחתונה, והרוכש יכול לדרוש שכספו יוחזר  או שיקבל כסף עבור הקרקע. הסיבה לכך היא, שהרוכש הסתמך על הבטחת המוכר למכור, ולכן הוא זכאי לפיצוי כניזק, מן העידית שבנכסי המוכר.</w:t>
      </w:r>
    </w:p>
    <w:p w14:paraId="2380FA2F" w14:textId="77777777" w:rsidR="00BF16C9" w:rsidRPr="00BF16C9" w:rsidRDefault="00BF16C9" w:rsidP="00BF16C9">
      <w:pPr>
        <w:spacing w:line="360" w:lineRule="auto"/>
        <w:jc w:val="both"/>
        <w:rPr>
          <w:rFonts w:ascii="David" w:hAnsi="David" w:cs="David"/>
          <w:sz w:val="24"/>
          <w:szCs w:val="24"/>
          <w:rtl/>
        </w:rPr>
      </w:pPr>
      <w:r w:rsidRPr="00BF16C9">
        <w:rPr>
          <w:rFonts w:ascii="David" w:hAnsi="David" w:cs="David"/>
          <w:sz w:val="24"/>
          <w:szCs w:val="24"/>
          <w:rtl/>
        </w:rPr>
        <w:t xml:space="preserve">*לכל הדוגמאות הללו ניתן להוסיף אחרת, שאינה מוזכרת בדברי ריטב"א: הסוגיה התלמודית שעוסקת בחוזה מכר (דברים – האם יש בהם משום מחוסר אמנה). התלמוד מתאמץ, וגם נדחק, לבסס חיוב בגין הפרת החוזה, משום שדעתו של הקונה מסתמכת על הבטחת המוכר (= סמכא דעתיה). בהקשר זה, התלמוד קובע שהמבטיח לחברו מתנה מועטת חייב ליתנה לו, משום שהמקבל מסתמך על ההבטחה.                                                                                                                   </w:t>
      </w:r>
    </w:p>
    <w:p w14:paraId="19BE66CC" w14:textId="77777777" w:rsidR="00BF16C9" w:rsidRPr="00BF16C9" w:rsidRDefault="00BF16C9" w:rsidP="00BF16C9">
      <w:pPr>
        <w:spacing w:line="360" w:lineRule="auto"/>
        <w:jc w:val="both"/>
        <w:rPr>
          <w:rFonts w:ascii="David" w:hAnsi="David" w:cs="David"/>
          <w:sz w:val="24"/>
          <w:szCs w:val="24"/>
          <w:rtl/>
        </w:rPr>
      </w:pPr>
      <w:r w:rsidRPr="00BF16C9">
        <w:rPr>
          <w:rFonts w:ascii="David" w:hAnsi="David" w:cs="David"/>
          <w:sz w:val="24"/>
          <w:szCs w:val="24"/>
          <w:rtl/>
        </w:rPr>
        <w:t>(2) "בההיא הנאה" – פתרון אחר לבעיית החוזה הוא "בההיא הנאה" – בעבור טובת הנאה בה זוכה המתחייב, הוא גומר בדעתו ומחייב את עצמו. ניתן להסביר זאת בשתי דרכים:</w:t>
      </w:r>
    </w:p>
    <w:p w14:paraId="2846D00A" w14:textId="77777777" w:rsidR="00BF16C9" w:rsidRPr="00BF16C9" w:rsidRDefault="00BF16C9" w:rsidP="00BF16C9">
      <w:pPr>
        <w:spacing w:line="360" w:lineRule="auto"/>
        <w:jc w:val="both"/>
        <w:rPr>
          <w:rFonts w:ascii="David" w:hAnsi="David" w:cs="David"/>
          <w:sz w:val="24"/>
          <w:szCs w:val="24"/>
          <w:rtl/>
        </w:rPr>
      </w:pPr>
      <w:r w:rsidRPr="00BF16C9">
        <w:rPr>
          <w:rFonts w:ascii="David" w:hAnsi="David" w:cs="David"/>
          <w:sz w:val="24"/>
          <w:szCs w:val="24"/>
          <w:rtl/>
        </w:rPr>
        <w:t>3 נק' א. טובת ההנאה היא תמורה, וכך ניתן לראות את ההתחייבות כהליך של חליפין: המתחייב מעניק זכות ומקבל טובת הנאה. שוב, ההליך החוזי המופשט הופך להיות ממשי ומעין-קנייני.</w:t>
      </w:r>
    </w:p>
    <w:p w14:paraId="38D9E17D" w14:textId="77777777" w:rsidR="00BF16C9" w:rsidRPr="00BF16C9" w:rsidRDefault="00BF16C9" w:rsidP="00BF16C9">
      <w:pPr>
        <w:spacing w:line="360" w:lineRule="auto"/>
        <w:jc w:val="both"/>
        <w:rPr>
          <w:rFonts w:ascii="David" w:hAnsi="David" w:cs="David"/>
          <w:sz w:val="24"/>
          <w:szCs w:val="24"/>
          <w:rtl/>
        </w:rPr>
      </w:pPr>
      <w:r w:rsidRPr="00BF16C9">
        <w:rPr>
          <w:rFonts w:ascii="David" w:hAnsi="David" w:cs="David"/>
          <w:sz w:val="24"/>
          <w:szCs w:val="24"/>
          <w:rtl/>
        </w:rPr>
        <w:t>2 נק' ב. בעיית החוזה היא העדר גמירת-דעת. טובת ההנאה שמקבל המתחייב ממריצה אותו לגמור בדעתו ולהתחייב כלפי הצד השני.</w:t>
      </w:r>
    </w:p>
    <w:p w14:paraId="7651DA18" w14:textId="77777777" w:rsidR="00BF16C9" w:rsidRPr="00BF16C9" w:rsidRDefault="00BF16C9" w:rsidP="00BF16C9">
      <w:pPr>
        <w:spacing w:line="360" w:lineRule="auto"/>
        <w:jc w:val="both"/>
        <w:rPr>
          <w:rFonts w:ascii="David" w:hAnsi="David" w:cs="David"/>
          <w:sz w:val="24"/>
          <w:szCs w:val="24"/>
          <w:rtl/>
        </w:rPr>
      </w:pPr>
      <w:r w:rsidRPr="00BF16C9">
        <w:rPr>
          <w:rFonts w:ascii="David" w:hAnsi="David" w:cs="David"/>
          <w:sz w:val="24"/>
          <w:szCs w:val="24"/>
          <w:rtl/>
        </w:rPr>
        <w:t>4 נק' הפוסקים משתמשים בבההיא הנאה בשני הקשרים (די בהקשר אחד):</w:t>
      </w:r>
    </w:p>
    <w:p w14:paraId="04807D76" w14:textId="77777777" w:rsidR="00BF16C9" w:rsidRPr="00BF16C9" w:rsidRDefault="00BF16C9" w:rsidP="00BF16C9">
      <w:pPr>
        <w:spacing w:line="360" w:lineRule="auto"/>
        <w:jc w:val="both"/>
        <w:rPr>
          <w:rFonts w:ascii="David" w:hAnsi="David" w:cs="David"/>
          <w:sz w:val="24"/>
          <w:szCs w:val="24"/>
          <w:rtl/>
        </w:rPr>
      </w:pPr>
      <w:r w:rsidRPr="00BF16C9">
        <w:rPr>
          <w:rFonts w:ascii="David" w:hAnsi="David" w:cs="David"/>
          <w:sz w:val="24"/>
          <w:szCs w:val="24"/>
          <w:rtl/>
        </w:rPr>
        <w:t>(1) תשובת גאונים: הסכם נישואין בו מתחייב האיש שאם יישא אשה נוספת יוציא את אשתו (הוותיקה) בכתובה. לדעת רב שרירא/רב האי גאון - ההסכם תקף: "וכיון שלא נשאה לו אלא בתנוי זה, בההיא הנאה דקא מינסביא לה (= שהיא מוכנה להינשא לו) גמר (=בדעתו) ומשעביד נפשיה".</w:t>
      </w:r>
    </w:p>
    <w:p w14:paraId="5059C220" w14:textId="77777777" w:rsidR="00BF16C9" w:rsidRPr="00BF16C9" w:rsidRDefault="00BF16C9" w:rsidP="00BF16C9">
      <w:pPr>
        <w:spacing w:line="360" w:lineRule="auto"/>
        <w:jc w:val="both"/>
        <w:rPr>
          <w:rFonts w:ascii="David" w:hAnsi="David" w:cs="David"/>
          <w:sz w:val="24"/>
          <w:szCs w:val="24"/>
          <w:rtl/>
        </w:rPr>
      </w:pPr>
    </w:p>
    <w:p w14:paraId="1E79308D" w14:textId="77777777" w:rsidR="00BF16C9" w:rsidRPr="00BF16C9" w:rsidRDefault="00BF16C9" w:rsidP="00BF16C9">
      <w:pPr>
        <w:spacing w:line="360" w:lineRule="auto"/>
        <w:jc w:val="both"/>
        <w:rPr>
          <w:rFonts w:ascii="David" w:hAnsi="David" w:cs="David"/>
          <w:sz w:val="24"/>
          <w:szCs w:val="24"/>
          <w:rtl/>
        </w:rPr>
      </w:pPr>
    </w:p>
    <w:p w14:paraId="2A484C6B" w14:textId="77777777" w:rsidR="00BF16C9" w:rsidRPr="00BF16C9" w:rsidRDefault="00BF16C9" w:rsidP="00BF16C9">
      <w:pPr>
        <w:spacing w:line="360" w:lineRule="auto"/>
        <w:jc w:val="both"/>
        <w:rPr>
          <w:rFonts w:ascii="David" w:hAnsi="David" w:cs="David"/>
          <w:sz w:val="24"/>
          <w:szCs w:val="24"/>
          <w:rtl/>
        </w:rPr>
      </w:pPr>
    </w:p>
    <w:p w14:paraId="32A86B61" w14:textId="77777777" w:rsidR="00BF16C9" w:rsidRPr="00BF16C9" w:rsidRDefault="00BF16C9" w:rsidP="00BF16C9">
      <w:pPr>
        <w:spacing w:line="360" w:lineRule="auto"/>
        <w:jc w:val="both"/>
        <w:rPr>
          <w:rFonts w:ascii="David" w:hAnsi="David" w:cs="David"/>
          <w:sz w:val="24"/>
          <w:szCs w:val="24"/>
          <w:rtl/>
        </w:rPr>
      </w:pPr>
      <w:r w:rsidRPr="00BF16C9">
        <w:rPr>
          <w:rFonts w:ascii="David" w:hAnsi="David" w:cs="David"/>
          <w:sz w:val="24"/>
          <w:szCs w:val="24"/>
          <w:rtl/>
        </w:rPr>
        <w:lastRenderedPageBreak/>
        <w:t>(2) חכמי אשכנז סבורים שהסכם שותפים תקף מכח בההיא הנאה (בניגוד לשיטת הרמב"ם שסבור ששותפות תקפה רק מכח קניין משותף, אך אין תוקף להסכם שותפים). כך פסקו רבנו משולם ב"ר קלונימוס מלוקא (בספר העיטור) והמהר"ם מרוטנבורג (במרדכי).</w:t>
      </w:r>
    </w:p>
    <w:p w14:paraId="022C3F29" w14:textId="77777777" w:rsidR="00BF16C9" w:rsidRPr="00BF16C9" w:rsidRDefault="00BF16C9" w:rsidP="00BF16C9">
      <w:pPr>
        <w:spacing w:line="360" w:lineRule="auto"/>
        <w:jc w:val="both"/>
        <w:rPr>
          <w:rFonts w:ascii="David" w:hAnsi="David" w:cs="David"/>
          <w:sz w:val="24"/>
          <w:szCs w:val="24"/>
          <w:rtl/>
        </w:rPr>
      </w:pPr>
    </w:p>
    <w:p w14:paraId="5A860529" w14:textId="77777777" w:rsidR="00BF16C9" w:rsidRPr="00BF16C9" w:rsidRDefault="00BF16C9" w:rsidP="00BF16C9">
      <w:pPr>
        <w:spacing w:line="360" w:lineRule="auto"/>
        <w:jc w:val="both"/>
        <w:rPr>
          <w:rFonts w:ascii="David" w:hAnsi="David" w:cs="David"/>
          <w:sz w:val="24"/>
          <w:szCs w:val="24"/>
          <w:rtl/>
        </w:rPr>
      </w:pPr>
      <w:r w:rsidRPr="00BF16C9">
        <w:rPr>
          <w:rFonts w:ascii="David" w:hAnsi="David" w:cs="David"/>
          <w:sz w:val="24"/>
          <w:szCs w:val="24"/>
          <w:rtl/>
        </w:rPr>
        <w:t>מקורות תלמודיים (די בשלושה מקורות. 3 נק' לכל מקור): *הסכם שומרים (במיוחד ביחס לשומר חינם) – התחייבות השומר תקפה, משום שהוא מקבל טובת הנאה מן האמון שניתן בו: "בההוא הנאה דקא מהימן ליה - גמר ומשעביד נפשיה".</w:t>
      </w:r>
    </w:p>
    <w:p w14:paraId="53E0F4A0" w14:textId="77777777" w:rsidR="00BF16C9" w:rsidRPr="00BF16C9" w:rsidRDefault="00BF16C9" w:rsidP="00BF16C9">
      <w:pPr>
        <w:spacing w:line="360" w:lineRule="auto"/>
        <w:jc w:val="both"/>
        <w:rPr>
          <w:rFonts w:ascii="David" w:hAnsi="David" w:cs="David"/>
          <w:sz w:val="24"/>
          <w:szCs w:val="24"/>
          <w:rtl/>
        </w:rPr>
      </w:pPr>
    </w:p>
    <w:p w14:paraId="78158AB1" w14:textId="77777777" w:rsidR="00BF16C9" w:rsidRPr="00BF16C9" w:rsidRDefault="00BF16C9" w:rsidP="00BF16C9">
      <w:pPr>
        <w:spacing w:line="360" w:lineRule="auto"/>
        <w:jc w:val="both"/>
        <w:rPr>
          <w:rFonts w:ascii="David" w:hAnsi="David" w:cs="David"/>
          <w:sz w:val="24"/>
          <w:szCs w:val="24"/>
          <w:rtl/>
        </w:rPr>
      </w:pPr>
      <w:r w:rsidRPr="00BF16C9">
        <w:rPr>
          <w:rFonts w:ascii="David" w:hAnsi="David" w:cs="David"/>
          <w:sz w:val="24"/>
          <w:szCs w:val="24"/>
          <w:rtl/>
        </w:rPr>
        <w:t>*הסכם בין הורי החתן והכלה לטובת ילדיהם הנישאים (דברים הנקנים באמירה): "בההיא הנאה דקא מיחתני גבי הדדי, גמרי ומקני להדדי" (= טובת ההנאה להורים מקשרי החיתון שנרקמים בין המשפחות).</w:t>
      </w:r>
    </w:p>
    <w:p w14:paraId="216CDE31" w14:textId="77777777" w:rsidR="00BF16C9" w:rsidRPr="00BF16C9" w:rsidRDefault="00BF16C9" w:rsidP="00BF16C9">
      <w:pPr>
        <w:spacing w:line="360" w:lineRule="auto"/>
        <w:jc w:val="both"/>
        <w:rPr>
          <w:rFonts w:ascii="David" w:hAnsi="David" w:cs="David"/>
          <w:sz w:val="24"/>
          <w:szCs w:val="24"/>
          <w:rtl/>
        </w:rPr>
      </w:pPr>
    </w:p>
    <w:p w14:paraId="6894D28B" w14:textId="77777777" w:rsidR="00BF16C9" w:rsidRPr="00BF16C9" w:rsidRDefault="00BF16C9" w:rsidP="00BF16C9">
      <w:pPr>
        <w:spacing w:line="360" w:lineRule="auto"/>
        <w:jc w:val="both"/>
        <w:rPr>
          <w:rFonts w:ascii="David" w:hAnsi="David" w:cs="David"/>
          <w:sz w:val="24"/>
          <w:szCs w:val="24"/>
          <w:rtl/>
        </w:rPr>
      </w:pPr>
      <w:r w:rsidRPr="00BF16C9">
        <w:rPr>
          <w:rFonts w:ascii="David" w:hAnsi="David" w:cs="David"/>
          <w:sz w:val="24"/>
          <w:szCs w:val="24"/>
          <w:rtl/>
        </w:rPr>
        <w:t>*הסכם ערבות: התחייבות הערב לנושה תקפה בעקבות האמון שהנושה נותן בו: "בההוא הנאה דקא מהימן ליה - גמר ומשתעבד נפשיה".</w:t>
      </w:r>
    </w:p>
    <w:p w14:paraId="35744404" w14:textId="77777777" w:rsidR="00BF16C9" w:rsidRPr="00BF16C9" w:rsidRDefault="00BF16C9" w:rsidP="00BF16C9">
      <w:pPr>
        <w:spacing w:line="360" w:lineRule="auto"/>
        <w:jc w:val="both"/>
        <w:rPr>
          <w:rFonts w:ascii="David" w:hAnsi="David" w:cs="David"/>
          <w:sz w:val="24"/>
          <w:szCs w:val="24"/>
          <w:rtl/>
        </w:rPr>
      </w:pPr>
    </w:p>
    <w:p w14:paraId="4862227F" w14:textId="77777777" w:rsidR="00BF16C9" w:rsidRPr="00BF16C9" w:rsidRDefault="00BF16C9" w:rsidP="00BF16C9">
      <w:pPr>
        <w:spacing w:line="360" w:lineRule="auto"/>
        <w:jc w:val="both"/>
        <w:rPr>
          <w:rFonts w:ascii="David" w:hAnsi="David" w:cs="David"/>
          <w:sz w:val="24"/>
          <w:szCs w:val="24"/>
          <w:rtl/>
        </w:rPr>
      </w:pPr>
      <w:r w:rsidRPr="00BF16C9">
        <w:rPr>
          <w:rFonts w:ascii="David" w:hAnsi="David" w:cs="David"/>
          <w:sz w:val="24"/>
          <w:szCs w:val="24"/>
          <w:rtl/>
        </w:rPr>
        <w:t xml:space="preserve"> *הסכם בין אחים-יורשים החולקים ביניהם את הירושה: "בההוא הנאה דקא צייתי להדדי גמרי ומקנו" – לאחים טובת הנאה מעצם שיתוף הפעולה ביניהם, ותמורתו הם מתחייבים זה לזה.</w:t>
      </w:r>
    </w:p>
    <w:p w14:paraId="24F2982F" w14:textId="77777777" w:rsidR="00BF16C9" w:rsidRPr="00BF16C9" w:rsidRDefault="00BF16C9" w:rsidP="00BF16C9">
      <w:pPr>
        <w:spacing w:line="360" w:lineRule="auto"/>
        <w:jc w:val="both"/>
        <w:rPr>
          <w:rFonts w:ascii="David" w:hAnsi="David" w:cs="David"/>
          <w:sz w:val="24"/>
          <w:szCs w:val="24"/>
          <w:rtl/>
        </w:rPr>
      </w:pPr>
      <w:r w:rsidRPr="00BF16C9">
        <w:rPr>
          <w:rFonts w:ascii="David" w:hAnsi="David" w:cs="David"/>
          <w:sz w:val="24"/>
          <w:szCs w:val="24"/>
          <w:rtl/>
        </w:rPr>
        <w:t>תיתכנה דוגמאות נוספות, אבל הן משניות או בעייתיות. אם ישנן כאלה – כיתבי לי ואראה אם הן ראויות.</w:t>
      </w:r>
    </w:p>
    <w:p w14:paraId="09C51953" w14:textId="77777777" w:rsidR="00BF16C9" w:rsidRPr="00BF16C9" w:rsidRDefault="00BF16C9" w:rsidP="00BF16C9">
      <w:pPr>
        <w:spacing w:line="360" w:lineRule="auto"/>
        <w:jc w:val="both"/>
        <w:rPr>
          <w:rFonts w:ascii="David" w:hAnsi="David" w:cs="David"/>
          <w:sz w:val="24"/>
          <w:szCs w:val="24"/>
          <w:rtl/>
        </w:rPr>
      </w:pPr>
    </w:p>
    <w:p w14:paraId="1DB12C0A" w14:textId="77777777" w:rsidR="00BF16C9" w:rsidRPr="00BF16C9" w:rsidRDefault="00BF16C9" w:rsidP="00BF16C9">
      <w:pPr>
        <w:spacing w:line="360" w:lineRule="auto"/>
        <w:jc w:val="both"/>
        <w:rPr>
          <w:rFonts w:ascii="David" w:hAnsi="David" w:cs="David"/>
          <w:b/>
          <w:bCs/>
          <w:sz w:val="24"/>
          <w:szCs w:val="24"/>
          <w:rtl/>
        </w:rPr>
      </w:pPr>
      <w:r w:rsidRPr="00BF16C9">
        <w:rPr>
          <w:rFonts w:ascii="David" w:hAnsi="David" w:cs="David"/>
          <w:b/>
          <w:bCs/>
          <w:sz w:val="24"/>
          <w:szCs w:val="24"/>
          <w:rtl/>
        </w:rPr>
        <w:t>שאלה מספר 2 (מקסימום – 2 עמ'; 30 נק')</w:t>
      </w:r>
    </w:p>
    <w:p w14:paraId="30F32B23" w14:textId="77777777" w:rsidR="00BF16C9" w:rsidRPr="00BF16C9" w:rsidRDefault="00BF16C9" w:rsidP="00BF16C9">
      <w:pPr>
        <w:spacing w:line="360" w:lineRule="auto"/>
        <w:jc w:val="both"/>
        <w:rPr>
          <w:rFonts w:ascii="David" w:hAnsi="David" w:cs="David"/>
          <w:sz w:val="24"/>
          <w:szCs w:val="24"/>
          <w:rtl/>
        </w:rPr>
      </w:pPr>
    </w:p>
    <w:p w14:paraId="3D026C67" w14:textId="77777777" w:rsidR="00BF16C9" w:rsidRPr="00BF16C9" w:rsidRDefault="00BF16C9" w:rsidP="00BF16C9">
      <w:pPr>
        <w:spacing w:line="360" w:lineRule="auto"/>
        <w:jc w:val="both"/>
        <w:rPr>
          <w:rFonts w:ascii="David" w:hAnsi="David" w:cs="David"/>
          <w:sz w:val="24"/>
          <w:szCs w:val="24"/>
          <w:rtl/>
        </w:rPr>
      </w:pPr>
      <w:r w:rsidRPr="00BF16C9">
        <w:rPr>
          <w:rFonts w:ascii="David" w:hAnsi="David" w:cs="David"/>
          <w:sz w:val="24"/>
          <w:szCs w:val="24"/>
          <w:rtl/>
        </w:rPr>
        <w:t>א. (1) התלמוד קובע בהלכת הפתיחה שמכר שנעשה תחת כפייה (= תליית המוכר), משמע אפילו כפייה גמורה – תקף. עם זאת, התלמוד מסייג הלכה זאת בהמשך בשתי דרכים:</w:t>
      </w:r>
    </w:p>
    <w:p w14:paraId="21057201" w14:textId="77777777" w:rsidR="00BF16C9" w:rsidRPr="00BF16C9" w:rsidRDefault="00BF16C9" w:rsidP="00BF16C9">
      <w:pPr>
        <w:spacing w:line="360" w:lineRule="auto"/>
        <w:jc w:val="both"/>
        <w:rPr>
          <w:rFonts w:ascii="David" w:hAnsi="David" w:cs="David"/>
          <w:sz w:val="24"/>
          <w:szCs w:val="24"/>
          <w:rtl/>
        </w:rPr>
      </w:pPr>
    </w:p>
    <w:p w14:paraId="692DE1C7" w14:textId="77777777" w:rsidR="00BF16C9" w:rsidRPr="00BF16C9" w:rsidRDefault="00BF16C9" w:rsidP="00BF16C9">
      <w:pPr>
        <w:spacing w:line="360" w:lineRule="auto"/>
        <w:jc w:val="both"/>
        <w:rPr>
          <w:rFonts w:ascii="David" w:hAnsi="David" w:cs="David"/>
          <w:sz w:val="24"/>
          <w:szCs w:val="24"/>
          <w:rtl/>
        </w:rPr>
      </w:pPr>
      <w:r w:rsidRPr="00BF16C9">
        <w:rPr>
          <w:rFonts w:ascii="David" w:hAnsi="David" w:cs="David"/>
          <w:sz w:val="24"/>
          <w:szCs w:val="24"/>
          <w:rtl/>
        </w:rPr>
        <w:t>6 נק' (</w:t>
      </w:r>
      <w:r w:rsidRPr="00BF16C9">
        <w:rPr>
          <w:rFonts w:ascii="David" w:hAnsi="David" w:cs="David"/>
          <w:sz w:val="24"/>
          <w:szCs w:val="24"/>
        </w:rPr>
        <w:t>I</w:t>
      </w:r>
      <w:r w:rsidRPr="00BF16C9">
        <w:rPr>
          <w:rFonts w:ascii="David" w:hAnsi="David" w:cs="David"/>
          <w:sz w:val="24"/>
          <w:szCs w:val="24"/>
          <w:rtl/>
        </w:rPr>
        <w:t>) הגדרת רצון/הכפייה – בשלב הראשון התלמוד מגדיר רצון באופן רחב, וגם אילוץ למכור (מחמת נסיבות כלכליות/אישיות), נחשב כפגיעה ברצון. בשלב השני, התלמוד מצמצם את הגדרת הרצון לפעולה אינטרסנטית. כפייה היא אפוא פעולה בניגוד לאינטרס של אדם. בשלב השלישי נדרש רצון מוגבל ביותר. ההנחה היא ש"אגב אונסיה גמר ומקנה", כלומר: גם הִתרָצוּת לאחר כפייה – נחשבת לרצון. התלמוד קובע אפוא שבהלכת הפתיחה אין המדובר בכפייה גמורה אלא בהתרצות לאחר כפייה.</w:t>
      </w:r>
    </w:p>
    <w:p w14:paraId="2517C3FF" w14:textId="77777777" w:rsidR="00BF16C9" w:rsidRPr="00BF16C9" w:rsidRDefault="00BF16C9" w:rsidP="00BF16C9">
      <w:pPr>
        <w:spacing w:line="360" w:lineRule="auto"/>
        <w:jc w:val="both"/>
        <w:rPr>
          <w:rFonts w:ascii="David" w:hAnsi="David" w:cs="David"/>
          <w:sz w:val="24"/>
          <w:szCs w:val="24"/>
          <w:rtl/>
        </w:rPr>
      </w:pPr>
    </w:p>
    <w:p w14:paraId="1BC6E096" w14:textId="77777777" w:rsidR="00BF16C9" w:rsidRPr="00BF16C9" w:rsidRDefault="00BF16C9" w:rsidP="00BF16C9">
      <w:pPr>
        <w:spacing w:line="360" w:lineRule="auto"/>
        <w:jc w:val="both"/>
        <w:rPr>
          <w:rFonts w:ascii="David" w:hAnsi="David" w:cs="David"/>
          <w:sz w:val="24"/>
          <w:szCs w:val="24"/>
          <w:rtl/>
        </w:rPr>
      </w:pPr>
      <w:r w:rsidRPr="00BF16C9">
        <w:rPr>
          <w:rFonts w:ascii="David" w:hAnsi="David" w:cs="David"/>
          <w:sz w:val="24"/>
          <w:szCs w:val="24"/>
          <w:rtl/>
        </w:rPr>
        <w:t>6 נק' (</w:t>
      </w:r>
      <w:r w:rsidRPr="00BF16C9">
        <w:rPr>
          <w:rFonts w:ascii="David" w:hAnsi="David" w:cs="David"/>
          <w:sz w:val="24"/>
          <w:szCs w:val="24"/>
        </w:rPr>
        <w:t>II</w:t>
      </w:r>
      <w:r w:rsidRPr="00BF16C9">
        <w:rPr>
          <w:rFonts w:ascii="David" w:hAnsi="David" w:cs="David"/>
          <w:sz w:val="24"/>
          <w:szCs w:val="24"/>
          <w:rtl/>
        </w:rPr>
        <w:t xml:space="preserve">) הדרך השנייה, במחצית השנייה של הסוגייה התלמוד מסייג את מסגרת הכפייה וקובע שגם במצבי-כפייה כשיש מצד המוכר אותות רצון, הרי שהפעולה נחשבת למכר מרצון: כך כשהמכר נעשה בשטר, לדעה אחת, או בכסף, לדעה אחרת. התקנת השטר או קבלת הכסף מחייבת שיתוף פעולה, וממילא רצייה, מצידו של המוכר. התלמוד מציג אותות רצון נוספים: כאשר בין הצדדים דובר על שדה כלשהי ("סתם"), ובפועל נמכרה שדה מסויימת. הבחירה באותה שדה היא ביטוי לרצון המוכר. כיוצא בזה אם השדה נמכר במעות ואלו נמסרו בהדרגה למוכר. ריצוי המעות הוא </w:t>
      </w:r>
      <w:r w:rsidRPr="00BF16C9">
        <w:rPr>
          <w:rFonts w:ascii="David" w:hAnsi="David" w:cs="David"/>
          <w:sz w:val="24"/>
          <w:szCs w:val="24"/>
          <w:rtl/>
        </w:rPr>
        <w:lastRenderedPageBreak/>
        <w:t>אות להתרצותו של המוכר למכור. כיוצא בזה, אם המוכר יכול היה להשתמט מביצוע המכר, ולא השתמט. גם בכך יש הבעת רצון מצד המוכר.</w:t>
      </w:r>
    </w:p>
    <w:p w14:paraId="37A290E4" w14:textId="77777777" w:rsidR="00BF16C9" w:rsidRPr="00BF16C9" w:rsidRDefault="00BF16C9" w:rsidP="00BF16C9">
      <w:pPr>
        <w:spacing w:line="360" w:lineRule="auto"/>
        <w:jc w:val="both"/>
        <w:rPr>
          <w:rFonts w:ascii="David" w:hAnsi="David" w:cs="David"/>
          <w:sz w:val="24"/>
          <w:szCs w:val="24"/>
          <w:rtl/>
        </w:rPr>
      </w:pPr>
    </w:p>
    <w:p w14:paraId="0F4BF95B" w14:textId="77777777" w:rsidR="00BF16C9" w:rsidRPr="00BF16C9" w:rsidRDefault="00BF16C9" w:rsidP="00BF16C9">
      <w:pPr>
        <w:spacing w:line="360" w:lineRule="auto"/>
        <w:jc w:val="both"/>
        <w:rPr>
          <w:rFonts w:ascii="David" w:hAnsi="David" w:cs="David"/>
          <w:sz w:val="24"/>
          <w:szCs w:val="24"/>
          <w:rtl/>
        </w:rPr>
      </w:pPr>
      <w:r w:rsidRPr="00BF16C9">
        <w:rPr>
          <w:rFonts w:ascii="David" w:hAnsi="David" w:cs="David"/>
          <w:sz w:val="24"/>
          <w:szCs w:val="24"/>
          <w:rtl/>
        </w:rPr>
        <w:t xml:space="preserve">2 נק' לשתי הדרכים שבתלמוד מכנה משותף: הן מגבילות את האפשרות למכור בכפייה, בכך שהן דורשות רצון מסויים מצידו של המוכר.   </w:t>
      </w:r>
    </w:p>
    <w:p w14:paraId="377B929F" w14:textId="77777777" w:rsidR="00BF16C9" w:rsidRPr="00BF16C9" w:rsidRDefault="00BF16C9" w:rsidP="00BF16C9">
      <w:pPr>
        <w:spacing w:line="360" w:lineRule="auto"/>
        <w:jc w:val="both"/>
        <w:rPr>
          <w:rFonts w:ascii="David" w:hAnsi="David" w:cs="David"/>
          <w:sz w:val="24"/>
          <w:szCs w:val="24"/>
          <w:rtl/>
        </w:rPr>
      </w:pPr>
      <w:r w:rsidRPr="00BF16C9">
        <w:rPr>
          <w:rFonts w:ascii="David" w:hAnsi="David" w:cs="David"/>
          <w:sz w:val="24"/>
          <w:szCs w:val="24"/>
          <w:rtl/>
        </w:rPr>
        <w:t>6 נק' (2) הלכת "מודעא" – לפי הלכת התלמוד והשולחן ערוך, "מי שאנסוהו עד שמכר ולקח דמי המקח - אם מסר מודעא קודם שימכור, ואמר לשני עדים: דעו שזה שאני מוכר חפץ פלוני או שדה פלוני לפלוני מפני אונס, הרי המכר בטל...".</w:t>
      </w:r>
    </w:p>
    <w:p w14:paraId="663AA679" w14:textId="77777777" w:rsidR="00BF16C9" w:rsidRPr="00BF16C9" w:rsidRDefault="00BF16C9" w:rsidP="00BF16C9">
      <w:pPr>
        <w:spacing w:line="360" w:lineRule="auto"/>
        <w:jc w:val="both"/>
        <w:rPr>
          <w:rFonts w:ascii="David" w:hAnsi="David" w:cs="David"/>
          <w:sz w:val="24"/>
          <w:szCs w:val="24"/>
          <w:rtl/>
        </w:rPr>
      </w:pPr>
      <w:r w:rsidRPr="00BF16C9">
        <w:rPr>
          <w:rFonts w:ascii="David" w:hAnsi="David" w:cs="David"/>
          <w:sz w:val="24"/>
          <w:szCs w:val="24"/>
          <w:rtl/>
        </w:rPr>
        <w:t>לפי הלכה זו, המוכר תחת כפייה יכול להיחלץ מן הכפייה באמצעות הצהרה ("מודעא") על כך שנאנס למכור, וכך יכול לבטל את המכר. קיומה של אפשרות כזו, מביא לידי כך, שאם היה מכר תחת כפייה, והמוכר לא השתמש באופציית המודעא, הוא התרצה לקיים את המכר. כלומר: מכר תחת כפייה, לעולם אינו כפוי לגמרי, אלא יש בו מן הרצון והבחירה.</w:t>
      </w:r>
    </w:p>
    <w:p w14:paraId="419A1A24" w14:textId="77777777" w:rsidR="00BF16C9" w:rsidRPr="00BF16C9" w:rsidRDefault="00BF16C9" w:rsidP="00BF16C9">
      <w:pPr>
        <w:spacing w:line="360" w:lineRule="auto"/>
        <w:jc w:val="both"/>
        <w:rPr>
          <w:rFonts w:ascii="David" w:hAnsi="David" w:cs="David"/>
          <w:sz w:val="24"/>
          <w:szCs w:val="24"/>
          <w:rtl/>
        </w:rPr>
      </w:pPr>
    </w:p>
    <w:p w14:paraId="4FE9B902" w14:textId="77777777" w:rsidR="00BF16C9" w:rsidRPr="00BF16C9" w:rsidRDefault="00BF16C9" w:rsidP="00BF16C9">
      <w:pPr>
        <w:spacing w:line="360" w:lineRule="auto"/>
        <w:jc w:val="both"/>
        <w:rPr>
          <w:rFonts w:ascii="David" w:hAnsi="David" w:cs="David"/>
          <w:sz w:val="24"/>
          <w:szCs w:val="24"/>
          <w:rtl/>
        </w:rPr>
      </w:pPr>
      <w:r w:rsidRPr="00BF16C9">
        <w:rPr>
          <w:rFonts w:ascii="David" w:hAnsi="David" w:cs="David"/>
          <w:sz w:val="24"/>
          <w:szCs w:val="24"/>
          <w:rtl/>
        </w:rPr>
        <w:t>7 נק' ב. ר' שלמה זלמן ליפשיץ דן בשאלה זו בתשובותיו (חמדת שלמה). הוא מסתפק אם דין חוזה כדין מכר, וכשם שמכר כפוי תקף, כך גם חוזה כפוי; או שמא דין חוזה שונה מדין מכר: מכר כפוי תקף, כנ"ל, משום שיש בו אותות רצון בדרכים שונות, והן באות לביטוי תוך כדי המכר או בסמוך לו. לעומת זאת, חוזה הוא עתידי, וההתחייבות אינה כרוכה במעשה קניין. לכן, אין כאן סימני רצון, ומסתבר לפי"ז שהחוזה הכפוי – בטל.</w:t>
      </w:r>
    </w:p>
    <w:p w14:paraId="546B6B13" w14:textId="77777777" w:rsidR="00BF16C9" w:rsidRPr="00BF16C9" w:rsidRDefault="00BF16C9" w:rsidP="00BF16C9">
      <w:pPr>
        <w:spacing w:line="360" w:lineRule="auto"/>
        <w:jc w:val="both"/>
        <w:rPr>
          <w:rFonts w:ascii="David" w:hAnsi="David" w:cs="David"/>
          <w:sz w:val="24"/>
          <w:szCs w:val="24"/>
          <w:rtl/>
        </w:rPr>
      </w:pPr>
    </w:p>
    <w:p w14:paraId="4B072768" w14:textId="77777777" w:rsidR="00BF16C9" w:rsidRPr="00BF16C9" w:rsidRDefault="00BF16C9" w:rsidP="00BF16C9">
      <w:pPr>
        <w:spacing w:line="360" w:lineRule="auto"/>
        <w:jc w:val="both"/>
        <w:rPr>
          <w:rFonts w:ascii="David" w:hAnsi="David" w:cs="David"/>
          <w:sz w:val="24"/>
          <w:szCs w:val="24"/>
          <w:rtl/>
        </w:rPr>
      </w:pPr>
      <w:r w:rsidRPr="00BF16C9">
        <w:rPr>
          <w:rFonts w:ascii="David" w:hAnsi="David" w:cs="David"/>
          <w:sz w:val="24"/>
          <w:szCs w:val="24"/>
          <w:rtl/>
        </w:rPr>
        <w:t>3 נק' במסקנת דבריו מובאים דברי הגהות מימוניות – תלמיד מהר"ם מרוטנבורג (וכך כתב מהר"ם עצמו), שתליוהו וזבין מועיל רק במקום בו הוציא מיד את הממכר מרשותו, מה שאין כן בחוזה, שאינו מוציא עתה הדבר מרשותו אלא בעתיד, ולכן החוזה הכפוי – בטל.</w:t>
      </w:r>
    </w:p>
    <w:p w14:paraId="6C7F8C75" w14:textId="77777777" w:rsidR="00BF16C9" w:rsidRPr="00BF16C9" w:rsidRDefault="00BF16C9" w:rsidP="00BF16C9">
      <w:pPr>
        <w:spacing w:line="360" w:lineRule="auto"/>
        <w:jc w:val="both"/>
        <w:rPr>
          <w:rFonts w:ascii="David" w:hAnsi="David" w:cs="David"/>
          <w:sz w:val="24"/>
          <w:szCs w:val="24"/>
          <w:rtl/>
        </w:rPr>
      </w:pPr>
    </w:p>
    <w:p w14:paraId="20A1CC88" w14:textId="77777777" w:rsidR="00BF16C9" w:rsidRPr="00BF16C9" w:rsidRDefault="00BF16C9" w:rsidP="00BF16C9">
      <w:pPr>
        <w:spacing w:line="360" w:lineRule="auto"/>
        <w:jc w:val="both"/>
        <w:rPr>
          <w:rFonts w:ascii="David" w:hAnsi="David" w:cs="David"/>
          <w:sz w:val="24"/>
          <w:szCs w:val="24"/>
          <w:rtl/>
        </w:rPr>
      </w:pPr>
      <w:r w:rsidRPr="00BF16C9">
        <w:rPr>
          <w:rFonts w:ascii="David" w:hAnsi="David" w:cs="David"/>
          <w:sz w:val="24"/>
          <w:szCs w:val="24"/>
          <w:rtl/>
        </w:rPr>
        <w:t>שאלה מספר 3 (מקסימום – עמ' אחד; 25 נק')</w:t>
      </w:r>
    </w:p>
    <w:p w14:paraId="1DF3456F" w14:textId="77777777" w:rsidR="00BF16C9" w:rsidRPr="00BF16C9" w:rsidRDefault="00BF16C9" w:rsidP="00BF16C9">
      <w:pPr>
        <w:spacing w:line="360" w:lineRule="auto"/>
        <w:jc w:val="both"/>
        <w:rPr>
          <w:rFonts w:ascii="David" w:hAnsi="David" w:cs="David"/>
          <w:sz w:val="24"/>
          <w:szCs w:val="24"/>
          <w:rtl/>
        </w:rPr>
      </w:pPr>
      <w:r w:rsidRPr="00BF16C9">
        <w:rPr>
          <w:rFonts w:ascii="David" w:hAnsi="David" w:cs="David"/>
          <w:sz w:val="24"/>
          <w:szCs w:val="24"/>
          <w:rtl/>
        </w:rPr>
        <w:t>די בשלש גישות בלבד – לכל גישה 8 נק'. להוסיף נק' נוספת בשאלה זו בכל מקרה (למניין 25 הנק') (1) הרא"ש: תופעת התנאי עצמה אינה רציונאלית. התנאי מונע את תחולתה של התוצאה המשפטית, על אף שנעשתה הפעולה המשפטית המביאה לידי תוצאה זו. הדרישות הצורניות נועדו להגביל את תופעת התנאי, כדי לצמצם ככל שניתן את התופעה האירציונאלית, ובכך להגביר את הרציונאליות.</w:t>
      </w:r>
    </w:p>
    <w:p w14:paraId="287D5DAE" w14:textId="77777777" w:rsidR="00BF16C9" w:rsidRPr="00BF16C9" w:rsidRDefault="00BF16C9" w:rsidP="00BF16C9">
      <w:pPr>
        <w:spacing w:line="360" w:lineRule="auto"/>
        <w:jc w:val="both"/>
        <w:rPr>
          <w:rFonts w:ascii="David" w:hAnsi="David" w:cs="David"/>
          <w:sz w:val="24"/>
          <w:szCs w:val="24"/>
          <w:rtl/>
        </w:rPr>
      </w:pPr>
      <w:r w:rsidRPr="00BF16C9">
        <w:rPr>
          <w:rFonts w:ascii="David" w:hAnsi="David" w:cs="David"/>
          <w:sz w:val="24"/>
          <w:szCs w:val="24"/>
          <w:rtl/>
        </w:rPr>
        <w:t>(2) ר' שמעון שקופ: בדומה לרא"ש (למרות שמדובר בגישה דומה לרא"ש, ניתן לקבל זאת כגישה נוספת). חוקי התורה הם כמשפט טבע. כשם שבטבע, אין בכוחו של תנאי להגביל תופעה טבעית, כך גם בתורה תנאי אינו יכול להגביל פעולה משפטית, אלא אם הוא נעשה לפי חוקי התורה עצמם, דהיינו, לפי תנאי בני גד ובני ראובן.</w:t>
      </w:r>
    </w:p>
    <w:p w14:paraId="38BFBF2A" w14:textId="77777777" w:rsidR="00BF16C9" w:rsidRPr="00BF16C9" w:rsidRDefault="00BF16C9" w:rsidP="00BF16C9">
      <w:pPr>
        <w:spacing w:line="360" w:lineRule="auto"/>
        <w:jc w:val="both"/>
        <w:rPr>
          <w:rFonts w:ascii="David" w:hAnsi="David" w:cs="David"/>
          <w:sz w:val="24"/>
          <w:szCs w:val="24"/>
          <w:rtl/>
        </w:rPr>
      </w:pPr>
      <w:r w:rsidRPr="00BF16C9">
        <w:rPr>
          <w:rFonts w:ascii="David" w:hAnsi="David" w:cs="David"/>
          <w:sz w:val="24"/>
          <w:szCs w:val="24"/>
          <w:rtl/>
        </w:rPr>
        <w:t>(3) בעלי התוספות: כאשר כוונת הצדדים ברורה, אין צורך בהקפדה על תנאי בני גד ובני ראובן, ואף אין צורך בדיבור מפורש. כך באומדנא דמוכח, כשכוונת הצדדים היא ברורה. כך גם כשהכוונה ברורה פחות, ונדרש גילוי מילתא כדי לברר את הכוונה. מכל מקום, גם בנסיבות כאלו, אין צורך בתנאי בני גד ובני ראובן. הצורך בדרישות הצורניות הוא במצבים בהם יש עמימות וכוונת הצדדים אינה ברורה. במצבים אלה, כדי שהכוונה תהיה מפורשת וברורה,נדרשת הבהרה חד-משמעית, וזו נעשית באמצעות תנאי כפול ושאר דרישות תנאי בני גד ובני ראובן.</w:t>
      </w:r>
    </w:p>
    <w:p w14:paraId="445371BF" w14:textId="77777777" w:rsidR="00BF16C9" w:rsidRPr="00BF16C9" w:rsidRDefault="00BF16C9" w:rsidP="00BF16C9">
      <w:pPr>
        <w:spacing w:line="360" w:lineRule="auto"/>
        <w:jc w:val="both"/>
        <w:rPr>
          <w:rFonts w:ascii="David" w:hAnsi="David" w:cs="David"/>
          <w:sz w:val="24"/>
          <w:szCs w:val="24"/>
          <w:rtl/>
        </w:rPr>
      </w:pPr>
      <w:r w:rsidRPr="00BF16C9">
        <w:rPr>
          <w:rFonts w:ascii="David" w:hAnsi="David" w:cs="David"/>
          <w:sz w:val="24"/>
          <w:szCs w:val="24"/>
          <w:rtl/>
        </w:rPr>
        <w:lastRenderedPageBreak/>
        <w:t>(4) ראב"ד (בתשובותיו): תפקידו של התנאי הוא לבלום את הפעולה המשפטית. לולא התנאי היתה הפעולה אמורה לחול מיידית, אולם התנאי משהה את הפעולה ומונע את תחולתה. מנגנון השהיה או בלימה כזה, זקוק לכוח כנגד הפעולה, וכח זה בא לו מתנאי בני גד ובני ראובן: התנאי הכפול מדגיש ומעצים את התנאי, כנגד הפעולה המשפטית. כך גם הדרישות לפיהן התנאי קודם למעשה, וההן קודם ללאו. גם דרישות אלו מחזקות את התנאי כך שיוכל לעמוד כנגד המעשה.</w:t>
      </w:r>
    </w:p>
    <w:p w14:paraId="23A712B0" w14:textId="75149B60" w:rsidR="00BF16C9" w:rsidRPr="00BF16C9" w:rsidRDefault="00BF16C9" w:rsidP="00BF16C9">
      <w:pPr>
        <w:spacing w:line="360" w:lineRule="auto"/>
        <w:jc w:val="both"/>
        <w:rPr>
          <w:rFonts w:ascii="David" w:hAnsi="David" w:cs="David"/>
          <w:sz w:val="24"/>
          <w:szCs w:val="24"/>
        </w:rPr>
      </w:pPr>
      <w:r w:rsidRPr="00BF16C9">
        <w:rPr>
          <w:rFonts w:ascii="David" w:hAnsi="David" w:cs="David"/>
          <w:sz w:val="24"/>
          <w:szCs w:val="24"/>
          <w:rtl/>
        </w:rPr>
        <w:t>(5) ראב"ד (בהשגותיו לרמב"ם): יש להגביל את תחולת בני גד ובני ראובן לתחום של גיטין וקידושין בלבד, עפ"י הרציונאל הבא: בדיני ממונות הכל הולך אחר רצונו של אדם, ולכן אין להכשיל או להגביל את כוונתו של אדם, באמצעות דרישות צורניות נוקשות. לעומת זאת, בתחום גיטין וקידושין אדם פועל באופן רגשי, מתוך קירוב דעת וריחוק דעת. לכן, יש צורך בדרישות צורניות, על מנת לרסן את האדם, ולהבטיח שיבואו לביטוי כוונתו ורצונותיו האמיתיים.</w:t>
      </w:r>
    </w:p>
    <w:sectPr w:rsidR="00BF16C9" w:rsidRPr="00BF16C9" w:rsidSect="0051500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Guttman Keren">
    <w:altName w:val="Arial"/>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Aharoni">
    <w:panose1 w:val="02010803020104030203"/>
    <w:charset w:val="00"/>
    <w:family w:val="auto"/>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5CA"/>
    <w:rsid w:val="000045CA"/>
    <w:rsid w:val="001B6847"/>
    <w:rsid w:val="0050563F"/>
    <w:rsid w:val="00515008"/>
    <w:rsid w:val="00537D67"/>
    <w:rsid w:val="00BF16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57B25"/>
  <w15:docId w15:val="{C282C138-C56C-40FE-A238-3779C434D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45CA"/>
    <w:pPr>
      <w:bidi/>
      <w:spacing w:after="0" w:line="240" w:lineRule="auto"/>
    </w:pPr>
    <w:rPr>
      <w:rFonts w:ascii="Times New Roman" w:eastAsia="Times New Roman" w:hAnsi="Times New Roman" w:cs="Miriam"/>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B6847"/>
    <w:pPr>
      <w:spacing w:line="360" w:lineRule="auto"/>
      <w:jc w:val="both"/>
    </w:pPr>
    <w:rPr>
      <w:rFonts w:cs="Narkisim"/>
      <w:szCs w:val="22"/>
    </w:rPr>
  </w:style>
  <w:style w:type="character" w:customStyle="1" w:styleId="a4">
    <w:name w:val="גוף טקסט תו"/>
    <w:basedOn w:val="a0"/>
    <w:link w:val="a3"/>
    <w:rsid w:val="001B6847"/>
    <w:rPr>
      <w:rFonts w:ascii="Times New Roman" w:eastAsia="Times New Roman" w:hAnsi="Times New Roman" w:cs="Narkisim"/>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2846</Words>
  <Characters>14230</Characters>
  <Application>Microsoft Office Word</Application>
  <DocSecurity>0</DocSecurity>
  <Lines>118</Lines>
  <Paragraphs>34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yitzhak</dc:creator>
  <cp:lastModifiedBy>שחר יונה</cp:lastModifiedBy>
  <cp:revision>3</cp:revision>
  <dcterms:created xsi:type="dcterms:W3CDTF">2021-01-28T14:09:00Z</dcterms:created>
  <dcterms:modified xsi:type="dcterms:W3CDTF">2021-01-28T20:08:00Z</dcterms:modified>
</cp:coreProperties>
</file>