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3B0" w:rsidRPr="00750246" w:rsidRDefault="00750246" w:rsidP="0040111B">
      <w:pPr>
        <w:rPr>
          <w:rFonts w:cs="David"/>
          <w:b/>
          <w:bCs/>
          <w:sz w:val="28"/>
          <w:szCs w:val="28"/>
          <w:rtl/>
        </w:rPr>
      </w:pPr>
      <w:bookmarkStart w:id="0" w:name="_GoBack"/>
      <w:bookmarkEnd w:id="0"/>
      <w:r>
        <w:rPr>
          <w:rFonts w:cs="David" w:hint="cs"/>
          <w:sz w:val="24"/>
          <w:szCs w:val="24"/>
          <w:rtl/>
        </w:rPr>
        <w:t xml:space="preserve">בס"ד </w:t>
      </w:r>
      <w:r>
        <w:rPr>
          <w:rFonts w:cs="David" w:hint="cs"/>
          <w:sz w:val="24"/>
          <w:szCs w:val="24"/>
          <w:rtl/>
        </w:rPr>
        <w:tab/>
        <w:t xml:space="preserve">          </w:t>
      </w:r>
      <w:r w:rsidR="00030464">
        <w:rPr>
          <w:rFonts w:cs="David" w:hint="cs"/>
          <w:sz w:val="24"/>
          <w:szCs w:val="24"/>
          <w:rtl/>
        </w:rPr>
        <w:t xml:space="preserve">  </w:t>
      </w:r>
      <w:r w:rsidR="0046304A" w:rsidRPr="00750246">
        <w:rPr>
          <w:rFonts w:cs="David" w:hint="cs"/>
          <w:b/>
          <w:bCs/>
          <w:sz w:val="28"/>
          <w:szCs w:val="28"/>
          <w:rtl/>
        </w:rPr>
        <w:t>"אפילו אומר ל</w:t>
      </w:r>
      <w:r w:rsidR="00030464" w:rsidRPr="00750246">
        <w:rPr>
          <w:rFonts w:cs="David" w:hint="cs"/>
          <w:b/>
          <w:bCs/>
          <w:sz w:val="28"/>
          <w:szCs w:val="28"/>
          <w:rtl/>
        </w:rPr>
        <w:t xml:space="preserve">ך על ימין שהוא שמאל"/ יעקב </w:t>
      </w:r>
      <w:proofErr w:type="spellStart"/>
      <w:r w:rsidR="00030464" w:rsidRPr="00750246">
        <w:rPr>
          <w:rFonts w:cs="David" w:hint="cs"/>
          <w:b/>
          <w:bCs/>
          <w:sz w:val="28"/>
          <w:szCs w:val="28"/>
          <w:rtl/>
        </w:rPr>
        <w:t>בלידשטיין</w:t>
      </w:r>
      <w:proofErr w:type="spellEnd"/>
    </w:p>
    <w:p w:rsidR="00030464" w:rsidRDefault="00030464">
      <w:pPr>
        <w:rPr>
          <w:rFonts w:cs="David"/>
          <w:sz w:val="24"/>
          <w:szCs w:val="24"/>
          <w:rtl/>
        </w:rPr>
      </w:pPr>
      <w:r>
        <w:rPr>
          <w:rFonts w:cs="David" w:hint="cs"/>
          <w:sz w:val="24"/>
          <w:szCs w:val="24"/>
          <w:rtl/>
        </w:rPr>
        <w:tab/>
      </w:r>
      <w:r>
        <w:rPr>
          <w:rFonts w:cs="David" w:hint="cs"/>
          <w:sz w:val="24"/>
          <w:szCs w:val="24"/>
          <w:rtl/>
        </w:rPr>
        <w:tab/>
      </w:r>
      <w:r>
        <w:rPr>
          <w:rFonts w:cs="David" w:hint="cs"/>
          <w:sz w:val="24"/>
          <w:szCs w:val="24"/>
          <w:rtl/>
        </w:rPr>
        <w:tab/>
      </w:r>
      <w:r>
        <w:rPr>
          <w:rFonts w:cs="David" w:hint="cs"/>
          <w:sz w:val="24"/>
          <w:szCs w:val="24"/>
          <w:rtl/>
        </w:rPr>
        <w:tab/>
      </w:r>
      <w:r>
        <w:rPr>
          <w:rFonts w:cs="David" w:hint="cs"/>
          <w:sz w:val="24"/>
          <w:szCs w:val="24"/>
          <w:rtl/>
        </w:rPr>
        <w:tab/>
        <w:t>אבי דל</w:t>
      </w:r>
    </w:p>
    <w:p w:rsidR="0046304A" w:rsidRDefault="0046304A" w:rsidP="0046304A">
      <w:pPr>
        <w:rPr>
          <w:rFonts w:cs="David"/>
          <w:sz w:val="24"/>
          <w:szCs w:val="24"/>
          <w:rtl/>
        </w:rPr>
      </w:pPr>
      <w:r>
        <w:rPr>
          <w:rFonts w:cs="David" w:hint="cs"/>
          <w:sz w:val="24"/>
          <w:szCs w:val="24"/>
          <w:rtl/>
        </w:rPr>
        <w:t>המאמר עוסק בשאלה: "</w:t>
      </w:r>
      <w:r w:rsidRPr="0040111B">
        <w:rPr>
          <w:rFonts w:cs="David" w:hint="cs"/>
          <w:b/>
          <w:bCs/>
          <w:sz w:val="24"/>
          <w:szCs w:val="24"/>
          <w:rtl/>
        </w:rPr>
        <w:t>האם ההלכה מניחה נורמה של ציות מוחלט להוראת מוסדותיה?"</w:t>
      </w:r>
    </w:p>
    <w:p w:rsidR="0046304A" w:rsidRDefault="0046304A" w:rsidP="0046304A">
      <w:pPr>
        <w:pStyle w:val="a3"/>
        <w:numPr>
          <w:ilvl w:val="0"/>
          <w:numId w:val="1"/>
        </w:numPr>
        <w:rPr>
          <w:rFonts w:cs="David"/>
          <w:sz w:val="24"/>
          <w:szCs w:val="24"/>
        </w:rPr>
      </w:pPr>
      <w:r w:rsidRPr="003069F5">
        <w:rPr>
          <w:rFonts w:cs="David" w:hint="cs"/>
          <w:sz w:val="24"/>
          <w:szCs w:val="24"/>
          <w:u w:val="single"/>
          <w:rtl/>
        </w:rPr>
        <w:t>שיטת הרמב"ן:</w:t>
      </w:r>
      <w:r>
        <w:rPr>
          <w:rFonts w:cs="David" w:hint="cs"/>
          <w:sz w:val="24"/>
          <w:szCs w:val="24"/>
          <w:rtl/>
        </w:rPr>
        <w:t xml:space="preserve"> הרמב"ן אינו מציב הגבלות לחובה להישמע לבי"ד ולפי שיטתו יש להישמע להוראת בי"ד </w:t>
      </w:r>
      <w:r w:rsidRPr="0040111B">
        <w:rPr>
          <w:rFonts w:cs="David" w:hint="cs"/>
          <w:sz w:val="24"/>
          <w:szCs w:val="24"/>
          <w:u w:val="single"/>
          <w:rtl/>
        </w:rPr>
        <w:t>ללא סייג ובכול תחום</w:t>
      </w:r>
      <w:r>
        <w:rPr>
          <w:rFonts w:cs="David" w:hint="cs"/>
          <w:sz w:val="24"/>
          <w:szCs w:val="24"/>
          <w:rtl/>
        </w:rPr>
        <w:t xml:space="preserve">. הנימוק המרכזי שלו הוא שאם כל אחד היה קובע את ההלכה לפי ראות עיניו היינו מגיעים למצב של אנרכיה. זה נימוק דתי-חברתי. אם בי"ד טעו, קיימת חובה על הפרט לשמוע לדעתם אפילו אם לדעתו המעשה שהוא עומד לעשות אסור. יש בהוראת בי"ד כוח "להכשיר" את המעשה. </w:t>
      </w:r>
      <w:r w:rsidRPr="0040111B">
        <w:rPr>
          <w:rFonts w:cs="David" w:hint="cs"/>
          <w:sz w:val="24"/>
          <w:szCs w:val="24"/>
          <w:u w:val="single"/>
          <w:rtl/>
        </w:rPr>
        <w:t>הפרט נדרש לוותר על דעתו האישית למען הכלל</w:t>
      </w:r>
      <w:r>
        <w:rPr>
          <w:rFonts w:cs="David" w:hint="cs"/>
          <w:sz w:val="24"/>
          <w:szCs w:val="24"/>
          <w:rtl/>
        </w:rPr>
        <w:t xml:space="preserve">. יש אסכולת חכמים שהסכימו עם הרמב"ן כמו </w:t>
      </w:r>
      <w:proofErr w:type="spellStart"/>
      <w:r>
        <w:rPr>
          <w:rFonts w:cs="David" w:hint="cs"/>
          <w:sz w:val="24"/>
          <w:szCs w:val="24"/>
          <w:rtl/>
        </w:rPr>
        <w:t>הר"ן</w:t>
      </w:r>
      <w:proofErr w:type="spellEnd"/>
      <w:r>
        <w:rPr>
          <w:rFonts w:cs="David" w:hint="cs"/>
          <w:sz w:val="24"/>
          <w:szCs w:val="24"/>
          <w:rtl/>
        </w:rPr>
        <w:t xml:space="preserve"> ו"ספר החינוך".</w:t>
      </w:r>
    </w:p>
    <w:p w:rsidR="0046304A" w:rsidRDefault="003069F5" w:rsidP="003069F5">
      <w:pPr>
        <w:pStyle w:val="a3"/>
        <w:rPr>
          <w:rFonts w:cs="David"/>
          <w:sz w:val="24"/>
          <w:szCs w:val="24"/>
        </w:rPr>
      </w:pPr>
      <w:r>
        <w:rPr>
          <w:rFonts w:cs="David" w:hint="cs"/>
          <w:sz w:val="24"/>
          <w:szCs w:val="24"/>
          <w:rtl/>
        </w:rPr>
        <w:t xml:space="preserve">הערה: </w:t>
      </w:r>
      <w:r w:rsidR="0046304A">
        <w:rPr>
          <w:rFonts w:cs="David" w:hint="cs"/>
          <w:sz w:val="24"/>
          <w:szCs w:val="24"/>
          <w:rtl/>
        </w:rPr>
        <w:t>שיטת המהר"ל:</w:t>
      </w:r>
      <w:r>
        <w:rPr>
          <w:rFonts w:cs="David" w:hint="cs"/>
          <w:sz w:val="24"/>
          <w:szCs w:val="24"/>
          <w:rtl/>
        </w:rPr>
        <w:t xml:space="preserve"> שיטה זו </w:t>
      </w:r>
      <w:r w:rsidRPr="0040111B">
        <w:rPr>
          <w:rFonts w:cs="David" w:hint="cs"/>
          <w:sz w:val="24"/>
          <w:szCs w:val="24"/>
          <w:u w:val="single"/>
          <w:rtl/>
        </w:rPr>
        <w:t>דומה במסקנתה</w:t>
      </w:r>
      <w:r>
        <w:rPr>
          <w:rFonts w:cs="David" w:hint="cs"/>
          <w:sz w:val="24"/>
          <w:szCs w:val="24"/>
          <w:rtl/>
        </w:rPr>
        <w:t xml:space="preserve"> לשיטת הרמב"ן.</w:t>
      </w:r>
      <w:r w:rsidR="0046304A">
        <w:rPr>
          <w:rFonts w:cs="David" w:hint="cs"/>
          <w:sz w:val="24"/>
          <w:szCs w:val="24"/>
          <w:rtl/>
        </w:rPr>
        <w:t xml:space="preserve"> לפי המהר"ל אמנם יש לשמוע לפסיקות בי"ד הגדול בכל תחום אבל הדבר לא נובע ממניעים של טובת הכלל אלא מטעמים פרטיים.</w:t>
      </w:r>
      <w:r w:rsidR="00C42DB3">
        <w:rPr>
          <w:rFonts w:cs="David" w:hint="cs"/>
          <w:sz w:val="24"/>
          <w:szCs w:val="24"/>
          <w:rtl/>
        </w:rPr>
        <w:t xml:space="preserve"> לפי שיטת המהר"ל </w:t>
      </w:r>
      <w:r w:rsidR="00C42DB3" w:rsidRPr="0040111B">
        <w:rPr>
          <w:rFonts w:cs="David" w:hint="cs"/>
          <w:sz w:val="24"/>
          <w:szCs w:val="24"/>
          <w:u w:val="single"/>
          <w:rtl/>
        </w:rPr>
        <w:t>המוסר לא נקבע ע"י האדם הפרטי אלא ע"י "צו מגבוה"</w:t>
      </w:r>
      <w:r w:rsidR="00C42DB3">
        <w:rPr>
          <w:rFonts w:cs="David" w:hint="cs"/>
          <w:sz w:val="24"/>
          <w:szCs w:val="24"/>
          <w:rtl/>
        </w:rPr>
        <w:t xml:space="preserve">. </w:t>
      </w:r>
      <w:r w:rsidR="00C42DB3" w:rsidRPr="0040111B">
        <w:rPr>
          <w:rFonts w:cs="David" w:hint="cs"/>
          <w:sz w:val="24"/>
          <w:szCs w:val="24"/>
          <w:u w:val="single"/>
          <w:rtl/>
        </w:rPr>
        <w:t>ואותו "צו" קבע שיש לשמוע לדברי חכמים גם כאשר הפרט סבור שהם טעו</w:t>
      </w:r>
      <w:r w:rsidR="00C42DB3">
        <w:rPr>
          <w:rFonts w:cs="David" w:hint="cs"/>
          <w:sz w:val="24"/>
          <w:szCs w:val="24"/>
          <w:rtl/>
        </w:rPr>
        <w:t>. "מותר" ו"אסור" הם מושגים שנקבעו ע"י הקב"ה "נותן הנורמות" והוא גם זה שקבע שבסתיר</w:t>
      </w:r>
      <w:r>
        <w:rPr>
          <w:rFonts w:cs="David" w:hint="cs"/>
          <w:sz w:val="24"/>
          <w:szCs w:val="24"/>
          <w:rtl/>
        </w:rPr>
        <w:t>ה בין הסמכות ההלכתית של בי"ד לבין המוסר הפנימי של האדם- בי"ד גובר. המהר"ל מסביר את המקרה אחרת מהרמב"ן. לשיטתו אין מדובר בסתירה בין פסיקת בי"ד להלכה אלא בסתירה בין שתי פסיקות של בית הדין הגדול ורק במצב כזה- הפסיקה האחרונה מחייבת. סמכויות "בנות זמננו" דוחות סמכויות קודמות.</w:t>
      </w:r>
    </w:p>
    <w:p w:rsidR="003069F5" w:rsidRDefault="003069F5" w:rsidP="0040111B">
      <w:pPr>
        <w:pStyle w:val="a3"/>
        <w:numPr>
          <w:ilvl w:val="0"/>
          <w:numId w:val="1"/>
        </w:numPr>
        <w:rPr>
          <w:rFonts w:cs="David"/>
          <w:sz w:val="24"/>
          <w:szCs w:val="24"/>
        </w:rPr>
      </w:pPr>
      <w:r w:rsidRPr="003069F5">
        <w:rPr>
          <w:rFonts w:cs="David" w:hint="cs"/>
          <w:sz w:val="24"/>
          <w:szCs w:val="24"/>
          <w:u w:val="single"/>
          <w:rtl/>
        </w:rPr>
        <w:t xml:space="preserve">שיטת </w:t>
      </w:r>
      <w:proofErr w:type="spellStart"/>
      <w:r w:rsidRPr="00855C73">
        <w:rPr>
          <w:rFonts w:cs="David" w:hint="cs"/>
          <w:b/>
          <w:bCs/>
          <w:sz w:val="24"/>
          <w:szCs w:val="24"/>
          <w:u w:val="single"/>
          <w:rtl/>
        </w:rPr>
        <w:t>ריב</w:t>
      </w:r>
      <w:r w:rsidRPr="003069F5">
        <w:rPr>
          <w:rFonts w:cs="David" w:hint="cs"/>
          <w:sz w:val="24"/>
          <w:szCs w:val="24"/>
          <w:u w:val="single"/>
          <w:rtl/>
        </w:rPr>
        <w:t>"</w:t>
      </w:r>
      <w:r w:rsidRPr="00855C73">
        <w:rPr>
          <w:rFonts w:cs="David" w:hint="cs"/>
          <w:b/>
          <w:bCs/>
          <w:sz w:val="24"/>
          <w:szCs w:val="24"/>
          <w:u w:val="single"/>
          <w:rtl/>
        </w:rPr>
        <w:t>א</w:t>
      </w:r>
      <w:proofErr w:type="spellEnd"/>
      <w:r w:rsidRPr="003069F5">
        <w:rPr>
          <w:rFonts w:cs="David" w:hint="cs"/>
          <w:sz w:val="24"/>
          <w:szCs w:val="24"/>
          <w:u w:val="single"/>
          <w:rtl/>
        </w:rPr>
        <w:t xml:space="preserve"> (ר' יהודה בן ר' אליעזר)</w:t>
      </w:r>
      <w:r>
        <w:rPr>
          <w:rFonts w:cs="David" w:hint="cs"/>
          <w:sz w:val="24"/>
          <w:szCs w:val="24"/>
          <w:rtl/>
        </w:rPr>
        <w:t xml:space="preserve">: שיטה זו שונה. </w:t>
      </w:r>
      <w:proofErr w:type="spellStart"/>
      <w:r>
        <w:rPr>
          <w:rFonts w:cs="David" w:hint="cs"/>
          <w:sz w:val="24"/>
          <w:szCs w:val="24"/>
          <w:rtl/>
        </w:rPr>
        <w:t>ריב"א</w:t>
      </w:r>
      <w:proofErr w:type="spellEnd"/>
      <w:r>
        <w:rPr>
          <w:rFonts w:cs="David" w:hint="cs"/>
          <w:sz w:val="24"/>
          <w:szCs w:val="24"/>
          <w:rtl/>
        </w:rPr>
        <w:t xml:space="preserve"> מחלק את סוגי הפסיקות לשניים. הסוג הראשון הוא פסיקה שמבוססת על פירוש המקורות. במצב כזה הפרט לא מכפיף את דעתו לבי"ד הגדול </w:t>
      </w:r>
      <w:r w:rsidRPr="0040111B">
        <w:rPr>
          <w:rFonts w:cs="David" w:hint="cs"/>
          <w:sz w:val="24"/>
          <w:szCs w:val="24"/>
          <w:u w:val="single"/>
          <w:rtl/>
        </w:rPr>
        <w:t>ורשאי לחלוק עליו בפירוש המקורות</w:t>
      </w:r>
      <w:r>
        <w:rPr>
          <w:rFonts w:cs="David" w:hint="cs"/>
          <w:sz w:val="24"/>
          <w:szCs w:val="24"/>
          <w:rtl/>
        </w:rPr>
        <w:t xml:space="preserve">. הסוג השני הוא פסיקה של בי"ד </w:t>
      </w:r>
      <w:r w:rsidRPr="00855C73">
        <w:rPr>
          <w:rFonts w:cs="David" w:hint="cs"/>
          <w:sz w:val="24"/>
          <w:szCs w:val="24"/>
          <w:highlight w:val="yellow"/>
          <w:rtl/>
        </w:rPr>
        <w:t>בדמות של גזירות ותקנות</w:t>
      </w:r>
      <w:r>
        <w:rPr>
          <w:rFonts w:cs="David" w:hint="cs"/>
          <w:sz w:val="24"/>
          <w:szCs w:val="24"/>
          <w:rtl/>
        </w:rPr>
        <w:t xml:space="preserve">. בתקנו תקנות בי"ד משתמש בסמכות שמוקנית לו באופן אוטומטי </w:t>
      </w:r>
      <w:r w:rsidRPr="0040111B">
        <w:rPr>
          <w:rFonts w:cs="David" w:hint="cs"/>
          <w:sz w:val="24"/>
          <w:szCs w:val="24"/>
          <w:u w:val="single"/>
          <w:rtl/>
        </w:rPr>
        <w:t>ואין הפרט רשאי לחלוק על</w:t>
      </w:r>
      <w:r w:rsidR="0040111B" w:rsidRPr="0040111B">
        <w:rPr>
          <w:rFonts w:cs="David" w:hint="cs"/>
          <w:sz w:val="24"/>
          <w:szCs w:val="24"/>
          <w:u w:val="single"/>
          <w:rtl/>
        </w:rPr>
        <w:t xml:space="preserve"> תקנותיו</w:t>
      </w:r>
      <w:r>
        <w:rPr>
          <w:rFonts w:cs="David" w:hint="cs"/>
          <w:sz w:val="24"/>
          <w:szCs w:val="24"/>
          <w:rtl/>
        </w:rPr>
        <w:t>. במקרה הראשון בי"ד לא מקבל סמכות לפרש את המקורות אלא "קונה" אותה באמצעות פניות של הציבור אליו. על פרשנות של המקורות אפשר לחלוק. במקרה השני הסמכות נתונה לבי"ד ואין איש רשאי לחלוק על תקנותיו. המדרש "אפי' יאמרו לך וכו'" עוסק בסוג השני.</w:t>
      </w:r>
      <w:r w:rsidR="001E59BA">
        <w:rPr>
          <w:rFonts w:cs="David" w:hint="cs"/>
          <w:sz w:val="24"/>
          <w:szCs w:val="24"/>
          <w:rtl/>
        </w:rPr>
        <w:t xml:space="preserve"> ישנם חכמים רבים שהסכימו עם שיטת </w:t>
      </w:r>
      <w:proofErr w:type="spellStart"/>
      <w:r w:rsidR="001E59BA">
        <w:rPr>
          <w:rFonts w:cs="David" w:hint="cs"/>
          <w:sz w:val="24"/>
          <w:szCs w:val="24"/>
          <w:rtl/>
        </w:rPr>
        <w:t>ריב"א</w:t>
      </w:r>
      <w:proofErr w:type="spellEnd"/>
      <w:r w:rsidR="001E59BA">
        <w:rPr>
          <w:rFonts w:cs="David" w:hint="cs"/>
          <w:sz w:val="24"/>
          <w:szCs w:val="24"/>
          <w:rtl/>
        </w:rPr>
        <w:t>.</w:t>
      </w:r>
    </w:p>
    <w:p w:rsidR="001E59BA" w:rsidRDefault="001E59BA" w:rsidP="0040111B">
      <w:pPr>
        <w:ind w:left="360"/>
        <w:rPr>
          <w:rFonts w:cs="David"/>
          <w:sz w:val="24"/>
          <w:szCs w:val="24"/>
          <w:rtl/>
        </w:rPr>
      </w:pPr>
      <w:r>
        <w:rPr>
          <w:rFonts w:cs="David" w:hint="cs"/>
          <w:sz w:val="24"/>
          <w:szCs w:val="24"/>
          <w:rtl/>
        </w:rPr>
        <w:t>אלא</w:t>
      </w:r>
      <w:r w:rsidR="0040111B">
        <w:rPr>
          <w:rFonts w:cs="David" w:hint="cs"/>
          <w:sz w:val="24"/>
          <w:szCs w:val="24"/>
          <w:rtl/>
        </w:rPr>
        <w:t xml:space="preserve"> שבנושא זה </w:t>
      </w:r>
      <w:r>
        <w:rPr>
          <w:rFonts w:cs="David" w:hint="cs"/>
          <w:sz w:val="24"/>
          <w:szCs w:val="24"/>
          <w:rtl/>
        </w:rPr>
        <w:t xml:space="preserve">יש </w:t>
      </w:r>
      <w:r w:rsidRPr="0040111B">
        <w:rPr>
          <w:rFonts w:cs="David" w:hint="cs"/>
          <w:b/>
          <w:bCs/>
          <w:sz w:val="24"/>
          <w:szCs w:val="24"/>
          <w:rtl/>
        </w:rPr>
        <w:t>סתירה בין הספרי לתלמוד הירושלמי</w:t>
      </w:r>
      <w:r>
        <w:rPr>
          <w:rFonts w:cs="David" w:hint="cs"/>
          <w:sz w:val="24"/>
          <w:szCs w:val="24"/>
          <w:rtl/>
        </w:rPr>
        <w:t>. במסכת הוריות</w:t>
      </w:r>
      <w:r w:rsidR="00777058">
        <w:rPr>
          <w:rFonts w:cs="David" w:hint="cs"/>
          <w:sz w:val="24"/>
          <w:szCs w:val="24"/>
          <w:rtl/>
        </w:rPr>
        <w:t xml:space="preserve"> (בירושלמי)</w:t>
      </w:r>
      <w:r>
        <w:rPr>
          <w:rFonts w:cs="David" w:hint="cs"/>
          <w:sz w:val="24"/>
          <w:szCs w:val="24"/>
          <w:rtl/>
        </w:rPr>
        <w:t xml:space="preserve"> נפסק בבירור שאם אדם יודע בוודאות שבי"ד טועה אסור לו למלא אחר הוראותיו</w:t>
      </w:r>
      <w:r w:rsidR="00777058">
        <w:rPr>
          <w:rFonts w:cs="David" w:hint="cs"/>
          <w:sz w:val="24"/>
          <w:szCs w:val="24"/>
          <w:rtl/>
        </w:rPr>
        <w:t>. הפוסקים נקטו גישות שונות ביישוב הפסיקה:</w:t>
      </w:r>
    </w:p>
    <w:p w:rsidR="00777058" w:rsidRDefault="00674481" w:rsidP="00674481">
      <w:pPr>
        <w:pStyle w:val="a3"/>
        <w:numPr>
          <w:ilvl w:val="0"/>
          <w:numId w:val="2"/>
        </w:numPr>
        <w:rPr>
          <w:rFonts w:cs="David"/>
          <w:sz w:val="24"/>
          <w:szCs w:val="24"/>
        </w:rPr>
      </w:pPr>
      <w:r w:rsidRPr="0040111B">
        <w:rPr>
          <w:rFonts w:cs="David" w:hint="cs"/>
          <w:sz w:val="24"/>
          <w:szCs w:val="24"/>
          <w:u w:val="single"/>
          <w:rtl/>
        </w:rPr>
        <w:t>תירוץ הרמב"ן</w:t>
      </w:r>
      <w:r>
        <w:rPr>
          <w:rFonts w:cs="David" w:hint="cs"/>
          <w:sz w:val="24"/>
          <w:szCs w:val="24"/>
          <w:rtl/>
        </w:rPr>
        <w:t xml:space="preserve">: בהתאמה עם שיטתו, </w:t>
      </w:r>
      <w:r w:rsidR="00777058">
        <w:rPr>
          <w:rFonts w:cs="David" w:hint="cs"/>
          <w:sz w:val="24"/>
          <w:szCs w:val="24"/>
          <w:rtl/>
        </w:rPr>
        <w:t xml:space="preserve">הרמב"ן מכריע לטובת הספרי. הוא טוען שניתן ליישם את </w:t>
      </w:r>
      <w:r w:rsidR="00777058" w:rsidRPr="0040111B">
        <w:rPr>
          <w:rFonts w:cs="David" w:hint="cs"/>
          <w:sz w:val="24"/>
          <w:szCs w:val="24"/>
          <w:u w:val="single"/>
          <w:rtl/>
        </w:rPr>
        <w:t>הברייתא במסכת הוריות רק כשלב ראשון</w:t>
      </w:r>
      <w:r w:rsidR="00777058">
        <w:rPr>
          <w:rFonts w:cs="David" w:hint="cs"/>
          <w:sz w:val="24"/>
          <w:szCs w:val="24"/>
          <w:rtl/>
        </w:rPr>
        <w:t>. כלומר, אם חכם משוכנע שבי"ד טועים מותר לו לנהוג כפי שהוא חושב רק עד שהוא הביא את טענותיו לפניהם. אם הוא שטח את טיעוניו לפני בי"ד הגדול והם לא השתכנעו הוא חייב לנהוג כמו הפסיקה שלהם גם אם הוא בטוח שהם טועים.</w:t>
      </w:r>
    </w:p>
    <w:p w:rsidR="00777058" w:rsidRDefault="00674481" w:rsidP="00674481">
      <w:pPr>
        <w:pStyle w:val="a3"/>
        <w:numPr>
          <w:ilvl w:val="0"/>
          <w:numId w:val="2"/>
        </w:numPr>
        <w:rPr>
          <w:rFonts w:cs="David"/>
          <w:sz w:val="24"/>
          <w:szCs w:val="24"/>
        </w:rPr>
      </w:pPr>
      <w:r w:rsidRPr="0040111B">
        <w:rPr>
          <w:rFonts w:cs="David" w:hint="cs"/>
          <w:sz w:val="24"/>
          <w:szCs w:val="24"/>
          <w:u w:val="single"/>
          <w:rtl/>
        </w:rPr>
        <w:t xml:space="preserve">תירוצי </w:t>
      </w:r>
      <w:r w:rsidR="00777058" w:rsidRPr="0040111B">
        <w:rPr>
          <w:rFonts w:cs="David" w:hint="cs"/>
          <w:sz w:val="24"/>
          <w:szCs w:val="24"/>
          <w:u w:val="single"/>
          <w:rtl/>
        </w:rPr>
        <w:t>הגבלה</w:t>
      </w:r>
      <w:r w:rsidR="00777058">
        <w:rPr>
          <w:rFonts w:cs="David" w:hint="cs"/>
          <w:sz w:val="24"/>
          <w:szCs w:val="24"/>
          <w:rtl/>
        </w:rPr>
        <w:t xml:space="preserve">: שיטות אחרות </w:t>
      </w:r>
      <w:r w:rsidR="00777058" w:rsidRPr="0040111B">
        <w:rPr>
          <w:rFonts w:cs="David" w:hint="cs"/>
          <w:sz w:val="24"/>
          <w:szCs w:val="24"/>
          <w:u w:val="single"/>
          <w:rtl/>
        </w:rPr>
        <w:t>מכפיפות את הספרי לירושלמי במגוון אופנים</w:t>
      </w:r>
      <w:r w:rsidR="00777058">
        <w:rPr>
          <w:rFonts w:cs="David" w:hint="cs"/>
          <w:sz w:val="24"/>
          <w:szCs w:val="24"/>
          <w:rtl/>
        </w:rPr>
        <w:t xml:space="preserve"> והמשותף לכולם הוא שבעקבות הס</w:t>
      </w:r>
      <w:r w:rsidR="003A3949">
        <w:rPr>
          <w:rFonts w:cs="David" w:hint="cs"/>
          <w:sz w:val="24"/>
          <w:szCs w:val="24"/>
          <w:rtl/>
        </w:rPr>
        <w:t>ת</w:t>
      </w:r>
      <w:r w:rsidR="00777058">
        <w:rPr>
          <w:rFonts w:cs="David" w:hint="cs"/>
          <w:sz w:val="24"/>
          <w:szCs w:val="24"/>
          <w:rtl/>
        </w:rPr>
        <w:t>ירה אין לה</w:t>
      </w:r>
      <w:r>
        <w:rPr>
          <w:rFonts w:cs="David" w:hint="cs"/>
          <w:sz w:val="24"/>
          <w:szCs w:val="24"/>
          <w:rtl/>
        </w:rPr>
        <w:t>י</w:t>
      </w:r>
      <w:r w:rsidR="00777058">
        <w:rPr>
          <w:rFonts w:cs="David" w:hint="cs"/>
          <w:sz w:val="24"/>
          <w:szCs w:val="24"/>
          <w:rtl/>
        </w:rPr>
        <w:t xml:space="preserve">שמע לדברי חכמים בכל מצב אלא רק בתנאים מסוימים. ההגבלות הן: </w:t>
      </w:r>
      <w:r w:rsidR="00777058" w:rsidRPr="00750246">
        <w:rPr>
          <w:rFonts w:cs="David" w:hint="cs"/>
          <w:b/>
          <w:bCs/>
          <w:sz w:val="24"/>
          <w:szCs w:val="24"/>
          <w:rtl/>
        </w:rPr>
        <w:t>1</w:t>
      </w:r>
      <w:r w:rsidR="00777058">
        <w:rPr>
          <w:rFonts w:cs="David" w:hint="cs"/>
          <w:sz w:val="24"/>
          <w:szCs w:val="24"/>
          <w:rtl/>
        </w:rPr>
        <w:t xml:space="preserve">. אם החכם משוכנע לחלוטין שהוא הצודק- הוא צריך לנהוג לפי שיטתו. את הסתירה מסבירים בכך שהגרסא בדברי הספרי משובשת ויש לקרא "אפילו מראים בעיניך על ימין שהוא שמאל...". (בעל הספר "באר שבע") </w:t>
      </w:r>
      <w:r w:rsidR="00777058" w:rsidRPr="00750246">
        <w:rPr>
          <w:rFonts w:cs="David" w:hint="cs"/>
          <w:b/>
          <w:bCs/>
          <w:sz w:val="24"/>
          <w:szCs w:val="24"/>
          <w:rtl/>
        </w:rPr>
        <w:t>2</w:t>
      </w:r>
      <w:r w:rsidR="00777058">
        <w:rPr>
          <w:rFonts w:cs="David" w:hint="cs"/>
          <w:sz w:val="24"/>
          <w:szCs w:val="24"/>
          <w:rtl/>
        </w:rPr>
        <w:t>. חכם יכול לנהוג בניגוד לדעת בי"ד אם הם לא פסלו את דעתו על הסף אלא רק אמרו "דעתך אפשרית אך לא משכנעת" (</w:t>
      </w:r>
      <w:proofErr w:type="spellStart"/>
      <w:r w:rsidR="00777058">
        <w:rPr>
          <w:rFonts w:cs="David" w:hint="cs"/>
          <w:sz w:val="24"/>
          <w:szCs w:val="24"/>
          <w:rtl/>
        </w:rPr>
        <w:t>חיד"א</w:t>
      </w:r>
      <w:proofErr w:type="spellEnd"/>
      <w:r w:rsidR="00777058">
        <w:rPr>
          <w:rFonts w:cs="David" w:hint="cs"/>
          <w:sz w:val="24"/>
          <w:szCs w:val="24"/>
          <w:rtl/>
        </w:rPr>
        <w:t xml:space="preserve">) </w:t>
      </w:r>
      <w:r w:rsidR="00777058" w:rsidRPr="00750246">
        <w:rPr>
          <w:rFonts w:cs="David" w:hint="cs"/>
          <w:b/>
          <w:bCs/>
          <w:sz w:val="24"/>
          <w:szCs w:val="24"/>
          <w:rtl/>
        </w:rPr>
        <w:t>3</w:t>
      </w:r>
      <w:r w:rsidR="00777058">
        <w:rPr>
          <w:rFonts w:cs="David" w:hint="cs"/>
          <w:sz w:val="24"/>
          <w:szCs w:val="24"/>
          <w:rtl/>
        </w:rPr>
        <w:t>. הברייתא בספרי עוסקת בפסיקה בנושא מסוים שעליו דנה התורה בפסו</w:t>
      </w:r>
      <w:r>
        <w:rPr>
          <w:rFonts w:cs="David" w:hint="cs"/>
          <w:sz w:val="24"/>
          <w:szCs w:val="24"/>
          <w:rtl/>
        </w:rPr>
        <w:t>ק</w:t>
      </w:r>
      <w:r w:rsidR="00777058">
        <w:rPr>
          <w:rFonts w:cs="David" w:hint="cs"/>
          <w:sz w:val="24"/>
          <w:szCs w:val="24"/>
          <w:rtl/>
        </w:rPr>
        <w:t xml:space="preserve"> "לא תסור מכל אשר יורוך". זה נושא של "זקן ממרא". רק לגבי נושא זה יש חובה לנהוג לפי פסקי בית הדין הגדול. בנושאים אחרים אין חובת ציות.  (ר' חיים </w:t>
      </w:r>
      <w:proofErr w:type="spellStart"/>
      <w:r w:rsidR="00777058">
        <w:rPr>
          <w:rFonts w:cs="David" w:hint="cs"/>
          <w:sz w:val="24"/>
          <w:szCs w:val="24"/>
          <w:rtl/>
        </w:rPr>
        <w:t>פלאג'י</w:t>
      </w:r>
      <w:proofErr w:type="spellEnd"/>
      <w:r w:rsidR="00777058">
        <w:rPr>
          <w:rFonts w:cs="David" w:hint="cs"/>
          <w:sz w:val="24"/>
          <w:szCs w:val="24"/>
          <w:rtl/>
        </w:rPr>
        <w:t xml:space="preserve">) </w:t>
      </w:r>
      <w:r w:rsidR="00777058" w:rsidRPr="00750246">
        <w:rPr>
          <w:rFonts w:cs="David" w:hint="cs"/>
          <w:b/>
          <w:bCs/>
          <w:sz w:val="24"/>
          <w:szCs w:val="24"/>
          <w:rtl/>
        </w:rPr>
        <w:t>4</w:t>
      </w:r>
      <w:r w:rsidR="00777058">
        <w:rPr>
          <w:rFonts w:cs="David" w:hint="cs"/>
          <w:sz w:val="24"/>
          <w:szCs w:val="24"/>
          <w:rtl/>
        </w:rPr>
        <w:t xml:space="preserve">. </w:t>
      </w:r>
      <w:r w:rsidR="00B328E2">
        <w:rPr>
          <w:rFonts w:cs="David" w:hint="cs"/>
          <w:sz w:val="24"/>
          <w:szCs w:val="24"/>
          <w:rtl/>
        </w:rPr>
        <w:t xml:space="preserve">ההבדל בין הברייתא לספרי הוא בשאלה "מי החולק?" אם סתם אדם </w:t>
      </w:r>
      <w:r w:rsidR="00B328E2">
        <w:rPr>
          <w:rFonts w:cs="David" w:hint="cs"/>
          <w:sz w:val="24"/>
          <w:szCs w:val="24"/>
          <w:rtl/>
        </w:rPr>
        <w:lastRenderedPageBreak/>
        <w:t xml:space="preserve">חולק על בי"ד הרי שחלה עליו חובת ציות ע"פ הספרי. אם מדובר בתלמיד חכם שחולק על בי"ד אז הוא רשאי לעשות זאת לפי הברייתא בתלמוד הירושלמי.(ר' חיים בן עטר) </w:t>
      </w:r>
      <w:r w:rsidR="00B328E2" w:rsidRPr="00750246">
        <w:rPr>
          <w:rFonts w:cs="David" w:hint="cs"/>
          <w:b/>
          <w:bCs/>
          <w:sz w:val="24"/>
          <w:szCs w:val="24"/>
          <w:rtl/>
        </w:rPr>
        <w:t>5</w:t>
      </w:r>
      <w:r w:rsidR="00B328E2">
        <w:rPr>
          <w:rFonts w:cs="David" w:hint="cs"/>
          <w:sz w:val="24"/>
          <w:szCs w:val="24"/>
          <w:rtl/>
        </w:rPr>
        <w:t xml:space="preserve">. ניתן לומר ברוח דבריו של </w:t>
      </w:r>
      <w:proofErr w:type="spellStart"/>
      <w:r w:rsidR="00B328E2">
        <w:rPr>
          <w:rFonts w:cs="David" w:hint="cs"/>
          <w:sz w:val="24"/>
          <w:szCs w:val="24"/>
          <w:rtl/>
        </w:rPr>
        <w:t>הריב"א</w:t>
      </w:r>
      <w:proofErr w:type="spellEnd"/>
      <w:r w:rsidR="00B328E2">
        <w:rPr>
          <w:rFonts w:cs="David" w:hint="cs"/>
          <w:sz w:val="24"/>
          <w:szCs w:val="24"/>
          <w:rtl/>
        </w:rPr>
        <w:t xml:space="preserve"> (בתחילת המאמר) שיש לחלק בין פסיקה שעוסקת בפרשנות המקורות לפסיקה שעוסקת בגזירות ותקנות. (המאמר מונה שני קשיים על גישה זו. </w:t>
      </w:r>
      <w:r w:rsidR="00B328E2" w:rsidRPr="00750246">
        <w:rPr>
          <w:rFonts w:cs="David" w:hint="cs"/>
          <w:b/>
          <w:bCs/>
          <w:sz w:val="24"/>
          <w:szCs w:val="24"/>
          <w:rtl/>
        </w:rPr>
        <w:t>6</w:t>
      </w:r>
      <w:r w:rsidR="00B328E2">
        <w:rPr>
          <w:rFonts w:cs="David" w:hint="cs"/>
          <w:sz w:val="24"/>
          <w:szCs w:val="24"/>
          <w:rtl/>
        </w:rPr>
        <w:t xml:space="preserve">. יש לחלק בין הוראה של בי"ד שמצווה על אדם לעשות לבין הוראה שמצווה עליו </w:t>
      </w:r>
      <w:r w:rsidR="00B328E2" w:rsidRPr="00D33AC9">
        <w:rPr>
          <w:rFonts w:cs="David" w:hint="cs"/>
          <w:sz w:val="24"/>
          <w:szCs w:val="24"/>
          <w:highlight w:val="yellow"/>
          <w:rtl/>
        </w:rPr>
        <w:t>להימנע</w:t>
      </w:r>
      <w:r w:rsidR="00B328E2">
        <w:rPr>
          <w:rFonts w:cs="David" w:hint="cs"/>
          <w:sz w:val="24"/>
          <w:szCs w:val="24"/>
          <w:rtl/>
        </w:rPr>
        <w:t xml:space="preserve"> מעשייה. במקרה הראשון אם בי"ד אוסר או מצווה שלא לעשות ואילו הפרט סבור שמצווה עליו דווקא לעשות </w:t>
      </w:r>
      <w:r w:rsidR="00B328E2">
        <w:rPr>
          <w:rFonts w:cs="David"/>
          <w:sz w:val="24"/>
          <w:szCs w:val="24"/>
          <w:rtl/>
        </w:rPr>
        <w:t>–</w:t>
      </w:r>
      <w:r w:rsidR="00B328E2">
        <w:rPr>
          <w:rFonts w:cs="David" w:hint="cs"/>
          <w:sz w:val="24"/>
          <w:szCs w:val="24"/>
          <w:rtl/>
        </w:rPr>
        <w:t xml:space="preserve"> אסור לו לעשות בגלל הספרי. אבל אם אדם מצווה כן לעשות משהו ולדעתו דבר זה אסור- הפרט לא חייב לה</w:t>
      </w:r>
      <w:r w:rsidR="003C5BF1">
        <w:rPr>
          <w:rFonts w:cs="David" w:hint="cs"/>
          <w:sz w:val="24"/>
          <w:szCs w:val="24"/>
          <w:rtl/>
        </w:rPr>
        <w:t>י</w:t>
      </w:r>
      <w:r w:rsidR="00B328E2">
        <w:rPr>
          <w:rFonts w:cs="David" w:hint="cs"/>
          <w:sz w:val="24"/>
          <w:szCs w:val="24"/>
          <w:rtl/>
        </w:rPr>
        <w:t>שמע להוראות בי"ד בגלל הברייתא במסכת הוריות. גם על שיטה זו יש קשיים שמפורטים במאמר.</w:t>
      </w:r>
    </w:p>
    <w:p w:rsidR="00B328E2" w:rsidRDefault="00674481" w:rsidP="00B328E2">
      <w:pPr>
        <w:pStyle w:val="a3"/>
        <w:numPr>
          <w:ilvl w:val="0"/>
          <w:numId w:val="2"/>
        </w:numPr>
        <w:rPr>
          <w:rFonts w:cs="David"/>
          <w:sz w:val="24"/>
          <w:szCs w:val="24"/>
        </w:rPr>
      </w:pPr>
      <w:r w:rsidRPr="0040111B">
        <w:rPr>
          <w:rFonts w:cs="David" w:hint="cs"/>
          <w:sz w:val="24"/>
          <w:szCs w:val="24"/>
          <w:u w:val="single"/>
          <w:rtl/>
        </w:rPr>
        <w:t>תירוץ</w:t>
      </w:r>
      <w:r w:rsidR="00B328E2" w:rsidRPr="0040111B">
        <w:rPr>
          <w:rFonts w:cs="David" w:hint="cs"/>
          <w:sz w:val="24"/>
          <w:szCs w:val="24"/>
          <w:u w:val="single"/>
          <w:rtl/>
        </w:rPr>
        <w:t xml:space="preserve"> הרמב"ם:</w:t>
      </w:r>
      <w:r w:rsidR="00B328E2">
        <w:rPr>
          <w:rFonts w:cs="David" w:hint="cs"/>
          <w:sz w:val="24"/>
          <w:szCs w:val="24"/>
          <w:rtl/>
        </w:rPr>
        <w:t xml:space="preserve"> גישתו העקרונית של הרמב"ם היא שיש לבי"ד סמכות ריכוזית מאד וחובה לה</w:t>
      </w:r>
      <w:r>
        <w:rPr>
          <w:rFonts w:cs="David" w:hint="cs"/>
          <w:sz w:val="24"/>
          <w:szCs w:val="24"/>
          <w:rtl/>
        </w:rPr>
        <w:t>י</w:t>
      </w:r>
      <w:r w:rsidR="00B328E2">
        <w:rPr>
          <w:rFonts w:cs="David" w:hint="cs"/>
          <w:sz w:val="24"/>
          <w:szCs w:val="24"/>
          <w:rtl/>
        </w:rPr>
        <w:t xml:space="preserve">שמע להוראותיו בכל עניין. עם זאת, הוא מסביר את הברייתא במסכת הוריות בכך </w:t>
      </w:r>
      <w:r>
        <w:rPr>
          <w:rFonts w:cs="David" w:hint="cs"/>
          <w:sz w:val="24"/>
          <w:szCs w:val="24"/>
          <w:rtl/>
        </w:rPr>
        <w:t xml:space="preserve">שאם החכם מפר את הוראת בי"ד הרי זה רק במצב שבו ידע ידיעה </w:t>
      </w:r>
      <w:r w:rsidRPr="00674481">
        <w:rPr>
          <w:rFonts w:cs="David" w:hint="cs"/>
          <w:sz w:val="24"/>
          <w:szCs w:val="24"/>
          <w:u w:val="single"/>
          <w:rtl/>
        </w:rPr>
        <w:t>ודאית</w:t>
      </w:r>
      <w:r>
        <w:rPr>
          <w:rFonts w:cs="David" w:hint="cs"/>
          <w:sz w:val="24"/>
          <w:szCs w:val="24"/>
          <w:rtl/>
        </w:rPr>
        <w:t xml:space="preserve"> שבי"ד טועה. אין הכוונה לשכנוע פנימי של החכם בצדקתו אלא לידיעה ודאית. עם זאת יש להעיר שבנושאים מסוימים כמו קידוש החודש, סמכות בי"ד גוברת גם במצב של ידיעה ודאית על טעות.</w:t>
      </w:r>
    </w:p>
    <w:p w:rsidR="00030464" w:rsidRDefault="00030464" w:rsidP="00030464">
      <w:pPr>
        <w:pStyle w:val="a3"/>
        <w:rPr>
          <w:rFonts w:cs="David"/>
          <w:sz w:val="24"/>
          <w:szCs w:val="24"/>
          <w:rtl/>
        </w:rPr>
      </w:pPr>
      <w:r>
        <w:rPr>
          <w:rFonts w:cs="David" w:hint="cs"/>
          <w:sz w:val="24"/>
          <w:szCs w:val="24"/>
          <w:rtl/>
        </w:rPr>
        <w:t xml:space="preserve">לפי שיטת הרמב"ם </w:t>
      </w:r>
      <w:r w:rsidRPr="0040111B">
        <w:rPr>
          <w:rFonts w:cs="David" w:hint="cs"/>
          <w:sz w:val="24"/>
          <w:szCs w:val="24"/>
          <w:u w:val="single"/>
          <w:rtl/>
        </w:rPr>
        <w:t>אין ליחיד כוח לחלוק על בי"ד</w:t>
      </w:r>
      <w:r>
        <w:rPr>
          <w:rFonts w:cs="David" w:hint="cs"/>
          <w:sz w:val="24"/>
          <w:szCs w:val="24"/>
          <w:rtl/>
        </w:rPr>
        <w:t xml:space="preserve"> אלא מדובר במצב ייחודי שבו </w:t>
      </w:r>
      <w:r w:rsidRPr="0040111B">
        <w:rPr>
          <w:rFonts w:cs="David" w:hint="cs"/>
          <w:sz w:val="24"/>
          <w:szCs w:val="24"/>
          <w:u w:val="single"/>
          <w:rtl/>
        </w:rPr>
        <w:t>מתוך המו"מ בדיון אחד החכמים "מגלה" את טעותם של שאר הדיינים</w:t>
      </w:r>
      <w:r>
        <w:rPr>
          <w:rFonts w:cs="David" w:hint="cs"/>
          <w:sz w:val="24"/>
          <w:szCs w:val="24"/>
          <w:rtl/>
        </w:rPr>
        <w:t>. ב"טעות" לפי הרמב"ם אפשר לכלול רק טעות שיש לעמוד עליה דרך הדיון ההלכתי. אין המדובר בטעות "מצפונית" של אדם שחושב שגזר הדין שנתן בי"ד מוטעה אלא על חכם שיש לו סברא שמוכיחה שבי"ד טעה.</w:t>
      </w:r>
    </w:p>
    <w:p w:rsidR="00030464" w:rsidRPr="00030464" w:rsidRDefault="00030464" w:rsidP="00FF345C">
      <w:pPr>
        <w:rPr>
          <w:rFonts w:cs="David"/>
          <w:sz w:val="24"/>
          <w:szCs w:val="24"/>
        </w:rPr>
      </w:pPr>
      <w:r>
        <w:rPr>
          <w:rFonts w:cs="David" w:hint="cs"/>
          <w:sz w:val="24"/>
          <w:szCs w:val="24"/>
          <w:rtl/>
        </w:rPr>
        <w:t>ניתן לראות שיש מספר שיטות ודרכים לתרץ את הסתירה</w:t>
      </w:r>
      <w:r w:rsidR="00FF345C">
        <w:rPr>
          <w:rFonts w:cs="David" w:hint="cs"/>
          <w:sz w:val="24"/>
          <w:szCs w:val="24"/>
          <w:rtl/>
        </w:rPr>
        <w:t xml:space="preserve"> למסקנת המאמר </w:t>
      </w:r>
      <w:r>
        <w:rPr>
          <w:rFonts w:cs="David" w:hint="cs"/>
          <w:sz w:val="24"/>
          <w:szCs w:val="24"/>
          <w:rtl/>
        </w:rPr>
        <w:t>יש</w:t>
      </w:r>
      <w:r w:rsidR="0040111B">
        <w:rPr>
          <w:rFonts w:cs="David" w:hint="cs"/>
          <w:sz w:val="24"/>
          <w:szCs w:val="24"/>
          <w:rtl/>
        </w:rPr>
        <w:t xml:space="preserve"> (בנסיבות מאד מסוימות)</w:t>
      </w:r>
      <w:r>
        <w:rPr>
          <w:rFonts w:cs="David" w:hint="cs"/>
          <w:sz w:val="24"/>
          <w:szCs w:val="24"/>
          <w:rtl/>
        </w:rPr>
        <w:t xml:space="preserve"> מקום לטענה </w:t>
      </w:r>
      <w:r w:rsidRPr="00FF345C">
        <w:rPr>
          <w:rFonts w:cs="David" w:hint="cs"/>
          <w:sz w:val="24"/>
          <w:szCs w:val="24"/>
          <w:rtl/>
        </w:rPr>
        <w:t>ש</w:t>
      </w:r>
      <w:r w:rsidRPr="00FF345C">
        <w:rPr>
          <w:rFonts w:cs="David" w:hint="cs"/>
          <w:b/>
          <w:bCs/>
          <w:sz w:val="24"/>
          <w:szCs w:val="24"/>
          <w:rtl/>
        </w:rPr>
        <w:t>בי"ד אינו יכול לחייב אדם לנהוג בניגוד לצו מצפונו</w:t>
      </w:r>
      <w:r>
        <w:rPr>
          <w:rFonts w:cs="David" w:hint="cs"/>
          <w:sz w:val="24"/>
          <w:szCs w:val="24"/>
          <w:rtl/>
        </w:rPr>
        <w:t xml:space="preserve"> ע"פ </w:t>
      </w:r>
      <w:r w:rsidR="0040111B">
        <w:rPr>
          <w:rFonts w:cs="David" w:hint="cs"/>
          <w:sz w:val="24"/>
          <w:szCs w:val="24"/>
          <w:rtl/>
        </w:rPr>
        <w:t>ה</w:t>
      </w:r>
      <w:r>
        <w:rPr>
          <w:rFonts w:cs="David" w:hint="cs"/>
          <w:sz w:val="24"/>
          <w:szCs w:val="24"/>
          <w:rtl/>
        </w:rPr>
        <w:t>שיטות שונות לעיל.</w:t>
      </w:r>
    </w:p>
    <w:sectPr w:rsidR="00030464" w:rsidRPr="00030464" w:rsidSect="00B2519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562C1"/>
    <w:multiLevelType w:val="hybridMultilevel"/>
    <w:tmpl w:val="81368C0A"/>
    <w:lvl w:ilvl="0" w:tplc="81A2AA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E97D3E"/>
    <w:multiLevelType w:val="hybridMultilevel"/>
    <w:tmpl w:val="A6F6A246"/>
    <w:lvl w:ilvl="0" w:tplc="4A0C2F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04A"/>
    <w:rsid w:val="00030464"/>
    <w:rsid w:val="000E13B0"/>
    <w:rsid w:val="001C6A4F"/>
    <w:rsid w:val="001E59BA"/>
    <w:rsid w:val="0021755B"/>
    <w:rsid w:val="0027414C"/>
    <w:rsid w:val="003069F5"/>
    <w:rsid w:val="003A3949"/>
    <w:rsid w:val="003C5BF1"/>
    <w:rsid w:val="0040111B"/>
    <w:rsid w:val="0046304A"/>
    <w:rsid w:val="005A615C"/>
    <w:rsid w:val="00674481"/>
    <w:rsid w:val="006F09E4"/>
    <w:rsid w:val="00743297"/>
    <w:rsid w:val="00750246"/>
    <w:rsid w:val="00777058"/>
    <w:rsid w:val="00855C73"/>
    <w:rsid w:val="00B25195"/>
    <w:rsid w:val="00B328E2"/>
    <w:rsid w:val="00C42DB3"/>
    <w:rsid w:val="00D33AC9"/>
    <w:rsid w:val="00E90D3D"/>
    <w:rsid w:val="00FD78BE"/>
    <w:rsid w:val="00FF345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7E54EB-E736-4A2B-8ABA-9DAF7FF2B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13B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30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435986-C7D3-44DB-9389-EAC63D989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770</Words>
  <Characters>3854</Characters>
  <Application>Microsoft Office Word</Application>
  <DocSecurity>0</DocSecurity>
  <Lines>32</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Hewlett-Packard Company</cp:lastModifiedBy>
  <cp:revision>2</cp:revision>
  <dcterms:created xsi:type="dcterms:W3CDTF">2021-03-21T08:19:00Z</dcterms:created>
  <dcterms:modified xsi:type="dcterms:W3CDTF">2021-03-21T08:19:00Z</dcterms:modified>
</cp:coreProperties>
</file>