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536" w14:textId="77777777" w:rsidR="002A38A6" w:rsidRDefault="006961AA" w:rsidP="00F02CCA">
      <w:pPr>
        <w:spacing w:line="276" w:lineRule="auto"/>
        <w:jc w:val="center"/>
        <w:rPr>
          <w:b/>
          <w:bCs/>
          <w:sz w:val="32"/>
          <w:szCs w:val="32"/>
          <w:u w:val="single"/>
          <w:rtl/>
        </w:rPr>
      </w:pPr>
      <w:r w:rsidRPr="006961AA">
        <w:rPr>
          <w:rFonts w:hint="cs"/>
          <w:b/>
          <w:bCs/>
          <w:sz w:val="32"/>
          <w:szCs w:val="32"/>
          <w:u w:val="single"/>
          <w:rtl/>
        </w:rPr>
        <w:t xml:space="preserve">דיני קניין- סיכומי </w:t>
      </w:r>
      <w:proofErr w:type="spellStart"/>
      <w:r w:rsidRPr="006961AA">
        <w:rPr>
          <w:rFonts w:hint="cs"/>
          <w:b/>
          <w:bCs/>
          <w:sz w:val="32"/>
          <w:szCs w:val="32"/>
          <w:u w:val="single"/>
          <w:rtl/>
        </w:rPr>
        <w:t>פס"דים</w:t>
      </w:r>
      <w:proofErr w:type="spellEnd"/>
      <w:r w:rsidRPr="006961AA">
        <w:rPr>
          <w:rFonts w:hint="cs"/>
          <w:b/>
          <w:bCs/>
          <w:sz w:val="32"/>
          <w:szCs w:val="32"/>
          <w:u w:val="single"/>
          <w:rtl/>
        </w:rPr>
        <w:t xml:space="preserve"> ומאמרים:</w:t>
      </w:r>
    </w:p>
    <w:p w14:paraId="4151E796" w14:textId="7EB5258D" w:rsidR="006961AA" w:rsidRDefault="006961AA" w:rsidP="00F02CCA">
      <w:pPr>
        <w:spacing w:line="276" w:lineRule="auto"/>
        <w:rPr>
          <w:b/>
          <w:bCs/>
          <w:sz w:val="28"/>
          <w:szCs w:val="28"/>
          <w:u w:val="single"/>
          <w:rtl/>
        </w:rPr>
      </w:pPr>
      <w:r>
        <w:rPr>
          <w:rFonts w:hint="cs"/>
          <w:b/>
          <w:bCs/>
          <w:sz w:val="28"/>
          <w:szCs w:val="28"/>
          <w:u w:val="single"/>
          <w:rtl/>
        </w:rPr>
        <w:t xml:space="preserve">פס"ד </w:t>
      </w:r>
      <w:r w:rsidRPr="006961AA">
        <w:rPr>
          <w:b/>
          <w:bCs/>
          <w:sz w:val="28"/>
          <w:szCs w:val="28"/>
          <w:u w:val="single"/>
          <w:rtl/>
        </w:rPr>
        <w:t>בן חמו נ' טנא נוגה בע"מ</w:t>
      </w:r>
    </w:p>
    <w:p w14:paraId="066E8697" w14:textId="57160B15" w:rsidR="001D68E0" w:rsidRDefault="001D68E0" w:rsidP="00F02CCA">
      <w:pPr>
        <w:pStyle w:val="a4"/>
        <w:numPr>
          <w:ilvl w:val="0"/>
          <w:numId w:val="1"/>
        </w:numPr>
        <w:spacing w:line="276" w:lineRule="auto"/>
      </w:pPr>
      <w:r>
        <w:rPr>
          <w:rFonts w:hint="cs"/>
          <w:rtl/>
        </w:rPr>
        <w:t>זכות ההפצה אינה קניינית ולכן הינה ניתנת לביטול.</w:t>
      </w:r>
    </w:p>
    <w:p w14:paraId="5FBF808A" w14:textId="52409064" w:rsidR="00D4039C" w:rsidRDefault="00D4039C" w:rsidP="00F02CCA">
      <w:pPr>
        <w:pStyle w:val="a4"/>
        <w:numPr>
          <w:ilvl w:val="0"/>
          <w:numId w:val="1"/>
        </w:numPr>
        <w:spacing w:line="276" w:lineRule="auto"/>
      </w:pPr>
      <w:r>
        <w:rPr>
          <w:rtl/>
        </w:rPr>
        <w:t>סיווגה של זכות כזכות חוזית או קניינית אינו צריך להיעשות באופן כללי ומופשט, אלא סיווגה ומיונה של הזכות יוכרעו בכל מקרה לגופו על רקע מאפייניה של הזכות בהקשר הקונקרטי הנדון.</w:t>
      </w:r>
    </w:p>
    <w:p w14:paraId="0015CC4F" w14:textId="77777777" w:rsidR="006F2A51" w:rsidRDefault="006F2A51" w:rsidP="00F02CCA">
      <w:pPr>
        <w:pStyle w:val="a4"/>
        <w:numPr>
          <w:ilvl w:val="0"/>
          <w:numId w:val="1"/>
        </w:numPr>
        <w:spacing w:line="276" w:lineRule="auto"/>
      </w:pPr>
      <w:r>
        <w:rPr>
          <w:rFonts w:hint="cs"/>
          <w:rtl/>
        </w:rPr>
        <w:t>סממנים מזהים לזכות קניינית:</w:t>
      </w:r>
    </w:p>
    <w:p w14:paraId="756DEA8B" w14:textId="77777777" w:rsidR="006F2A51" w:rsidRPr="004F529D" w:rsidRDefault="006F2A51" w:rsidP="00F02CCA">
      <w:pPr>
        <w:pStyle w:val="a4"/>
        <w:numPr>
          <w:ilvl w:val="0"/>
          <w:numId w:val="2"/>
        </w:numPr>
        <w:spacing w:line="276" w:lineRule="auto"/>
        <w:rPr>
          <w:b/>
          <w:bCs/>
        </w:rPr>
      </w:pPr>
      <w:r w:rsidRPr="004F529D">
        <w:rPr>
          <w:b/>
          <w:bCs/>
          <w:rtl/>
        </w:rPr>
        <w:t xml:space="preserve">עבִירות </w:t>
      </w:r>
    </w:p>
    <w:p w14:paraId="61EB2904" w14:textId="56225934" w:rsidR="006F2A51" w:rsidRDefault="006F2A51" w:rsidP="00F02CCA">
      <w:pPr>
        <w:pStyle w:val="a4"/>
        <w:numPr>
          <w:ilvl w:val="0"/>
          <w:numId w:val="2"/>
        </w:numPr>
        <w:spacing w:line="276" w:lineRule="auto"/>
      </w:pPr>
      <w:r w:rsidRPr="004F529D">
        <w:rPr>
          <w:b/>
          <w:bCs/>
          <w:rtl/>
        </w:rPr>
        <w:t>עצמאות</w:t>
      </w:r>
      <w:r w:rsidR="003C02C3" w:rsidRPr="004F529D">
        <w:rPr>
          <w:rFonts w:hint="cs"/>
          <w:b/>
          <w:bCs/>
          <w:rtl/>
        </w:rPr>
        <w:t xml:space="preserve"> ו</w:t>
      </w:r>
      <w:r w:rsidRPr="004F529D">
        <w:rPr>
          <w:b/>
          <w:bCs/>
          <w:rtl/>
        </w:rPr>
        <w:t>מיידיות</w:t>
      </w:r>
      <w:r w:rsidR="003C02C3">
        <w:rPr>
          <w:rFonts w:hint="cs"/>
          <w:rtl/>
        </w:rPr>
        <w:t xml:space="preserve"> ("כבר יש")- </w:t>
      </w:r>
      <w:r w:rsidR="003C02C3">
        <w:rPr>
          <w:rtl/>
        </w:rPr>
        <w:t>זכות היא 'כבר' של אדם כאשר ההנאה או השליטה המוקצית לו מהדין אינה טעונה מימוש באמצעותו של אחר כלשהו, הצריך לעשות, לתת או להימנע</w:t>
      </w:r>
      <w:r w:rsidR="003C02C3">
        <w:rPr>
          <w:rFonts w:hint="cs"/>
          <w:rtl/>
        </w:rPr>
        <w:t>.</w:t>
      </w:r>
    </w:p>
    <w:p w14:paraId="46307F55" w14:textId="6B380591" w:rsidR="006F2A51" w:rsidRDefault="006F2A51" w:rsidP="00F02CCA">
      <w:pPr>
        <w:pStyle w:val="a4"/>
        <w:numPr>
          <w:ilvl w:val="0"/>
          <w:numId w:val="2"/>
        </w:numPr>
        <w:spacing w:line="276" w:lineRule="auto"/>
      </w:pPr>
      <w:r w:rsidRPr="004F529D">
        <w:rPr>
          <w:b/>
          <w:bCs/>
          <w:rtl/>
        </w:rPr>
        <w:t>כפיפות הזכות לעקיבה</w:t>
      </w:r>
      <w:r w:rsidR="00687C50">
        <w:rPr>
          <w:rFonts w:hint="cs"/>
          <w:rtl/>
        </w:rPr>
        <w:t xml:space="preserve">- </w:t>
      </w:r>
      <w:r w:rsidR="00687C50">
        <w:rPr>
          <w:rtl/>
        </w:rPr>
        <w:t>מאפשרת לבעל הזכות לעקוב אחר הנכס מושא הזכות</w:t>
      </w:r>
      <w:r w:rsidR="00687C50">
        <w:rPr>
          <w:rFonts w:hint="cs"/>
          <w:rtl/>
        </w:rPr>
        <w:t>.</w:t>
      </w:r>
    </w:p>
    <w:p w14:paraId="2EF4B8B7" w14:textId="72F71593" w:rsidR="006F2A51" w:rsidRPr="004F529D" w:rsidRDefault="006F2A51" w:rsidP="00F02CCA">
      <w:pPr>
        <w:pStyle w:val="a4"/>
        <w:numPr>
          <w:ilvl w:val="0"/>
          <w:numId w:val="2"/>
        </w:numPr>
        <w:spacing w:line="276" w:lineRule="auto"/>
        <w:rPr>
          <w:b/>
          <w:bCs/>
        </w:rPr>
      </w:pPr>
      <w:r w:rsidRPr="004F529D">
        <w:rPr>
          <w:b/>
          <w:bCs/>
          <w:rtl/>
        </w:rPr>
        <w:t>עדיפות על כל זכות אחרת</w:t>
      </w:r>
      <w:r w:rsidR="00EB0102">
        <w:rPr>
          <w:rFonts w:hint="cs"/>
          <w:rtl/>
        </w:rPr>
        <w:t xml:space="preserve">- </w:t>
      </w:r>
      <w:r w:rsidR="00EB0102">
        <w:rPr>
          <w:rtl/>
        </w:rPr>
        <w:t>מעניקה לבעל הזכות את האפשרות לאוכפה כלפי כולי עלמא באופן המונע אחר מעשיית מעשה בנכס מושא הזכות</w:t>
      </w:r>
      <w:r w:rsidR="00EB0102">
        <w:rPr>
          <w:rFonts w:hint="cs"/>
          <w:rtl/>
        </w:rPr>
        <w:t>.</w:t>
      </w:r>
    </w:p>
    <w:p w14:paraId="7334F46A" w14:textId="74CB1B99" w:rsidR="006F2A51" w:rsidRPr="004F529D" w:rsidRDefault="004F529D" w:rsidP="00F02CCA">
      <w:pPr>
        <w:pStyle w:val="a4"/>
        <w:numPr>
          <w:ilvl w:val="0"/>
          <w:numId w:val="2"/>
        </w:numPr>
        <w:spacing w:line="276" w:lineRule="auto"/>
        <w:rPr>
          <w:b/>
          <w:bCs/>
        </w:rPr>
      </w:pPr>
      <w:r>
        <w:rPr>
          <w:b/>
          <w:bCs/>
          <w:rtl/>
        </w:rPr>
        <w:t>ייחודיות</w:t>
      </w:r>
      <w:r w:rsidR="00EB0102">
        <w:rPr>
          <w:rFonts w:hint="cs"/>
          <w:rtl/>
        </w:rPr>
        <w:t xml:space="preserve">- </w:t>
      </w:r>
      <w:r w:rsidR="00EB0102">
        <w:rPr>
          <w:rtl/>
        </w:rPr>
        <w:t>מאפשרת לבעל הזכות לשלול מן הזולת שימוש מקביל בזכות</w:t>
      </w:r>
      <w:r w:rsidR="00EB0102">
        <w:rPr>
          <w:rFonts w:hint="cs"/>
          <w:rtl/>
        </w:rPr>
        <w:t>.</w:t>
      </w:r>
    </w:p>
    <w:p w14:paraId="11F01D41" w14:textId="51918283" w:rsidR="006F2A51" w:rsidRPr="001D68E0" w:rsidRDefault="006F2A51" w:rsidP="00F02CCA">
      <w:pPr>
        <w:spacing w:line="276" w:lineRule="auto"/>
        <w:ind w:left="720"/>
        <w:rPr>
          <w:rtl/>
        </w:rPr>
      </w:pPr>
      <w:r w:rsidRPr="006F2A51">
        <w:rPr>
          <w:u w:val="single"/>
          <w:rtl/>
        </w:rPr>
        <w:t>הרשימה אינה סגורה</w:t>
      </w:r>
      <w:r>
        <w:rPr>
          <w:rtl/>
        </w:rPr>
        <w:t>.</w:t>
      </w:r>
    </w:p>
    <w:p w14:paraId="7E2E3FB4" w14:textId="651BFF6A" w:rsidR="006961AA" w:rsidRDefault="006961AA" w:rsidP="00F02CCA">
      <w:pPr>
        <w:pStyle w:val="a4"/>
        <w:spacing w:line="276" w:lineRule="auto"/>
        <w:rPr>
          <w:b/>
          <w:bCs/>
          <w:sz w:val="28"/>
          <w:szCs w:val="28"/>
          <w:u w:val="single"/>
          <w:rtl/>
        </w:rPr>
      </w:pPr>
    </w:p>
    <w:p w14:paraId="7E227346" w14:textId="34C725AC" w:rsidR="00C519BA" w:rsidRDefault="00C519BA" w:rsidP="00F02CCA">
      <w:pPr>
        <w:spacing w:line="276" w:lineRule="auto"/>
        <w:rPr>
          <w:b/>
          <w:bCs/>
          <w:sz w:val="28"/>
          <w:szCs w:val="28"/>
          <w:u w:val="single"/>
          <w:rtl/>
        </w:rPr>
      </w:pPr>
      <w:r w:rsidRPr="00C519BA">
        <w:rPr>
          <w:rFonts w:hint="cs"/>
          <w:b/>
          <w:bCs/>
          <w:sz w:val="28"/>
          <w:szCs w:val="28"/>
          <w:u w:val="single"/>
          <w:rtl/>
        </w:rPr>
        <w:t>יהושע ויסמן דיני קניין - חלק כללי</w:t>
      </w:r>
    </w:p>
    <w:p w14:paraId="0B0CAC7B" w14:textId="0A261DF5" w:rsidR="00B80FE8" w:rsidRDefault="00B80FE8" w:rsidP="00F02CCA">
      <w:pPr>
        <w:spacing w:line="276" w:lineRule="auto"/>
        <w:rPr>
          <w:u w:val="single"/>
          <w:rtl/>
        </w:rPr>
      </w:pPr>
      <w:r w:rsidRPr="00B80FE8">
        <w:rPr>
          <w:rFonts w:hint="cs"/>
          <w:u w:val="single"/>
          <w:rtl/>
        </w:rPr>
        <w:t>עמ' 16-26:</w:t>
      </w:r>
    </w:p>
    <w:p w14:paraId="7357FE44" w14:textId="5422A8BB" w:rsidR="00B80FE8" w:rsidRDefault="007079FD" w:rsidP="00F02CCA">
      <w:pPr>
        <w:pStyle w:val="a4"/>
        <w:numPr>
          <w:ilvl w:val="0"/>
          <w:numId w:val="8"/>
        </w:numPr>
        <w:spacing w:line="276" w:lineRule="auto"/>
      </w:pPr>
      <w:r>
        <w:rPr>
          <w:rFonts w:hint="cs"/>
          <w:rtl/>
        </w:rPr>
        <w:t>הדין הפוזיטיבי בישראל מושתת על הכרה בקניין הפרטי.</w:t>
      </w:r>
    </w:p>
    <w:p w14:paraId="50AFE5AD" w14:textId="1A0097AD" w:rsidR="007079FD" w:rsidRDefault="00CF34EA" w:rsidP="00F02CCA">
      <w:pPr>
        <w:pStyle w:val="a4"/>
        <w:numPr>
          <w:ilvl w:val="0"/>
          <w:numId w:val="8"/>
        </w:numPr>
        <w:spacing w:line="276" w:lineRule="auto"/>
      </w:pPr>
      <w:r>
        <w:rPr>
          <w:rFonts w:hint="cs"/>
          <w:rtl/>
        </w:rPr>
        <w:t>הדין הישראלי מכיר בעיקרון התפישה (השתלטות על נכס ללא בעלים) כבסיס להענקת בעלות (בחוק המיטלטלין).</w:t>
      </w:r>
    </w:p>
    <w:p w14:paraId="23C78764" w14:textId="09F1FD71" w:rsidR="00346795" w:rsidRDefault="00346795" w:rsidP="00F02CCA">
      <w:pPr>
        <w:pStyle w:val="a4"/>
        <w:numPr>
          <w:ilvl w:val="0"/>
          <w:numId w:val="8"/>
        </w:numPr>
        <w:spacing w:line="276" w:lineRule="auto"/>
      </w:pPr>
      <w:r w:rsidRPr="00315DA0">
        <w:rPr>
          <w:rFonts w:hint="cs"/>
          <w:b/>
          <w:bCs/>
          <w:rtl/>
        </w:rPr>
        <w:t>תיאוריית העבודה-</w:t>
      </w:r>
      <w:r>
        <w:rPr>
          <w:rFonts w:hint="cs"/>
          <w:rtl/>
        </w:rPr>
        <w:t xml:space="preserve"> לפיה לאדם זכות טבעית בפרי עמלו.</w:t>
      </w:r>
      <w:r w:rsidR="00D34B85">
        <w:rPr>
          <w:rFonts w:hint="cs"/>
          <w:rtl/>
        </w:rPr>
        <w:t xml:space="preserve"> סייג לכך הוא כשמדובר בנכס שהוא נחלת הכלל ומשקיע העבודה לוקח לעצמו יותר ממה שנחוץ לו.</w:t>
      </w:r>
      <w:r w:rsidR="000B2600">
        <w:rPr>
          <w:rFonts w:hint="cs"/>
          <w:rtl/>
        </w:rPr>
        <w:t xml:space="preserve"> </w:t>
      </w:r>
    </w:p>
    <w:p w14:paraId="2EF87AC3" w14:textId="34FA372F" w:rsidR="000B2600" w:rsidRDefault="000B2600" w:rsidP="00F02CCA">
      <w:pPr>
        <w:pStyle w:val="a4"/>
        <w:spacing w:line="276" w:lineRule="auto"/>
        <w:rPr>
          <w:rtl/>
        </w:rPr>
      </w:pPr>
      <w:r>
        <w:rPr>
          <w:rFonts w:hint="cs"/>
          <w:rtl/>
        </w:rPr>
        <w:t>המבקרים לתיאוריה זו טוענים כי אדם העובד בנכס זכאי להטבות על עבודתו אך לא זכאי לנכס עצמו.</w:t>
      </w:r>
    </w:p>
    <w:p w14:paraId="7E23CA41" w14:textId="23949A4A" w:rsidR="00B81299" w:rsidRDefault="00B81299" w:rsidP="00F02CCA">
      <w:pPr>
        <w:pStyle w:val="a4"/>
        <w:spacing w:line="276" w:lineRule="auto"/>
        <w:rPr>
          <w:rtl/>
        </w:rPr>
      </w:pPr>
      <w:r>
        <w:rPr>
          <w:rFonts w:hint="cs"/>
          <w:rtl/>
        </w:rPr>
        <w:t xml:space="preserve">היום לתיאוריה זו ביטוי בדיני הקניין למשל בזכויות יוצרים או פטנטים. </w:t>
      </w:r>
    </w:p>
    <w:p w14:paraId="3AA7A4F9" w14:textId="6DD0E301" w:rsidR="00DC5B06" w:rsidRDefault="00315DA0" w:rsidP="00F02CCA">
      <w:pPr>
        <w:pStyle w:val="a4"/>
        <w:numPr>
          <w:ilvl w:val="0"/>
          <w:numId w:val="8"/>
        </w:numPr>
        <w:spacing w:line="276" w:lineRule="auto"/>
      </w:pPr>
      <w:r>
        <w:rPr>
          <w:rFonts w:hint="cs"/>
          <w:b/>
          <w:bCs/>
          <w:rtl/>
        </w:rPr>
        <w:t>תיאוריית ההגנה על חירויות האדם</w:t>
      </w:r>
      <w:r>
        <w:rPr>
          <w:rFonts w:hint="cs"/>
          <w:rtl/>
        </w:rPr>
        <w:t>-</w:t>
      </w:r>
      <w:r w:rsidR="00334DA0">
        <w:rPr>
          <w:rFonts w:hint="cs"/>
          <w:rtl/>
        </w:rPr>
        <w:t xml:space="preserve"> לפיה הרצון לעשייה בנכסים היא דרך לביטוי אישיותו של האדם, והגנה על רצון זה, זו בעצם הגנה על אישיותו וחירותו.</w:t>
      </w:r>
      <w:r w:rsidR="003E5254">
        <w:rPr>
          <w:rFonts w:hint="cs"/>
          <w:rtl/>
        </w:rPr>
        <w:t xml:space="preserve"> ביטוי לתיאוריה זו בדין ניתן למצוא בחוקות שונות שכוללות את הזכות לקניין תחת חירויות היסוד של האדם.</w:t>
      </w:r>
    </w:p>
    <w:p w14:paraId="25EEC2C8" w14:textId="77777777" w:rsidR="00A727B2" w:rsidRDefault="00D9403C" w:rsidP="00F02CCA">
      <w:pPr>
        <w:pStyle w:val="a4"/>
        <w:numPr>
          <w:ilvl w:val="0"/>
          <w:numId w:val="8"/>
        </w:numPr>
        <w:spacing w:line="276" w:lineRule="auto"/>
      </w:pPr>
      <w:r>
        <w:rPr>
          <w:rFonts w:hint="cs"/>
          <w:b/>
          <w:bCs/>
          <w:rtl/>
        </w:rPr>
        <w:t>תיאורית התועלתיות</w:t>
      </w:r>
      <w:r>
        <w:rPr>
          <w:rFonts w:hint="cs"/>
          <w:rtl/>
        </w:rPr>
        <w:t xml:space="preserve">- </w:t>
      </w:r>
      <w:r w:rsidR="00AE7F74">
        <w:rPr>
          <w:rFonts w:hint="cs"/>
          <w:rtl/>
        </w:rPr>
        <w:t>לפיה הקניין הפרטי נחוץ כי הוא מועיל ל</w:t>
      </w:r>
      <w:r w:rsidR="00DC2847">
        <w:rPr>
          <w:rFonts w:hint="cs"/>
          <w:rtl/>
        </w:rPr>
        <w:t>השגת תכליות שאנו מעוניינים בהן. הקניין משרת אפוא את צרכי האדם ביחד לסביבה הסובבת אותו, מסיבה זו ניתן לראות את זכות הקניין כמקדמת את הרווחה החברתית.</w:t>
      </w:r>
      <w:r w:rsidR="00F05B07">
        <w:rPr>
          <w:rFonts w:hint="cs"/>
          <w:rtl/>
        </w:rPr>
        <w:t xml:space="preserve"> כבר בעבר עלתה טענה זו בצורה מעט שונה -</w:t>
      </w:r>
      <w:r w:rsidR="00C823AF">
        <w:rPr>
          <w:rFonts w:hint="cs"/>
          <w:rtl/>
        </w:rPr>
        <w:t>ההוצאות של האדם תחת גישה שאינה מכירה בקניין פרטי</w:t>
      </w:r>
      <w:r w:rsidR="00F05B07">
        <w:rPr>
          <w:rFonts w:hint="cs"/>
          <w:rtl/>
        </w:rPr>
        <w:t xml:space="preserve"> (אבטחה, גזלנים וכו'..)</w:t>
      </w:r>
      <w:r w:rsidR="00C823AF">
        <w:rPr>
          <w:rFonts w:hint="cs"/>
          <w:rtl/>
        </w:rPr>
        <w:t xml:space="preserve"> עולה על הוצאותיו בגישה שכן </w:t>
      </w:r>
      <w:r w:rsidR="00F05B07">
        <w:rPr>
          <w:rFonts w:hint="cs"/>
          <w:rtl/>
        </w:rPr>
        <w:t xml:space="preserve">מכירה בקניין פרטי.  טענה נוספת היא שללא קניין פרטי לא יושג ניצול </w:t>
      </w:r>
      <w:proofErr w:type="spellStart"/>
      <w:r w:rsidR="00F05B07">
        <w:rPr>
          <w:rFonts w:hint="cs"/>
          <w:rtl/>
        </w:rPr>
        <w:t>מירבי</w:t>
      </w:r>
      <w:proofErr w:type="spellEnd"/>
      <w:r w:rsidR="00F05B07">
        <w:rPr>
          <w:rFonts w:hint="cs"/>
          <w:rtl/>
        </w:rPr>
        <w:t xml:space="preserve"> של נכסים כי אין עבירות (אדם לא יוכל להעביר את הנכס שלו לאדם אחר שיעשה בו שימוש </w:t>
      </w:r>
      <w:proofErr w:type="spellStart"/>
      <w:r w:rsidR="00F05B07">
        <w:rPr>
          <w:rFonts w:hint="cs"/>
          <w:rtl/>
        </w:rPr>
        <w:t>מירבי</w:t>
      </w:r>
      <w:proofErr w:type="spellEnd"/>
      <w:r w:rsidR="00F05B07">
        <w:rPr>
          <w:rFonts w:hint="cs"/>
          <w:rtl/>
        </w:rPr>
        <w:t>).</w:t>
      </w:r>
    </w:p>
    <w:p w14:paraId="714AA2C7" w14:textId="77777777" w:rsidR="00C043E7" w:rsidRDefault="00A727B2" w:rsidP="00F02CCA">
      <w:pPr>
        <w:pStyle w:val="a4"/>
        <w:spacing w:line="276" w:lineRule="auto"/>
        <w:rPr>
          <w:rtl/>
        </w:rPr>
      </w:pPr>
      <w:r>
        <w:rPr>
          <w:rFonts w:hint="cs"/>
          <w:rtl/>
        </w:rPr>
        <w:t>ניתן למצוא ביטוי לגישה זו היום בדין למשל בדיני ההתיישנות, לפיהם אם אדם לא משתמש במקרקעין שלו תקופה ממושכת הוא יאבד את זכותו בנכס זה.</w:t>
      </w:r>
    </w:p>
    <w:p w14:paraId="01A18A63" w14:textId="434F01A1" w:rsidR="00D9403C" w:rsidRPr="00B80FE8" w:rsidRDefault="00C043E7" w:rsidP="00F02CCA">
      <w:pPr>
        <w:pStyle w:val="a4"/>
        <w:numPr>
          <w:ilvl w:val="0"/>
          <w:numId w:val="8"/>
        </w:numPr>
        <w:spacing w:line="276" w:lineRule="auto"/>
        <w:rPr>
          <w:rtl/>
        </w:rPr>
      </w:pPr>
      <w:r>
        <w:rPr>
          <w:rFonts w:hint="cs"/>
          <w:b/>
          <w:bCs/>
          <w:rtl/>
        </w:rPr>
        <w:t>תיאוריית הדין כמקור לקניין</w:t>
      </w:r>
      <w:r>
        <w:rPr>
          <w:rFonts w:hint="cs"/>
          <w:rtl/>
        </w:rPr>
        <w:t xml:space="preserve">- </w:t>
      </w:r>
      <w:r w:rsidR="000A1BE3">
        <w:rPr>
          <w:rFonts w:hint="cs"/>
          <w:rtl/>
        </w:rPr>
        <w:t>לפיהם מקור הקניין הוא לא בזכויות טבעיות או במקורות שרחוקים מהדין. לפי גישה זו, הזכות לקניין היא מה שייקבע בדין.</w:t>
      </w:r>
      <w:r w:rsidR="00F05B07">
        <w:rPr>
          <w:rFonts w:hint="cs"/>
          <w:rtl/>
        </w:rPr>
        <w:t xml:space="preserve"> </w:t>
      </w:r>
    </w:p>
    <w:p w14:paraId="418E51C7" w14:textId="0842F063" w:rsidR="007239F7" w:rsidRDefault="00B80FE8" w:rsidP="00F02CCA">
      <w:pPr>
        <w:spacing w:line="276" w:lineRule="auto"/>
        <w:rPr>
          <w:rtl/>
        </w:rPr>
      </w:pPr>
      <w:r>
        <w:rPr>
          <w:u w:val="single"/>
          <w:rtl/>
        </w:rPr>
        <w:br/>
      </w:r>
      <w:r w:rsidR="00585A2C">
        <w:rPr>
          <w:rFonts w:hint="cs"/>
          <w:u w:val="single"/>
          <w:rtl/>
        </w:rPr>
        <w:t>עמ' 43-71:</w:t>
      </w:r>
    </w:p>
    <w:p w14:paraId="0C5500B4" w14:textId="0D116164" w:rsidR="00585A2C" w:rsidRDefault="00AB49A2" w:rsidP="00F02CCA">
      <w:pPr>
        <w:pStyle w:val="a4"/>
        <w:numPr>
          <w:ilvl w:val="0"/>
          <w:numId w:val="3"/>
        </w:numPr>
        <w:spacing w:line="276" w:lineRule="auto"/>
      </w:pPr>
      <w:r>
        <w:rPr>
          <w:rFonts w:hint="cs"/>
          <w:rtl/>
        </w:rPr>
        <w:t xml:space="preserve">לפי </w:t>
      </w:r>
      <w:r w:rsidRPr="002F19DE">
        <w:rPr>
          <w:rFonts w:hint="cs"/>
          <w:b/>
          <w:bCs/>
          <w:rtl/>
        </w:rPr>
        <w:t>קראוס</w:t>
      </w:r>
      <w:r>
        <w:rPr>
          <w:rFonts w:hint="cs"/>
          <w:rtl/>
        </w:rPr>
        <w:t xml:space="preserve"> (</w:t>
      </w:r>
      <w:r>
        <w:t>Kruse</w:t>
      </w:r>
      <w:r>
        <w:rPr>
          <w:rFonts w:hint="cs"/>
          <w:rtl/>
        </w:rPr>
        <w:t>)- א</w:t>
      </w:r>
      <w:r>
        <w:rPr>
          <w:rtl/>
        </w:rPr>
        <w:t>ין</w:t>
      </w:r>
      <w:r>
        <w:rPr>
          <w:rFonts w:hint="cs"/>
          <w:rtl/>
        </w:rPr>
        <w:t xml:space="preserve"> </w:t>
      </w:r>
      <w:r w:rsidR="0026394E">
        <w:rPr>
          <w:rtl/>
        </w:rPr>
        <w:t>כללי משפט</w:t>
      </w:r>
      <w:r>
        <w:rPr>
          <w:rFonts w:hint="cs"/>
          <w:rtl/>
        </w:rPr>
        <w:t xml:space="preserve"> </w:t>
      </w:r>
      <w:r>
        <w:rPr>
          <w:rtl/>
        </w:rPr>
        <w:t>או</w:t>
      </w:r>
      <w:r>
        <w:rPr>
          <w:rFonts w:hint="cs"/>
          <w:rtl/>
        </w:rPr>
        <w:t xml:space="preserve"> </w:t>
      </w:r>
      <w:r>
        <w:rPr>
          <w:rtl/>
        </w:rPr>
        <w:t>עקרונות,</w:t>
      </w:r>
      <w:r>
        <w:rPr>
          <w:rFonts w:hint="cs"/>
          <w:rtl/>
        </w:rPr>
        <w:t xml:space="preserve"> </w:t>
      </w:r>
      <w:r>
        <w:rPr>
          <w:rtl/>
        </w:rPr>
        <w:t>המיוחדים</w:t>
      </w:r>
      <w:r>
        <w:rPr>
          <w:rFonts w:hint="cs"/>
          <w:rtl/>
        </w:rPr>
        <w:t xml:space="preserve"> </w:t>
      </w:r>
      <w:r>
        <w:rPr>
          <w:rtl/>
        </w:rPr>
        <w:t>לזכויות</w:t>
      </w:r>
      <w:r>
        <w:rPr>
          <w:rFonts w:hint="cs"/>
          <w:rtl/>
        </w:rPr>
        <w:t xml:space="preserve"> </w:t>
      </w:r>
      <w:r>
        <w:rPr>
          <w:rtl/>
        </w:rPr>
        <w:t>הקניין</w:t>
      </w:r>
      <w:r>
        <w:rPr>
          <w:rFonts w:hint="cs"/>
          <w:rtl/>
        </w:rPr>
        <w:t xml:space="preserve"> </w:t>
      </w:r>
      <w:r>
        <w:rPr>
          <w:rtl/>
        </w:rPr>
        <w:t>והשונים</w:t>
      </w:r>
      <w:r>
        <w:rPr>
          <w:rFonts w:hint="cs"/>
          <w:rtl/>
        </w:rPr>
        <w:t xml:space="preserve"> </w:t>
      </w:r>
      <w:r>
        <w:rPr>
          <w:rtl/>
        </w:rPr>
        <w:t>מן</w:t>
      </w:r>
      <w:r>
        <w:rPr>
          <w:rFonts w:hint="cs"/>
          <w:rtl/>
        </w:rPr>
        <w:t xml:space="preserve"> </w:t>
      </w:r>
      <w:r>
        <w:rPr>
          <w:rtl/>
        </w:rPr>
        <w:t>הכללים</w:t>
      </w:r>
      <w:r>
        <w:rPr>
          <w:rFonts w:hint="cs"/>
          <w:rtl/>
        </w:rPr>
        <w:t xml:space="preserve"> </w:t>
      </w:r>
      <w:r>
        <w:rPr>
          <w:rtl/>
        </w:rPr>
        <w:t>והעקרונות</w:t>
      </w:r>
      <w:r>
        <w:rPr>
          <w:rFonts w:hint="cs"/>
          <w:rtl/>
        </w:rPr>
        <w:t xml:space="preserve"> </w:t>
      </w:r>
      <w:r>
        <w:rPr>
          <w:rtl/>
        </w:rPr>
        <w:t>החלים</w:t>
      </w:r>
      <w:r>
        <w:rPr>
          <w:rFonts w:hint="cs"/>
          <w:rtl/>
        </w:rPr>
        <w:t xml:space="preserve"> </w:t>
      </w:r>
      <w:r>
        <w:rPr>
          <w:rtl/>
        </w:rPr>
        <w:t>על</w:t>
      </w:r>
      <w:r>
        <w:rPr>
          <w:rFonts w:hint="cs"/>
          <w:rtl/>
        </w:rPr>
        <w:t xml:space="preserve"> </w:t>
      </w:r>
      <w:r>
        <w:rPr>
          <w:rtl/>
        </w:rPr>
        <w:t>הזכויות</w:t>
      </w:r>
      <w:r>
        <w:rPr>
          <w:rFonts w:hint="cs"/>
          <w:rtl/>
        </w:rPr>
        <w:t xml:space="preserve"> </w:t>
      </w:r>
      <w:r>
        <w:rPr>
          <w:rtl/>
        </w:rPr>
        <w:t>האישיות</w:t>
      </w:r>
      <w:r>
        <w:rPr>
          <w:rFonts w:hint="cs"/>
          <w:rtl/>
        </w:rPr>
        <w:t>.</w:t>
      </w:r>
    </w:p>
    <w:p w14:paraId="011B5294" w14:textId="3F60A9C8" w:rsidR="002F19DE" w:rsidRDefault="002F19DE" w:rsidP="00F02CCA">
      <w:pPr>
        <w:pStyle w:val="a4"/>
        <w:numPr>
          <w:ilvl w:val="0"/>
          <w:numId w:val="3"/>
        </w:numPr>
        <w:spacing w:line="276" w:lineRule="auto"/>
      </w:pPr>
      <w:r>
        <w:rPr>
          <w:rFonts w:hint="cs"/>
          <w:rtl/>
        </w:rPr>
        <w:t xml:space="preserve">לפי </w:t>
      </w:r>
      <w:r w:rsidRPr="00847AA5">
        <w:rPr>
          <w:rFonts w:hint="cs"/>
          <w:b/>
          <w:bCs/>
          <w:rtl/>
        </w:rPr>
        <w:t>פרופ' גינוסר</w:t>
      </w:r>
      <w:r>
        <w:rPr>
          <w:rFonts w:hint="cs"/>
          <w:rtl/>
        </w:rPr>
        <w:t>- יש להתייחס לכל זכויות הקניין מלבד הבעלות כזכויות אישיות (דוחה את ההבחנה המסורתית בין קניין לחיוב).</w:t>
      </w:r>
    </w:p>
    <w:p w14:paraId="6ED1F292" w14:textId="15D2AE93" w:rsidR="002F19DE" w:rsidRDefault="002F19DE" w:rsidP="00F02CCA">
      <w:pPr>
        <w:pStyle w:val="a4"/>
        <w:numPr>
          <w:ilvl w:val="0"/>
          <w:numId w:val="3"/>
        </w:numPr>
        <w:spacing w:line="276" w:lineRule="auto"/>
      </w:pPr>
      <w:r>
        <w:rPr>
          <w:rFonts w:hint="cs"/>
          <w:rtl/>
        </w:rPr>
        <w:t>למונח 'זכות קניינית' אין משמעות אחידה ומוסכמת.</w:t>
      </w:r>
      <w:r w:rsidR="00843FF7">
        <w:rPr>
          <w:rFonts w:hint="cs"/>
          <w:rtl/>
        </w:rPr>
        <w:t xml:space="preserve"> התכונה המשותפת למרבית ההגדרות שניתנו היא המגמה לשקף באמצעות ההגדרה את השוני בין שני סוגי רכוש: אחד, </w:t>
      </w:r>
      <w:r w:rsidR="00BF5D23">
        <w:rPr>
          <w:rFonts w:hint="cs"/>
          <w:rtl/>
        </w:rPr>
        <w:t xml:space="preserve">מכונה זכות גברא/ אישית/ אובליגטורית/ חיוביות. הוא כולל </w:t>
      </w:r>
      <w:r w:rsidR="00843FF7">
        <w:rPr>
          <w:rFonts w:hint="cs"/>
          <w:rtl/>
        </w:rPr>
        <w:t xml:space="preserve">דברים שהאדם זכאי להם ביחסו כלפי אדם אחר (זכות מלווה </w:t>
      </w:r>
      <w:proofErr w:type="spellStart"/>
      <w:r w:rsidR="00843FF7">
        <w:rPr>
          <w:rFonts w:hint="cs"/>
          <w:rtl/>
        </w:rPr>
        <w:t>מלווה</w:t>
      </w:r>
      <w:proofErr w:type="spellEnd"/>
      <w:r w:rsidR="00843FF7">
        <w:rPr>
          <w:rFonts w:hint="cs"/>
          <w:rtl/>
        </w:rPr>
        <w:t xml:space="preserve">, זכות לרוכש דירה לקבלה מהקבלן וכו'...). שני, </w:t>
      </w:r>
      <w:r w:rsidR="0010495F">
        <w:rPr>
          <w:rFonts w:hint="cs"/>
          <w:rtl/>
        </w:rPr>
        <w:t xml:space="preserve">מכונה זכות </w:t>
      </w:r>
      <w:proofErr w:type="spellStart"/>
      <w:r w:rsidR="0010495F">
        <w:rPr>
          <w:rFonts w:hint="cs"/>
          <w:rtl/>
        </w:rPr>
        <w:t>חפצא</w:t>
      </w:r>
      <w:proofErr w:type="spellEnd"/>
      <w:r w:rsidR="0010495F">
        <w:rPr>
          <w:rFonts w:hint="cs"/>
          <w:rtl/>
        </w:rPr>
        <w:t>/ ריאלית/ קניינית. סוג רכוש זה עוקף את התלות בחייב מסוים (זכות נושה במשכון, בעלות דירה שנרכשה ע"י קבלן וכו'..).</w:t>
      </w:r>
    </w:p>
    <w:p w14:paraId="0B3BF80C" w14:textId="2EFF8C40" w:rsidR="002F19DE" w:rsidRDefault="00E87E6E" w:rsidP="00F02CCA">
      <w:pPr>
        <w:pStyle w:val="a4"/>
        <w:numPr>
          <w:ilvl w:val="0"/>
          <w:numId w:val="3"/>
        </w:numPr>
        <w:spacing w:line="276" w:lineRule="auto"/>
      </w:pPr>
      <w:r>
        <w:rPr>
          <w:rFonts w:hint="cs"/>
          <w:rtl/>
        </w:rPr>
        <w:lastRenderedPageBreak/>
        <w:t xml:space="preserve">זכויות קניין מספקות ביטחון רכושי שאינו תלוי באדם. </w:t>
      </w:r>
    </w:p>
    <w:p w14:paraId="1CB439D6" w14:textId="1C25B67D" w:rsidR="00D42052" w:rsidRDefault="00D42052" w:rsidP="00F02CCA">
      <w:pPr>
        <w:pStyle w:val="a4"/>
        <w:numPr>
          <w:ilvl w:val="0"/>
          <w:numId w:val="3"/>
        </w:numPr>
        <w:spacing w:line="276" w:lineRule="auto"/>
      </w:pPr>
      <w:r>
        <w:rPr>
          <w:rFonts w:hint="cs"/>
          <w:rtl/>
        </w:rPr>
        <w:t>שתי תכונות מרכזיות שמבטאות את משמעות הזיקה הישירה בין בעל זכות קניינית ובין הנכס:</w:t>
      </w:r>
    </w:p>
    <w:p w14:paraId="6DD69174" w14:textId="52E20C07" w:rsidR="00D42052" w:rsidRDefault="00D42052" w:rsidP="00F02CCA">
      <w:pPr>
        <w:pStyle w:val="a4"/>
        <w:numPr>
          <w:ilvl w:val="0"/>
          <w:numId w:val="4"/>
        </w:numPr>
        <w:spacing w:line="276" w:lineRule="auto"/>
      </w:pPr>
      <w:r>
        <w:rPr>
          <w:rFonts w:hint="cs"/>
          <w:u w:val="single"/>
          <w:rtl/>
        </w:rPr>
        <w:t>זכות העקיבה:</w:t>
      </w:r>
      <w:r>
        <w:rPr>
          <w:rFonts w:hint="cs"/>
          <w:rtl/>
        </w:rPr>
        <w:t xml:space="preserve"> מאפשרת לבעל זכות קניינית לעקוב אחרי הנכס, ולאכוף את זכותו כלפי כל אדם המחזיק בנכס.</w:t>
      </w:r>
    </w:p>
    <w:p w14:paraId="44F4453B" w14:textId="55104F11" w:rsidR="00D42052" w:rsidRDefault="00D42052" w:rsidP="00F02CCA">
      <w:pPr>
        <w:pStyle w:val="a4"/>
        <w:numPr>
          <w:ilvl w:val="0"/>
          <w:numId w:val="4"/>
        </w:numPr>
        <w:spacing w:line="276" w:lineRule="auto"/>
      </w:pPr>
      <w:r>
        <w:rPr>
          <w:rFonts w:hint="cs"/>
          <w:u w:val="single"/>
          <w:rtl/>
        </w:rPr>
        <w:t>זכות העדיפות:</w:t>
      </w:r>
      <w:r>
        <w:rPr>
          <w:rFonts w:hint="cs"/>
          <w:rtl/>
        </w:rPr>
        <w:t xml:space="preserve"> מעניקה לבעל הזכות הקניינית עדיפות על מי שירכוש אחריו זכויות קניין בנכס, ועל מי שיטען לזכות אישית ביחד לאותו נכס.</w:t>
      </w:r>
    </w:p>
    <w:p w14:paraId="5D00762F" w14:textId="1BEA57D8" w:rsidR="00C9283D" w:rsidRDefault="00C9283D" w:rsidP="00F02CCA">
      <w:pPr>
        <w:pStyle w:val="a4"/>
        <w:numPr>
          <w:ilvl w:val="0"/>
          <w:numId w:val="3"/>
        </w:numPr>
        <w:spacing w:line="276" w:lineRule="auto"/>
      </w:pPr>
      <w:r>
        <w:rPr>
          <w:rFonts w:hint="cs"/>
          <w:rtl/>
        </w:rPr>
        <w:t>הגדרות שונות לזכות הקניינית:</w:t>
      </w:r>
    </w:p>
    <w:p w14:paraId="6DB610EC" w14:textId="3AB593CF" w:rsidR="00847AA5" w:rsidRDefault="00847AA5" w:rsidP="00F02CCA">
      <w:pPr>
        <w:pStyle w:val="a4"/>
        <w:numPr>
          <w:ilvl w:val="0"/>
          <w:numId w:val="5"/>
        </w:numPr>
        <w:spacing w:line="276" w:lineRule="auto"/>
      </w:pPr>
      <w:r>
        <w:rPr>
          <w:rFonts w:hint="cs"/>
          <w:rtl/>
        </w:rPr>
        <w:t xml:space="preserve">לפי </w:t>
      </w:r>
      <w:r>
        <w:rPr>
          <w:rFonts w:hint="cs"/>
          <w:b/>
          <w:bCs/>
          <w:rtl/>
        </w:rPr>
        <w:t>בראון</w:t>
      </w:r>
      <w:r>
        <w:rPr>
          <w:rFonts w:hint="cs"/>
          <w:rtl/>
        </w:rPr>
        <w:t xml:space="preserve">- </w:t>
      </w:r>
      <w:r w:rsidR="00351E3E">
        <w:rPr>
          <w:rFonts w:hint="cs"/>
          <w:rtl/>
        </w:rPr>
        <w:t>'יחסו של האדם לנכסים פיזיים'. לפי המחבר זו טעות מכיוון שיחסו של האדם אל נכס יכול להיות מבוסס גם על זכות שאינה קניינית (למשל אישית).</w:t>
      </w:r>
    </w:p>
    <w:p w14:paraId="3602EA9D" w14:textId="7A4EDB5C" w:rsidR="00883DE9" w:rsidRDefault="00883DE9" w:rsidP="00F02CCA">
      <w:pPr>
        <w:pStyle w:val="a4"/>
        <w:numPr>
          <w:ilvl w:val="0"/>
          <w:numId w:val="5"/>
        </w:numPr>
        <w:spacing w:line="276" w:lineRule="auto"/>
      </w:pPr>
      <w:r>
        <w:rPr>
          <w:rFonts w:hint="cs"/>
          <w:rtl/>
        </w:rPr>
        <w:t xml:space="preserve">לפי </w:t>
      </w:r>
      <w:r>
        <w:rPr>
          <w:rFonts w:hint="cs"/>
          <w:b/>
          <w:bCs/>
          <w:rtl/>
        </w:rPr>
        <w:t>התיאוריה הקלאסית</w:t>
      </w:r>
      <w:r>
        <w:rPr>
          <w:rFonts w:hint="cs"/>
          <w:rtl/>
        </w:rPr>
        <w:t xml:space="preserve">- יש להבחין בין זכות אישית כלפי </w:t>
      </w:r>
      <w:r w:rsidRPr="004A3768">
        <w:rPr>
          <w:rFonts w:hint="cs"/>
          <w:u w:val="single"/>
          <w:rtl/>
        </w:rPr>
        <w:t>אדם מוגדר</w:t>
      </w:r>
      <w:r>
        <w:rPr>
          <w:rFonts w:hint="cs"/>
          <w:rtl/>
        </w:rPr>
        <w:t xml:space="preserve"> לבין ז</w:t>
      </w:r>
      <w:r w:rsidR="004A3768">
        <w:rPr>
          <w:rFonts w:hint="cs"/>
          <w:rtl/>
        </w:rPr>
        <w:t xml:space="preserve">כות שיש לאדם בנכס המחייבת את </w:t>
      </w:r>
      <w:r w:rsidR="004A3768">
        <w:rPr>
          <w:rFonts w:hint="cs"/>
          <w:u w:val="single"/>
          <w:rtl/>
        </w:rPr>
        <w:t>כולם</w:t>
      </w:r>
      <w:r>
        <w:rPr>
          <w:rFonts w:hint="cs"/>
          <w:rtl/>
        </w:rPr>
        <w:t xml:space="preserve">. </w:t>
      </w:r>
    </w:p>
    <w:p w14:paraId="3E424AB0" w14:textId="2C7CE49B" w:rsidR="00CD5AA3" w:rsidRDefault="00CD5AA3" w:rsidP="00F02CCA">
      <w:pPr>
        <w:pStyle w:val="a4"/>
        <w:numPr>
          <w:ilvl w:val="0"/>
          <w:numId w:val="5"/>
        </w:numPr>
        <w:spacing w:line="276" w:lineRule="auto"/>
      </w:pPr>
      <w:r>
        <w:rPr>
          <w:rFonts w:hint="cs"/>
          <w:rtl/>
        </w:rPr>
        <w:t xml:space="preserve">לפי </w:t>
      </w:r>
      <w:r>
        <w:rPr>
          <w:rFonts w:hint="cs"/>
          <w:b/>
          <w:bCs/>
          <w:rtl/>
        </w:rPr>
        <w:t>התיאוריה הפרסונלית</w:t>
      </w:r>
      <w:r>
        <w:rPr>
          <w:rFonts w:hint="cs"/>
          <w:rtl/>
        </w:rPr>
        <w:t>-</w:t>
      </w:r>
      <w:r w:rsidR="00480808">
        <w:rPr>
          <w:rFonts w:hint="cs"/>
          <w:rtl/>
        </w:rPr>
        <w:t xml:space="preserve"> מתנגדים להבדל בין זכות משפטית כלפי נכס לעומת זכות משפטית כלפי בן אדם. לפי גישה זו, יחסים משפטיים ייתכנו רק בין בני אדם</w:t>
      </w:r>
      <w:r w:rsidR="004A0716">
        <w:rPr>
          <w:rFonts w:hint="cs"/>
          <w:rtl/>
        </w:rPr>
        <w:t xml:space="preserve"> (כולל תאגידים). </w:t>
      </w:r>
      <w:r w:rsidR="00BB3E9F">
        <w:rPr>
          <w:rFonts w:hint="cs"/>
          <w:rtl/>
        </w:rPr>
        <w:t>לפי גישה זו, הבחנה בין זכות אישית וזכות קניינית נעוצה ביחס בין בעל הזכות לבין האנשים הכפופים לזכות</w:t>
      </w:r>
      <w:r w:rsidR="00315061">
        <w:rPr>
          <w:rFonts w:hint="cs"/>
          <w:rtl/>
        </w:rPr>
        <w:t xml:space="preserve"> (מבחינה מהותית אין הבדל בין זכות קניינית לאישית)</w:t>
      </w:r>
      <w:r w:rsidR="00A61224">
        <w:rPr>
          <w:rFonts w:hint="cs"/>
          <w:rtl/>
        </w:rPr>
        <w:t>, ההבדל היחיד הוא שבזכות אישית מול הזכות ניצב חייב מוגדר ומסוים וזכות קניינית מחייבת את הכל.</w:t>
      </w:r>
      <w:r w:rsidR="00F5240D">
        <w:rPr>
          <w:rFonts w:hint="cs"/>
          <w:rtl/>
        </w:rPr>
        <w:t xml:space="preserve"> כך הם מכנים זכות אישית כ'זכות יחסית' וזכות קניינית כ'זכות מוחלטת'.</w:t>
      </w:r>
    </w:p>
    <w:p w14:paraId="7B635FC3" w14:textId="0B811B43" w:rsidR="00992D85" w:rsidRDefault="00992D85" w:rsidP="00F02CCA">
      <w:pPr>
        <w:pStyle w:val="a4"/>
        <w:spacing w:line="276" w:lineRule="auto"/>
        <w:ind w:left="1080"/>
        <w:rPr>
          <w:rtl/>
        </w:rPr>
      </w:pPr>
      <w:r>
        <w:rPr>
          <w:rFonts w:hint="cs"/>
          <w:rtl/>
        </w:rPr>
        <w:t xml:space="preserve">עם זאת </w:t>
      </w:r>
      <w:r w:rsidR="00782EA9">
        <w:rPr>
          <w:rFonts w:hint="cs"/>
          <w:rtl/>
        </w:rPr>
        <w:t>להשלים תיאוריה זו יש צורך בתכונה</w:t>
      </w:r>
      <w:r>
        <w:rPr>
          <w:rFonts w:hint="cs"/>
          <w:rtl/>
        </w:rPr>
        <w:t xml:space="preserve"> נוספת:</w:t>
      </w:r>
      <w:r w:rsidR="00782EA9">
        <w:rPr>
          <w:rFonts w:hint="cs"/>
          <w:u w:val="single"/>
          <w:rtl/>
        </w:rPr>
        <w:t xml:space="preserve"> </w:t>
      </w:r>
      <w:proofErr w:type="spellStart"/>
      <w:r w:rsidR="00782EA9">
        <w:rPr>
          <w:rFonts w:hint="cs"/>
          <w:u w:val="single"/>
          <w:rtl/>
        </w:rPr>
        <w:t>ר</w:t>
      </w:r>
      <w:r w:rsidRPr="00782EA9">
        <w:rPr>
          <w:rFonts w:hint="cs"/>
          <w:u w:val="single"/>
          <w:rtl/>
        </w:rPr>
        <w:t>כושיות</w:t>
      </w:r>
      <w:proofErr w:type="spellEnd"/>
      <w:r w:rsidRPr="00782EA9">
        <w:rPr>
          <w:rFonts w:hint="cs"/>
          <w:u w:val="single"/>
          <w:rtl/>
        </w:rPr>
        <w:t>-</w:t>
      </w:r>
      <w:r>
        <w:rPr>
          <w:rFonts w:hint="cs"/>
          <w:rtl/>
        </w:rPr>
        <w:t xml:space="preserve"> זכויות </w:t>
      </w:r>
      <w:proofErr w:type="spellStart"/>
      <w:r>
        <w:rPr>
          <w:rFonts w:hint="cs"/>
          <w:rtl/>
        </w:rPr>
        <w:t>רכושיות</w:t>
      </w:r>
      <w:proofErr w:type="spellEnd"/>
      <w:r>
        <w:rPr>
          <w:rFonts w:hint="cs"/>
          <w:rtl/>
        </w:rPr>
        <w:t xml:space="preserve"> הן זכויות שניתן להעריך בכסף או לחלופין זכות שניתנת להעברה.</w:t>
      </w:r>
    </w:p>
    <w:p w14:paraId="7701B50F" w14:textId="6D60ECFF" w:rsidR="00992D85" w:rsidRDefault="007825CD" w:rsidP="00F02CCA">
      <w:pPr>
        <w:pStyle w:val="a4"/>
        <w:numPr>
          <w:ilvl w:val="0"/>
          <w:numId w:val="3"/>
        </w:numPr>
        <w:spacing w:line="276" w:lineRule="auto"/>
      </w:pPr>
      <w:r>
        <w:rPr>
          <w:rFonts w:hint="cs"/>
          <w:rtl/>
        </w:rPr>
        <w:t>"קניין ביושר"= בתקופת הבינים בין ההתחייבות להענקת הזכות הקניינית לבין העברת הבעלות.</w:t>
      </w:r>
      <w:r w:rsidR="00BD2478">
        <w:rPr>
          <w:rFonts w:hint="cs"/>
          <w:rtl/>
        </w:rPr>
        <w:t xml:space="preserve"> (לפי המאמר מדובר בזכות קניין).</w:t>
      </w:r>
    </w:p>
    <w:p w14:paraId="3A70DA30" w14:textId="6AB44E16" w:rsidR="006148FE" w:rsidRDefault="006148FE" w:rsidP="00F02CCA">
      <w:pPr>
        <w:pStyle w:val="a4"/>
        <w:numPr>
          <w:ilvl w:val="0"/>
          <w:numId w:val="3"/>
        </w:numPr>
        <w:spacing w:line="276" w:lineRule="auto"/>
      </w:pPr>
      <w:r>
        <w:rPr>
          <w:rFonts w:hint="cs"/>
          <w:rtl/>
        </w:rPr>
        <w:t>לרוב בזכות קניינית קיימת על הכלל חובת הימנעות ממעשה אך במקרים בודדים תיתכן חובה עשה.</w:t>
      </w:r>
    </w:p>
    <w:p w14:paraId="2224A545" w14:textId="65FBDA7B" w:rsidR="008427BA" w:rsidRDefault="008427BA" w:rsidP="00F02CCA">
      <w:pPr>
        <w:spacing w:line="276" w:lineRule="auto"/>
        <w:rPr>
          <w:rtl/>
        </w:rPr>
      </w:pPr>
      <w:r>
        <w:rPr>
          <w:rFonts w:hint="cs"/>
          <w:u w:val="single"/>
          <w:rtl/>
        </w:rPr>
        <w:t>עמ' 75-87:</w:t>
      </w:r>
    </w:p>
    <w:p w14:paraId="09F983AB" w14:textId="4AC6925A" w:rsidR="008427BA" w:rsidRDefault="006C40AA" w:rsidP="00F02CCA">
      <w:pPr>
        <w:pStyle w:val="a4"/>
        <w:numPr>
          <w:ilvl w:val="0"/>
          <w:numId w:val="6"/>
        </w:numPr>
        <w:spacing w:line="276" w:lineRule="auto"/>
      </w:pPr>
      <w:r>
        <w:rPr>
          <w:rFonts w:hint="cs"/>
          <w:rtl/>
        </w:rPr>
        <w:t xml:space="preserve">לפי דעת המחבר, </w:t>
      </w:r>
      <w:r w:rsidR="008427BA">
        <w:rPr>
          <w:rFonts w:hint="cs"/>
          <w:rtl/>
        </w:rPr>
        <w:t>הפרט אינו יכול ליצור זכויות קניין חדשות (בשל אי ידוע הכלל וחשש מפיצול נכסים). עם זאת נית</w:t>
      </w:r>
      <w:r>
        <w:rPr>
          <w:rFonts w:hint="cs"/>
          <w:rtl/>
        </w:rPr>
        <w:t>ן לעקוף זאת מעט באמצעות שכירות, משכון או זיקת ההנאה.</w:t>
      </w:r>
    </w:p>
    <w:p w14:paraId="3EE95898" w14:textId="4D1AE0E8" w:rsidR="007E6B7C" w:rsidRDefault="007E6B7C" w:rsidP="00F02CCA">
      <w:pPr>
        <w:pStyle w:val="a4"/>
        <w:numPr>
          <w:ilvl w:val="0"/>
          <w:numId w:val="6"/>
        </w:numPr>
        <w:spacing w:line="276" w:lineRule="auto"/>
      </w:pPr>
      <w:r>
        <w:rPr>
          <w:rFonts w:hint="cs"/>
          <w:rtl/>
        </w:rPr>
        <w:t xml:space="preserve">המשפט הישראלי אינו חד משמעי באשר </w:t>
      </w:r>
      <w:proofErr w:type="spellStart"/>
      <w:r>
        <w:rPr>
          <w:rFonts w:hint="cs"/>
          <w:rtl/>
        </w:rPr>
        <w:t>להאם</w:t>
      </w:r>
      <w:proofErr w:type="spellEnd"/>
      <w:r>
        <w:rPr>
          <w:rFonts w:hint="cs"/>
          <w:rtl/>
        </w:rPr>
        <w:t xml:space="preserve"> הזכות הקניינית מהווה רשימה סגורה, אך נראה כי הוא נוטה לכך שהיא סגורה.</w:t>
      </w:r>
      <w:r w:rsidR="00BF3780">
        <w:rPr>
          <w:rFonts w:hint="cs"/>
          <w:rtl/>
        </w:rPr>
        <w:t xml:space="preserve"> במשכון הוא הגדיר שהיא רשימה פתוחה, אך</w:t>
      </w:r>
      <w:r>
        <w:rPr>
          <w:rFonts w:hint="cs"/>
          <w:rtl/>
        </w:rPr>
        <w:t xml:space="preserve"> </w:t>
      </w:r>
      <w:r w:rsidR="00221676">
        <w:rPr>
          <w:rFonts w:hint="cs"/>
          <w:rtl/>
        </w:rPr>
        <w:t>באשר למקרקעין הוא הגדיר שהיא סגורה. הוא מאפשר גמישות מסוימת ע"י:</w:t>
      </w:r>
    </w:p>
    <w:p w14:paraId="5754CAC2" w14:textId="4307A940" w:rsidR="00221676" w:rsidRDefault="00221676" w:rsidP="00F02CCA">
      <w:pPr>
        <w:pStyle w:val="a4"/>
        <w:numPr>
          <w:ilvl w:val="0"/>
          <w:numId w:val="7"/>
        </w:numPr>
        <w:spacing w:line="276" w:lineRule="auto"/>
      </w:pPr>
      <w:r>
        <w:rPr>
          <w:rFonts w:hint="cs"/>
          <w:b/>
          <w:bCs/>
          <w:rtl/>
        </w:rPr>
        <w:t>זיקת ההנאה</w:t>
      </w:r>
      <w:r>
        <w:rPr>
          <w:rFonts w:hint="cs"/>
          <w:rtl/>
        </w:rPr>
        <w:t>.</w:t>
      </w:r>
    </w:p>
    <w:p w14:paraId="17F4C3CF" w14:textId="4DD22B6C" w:rsidR="00221676" w:rsidRDefault="00221676" w:rsidP="00F02CCA">
      <w:pPr>
        <w:pStyle w:val="a4"/>
        <w:numPr>
          <w:ilvl w:val="0"/>
          <w:numId w:val="7"/>
        </w:numPr>
        <w:spacing w:line="276" w:lineRule="auto"/>
      </w:pPr>
      <w:r>
        <w:rPr>
          <w:rFonts w:hint="cs"/>
          <w:b/>
          <w:bCs/>
          <w:rtl/>
        </w:rPr>
        <w:t>תקנון בית משותף</w:t>
      </w:r>
      <w:r>
        <w:rPr>
          <w:rFonts w:hint="cs"/>
          <w:rtl/>
        </w:rPr>
        <w:t xml:space="preserve"> (ועד בית).</w:t>
      </w:r>
    </w:p>
    <w:p w14:paraId="12D8A694" w14:textId="49BDE90F" w:rsidR="00221676" w:rsidRDefault="00221676" w:rsidP="00F02CCA">
      <w:pPr>
        <w:pStyle w:val="a4"/>
        <w:numPr>
          <w:ilvl w:val="0"/>
          <w:numId w:val="7"/>
        </w:numPr>
        <w:spacing w:line="276" w:lineRule="auto"/>
      </w:pPr>
      <w:r>
        <w:rPr>
          <w:rFonts w:hint="cs"/>
          <w:b/>
          <w:bCs/>
          <w:rtl/>
        </w:rPr>
        <w:t xml:space="preserve">הסכם שיתוף </w:t>
      </w:r>
      <w:r>
        <w:rPr>
          <w:rFonts w:hint="cs"/>
          <w:rtl/>
        </w:rPr>
        <w:t>(שותפים במקרקעין).</w:t>
      </w:r>
    </w:p>
    <w:p w14:paraId="15A2BD04" w14:textId="5DFDAD40" w:rsidR="00221676" w:rsidRDefault="00221676" w:rsidP="00F02CCA">
      <w:pPr>
        <w:pStyle w:val="a4"/>
        <w:numPr>
          <w:ilvl w:val="0"/>
          <w:numId w:val="7"/>
        </w:numPr>
        <w:spacing w:line="276" w:lineRule="auto"/>
      </w:pPr>
      <w:r>
        <w:rPr>
          <w:rFonts w:hint="cs"/>
          <w:b/>
          <w:bCs/>
          <w:rtl/>
        </w:rPr>
        <w:t>שכירות</w:t>
      </w:r>
      <w:r>
        <w:rPr>
          <w:rFonts w:hint="cs"/>
          <w:rtl/>
        </w:rPr>
        <w:t>.</w:t>
      </w:r>
    </w:p>
    <w:p w14:paraId="67EC636A" w14:textId="77777777" w:rsidR="00BF3780" w:rsidRPr="008427BA" w:rsidRDefault="00BF3780" w:rsidP="00F02CCA">
      <w:pPr>
        <w:pStyle w:val="a4"/>
        <w:spacing w:line="276" w:lineRule="auto"/>
        <w:ind w:left="1080"/>
      </w:pPr>
    </w:p>
    <w:p w14:paraId="5F9F185C" w14:textId="74EE83DC" w:rsidR="00992D85" w:rsidRDefault="00302476" w:rsidP="00F02CCA">
      <w:pPr>
        <w:spacing w:line="276" w:lineRule="auto"/>
        <w:rPr>
          <w:sz w:val="28"/>
          <w:szCs w:val="28"/>
          <w:rtl/>
        </w:rPr>
      </w:pPr>
      <w:r>
        <w:rPr>
          <w:rFonts w:hint="cs"/>
          <w:b/>
          <w:bCs/>
          <w:sz w:val="28"/>
          <w:szCs w:val="28"/>
          <w:u w:val="single"/>
          <w:rtl/>
        </w:rPr>
        <w:t xml:space="preserve">פס"ד </w:t>
      </w:r>
      <w:proofErr w:type="spellStart"/>
      <w:r>
        <w:rPr>
          <w:rFonts w:hint="cs"/>
          <w:b/>
          <w:bCs/>
          <w:sz w:val="28"/>
          <w:szCs w:val="28"/>
          <w:u w:val="single"/>
          <w:rtl/>
        </w:rPr>
        <w:t>אלוניאל</w:t>
      </w:r>
      <w:proofErr w:type="spellEnd"/>
      <w:r>
        <w:rPr>
          <w:rFonts w:hint="cs"/>
          <w:b/>
          <w:bCs/>
          <w:sz w:val="28"/>
          <w:szCs w:val="28"/>
          <w:u w:val="single"/>
          <w:rtl/>
        </w:rPr>
        <w:t xml:space="preserve"> נ' </w:t>
      </w:r>
      <w:proofErr w:type="spellStart"/>
      <w:r>
        <w:rPr>
          <w:rFonts w:hint="cs"/>
          <w:b/>
          <w:bCs/>
          <w:sz w:val="28"/>
          <w:szCs w:val="28"/>
          <w:u w:val="single"/>
          <w:rtl/>
        </w:rPr>
        <w:t>מקדונלדס</w:t>
      </w:r>
      <w:proofErr w:type="spellEnd"/>
      <w:r>
        <w:rPr>
          <w:rFonts w:hint="cs"/>
          <w:b/>
          <w:bCs/>
          <w:sz w:val="28"/>
          <w:szCs w:val="28"/>
          <w:u w:val="single"/>
          <w:rtl/>
        </w:rPr>
        <w:t>:</w:t>
      </w:r>
    </w:p>
    <w:p w14:paraId="7D4577F8" w14:textId="6C78A06C" w:rsidR="00302476" w:rsidRDefault="00302476" w:rsidP="00F02CCA">
      <w:pPr>
        <w:spacing w:line="276" w:lineRule="auto"/>
        <w:rPr>
          <w:rtl/>
        </w:rPr>
      </w:pPr>
      <w:r>
        <w:rPr>
          <w:rFonts w:hint="cs"/>
          <w:u w:val="single"/>
          <w:rtl/>
        </w:rPr>
        <w:t>הסיפור העובדתי:</w:t>
      </w:r>
    </w:p>
    <w:p w14:paraId="6AAF32D0" w14:textId="743889B1" w:rsidR="00302476" w:rsidRDefault="00302476" w:rsidP="00F02CCA">
      <w:pPr>
        <w:pStyle w:val="a4"/>
        <w:numPr>
          <w:ilvl w:val="0"/>
          <w:numId w:val="9"/>
        </w:numPr>
        <w:spacing w:line="276" w:lineRule="auto"/>
        <w:rPr>
          <w:rtl/>
        </w:rPr>
      </w:pPr>
      <w:r>
        <w:rPr>
          <w:rFonts w:hint="cs"/>
          <w:rtl/>
        </w:rPr>
        <w:t xml:space="preserve">למשיב קראו אריאל מקדונלד והוא היה שחקן כדורסל שהגיע מארצות הבית ושיחק בליגת העל בישראל. המערערת היא חברת </w:t>
      </w:r>
      <w:proofErr w:type="spellStart"/>
      <w:r>
        <w:rPr>
          <w:rFonts w:hint="cs"/>
          <w:rtl/>
        </w:rPr>
        <w:t>אלוניאל</w:t>
      </w:r>
      <w:proofErr w:type="spellEnd"/>
      <w:r>
        <w:rPr>
          <w:rFonts w:hint="cs"/>
          <w:rtl/>
        </w:rPr>
        <w:t>, והיא הזכיינית של רשת המזון המהיר '</w:t>
      </w:r>
      <w:proofErr w:type="spellStart"/>
      <w:r>
        <w:rPr>
          <w:rFonts w:hint="cs"/>
          <w:rtl/>
        </w:rPr>
        <w:t>מקדונלדס</w:t>
      </w:r>
      <w:proofErr w:type="spellEnd"/>
      <w:r>
        <w:rPr>
          <w:rFonts w:hint="cs"/>
          <w:rtl/>
        </w:rPr>
        <w:t>', אשר מתחרה ברשת 'בורגר קינג'.</w:t>
      </w:r>
    </w:p>
    <w:p w14:paraId="380746DC" w14:textId="3B85BB59" w:rsidR="006E6FA2" w:rsidRDefault="006E6FA2" w:rsidP="00F02CCA">
      <w:pPr>
        <w:pStyle w:val="a4"/>
        <w:numPr>
          <w:ilvl w:val="0"/>
          <w:numId w:val="9"/>
        </w:numPr>
        <w:spacing w:line="276" w:lineRule="auto"/>
        <w:rPr>
          <w:rtl/>
        </w:rPr>
      </w:pPr>
      <w:r>
        <w:rPr>
          <w:rFonts w:hint="cs"/>
          <w:rtl/>
        </w:rPr>
        <w:t>אריאל התקשר בחוזה עם חברת בורגר ק</w:t>
      </w:r>
      <w:r w:rsidR="00A406B5">
        <w:rPr>
          <w:rFonts w:hint="cs"/>
          <w:rtl/>
        </w:rPr>
        <w:t xml:space="preserve">ינג והשתתף בפרסומת עבור החברה אשר מציגה בצורה מתוחכמת שאדם ששמו מקדונלד אוכל בברגר קינג. </w:t>
      </w:r>
    </w:p>
    <w:p w14:paraId="147110A3" w14:textId="704C002E" w:rsidR="00517787" w:rsidRDefault="00517787" w:rsidP="00F02CCA">
      <w:pPr>
        <w:pStyle w:val="a4"/>
        <w:numPr>
          <w:ilvl w:val="0"/>
          <w:numId w:val="9"/>
        </w:numPr>
        <w:spacing w:line="276" w:lineRule="auto"/>
        <w:rPr>
          <w:rtl/>
        </w:rPr>
      </w:pPr>
      <w:r>
        <w:rPr>
          <w:rFonts w:hint="cs"/>
          <w:rtl/>
        </w:rPr>
        <w:t xml:space="preserve">כתגובה לפרסומת זאת, הוציאה רשת מקדונלד פרסומת שהציגה ראיון ישן שם אריאל שם נאמר שהוא אוכל </w:t>
      </w:r>
      <w:proofErr w:type="spellStart"/>
      <w:r>
        <w:rPr>
          <w:rFonts w:hint="cs"/>
          <w:rtl/>
        </w:rPr>
        <w:t>במקדונלדס</w:t>
      </w:r>
      <w:proofErr w:type="spellEnd"/>
      <w:r>
        <w:rPr>
          <w:rFonts w:hint="cs"/>
          <w:rtl/>
        </w:rPr>
        <w:t>.</w:t>
      </w:r>
    </w:p>
    <w:p w14:paraId="2EAFE0DE" w14:textId="34BCB200" w:rsidR="00517787" w:rsidRDefault="00517787" w:rsidP="00F02CCA">
      <w:pPr>
        <w:pStyle w:val="a4"/>
        <w:numPr>
          <w:ilvl w:val="0"/>
          <w:numId w:val="9"/>
        </w:numPr>
        <w:spacing w:line="276" w:lineRule="auto"/>
        <w:rPr>
          <w:rtl/>
        </w:rPr>
      </w:pPr>
      <w:r>
        <w:rPr>
          <w:rFonts w:hint="cs"/>
          <w:rtl/>
        </w:rPr>
        <w:t xml:space="preserve">אריאל פנה למערערות 2 ו4 (שהן זכייניות בערוץ 2 שם שודרה הפרסומת של </w:t>
      </w:r>
      <w:proofErr w:type="spellStart"/>
      <w:r>
        <w:rPr>
          <w:rFonts w:hint="cs"/>
          <w:rtl/>
        </w:rPr>
        <w:t>מקדונלדס</w:t>
      </w:r>
      <w:proofErr w:type="spellEnd"/>
      <w:r>
        <w:rPr>
          <w:rFonts w:hint="cs"/>
          <w:rtl/>
        </w:rPr>
        <w:t>) בטענה שיורידו את הפרסומת מכי</w:t>
      </w:r>
      <w:r w:rsidR="00624DB9">
        <w:rPr>
          <w:rFonts w:hint="cs"/>
          <w:rtl/>
        </w:rPr>
        <w:t>וון שהיא משתמשת בשמ</w:t>
      </w:r>
      <w:r w:rsidR="00E71232">
        <w:rPr>
          <w:rFonts w:hint="cs"/>
          <w:rtl/>
        </w:rPr>
        <w:t>ו ללא הסכמתו, הם סירבו והמשיכו לשדר את הפרסומת.</w:t>
      </w:r>
    </w:p>
    <w:p w14:paraId="46058171" w14:textId="4DF245B4" w:rsidR="00073D8B" w:rsidRDefault="00073D8B" w:rsidP="00F02CCA">
      <w:pPr>
        <w:pStyle w:val="a4"/>
        <w:numPr>
          <w:ilvl w:val="0"/>
          <w:numId w:val="9"/>
        </w:numPr>
        <w:spacing w:line="276" w:lineRule="auto"/>
      </w:pPr>
      <w:r>
        <w:rPr>
          <w:rFonts w:hint="cs"/>
          <w:rtl/>
        </w:rPr>
        <w:t>חמישה ימים אחרי שכבר הופסק שידור הפרסומת (בלי קשר לבקשת אריאל), הוא הגיש תביעה כנגד המערערות ובמקביל בקשה לצו מניעה לשידור הפרסומת (שניתן) למרות שכבר הפרסומת ירדה מהשידור.</w:t>
      </w:r>
      <w:r w:rsidR="00D70315">
        <w:rPr>
          <w:rFonts w:hint="cs"/>
          <w:rtl/>
        </w:rPr>
        <w:t xml:space="preserve"> אריאל טען בתביעתו כי המערערות פגעו בזכותו לפרטיות, גרמו נזק למוניטין שלו, </w:t>
      </w:r>
      <w:r w:rsidR="00D70315" w:rsidRPr="00107C86">
        <w:rPr>
          <w:rtl/>
        </w:rPr>
        <w:t>ביצעו כלפיו מעשה העולה לכדי העוולה של גרם הפרת חוזה וכי בפעולותיהן עשו עושר ולא במשפט.</w:t>
      </w:r>
    </w:p>
    <w:p w14:paraId="6268FADB" w14:textId="29C7F37F" w:rsidR="006F2C5C" w:rsidRPr="006F2C5C" w:rsidRDefault="006F2C5C" w:rsidP="00F02CCA">
      <w:pPr>
        <w:spacing w:line="276" w:lineRule="auto"/>
        <w:rPr>
          <w:u w:val="single"/>
          <w:rtl/>
        </w:rPr>
      </w:pPr>
      <w:r w:rsidRPr="006F2C5C">
        <w:rPr>
          <w:rFonts w:hint="cs"/>
          <w:u w:val="single"/>
          <w:rtl/>
        </w:rPr>
        <w:t>ביהמ"ש המחוזי:</w:t>
      </w:r>
    </w:p>
    <w:p w14:paraId="60D29A79" w14:textId="6C325094" w:rsidR="00B06CC2" w:rsidRDefault="00B06CC2" w:rsidP="00F02CCA">
      <w:pPr>
        <w:pStyle w:val="a4"/>
        <w:numPr>
          <w:ilvl w:val="0"/>
          <w:numId w:val="9"/>
        </w:numPr>
        <w:spacing w:line="276" w:lineRule="auto"/>
        <w:rPr>
          <w:rtl/>
        </w:rPr>
      </w:pPr>
      <w:r>
        <w:rPr>
          <w:rFonts w:hint="cs"/>
          <w:rtl/>
        </w:rPr>
        <w:lastRenderedPageBreak/>
        <w:t>ביהמ"ש המחוזי החליט כי השימוש ב"הרגלי האכילה" של אריאל לשם מטרות רווח הינה פגיעה בפרטיות שלו ופסק לטובתו.</w:t>
      </w:r>
      <w:r w:rsidR="00CE7503">
        <w:rPr>
          <w:rFonts w:hint="cs"/>
          <w:rtl/>
        </w:rPr>
        <w:t xml:space="preserve"> ביהמ"ש בחן ושלל את כל ההגנות הקיימות בחוק </w:t>
      </w:r>
      <w:r w:rsidR="00287334">
        <w:rPr>
          <w:rFonts w:hint="cs"/>
          <w:rtl/>
        </w:rPr>
        <w:t>להגנת הפרטיות.</w:t>
      </w:r>
      <w:r w:rsidR="00622F22">
        <w:rPr>
          <w:rFonts w:hint="cs"/>
          <w:rtl/>
        </w:rPr>
        <w:t xml:space="preserve"> אמנם הפרסומת של </w:t>
      </w:r>
      <w:proofErr w:type="spellStart"/>
      <w:r w:rsidR="00622F22">
        <w:rPr>
          <w:rFonts w:hint="cs"/>
          <w:rtl/>
        </w:rPr>
        <w:t>מקדונלדס</w:t>
      </w:r>
      <w:proofErr w:type="spellEnd"/>
      <w:r w:rsidR="00622F22">
        <w:rPr>
          <w:rFonts w:hint="cs"/>
          <w:rtl/>
        </w:rPr>
        <w:t xml:space="preserve"> הייתה כתגובה לפרסומת של בורגר קינג, אך לטענת ביהמ"ש התגובה לא הייתה מידתית והפגיעה בזכות לפרטיות לא הייתה סבירה.</w:t>
      </w:r>
    </w:p>
    <w:p w14:paraId="4590CC20" w14:textId="1E942C3B" w:rsidR="00AB1644" w:rsidRDefault="00AB1644" w:rsidP="00F02CCA">
      <w:pPr>
        <w:pStyle w:val="a4"/>
        <w:numPr>
          <w:ilvl w:val="0"/>
          <w:numId w:val="9"/>
        </w:numPr>
        <w:spacing w:line="276" w:lineRule="auto"/>
        <w:rPr>
          <w:rtl/>
        </w:rPr>
      </w:pPr>
      <w:r>
        <w:rPr>
          <w:rFonts w:hint="cs"/>
          <w:rtl/>
        </w:rPr>
        <w:t xml:space="preserve">בנוסף נפסק ע"י ביהמ"ש כי הייתה פגיעה בזכותו לקניין. </w:t>
      </w:r>
      <w:r w:rsidR="007A7C66">
        <w:rPr>
          <w:rFonts w:hint="cs"/>
          <w:rtl/>
        </w:rPr>
        <w:t>כמו כן,</w:t>
      </w:r>
      <w:r>
        <w:rPr>
          <w:rFonts w:hint="cs"/>
          <w:rtl/>
        </w:rPr>
        <w:t xml:space="preserve"> קבע ביהמ"ש כי התשדיר היה לשון הרע נגד אריאל. </w:t>
      </w:r>
      <w:r w:rsidRPr="00107C86">
        <w:rPr>
          <w:rtl/>
        </w:rPr>
        <w:t>. תשדירי הפרסומת פגעו, כך סבר בית</w:t>
      </w:r>
      <w:r w:rsidRPr="006F2C5C">
        <w:rPr>
          <w:position w:val="4"/>
          <w:rtl/>
        </w:rPr>
        <w:t>-</w:t>
      </w:r>
      <w:r w:rsidRPr="00107C86">
        <w:rPr>
          <w:rtl/>
        </w:rPr>
        <w:t>המשפט, בתדמיתו של אריאל בקרב ציבור המפרסמים בארץ</w:t>
      </w:r>
      <w:r>
        <w:rPr>
          <w:rFonts w:hint="cs"/>
          <w:rtl/>
        </w:rPr>
        <w:t>.</w:t>
      </w:r>
    </w:p>
    <w:p w14:paraId="2C113122" w14:textId="343C8A7B" w:rsidR="007A7C66" w:rsidRDefault="007A7C66" w:rsidP="00F02CCA">
      <w:pPr>
        <w:pStyle w:val="a4"/>
        <w:numPr>
          <w:ilvl w:val="0"/>
          <w:numId w:val="9"/>
        </w:numPr>
        <w:spacing w:line="276" w:lineRule="auto"/>
      </w:pPr>
      <w:r w:rsidRPr="00107C86">
        <w:rPr>
          <w:rtl/>
        </w:rPr>
        <w:t>לבסוף קבע בית</w:t>
      </w:r>
      <w:r w:rsidRPr="006F2C5C">
        <w:rPr>
          <w:position w:val="4"/>
          <w:rtl/>
        </w:rPr>
        <w:t>-</w:t>
      </w:r>
      <w:r w:rsidRPr="00107C86">
        <w:rPr>
          <w:rtl/>
        </w:rPr>
        <w:t>המשפט כי לאריאל עומדת גם עילת תביעה מכוח דיני עשיית עושר ולא במשפט, משום שהמערערות כולן הפיקו רווח משידור הפרסומת מטעם מקדונלד'ס, והתעשרותן זו נבעה ישירות מהשימוש בשמו של אריאל, והכול שלא על</w:t>
      </w:r>
      <w:r w:rsidRPr="006F2C5C">
        <w:rPr>
          <w:position w:val="4"/>
          <w:rtl/>
        </w:rPr>
        <w:t>-</w:t>
      </w:r>
      <w:r w:rsidRPr="00107C86">
        <w:rPr>
          <w:rtl/>
        </w:rPr>
        <w:t>פי דין, ואף בניגוד לדין.</w:t>
      </w:r>
    </w:p>
    <w:p w14:paraId="119959E4" w14:textId="29C1EA88" w:rsidR="006F2C5C" w:rsidRDefault="006F2C5C" w:rsidP="00F02CCA">
      <w:pPr>
        <w:spacing w:line="276" w:lineRule="auto"/>
        <w:rPr>
          <w:rtl/>
        </w:rPr>
      </w:pPr>
      <w:r>
        <w:rPr>
          <w:rFonts w:hint="cs"/>
          <w:u w:val="single"/>
          <w:rtl/>
        </w:rPr>
        <w:t>הפס"ד של השופט ריבלין:</w:t>
      </w:r>
    </w:p>
    <w:p w14:paraId="0F4F3336" w14:textId="332269AB" w:rsidR="006F2C5C" w:rsidRDefault="00FD2D62" w:rsidP="00F02CCA">
      <w:pPr>
        <w:pStyle w:val="a4"/>
        <w:numPr>
          <w:ilvl w:val="0"/>
          <w:numId w:val="10"/>
        </w:numPr>
        <w:spacing w:line="276" w:lineRule="auto"/>
      </w:pPr>
      <w:r>
        <w:rPr>
          <w:rFonts w:hint="cs"/>
          <w:rtl/>
        </w:rPr>
        <w:t>מתנגד להחלטת ביהמ"ש המחוזי על פגיעה בזכות לפרטיות.</w:t>
      </w:r>
      <w:r w:rsidR="004D2296">
        <w:rPr>
          <w:rFonts w:hint="cs"/>
          <w:rtl/>
        </w:rPr>
        <w:t xml:space="preserve"> הזכות לפרטיות היא "הזכות להיעזב לנפשך", עם זאת, אריאל הוא ידוען שבוחר להציג את עצמו לציבור פרסומות, ואף בוחר להציג לציבור את העדפות המזון שלו (בפרסומת לבורגר קינג). ולכן לפי הנסיבות אין במקרה זה פגיעה בפרטיות.</w:t>
      </w:r>
      <w:r w:rsidR="007E097D">
        <w:rPr>
          <w:rFonts w:hint="cs"/>
          <w:rtl/>
        </w:rPr>
        <w:t xml:space="preserve"> הזכות לפרטיות מנסה להגן מפני נזק נפשי ולא מפני נזק כלכלי.</w:t>
      </w:r>
    </w:p>
    <w:p w14:paraId="66352CB4" w14:textId="74335EBB" w:rsidR="004574E3" w:rsidRPr="004574E3" w:rsidRDefault="008450C1" w:rsidP="00F02CCA">
      <w:pPr>
        <w:pStyle w:val="a5"/>
        <w:numPr>
          <w:ilvl w:val="0"/>
          <w:numId w:val="10"/>
        </w:numPr>
        <w:spacing w:line="276" w:lineRule="auto"/>
        <w:rPr>
          <w:rFonts w:ascii="David" w:eastAsiaTheme="minorHAnsi" w:hAnsi="David" w:cs="David"/>
          <w:sz w:val="24"/>
          <w:rtl/>
          <w:lang w:eastAsia="en-US"/>
        </w:rPr>
      </w:pPr>
      <w:r w:rsidRPr="004574E3">
        <w:rPr>
          <w:rFonts w:ascii="David" w:eastAsiaTheme="minorHAnsi" w:hAnsi="David" w:cs="David" w:hint="cs"/>
          <w:sz w:val="24"/>
          <w:rtl/>
          <w:lang w:eastAsia="en-US"/>
        </w:rPr>
        <w:t>הזכות לעשות שימוש מסחרי בשמך היא עבירה (לעומת הזכות לפרטיות שהיא אינה עבירה).</w:t>
      </w:r>
      <w:r w:rsidR="004574E3" w:rsidRPr="004574E3">
        <w:rPr>
          <w:rFonts w:ascii="David" w:eastAsiaTheme="minorHAnsi" w:hAnsi="David" w:cs="David" w:hint="cs"/>
          <w:sz w:val="24"/>
          <w:rtl/>
          <w:lang w:eastAsia="en-US"/>
        </w:rPr>
        <w:t xml:space="preserve"> </w:t>
      </w:r>
      <w:r w:rsidR="003B42B1">
        <w:rPr>
          <w:rFonts w:ascii="David" w:eastAsiaTheme="minorHAnsi" w:hAnsi="David" w:cs="David" w:hint="cs"/>
          <w:sz w:val="24"/>
          <w:rtl/>
          <w:lang w:eastAsia="en-US"/>
        </w:rPr>
        <w:t>האדם</w:t>
      </w:r>
      <w:r w:rsidR="004574E3" w:rsidRPr="004574E3">
        <w:rPr>
          <w:rFonts w:ascii="David" w:eastAsiaTheme="minorHAnsi" w:hAnsi="David" w:cs="David"/>
          <w:sz w:val="24"/>
          <w:rtl/>
          <w:lang w:eastAsia="en-US"/>
        </w:rPr>
        <w:t xml:space="preserve"> יכול (ומעוניין) להעניק לצד ג' רישיון שיאפשר לו לעשות שימוש בלעדי בשמו או אף למכור לו את הזכות לשימוש שכזה. גם צד ג' זה ראוי להגנה, שרק היא תבטיח, בעבור הידוען, את ערך השוק של זכותו. </w:t>
      </w:r>
    </w:p>
    <w:p w14:paraId="4A3C8629" w14:textId="5347C95D" w:rsidR="008450C1" w:rsidRDefault="0012787B" w:rsidP="00F02CCA">
      <w:pPr>
        <w:pStyle w:val="a4"/>
        <w:numPr>
          <w:ilvl w:val="0"/>
          <w:numId w:val="10"/>
        </w:numPr>
        <w:spacing w:after="0" w:line="276" w:lineRule="auto"/>
      </w:pPr>
      <w:r w:rsidRPr="0012787B">
        <w:rPr>
          <w:b/>
          <w:bCs/>
          <w:rtl/>
        </w:rPr>
        <w:t>הזכות לפרסום</w:t>
      </w:r>
      <w:r w:rsidRPr="00107C86">
        <w:rPr>
          <w:rtl/>
        </w:rPr>
        <w:t xml:space="preserve"> היא אפוא זכות כלכלית הנתונה לאדם לסחור ב"פרסונה" שלו – בדמותו, בקולו ובשמו. היא מקנה לאדם שליטה מונופוליסטית על השימוש שייעשה בדמותו, בקולו ובשמו לצורכי מסחר וקידום מכירות.</w:t>
      </w:r>
      <w:r w:rsidR="00F50249">
        <w:rPr>
          <w:rFonts w:hint="cs"/>
          <w:rtl/>
        </w:rPr>
        <w:t xml:space="preserve"> </w:t>
      </w:r>
    </w:p>
    <w:p w14:paraId="0404D692" w14:textId="0A09ACBE" w:rsidR="00F50249" w:rsidRDefault="00F50249" w:rsidP="00F02CCA">
      <w:pPr>
        <w:spacing w:line="276" w:lineRule="auto"/>
        <w:ind w:firstLine="720"/>
        <w:rPr>
          <w:rtl/>
        </w:rPr>
      </w:pPr>
      <w:r>
        <w:rPr>
          <w:rFonts w:hint="cs"/>
          <w:rtl/>
        </w:rPr>
        <w:t>ההצדקות לקיומה:</w:t>
      </w:r>
    </w:p>
    <w:p w14:paraId="3034BB9B" w14:textId="34283461" w:rsidR="00F50249" w:rsidRDefault="0004596F" w:rsidP="00F02CCA">
      <w:pPr>
        <w:pStyle w:val="a4"/>
        <w:numPr>
          <w:ilvl w:val="0"/>
          <w:numId w:val="11"/>
        </w:numPr>
        <w:spacing w:line="276" w:lineRule="auto"/>
      </w:pPr>
      <w:r>
        <w:rPr>
          <w:rFonts w:hint="cs"/>
          <w:rtl/>
        </w:rPr>
        <w:t xml:space="preserve">הצדקה </w:t>
      </w:r>
      <w:proofErr w:type="spellStart"/>
      <w:r>
        <w:rPr>
          <w:rFonts w:hint="cs"/>
          <w:rtl/>
        </w:rPr>
        <w:t>לוקיאנית</w:t>
      </w:r>
      <w:proofErr w:type="spellEnd"/>
      <w:r w:rsidR="00A75132">
        <w:rPr>
          <w:rFonts w:hint="cs"/>
          <w:rtl/>
        </w:rPr>
        <w:t xml:space="preserve"> (תורת העבודה)</w:t>
      </w:r>
      <w:r>
        <w:rPr>
          <w:rFonts w:hint="cs"/>
          <w:rtl/>
        </w:rPr>
        <w:t xml:space="preserve">- </w:t>
      </w:r>
      <w:r w:rsidRPr="00107C86">
        <w:rPr>
          <w:rtl/>
        </w:rPr>
        <w:t>יש להגן על זכותו של הידוען בדמותו, בין השאר כיוון שהינה פרי עמלו שלו – התוצר של מאמציו להצטיין בתחום מקצועו</w:t>
      </w:r>
      <w:r>
        <w:rPr>
          <w:rFonts w:hint="cs"/>
          <w:rtl/>
        </w:rPr>
        <w:t>.</w:t>
      </w:r>
    </w:p>
    <w:p w14:paraId="056E2BF5" w14:textId="2F769546" w:rsidR="008F352D" w:rsidRDefault="008F352D" w:rsidP="00F02CCA">
      <w:pPr>
        <w:pStyle w:val="a4"/>
        <w:numPr>
          <w:ilvl w:val="0"/>
          <w:numId w:val="11"/>
        </w:numPr>
        <w:spacing w:line="276" w:lineRule="auto"/>
      </w:pPr>
      <w:r w:rsidRPr="00107C86">
        <w:rPr>
          <w:rtl/>
        </w:rPr>
        <w:t>רבים מוצאים שיש בהגנה על הזכות לפרסום, כבהגנה הניתנת לשאר זכויות הקניין הרוחני, משום מתן תמריץ ליצירה וליוזמה אישית</w:t>
      </w:r>
      <w:r>
        <w:rPr>
          <w:rFonts w:hint="cs"/>
          <w:rtl/>
        </w:rPr>
        <w:t>.</w:t>
      </w:r>
    </w:p>
    <w:p w14:paraId="73495FB0" w14:textId="78A52404" w:rsidR="00D45ED5" w:rsidRDefault="00D45ED5" w:rsidP="00F02CCA">
      <w:pPr>
        <w:pStyle w:val="a4"/>
        <w:numPr>
          <w:ilvl w:val="0"/>
          <w:numId w:val="11"/>
        </w:numPr>
        <w:spacing w:line="276" w:lineRule="auto"/>
      </w:pPr>
      <w:r w:rsidRPr="00107C86">
        <w:rPr>
          <w:rtl/>
        </w:rPr>
        <w:t>הכרה בזכותו של אדם בדמותו היא חיונית, שכן אחרת, יעשה שימוש</w:t>
      </w:r>
      <w:r w:rsidRPr="00107C86">
        <w:rPr>
          <w:position w:val="4"/>
          <w:rtl/>
        </w:rPr>
        <w:t>-</w:t>
      </w:r>
      <w:r w:rsidRPr="00107C86">
        <w:rPr>
          <w:rtl/>
        </w:rPr>
        <w:t>יתר בדמות למטרות פרסום, וכתוצאה מכך יאבד ערכה הפרסומי</w:t>
      </w:r>
      <w:r>
        <w:rPr>
          <w:rFonts w:hint="cs"/>
          <w:rtl/>
        </w:rPr>
        <w:t>.</w:t>
      </w:r>
    </w:p>
    <w:p w14:paraId="7263B37F" w14:textId="4071B975" w:rsidR="002B723B" w:rsidRDefault="002B723B" w:rsidP="00F02CCA">
      <w:pPr>
        <w:pStyle w:val="a4"/>
        <w:numPr>
          <w:ilvl w:val="0"/>
          <w:numId w:val="11"/>
        </w:numPr>
        <w:spacing w:line="276" w:lineRule="auto"/>
      </w:pPr>
      <w:r>
        <w:rPr>
          <w:rFonts w:hint="cs"/>
          <w:rtl/>
        </w:rPr>
        <w:t>ישנם גישות הקושרות את ה</w:t>
      </w:r>
      <w:r w:rsidRPr="00107C86">
        <w:rPr>
          <w:rtl/>
        </w:rPr>
        <w:t>זכות הפרסום לחירות האדם בראותן את הקניין בכלל כאובייקטיביזציה של האישיות</w:t>
      </w:r>
      <w:r>
        <w:rPr>
          <w:rFonts w:hint="cs"/>
          <w:rtl/>
        </w:rPr>
        <w:t>.</w:t>
      </w:r>
      <w:r w:rsidR="005F1A03">
        <w:rPr>
          <w:rFonts w:hint="cs"/>
          <w:rtl/>
        </w:rPr>
        <w:t xml:space="preserve"> היא קשורה לתיאוריה של פרופ' מרגרט </w:t>
      </w:r>
      <w:proofErr w:type="spellStart"/>
      <w:r w:rsidR="005F1A03">
        <w:rPr>
          <w:rFonts w:hint="cs"/>
          <w:rtl/>
        </w:rPr>
        <w:t>רדין</w:t>
      </w:r>
      <w:proofErr w:type="spellEnd"/>
      <w:r w:rsidR="005F1A03">
        <w:rPr>
          <w:rFonts w:hint="cs"/>
          <w:rtl/>
        </w:rPr>
        <w:t xml:space="preserve"> שלפיה </w:t>
      </w:r>
      <w:r w:rsidR="005F1A03" w:rsidRPr="00107C86">
        <w:rPr>
          <w:rtl/>
        </w:rPr>
        <w:t>כרוכים נכסים מסוימים באישיותו של האדם, ועל</w:t>
      </w:r>
      <w:r w:rsidR="005F1A03" w:rsidRPr="00107C86">
        <w:rPr>
          <w:position w:val="4"/>
          <w:rtl/>
        </w:rPr>
        <w:t>-</w:t>
      </w:r>
      <w:r w:rsidR="005F1A03" w:rsidRPr="00107C86">
        <w:rPr>
          <w:rtl/>
        </w:rPr>
        <w:t>כן נדרשת זכותו בהם להגנה נרחבת</w:t>
      </w:r>
      <w:r w:rsidR="005F1A03">
        <w:rPr>
          <w:rFonts w:hint="cs"/>
          <w:rtl/>
        </w:rPr>
        <w:t>.</w:t>
      </w:r>
    </w:p>
    <w:p w14:paraId="5E6BFECD" w14:textId="56405E0A" w:rsidR="0046496C" w:rsidRDefault="00F61E91" w:rsidP="00F02CCA">
      <w:pPr>
        <w:spacing w:line="276" w:lineRule="auto"/>
        <w:ind w:left="130" w:firstLine="720"/>
        <w:rPr>
          <w:rtl/>
        </w:rPr>
      </w:pPr>
      <w:r>
        <w:rPr>
          <w:rFonts w:hint="cs"/>
          <w:rtl/>
        </w:rPr>
        <w:t>ההתנגדות</w:t>
      </w:r>
      <w:r w:rsidR="0046496C">
        <w:rPr>
          <w:rFonts w:hint="cs"/>
          <w:rtl/>
        </w:rPr>
        <w:t xml:space="preserve"> לקיומה:</w:t>
      </w:r>
    </w:p>
    <w:p w14:paraId="4B570DB3" w14:textId="00553DD3" w:rsidR="00287EC2" w:rsidRDefault="00287EC2" w:rsidP="00F02CCA">
      <w:pPr>
        <w:pStyle w:val="a4"/>
        <w:numPr>
          <w:ilvl w:val="0"/>
          <w:numId w:val="12"/>
        </w:numPr>
        <w:spacing w:line="276" w:lineRule="auto"/>
      </w:pPr>
      <w:r>
        <w:rPr>
          <w:rFonts w:hint="cs"/>
          <w:rtl/>
        </w:rPr>
        <w:t>מתנגד לקיומה של זכות זו טוען כי זה לא הידוען אשר יוצר את פרסומו אלא הציבור.</w:t>
      </w:r>
      <w:r w:rsidR="00E63321">
        <w:rPr>
          <w:rFonts w:hint="cs"/>
          <w:rtl/>
        </w:rPr>
        <w:t xml:space="preserve"> </w:t>
      </w:r>
      <w:r w:rsidR="00E63321" w:rsidRPr="00107C86">
        <w:rPr>
          <w:rtl/>
        </w:rPr>
        <w:t>ראיית עולם זו עוררה את הטענה כי אין להעניק לאדם זכות קניין בפרסומו, ויש לשמר זכות זו, לפחות בחלקה, לציבור, שהרי זה האחראי לקיומה.</w:t>
      </w:r>
      <w:r w:rsidR="00E63321">
        <w:rPr>
          <w:rFonts w:hint="cs"/>
          <w:rtl/>
        </w:rPr>
        <w:t xml:space="preserve"> השופט מתנגד לטענות המתנגדים אף שמכיר בכך שהן נכונות בחלקן.</w:t>
      </w:r>
      <w:r w:rsidR="006406BD">
        <w:rPr>
          <w:rFonts w:hint="cs"/>
          <w:rtl/>
        </w:rPr>
        <w:t xml:space="preserve"> לפיו </w:t>
      </w:r>
      <w:r w:rsidR="006406BD" w:rsidRPr="00107C86">
        <w:rPr>
          <w:rtl/>
        </w:rPr>
        <w:t xml:space="preserve">. אף שאין חולק שהציבור שותף ביצירתה, ראוי להכיר </w:t>
      </w:r>
      <w:r w:rsidR="00F51287">
        <w:rPr>
          <w:rFonts w:hint="cs"/>
          <w:rtl/>
        </w:rPr>
        <w:t>בזכות לפרסום</w:t>
      </w:r>
      <w:r w:rsidR="006406BD" w:rsidRPr="00107C86">
        <w:rPr>
          <w:rtl/>
        </w:rPr>
        <w:t xml:space="preserve"> כזכות פרטית.</w:t>
      </w:r>
    </w:p>
    <w:p w14:paraId="6131829F" w14:textId="020EB22A" w:rsidR="0046496C" w:rsidRDefault="0046496C" w:rsidP="00F02CCA">
      <w:pPr>
        <w:pStyle w:val="a4"/>
        <w:numPr>
          <w:ilvl w:val="0"/>
          <w:numId w:val="12"/>
        </w:numPr>
        <w:spacing w:line="276" w:lineRule="auto"/>
      </w:pPr>
      <w:r w:rsidRPr="00107C86">
        <w:rPr>
          <w:rtl/>
        </w:rPr>
        <w:t>מתנגדי זכות הפרסום טוענים כאמור עוד כי במתן זכות קניינית, או מעין</w:t>
      </w:r>
      <w:r w:rsidRPr="00107C86">
        <w:rPr>
          <w:position w:val="4"/>
          <w:rtl/>
        </w:rPr>
        <w:t>-</w:t>
      </w:r>
      <w:r w:rsidRPr="00107C86">
        <w:rPr>
          <w:rtl/>
        </w:rPr>
        <w:t>קניינית, בפרסומו של אדם יש פסול חברתי נוסף: תרומה לקיומה של תרבות הצריכה המודרנית</w:t>
      </w:r>
      <w:r w:rsidR="00D0692E">
        <w:rPr>
          <w:rFonts w:hint="cs"/>
          <w:rtl/>
        </w:rPr>
        <w:t>. השופט מתנגד גם לטענה זו.</w:t>
      </w:r>
    </w:p>
    <w:p w14:paraId="08D59C13" w14:textId="4D3B6D56" w:rsidR="00D0692E" w:rsidRDefault="00D0692E" w:rsidP="00F02CCA">
      <w:pPr>
        <w:pStyle w:val="a4"/>
        <w:numPr>
          <w:ilvl w:val="0"/>
          <w:numId w:val="10"/>
        </w:numPr>
        <w:spacing w:line="276" w:lineRule="auto"/>
        <w:rPr>
          <w:b/>
          <w:bCs/>
        </w:rPr>
      </w:pPr>
      <w:r>
        <w:rPr>
          <w:rFonts w:hint="cs"/>
          <w:rtl/>
        </w:rPr>
        <w:t xml:space="preserve">חשיבותה של </w:t>
      </w:r>
      <w:r w:rsidR="005F7AF4">
        <w:rPr>
          <w:rFonts w:hint="cs"/>
          <w:rtl/>
        </w:rPr>
        <w:t>זכות היוצרים עולה על חשיבותה של הזכות לפרסום.</w:t>
      </w:r>
      <w:r w:rsidR="003E7402">
        <w:rPr>
          <w:rFonts w:hint="cs"/>
          <w:b/>
          <w:bCs/>
          <w:rtl/>
        </w:rPr>
        <w:t xml:space="preserve"> </w:t>
      </w:r>
      <w:r w:rsidR="003E7402" w:rsidRPr="00107C86">
        <w:rPr>
          <w:rtl/>
        </w:rPr>
        <w:t>יש להבחין היטב בין דמותו של הידוען – שעליה הזכות לפרסום מגנה – לבין היצירה שבה דמותו מוצגת – המוגנת בזכות יוצרים</w:t>
      </w:r>
      <w:r w:rsidR="003E7402">
        <w:rPr>
          <w:rFonts w:hint="cs"/>
          <w:rtl/>
        </w:rPr>
        <w:t xml:space="preserve"> (כמו למשל אם מפורסם מצטלם, הזכות יוצרים על התמונה שייכת לצלם</w:t>
      </w:r>
      <w:r w:rsidR="0074149B">
        <w:rPr>
          <w:rFonts w:hint="cs"/>
          <w:rtl/>
        </w:rPr>
        <w:t>, לפיכך אם נרצה לעשות שימוש בתמונה נצטרך את זכות היוצרים מהצלם ואת מהידוען את הזכות להשתמש בדמותו</w:t>
      </w:r>
      <w:r w:rsidR="003E7402">
        <w:rPr>
          <w:rFonts w:hint="cs"/>
          <w:rtl/>
        </w:rPr>
        <w:t>)</w:t>
      </w:r>
      <w:r w:rsidR="003E7402" w:rsidRPr="00107C86">
        <w:rPr>
          <w:rtl/>
        </w:rPr>
        <w:t>.</w:t>
      </w:r>
    </w:p>
    <w:p w14:paraId="7BDE5914" w14:textId="074A462B" w:rsidR="005C02F0" w:rsidRDefault="005C02F0" w:rsidP="00F02CCA">
      <w:pPr>
        <w:pStyle w:val="a4"/>
        <w:numPr>
          <w:ilvl w:val="0"/>
          <w:numId w:val="10"/>
        </w:numPr>
        <w:spacing w:line="276" w:lineRule="auto"/>
        <w:rPr>
          <w:b/>
          <w:bCs/>
        </w:rPr>
      </w:pPr>
      <w:r w:rsidRPr="00107C86">
        <w:rPr>
          <w:rtl/>
        </w:rPr>
        <w:t>העושה שימוש לא מורשה בדמותו, בשמו או בקולו של האדם מתעשר ולא במשפט, לפיכך הוא מחויב להשיב את הזכייה – את ערך השימוש בזכות לפרסום.</w:t>
      </w:r>
      <w:r>
        <w:rPr>
          <w:rFonts w:hint="cs"/>
          <w:rtl/>
        </w:rPr>
        <w:t xml:space="preserve"> </w:t>
      </w:r>
      <w:r w:rsidRPr="00107C86">
        <w:rPr>
          <w:rtl/>
        </w:rPr>
        <w:t xml:space="preserve">משמעם של דברים אלה הוא כי המפר את זכות הפרסום של האחר </w:t>
      </w:r>
      <w:proofErr w:type="spellStart"/>
      <w:r w:rsidRPr="00107C86">
        <w:rPr>
          <w:rtl/>
        </w:rPr>
        <w:t>יחוב</w:t>
      </w:r>
      <w:proofErr w:type="spellEnd"/>
      <w:r w:rsidRPr="00107C86">
        <w:rPr>
          <w:rtl/>
        </w:rPr>
        <w:t xml:space="preserve"> בהשבה בין שהפיק מהפרסום המפר תועלת מסחרית</w:t>
      </w:r>
      <w:r w:rsidRPr="00107C86">
        <w:rPr>
          <w:position w:val="4"/>
          <w:rtl/>
        </w:rPr>
        <w:t>-</w:t>
      </w:r>
      <w:r w:rsidRPr="00107C86">
        <w:rPr>
          <w:rtl/>
        </w:rPr>
        <w:t>כספית ובין שלאו.</w:t>
      </w:r>
      <w:r w:rsidR="00C67517">
        <w:rPr>
          <w:rFonts w:hint="cs"/>
          <w:rtl/>
        </w:rPr>
        <w:t xml:space="preserve"> </w:t>
      </w:r>
      <w:r w:rsidR="00C67517" w:rsidRPr="00107C86">
        <w:rPr>
          <w:rtl/>
        </w:rPr>
        <w:t>בכל מקרה של הפרה מפיק המפר רווח מעצם הגדרת השימוש המפר, וכל עוד יש ערך לזכות הפרסום של האדם אשר בדמותו נעשה השימוש. הרווח מבטא את החיסכון שבאי</w:t>
      </w:r>
      <w:r w:rsidR="00C67517" w:rsidRPr="00107C86">
        <w:rPr>
          <w:position w:val="4"/>
          <w:rtl/>
        </w:rPr>
        <w:t>-</w:t>
      </w:r>
      <w:r w:rsidR="00C67517" w:rsidRPr="00107C86">
        <w:rPr>
          <w:rtl/>
        </w:rPr>
        <w:t>תשלום דמי השימוש</w:t>
      </w:r>
      <w:r w:rsidR="00C67517">
        <w:rPr>
          <w:rFonts w:hint="cs"/>
          <w:rtl/>
        </w:rPr>
        <w:t>.</w:t>
      </w:r>
    </w:p>
    <w:p w14:paraId="4772969E" w14:textId="04AC83E5" w:rsidR="008528CD" w:rsidRPr="00C11ABD" w:rsidRDefault="008528CD" w:rsidP="00F02CCA">
      <w:pPr>
        <w:pStyle w:val="a4"/>
        <w:numPr>
          <w:ilvl w:val="0"/>
          <w:numId w:val="10"/>
        </w:numPr>
        <w:spacing w:line="276" w:lineRule="auto"/>
        <w:rPr>
          <w:b/>
          <w:bCs/>
        </w:rPr>
      </w:pPr>
      <w:r>
        <w:rPr>
          <w:rFonts w:hint="cs"/>
          <w:rtl/>
        </w:rPr>
        <w:t>יסודותיה של גרימה להפרת חוזה: חוזה מחייב כדין, הפרת חוזה, גרימת הפרה, ביודעין, היעדרו של צידוק מספיק.</w:t>
      </w:r>
    </w:p>
    <w:p w14:paraId="694C9B24" w14:textId="5D7ACDBB" w:rsidR="00C11ABD" w:rsidRDefault="00C11ABD" w:rsidP="00F02CCA">
      <w:pPr>
        <w:spacing w:line="276" w:lineRule="auto"/>
        <w:rPr>
          <w:rtl/>
        </w:rPr>
      </w:pPr>
      <w:r>
        <w:rPr>
          <w:rFonts w:hint="cs"/>
          <w:rtl/>
        </w:rPr>
        <w:t>השופט הפך את החלטת ביהמ"ש המחוזי וקיבל את הערעור.</w:t>
      </w:r>
    </w:p>
    <w:p w14:paraId="4B33625D" w14:textId="73E69393" w:rsidR="00502AA9" w:rsidRDefault="00502AA9" w:rsidP="00F02CCA">
      <w:pPr>
        <w:spacing w:line="276" w:lineRule="auto"/>
        <w:rPr>
          <w:b/>
          <w:bCs/>
          <w:sz w:val="28"/>
          <w:szCs w:val="28"/>
          <w:u w:val="single"/>
          <w:rtl/>
        </w:rPr>
      </w:pPr>
      <w:r w:rsidRPr="00502AA9">
        <w:rPr>
          <w:b/>
          <w:bCs/>
          <w:color w:val="222222"/>
          <w:sz w:val="28"/>
          <w:szCs w:val="28"/>
          <w:u w:val="single"/>
          <w:shd w:val="clear" w:color="auto" w:fill="FFFFFF"/>
        </w:rPr>
        <w:lastRenderedPageBreak/>
        <w:t>The Reliance Interest in Property/ Joseph William Singer</w:t>
      </w:r>
    </w:p>
    <w:p w14:paraId="6FB8549A" w14:textId="4E9215B6" w:rsidR="00502AA9" w:rsidRDefault="00964742" w:rsidP="00F02CCA">
      <w:pPr>
        <w:pStyle w:val="a4"/>
        <w:numPr>
          <w:ilvl w:val="0"/>
          <w:numId w:val="13"/>
        </w:numPr>
        <w:spacing w:line="276" w:lineRule="auto"/>
      </w:pPr>
      <w:r>
        <w:rPr>
          <w:rFonts w:hint="cs"/>
          <w:rtl/>
        </w:rPr>
        <w:t xml:space="preserve">לפי המחבר של המאמר השופטים בתיק שהוא נתן כדוגמא טעו בכך שהניחו כי לבעלים של נכס יש זכות לעשות מה שיחפצו עם הנכס שלהם. לפיו זכויות קניין לרוב יותר נחלקות מאשר בלעדיות, והזכות להשתמש </w:t>
      </w:r>
      <w:r w:rsidR="00855BD3">
        <w:rPr>
          <w:rFonts w:hint="cs"/>
          <w:rtl/>
        </w:rPr>
        <w:t>ולהיפטר מנכס היא לעולם לא מוחלטת.</w:t>
      </w:r>
    </w:p>
    <w:p w14:paraId="2C08D70D" w14:textId="77777777" w:rsidR="006D7465" w:rsidRDefault="00AF2753" w:rsidP="00F02CCA">
      <w:pPr>
        <w:pStyle w:val="a4"/>
        <w:numPr>
          <w:ilvl w:val="0"/>
          <w:numId w:val="13"/>
        </w:numPr>
        <w:spacing w:line="276" w:lineRule="auto"/>
      </w:pPr>
      <w:r>
        <w:rPr>
          <w:rFonts w:hint="cs"/>
          <w:rtl/>
        </w:rPr>
        <w:t xml:space="preserve">במקרים שונים של סוגים שונים של יחסים, במקרה של היפרדות יחסים אלה, המערכת המשפטית מחייבת חלוקה או העברה של נכסים </w:t>
      </w:r>
      <w:r w:rsidR="00CD63F4">
        <w:rPr>
          <w:rFonts w:hint="cs"/>
          <w:rtl/>
        </w:rPr>
        <w:t>מהבעלים</w:t>
      </w:r>
      <w:r>
        <w:rPr>
          <w:rFonts w:hint="cs"/>
          <w:rtl/>
        </w:rPr>
        <w:t xml:space="preserve"> לפרט השני במערכת היחסים כדי להגן על הצד החלש יותר בקשר (כמו למשל בגירושים).</w:t>
      </w:r>
      <w:r w:rsidR="003778F3">
        <w:rPr>
          <w:rFonts w:hint="cs"/>
          <w:rtl/>
        </w:rPr>
        <w:t xml:space="preserve"> המערכת המשפטית מנהלת חיוב זה לא בשל תלות של הצדדים על התחייבות מסוימת אלא בשל תלות של הצדדים אחד על השני.</w:t>
      </w:r>
      <w:r w:rsidR="000420F6">
        <w:rPr>
          <w:rFonts w:hint="cs"/>
          <w:rtl/>
        </w:rPr>
        <w:t xml:space="preserve"> בנוסף, הצד החלש עלול להיזקק למשאבים אשר נמצאים בבעלותו של הצד החזק יותר ועל פי מערכת היחסים הוגן להטיל את הנטל </w:t>
      </w:r>
      <w:r w:rsidR="002721BA">
        <w:rPr>
          <w:rFonts w:hint="cs"/>
          <w:rtl/>
        </w:rPr>
        <w:t>לחלוקה מחדש על הצד החזק.</w:t>
      </w:r>
      <w:r w:rsidR="006D7465">
        <w:rPr>
          <w:rFonts w:hint="cs"/>
          <w:rtl/>
        </w:rPr>
        <w:t xml:space="preserve"> </w:t>
      </w:r>
    </w:p>
    <w:p w14:paraId="71CCD3B3" w14:textId="77777777" w:rsidR="00CD02A8" w:rsidRDefault="006D7465" w:rsidP="00F02CCA">
      <w:pPr>
        <w:pStyle w:val="a4"/>
        <w:numPr>
          <w:ilvl w:val="0"/>
          <w:numId w:val="13"/>
        </w:numPr>
        <w:spacing w:line="276" w:lineRule="auto"/>
      </w:pPr>
      <w:r>
        <w:rPr>
          <w:rFonts w:hint="cs"/>
          <w:rtl/>
        </w:rPr>
        <w:t>מטרת המחבר היא לקדם את דיני הקניין (כפי שקודמו דיני הנזיקין והחוזים) ע"י תיאור עיקרון הנגד של התלות</w:t>
      </w:r>
      <w:r w:rsidR="00CD02A8">
        <w:rPr>
          <w:rFonts w:hint="cs"/>
          <w:rtl/>
        </w:rPr>
        <w:t>.</w:t>
      </w:r>
    </w:p>
    <w:p w14:paraId="5557B531" w14:textId="0BD9D6AB" w:rsidR="00AF2753" w:rsidRDefault="00CD02A8" w:rsidP="00F02CCA">
      <w:pPr>
        <w:pStyle w:val="a4"/>
        <w:numPr>
          <w:ilvl w:val="0"/>
          <w:numId w:val="13"/>
        </w:numPr>
        <w:spacing w:line="276" w:lineRule="auto"/>
      </w:pPr>
      <w:r>
        <w:rPr>
          <w:rFonts w:hint="cs"/>
          <w:rtl/>
        </w:rPr>
        <w:t>בשל חלוקות של הנכס להגדרות שונות (כמו למשל בעלים, בנק ממשכן ושוכר) קשה להגדיר מי הבעלים האחרים מכיוון שהזכויות השונות בנכס מחולקות בין אנשים רבים.</w:t>
      </w:r>
      <w:r w:rsidR="003778F3">
        <w:rPr>
          <w:rFonts w:hint="cs"/>
          <w:rtl/>
        </w:rPr>
        <w:t xml:space="preserve"> </w:t>
      </w:r>
      <w:r w:rsidR="007F73EE">
        <w:rPr>
          <w:rFonts w:hint="cs"/>
          <w:rtl/>
        </w:rPr>
        <w:t xml:space="preserve">בהסתכלות על תאגיד או חברה זו טעות להסתכל על החברה כבעלים, </w:t>
      </w:r>
      <w:r w:rsidR="006B0AFF">
        <w:rPr>
          <w:rFonts w:hint="cs"/>
          <w:rtl/>
        </w:rPr>
        <w:t>הבעלים הם רשת של מנהלים, בעלי מניות, העובדים ומשפחתם וכו.. במקום לשאול מי הבעלים, על פי המחבר יש לשאול למי יש זכות לקבל החלטות בנוגע לקיום או אי-קיום של הנכס.</w:t>
      </w:r>
    </w:p>
    <w:p w14:paraId="3F0D07C9" w14:textId="2F886AD4" w:rsidR="005E0348" w:rsidRDefault="005E0348" w:rsidP="00F02CCA">
      <w:pPr>
        <w:pStyle w:val="a4"/>
        <w:numPr>
          <w:ilvl w:val="0"/>
          <w:numId w:val="13"/>
        </w:numPr>
        <w:spacing w:line="276" w:lineRule="auto"/>
      </w:pPr>
      <w:r>
        <w:rPr>
          <w:rFonts w:hint="cs"/>
          <w:rtl/>
        </w:rPr>
        <w:t>מודל השוק החופשי מתאר את העולם במונחים של קניין פרטי.</w:t>
      </w:r>
      <w:r w:rsidR="00F90A17">
        <w:rPr>
          <w:rFonts w:hint="cs"/>
          <w:rtl/>
        </w:rPr>
        <w:t xml:space="preserve"> הפרדיגמה הזו מבוססת על התיאוריה המסורתית של הובס ולוקס. לפי תיאוריה זו כל אדם הוא </w:t>
      </w:r>
      <w:proofErr w:type="spellStart"/>
      <w:r w:rsidR="00F90A17">
        <w:rPr>
          <w:rFonts w:hint="cs"/>
          <w:rtl/>
        </w:rPr>
        <w:t>יישות</w:t>
      </w:r>
      <w:proofErr w:type="spellEnd"/>
      <w:r w:rsidR="00F90A17">
        <w:rPr>
          <w:rFonts w:hint="cs"/>
          <w:rtl/>
        </w:rPr>
        <w:t xml:space="preserve"> עצמאית עם צרכים משלו, ברגע שהתעוררו קונפליקטים בין צרכים של אנשים שונים, האנשים התאגדו כדי להקים את המדינה. ברגע שמערכת זו קמה, לחובות יש שני מקורות: פקודות של המדינה או הסכמים רצוניים.</w:t>
      </w:r>
      <w:r w:rsidR="00614CE3">
        <w:rPr>
          <w:rFonts w:hint="cs"/>
          <w:rtl/>
        </w:rPr>
        <w:t xml:space="preserve"> תחילה המדינה מגדירה איך יהיו זכויות הקניין ואיך יהיה ניתן לרכוש אותן, וכן המדינה מגדירה זכויות אחרות אחרים.. לאחר שהמדינה הגדירה זכויות אלו, כל פרט זכאי לממש זכויותיו וזאת בתנאי שזכויותיו לא פוגעות בזכויותיו של אחר. </w:t>
      </w:r>
    </w:p>
    <w:p w14:paraId="1F7725A7" w14:textId="7CAA120A" w:rsidR="008C3B2D" w:rsidRDefault="008C3B2D" w:rsidP="00F02CCA">
      <w:pPr>
        <w:pStyle w:val="a4"/>
        <w:numPr>
          <w:ilvl w:val="0"/>
          <w:numId w:val="13"/>
        </w:numPr>
        <w:spacing w:line="276" w:lineRule="auto"/>
      </w:pPr>
      <w:r>
        <w:rPr>
          <w:rFonts w:hint="cs"/>
          <w:rtl/>
        </w:rPr>
        <w:t>בניגוד למוד</w:t>
      </w:r>
      <w:r w:rsidR="00504CD0">
        <w:rPr>
          <w:rFonts w:hint="cs"/>
          <w:rtl/>
        </w:rPr>
        <w:t xml:space="preserve">ל הנ"ל, הגישה הקהילתית יוצאת נגד הטענה שהאדם הוא </w:t>
      </w:r>
      <w:proofErr w:type="spellStart"/>
      <w:r w:rsidR="00504CD0">
        <w:rPr>
          <w:rFonts w:hint="cs"/>
          <w:rtl/>
        </w:rPr>
        <w:t>אינבידואל</w:t>
      </w:r>
      <w:proofErr w:type="spellEnd"/>
      <w:r w:rsidR="00504CD0">
        <w:rPr>
          <w:rFonts w:hint="cs"/>
          <w:rtl/>
        </w:rPr>
        <w:t xml:space="preserve"> ולפיה האדם תמיד מסובך ברשת של קשרים עם אחרים.</w:t>
      </w:r>
      <w:r w:rsidR="007621D8">
        <w:rPr>
          <w:rFonts w:hint="cs"/>
          <w:rtl/>
        </w:rPr>
        <w:t xml:space="preserve"> לפיהם לא יוצרים קשרים עם אחרים רק ע"י חוקים או הסכמים חוזיים.</w:t>
      </w:r>
    </w:p>
    <w:p w14:paraId="238313D7" w14:textId="769CE742" w:rsidR="008D2044" w:rsidRDefault="008D2044" w:rsidP="00F02CCA">
      <w:pPr>
        <w:pStyle w:val="a4"/>
        <w:spacing w:line="276" w:lineRule="auto"/>
        <w:rPr>
          <w:rtl/>
        </w:rPr>
      </w:pPr>
    </w:p>
    <w:p w14:paraId="7C60CC1A" w14:textId="62AEA1CA" w:rsidR="008D2044" w:rsidRDefault="008D2044" w:rsidP="00F02CCA">
      <w:pPr>
        <w:pStyle w:val="a4"/>
        <w:spacing w:line="276" w:lineRule="auto"/>
        <w:rPr>
          <w:b/>
          <w:bCs/>
          <w:rtl/>
        </w:rPr>
      </w:pPr>
      <w:r>
        <w:rPr>
          <w:rFonts w:hint="cs"/>
          <w:b/>
          <w:bCs/>
          <w:rtl/>
        </w:rPr>
        <w:t>חסר עמ' 576-577</w:t>
      </w:r>
    </w:p>
    <w:p w14:paraId="04A669F9" w14:textId="79CAF367" w:rsidR="00AF2585" w:rsidRDefault="00AF2585" w:rsidP="00F02CCA">
      <w:pPr>
        <w:spacing w:line="276" w:lineRule="auto"/>
        <w:rPr>
          <w:sz w:val="28"/>
          <w:szCs w:val="28"/>
          <w:rtl/>
        </w:rPr>
      </w:pPr>
      <w:r>
        <w:rPr>
          <w:rFonts w:hint="cs"/>
          <w:b/>
          <w:bCs/>
          <w:sz w:val="28"/>
          <w:szCs w:val="28"/>
          <w:u w:val="single"/>
          <w:rtl/>
        </w:rPr>
        <w:t>פס"ד מנור נ' שר האוצר</w:t>
      </w:r>
    </w:p>
    <w:p w14:paraId="79E8A5C2" w14:textId="1A087F89" w:rsidR="00AF2585" w:rsidRDefault="00EE75AF" w:rsidP="00F02CCA">
      <w:pPr>
        <w:pStyle w:val="a4"/>
        <w:numPr>
          <w:ilvl w:val="0"/>
          <w:numId w:val="14"/>
        </w:numPr>
        <w:spacing w:line="276" w:lineRule="auto"/>
      </w:pPr>
      <w:r>
        <w:rPr>
          <w:rFonts w:hint="cs"/>
          <w:rtl/>
        </w:rPr>
        <w:t>חוק ביטוח לאומי קובע תשלום קצבת זקנה של כ16% מהשכר הממוצע במשק.</w:t>
      </w:r>
    </w:p>
    <w:p w14:paraId="53117253" w14:textId="197A314F" w:rsidR="006B6E09" w:rsidRDefault="006B6E09" w:rsidP="00F02CCA">
      <w:pPr>
        <w:pStyle w:val="a4"/>
        <w:numPr>
          <w:ilvl w:val="0"/>
          <w:numId w:val="14"/>
        </w:numPr>
        <w:spacing w:line="276" w:lineRule="auto"/>
      </w:pPr>
      <w:r>
        <w:rPr>
          <w:rFonts w:hint="cs"/>
          <w:rtl/>
        </w:rPr>
        <w:t>במוקד העתירה עומד סעיף 2 לחוק תוכנית החירום הכלכלית אשר מאריך את תקופת ההקפאה של עדכון קצבאות הזקנה ביחס לשכר הממוצע במשק.</w:t>
      </w:r>
      <w:r w:rsidR="004E29AE">
        <w:rPr>
          <w:rFonts w:hint="cs"/>
          <w:rtl/>
        </w:rPr>
        <w:t xml:space="preserve"> בנוסף עומד לדיון סעיף 10 שנחקק כהוראת שעה והפחית את קצבת הזקנה בשיעור של כ4 אחוזים.</w:t>
      </w:r>
    </w:p>
    <w:p w14:paraId="7FC25094" w14:textId="46388457" w:rsidR="005273D9" w:rsidRDefault="00613E6A" w:rsidP="00F02CCA">
      <w:pPr>
        <w:pStyle w:val="a4"/>
        <w:numPr>
          <w:ilvl w:val="0"/>
          <w:numId w:val="14"/>
        </w:numPr>
        <w:spacing w:line="276" w:lineRule="auto"/>
      </w:pPr>
      <w:r>
        <w:rPr>
          <w:rFonts w:hint="cs"/>
          <w:b/>
          <w:bCs/>
          <w:rtl/>
        </w:rPr>
        <w:t>טענת העותרים :</w:t>
      </w:r>
      <w:r w:rsidR="005273D9">
        <w:rPr>
          <w:rFonts w:hint="cs"/>
          <w:rtl/>
        </w:rPr>
        <w:t>קצבת הזקנה היא אוניברסלית וניתנת לכל מבוטח שהגיע לגיל הזקנה ללא קשר למעמד הכלכלי שלו.</w:t>
      </w:r>
      <w:r w:rsidR="00C00DC2">
        <w:rPr>
          <w:rFonts w:hint="cs"/>
          <w:rtl/>
        </w:rPr>
        <w:t xml:space="preserve"> לעומת זאת גמלת הבטחת הכנסה ניתנת לאדם לפי היכולת הכלכלית שלו.</w:t>
      </w:r>
      <w:r w:rsidR="000C0C55">
        <w:rPr>
          <w:rFonts w:hint="cs"/>
          <w:rtl/>
        </w:rPr>
        <w:t xml:space="preserve"> טענות העותרים עומדות כנגד קיצוץ קצבת הזקנה בטענה כי הקיצוץ אינו חוקתי.</w:t>
      </w:r>
      <w:r w:rsidR="005B40BC">
        <w:rPr>
          <w:rFonts w:hint="cs"/>
          <w:rtl/>
        </w:rPr>
        <w:t xml:space="preserve"> </w:t>
      </w:r>
      <w:r w:rsidR="005B40BC" w:rsidRPr="00615F77">
        <w:rPr>
          <w:rtl/>
        </w:rPr>
        <w:t>העותרים טוענים כי הקיצוץ אינו חוקתי משום שהוא פוגע בזכות לקיום מינימלי בכבוד, וככזה הוא בטל</w:t>
      </w:r>
      <w:r w:rsidR="005B40BC">
        <w:rPr>
          <w:rFonts w:hint="cs"/>
          <w:rtl/>
        </w:rPr>
        <w:t>.</w:t>
      </w:r>
    </w:p>
    <w:p w14:paraId="6C8D9223" w14:textId="575F430A" w:rsidR="008E20E0" w:rsidRDefault="00613E6A" w:rsidP="00F02CCA">
      <w:pPr>
        <w:pStyle w:val="a4"/>
        <w:spacing w:line="276" w:lineRule="auto"/>
        <w:rPr>
          <w:rtl/>
        </w:rPr>
      </w:pPr>
      <w:r>
        <w:rPr>
          <w:rFonts w:hint="cs"/>
          <w:b/>
          <w:bCs/>
          <w:rtl/>
        </w:rPr>
        <w:t xml:space="preserve">תגובת ברק: </w:t>
      </w:r>
      <w:r w:rsidR="008E20E0">
        <w:rPr>
          <w:rFonts w:hint="cs"/>
          <w:rtl/>
        </w:rPr>
        <w:t>לפי השופט ברק הקיצוץ בקצבת הזקנה אינו פוגע בזכות לקיום מינימלי לכבוד מכיוון שעדיין עומדת לרשות מי שאינו מתקיים בכבוד גמלת הבטחת ההכנסה.</w:t>
      </w:r>
    </w:p>
    <w:p w14:paraId="7C9BAC46" w14:textId="3A818D45" w:rsidR="00613E6A" w:rsidRDefault="00613E6A" w:rsidP="00F02CCA">
      <w:pPr>
        <w:pStyle w:val="a4"/>
        <w:numPr>
          <w:ilvl w:val="0"/>
          <w:numId w:val="14"/>
        </w:numPr>
        <w:spacing w:line="276" w:lineRule="auto"/>
      </w:pPr>
      <w:r>
        <w:rPr>
          <w:rFonts w:hint="cs"/>
          <w:b/>
          <w:bCs/>
          <w:rtl/>
        </w:rPr>
        <w:t>טענת העותרים:</w:t>
      </w:r>
      <w:r>
        <w:rPr>
          <w:rFonts w:hint="cs"/>
          <w:rtl/>
        </w:rPr>
        <w:t xml:space="preserve"> </w:t>
      </w:r>
      <w:r w:rsidR="003F1C20" w:rsidRPr="00615F77">
        <w:rPr>
          <w:rtl/>
        </w:rPr>
        <w:t xml:space="preserve">העותרים טוענים כי הקיצוץ </w:t>
      </w:r>
      <w:proofErr w:type="spellStart"/>
      <w:r w:rsidR="003F1C20" w:rsidRPr="00615F77">
        <w:rPr>
          <w:rtl/>
        </w:rPr>
        <w:t>בקיצבת</w:t>
      </w:r>
      <w:proofErr w:type="spellEnd"/>
      <w:r w:rsidR="003F1C20" w:rsidRPr="00615F77">
        <w:rPr>
          <w:rtl/>
        </w:rPr>
        <w:t xml:space="preserve"> הזקנה פוגע בזכות לביטחון סוציאלי כזכות חוקתית המעוגנת ב</w:t>
      </w:r>
      <w:hyperlink r:id="rId5" w:history="1">
        <w:r w:rsidR="003F1C20" w:rsidRPr="00615F77">
          <w:rPr>
            <w:rStyle w:val="Hyperlink"/>
            <w:rtl/>
          </w:rPr>
          <w:t>חוק-יסוד: כבוד האדם וחירותו</w:t>
        </w:r>
      </w:hyperlink>
      <w:r w:rsidR="003F1C20" w:rsidRPr="00615F77">
        <w:rPr>
          <w:rtl/>
        </w:rPr>
        <w:t>. תוכנה של הזכות החוקתית לביטחון סוציאלי במקרה שלפנינו הוא להבטיח לטענתם חומת מגן אחרונה של הזקן מפני עוני ומחסור. טענת העותרים מעוררת את שאלת מעמדה הנורמטיבי והיקפה של הזכות לביטחון סוציאלי</w:t>
      </w:r>
      <w:r w:rsidR="003F1C20">
        <w:rPr>
          <w:rFonts w:hint="cs"/>
          <w:rtl/>
        </w:rPr>
        <w:t>.</w:t>
      </w:r>
    </w:p>
    <w:p w14:paraId="171572E6" w14:textId="0581BCCF" w:rsidR="004418F6" w:rsidRDefault="004418F6" w:rsidP="00F02CCA">
      <w:pPr>
        <w:pStyle w:val="a4"/>
        <w:spacing w:line="276" w:lineRule="auto"/>
        <w:rPr>
          <w:rtl/>
        </w:rPr>
      </w:pPr>
      <w:r>
        <w:rPr>
          <w:rFonts w:hint="cs"/>
          <w:b/>
          <w:bCs/>
          <w:rtl/>
        </w:rPr>
        <w:t xml:space="preserve">תגובת ברק: </w:t>
      </w:r>
      <w:r>
        <w:rPr>
          <w:rtl/>
        </w:rPr>
        <w:t>הקיצוץ בק</w:t>
      </w:r>
      <w:r w:rsidRPr="00615F77">
        <w:rPr>
          <w:rtl/>
        </w:rPr>
        <w:t>צבת הזקנה כשלעצמו פוגע בזכות החוקתית לביטחון סוציאלי. הפגיעה הנטענת בזכות זו, ככל שתכליתה היא הגנה על קיום מינימלי בכבוד, נובעת – אם נובעת – כתוצאה מאי</w:t>
      </w:r>
      <w:r w:rsidRPr="00615F77">
        <w:rPr>
          <w:position w:val="4"/>
          <w:sz w:val="22"/>
          <w:rtl/>
        </w:rPr>
        <w:t>-</w:t>
      </w:r>
      <w:r>
        <w:rPr>
          <w:rtl/>
        </w:rPr>
        <w:t>עמידה בתנאים לקבלת ג</w:t>
      </w:r>
      <w:r w:rsidRPr="00615F77">
        <w:rPr>
          <w:rtl/>
        </w:rPr>
        <w:t>מלת הבטחת הכנסה</w:t>
      </w:r>
      <w:r>
        <w:rPr>
          <w:rFonts w:hint="cs"/>
          <w:rtl/>
        </w:rPr>
        <w:t>.</w:t>
      </w:r>
      <w:r w:rsidR="0076068C">
        <w:rPr>
          <w:rFonts w:hint="cs"/>
          <w:b/>
          <w:bCs/>
          <w:rtl/>
        </w:rPr>
        <w:t xml:space="preserve"> </w:t>
      </w:r>
      <w:r w:rsidR="0076068C" w:rsidRPr="00615F77">
        <w:rPr>
          <w:rtl/>
        </w:rPr>
        <w:t xml:space="preserve">דין הטענה שהקיצוץ </w:t>
      </w:r>
      <w:proofErr w:type="spellStart"/>
      <w:r w:rsidR="0076068C" w:rsidRPr="00615F77">
        <w:rPr>
          <w:rtl/>
        </w:rPr>
        <w:t>בקיצבת</w:t>
      </w:r>
      <w:proofErr w:type="spellEnd"/>
      <w:r w:rsidR="0076068C" w:rsidRPr="00615F77">
        <w:rPr>
          <w:rtl/>
        </w:rPr>
        <w:t xml:space="preserve"> הזקנה פוגע בזכות החוקתית לביטחון סוציאלי להידחות.</w:t>
      </w:r>
    </w:p>
    <w:p w14:paraId="5D350FFD" w14:textId="44517FA1" w:rsidR="0035107C" w:rsidRPr="0035107C" w:rsidRDefault="0035107C" w:rsidP="00F02CCA">
      <w:pPr>
        <w:pStyle w:val="a4"/>
        <w:numPr>
          <w:ilvl w:val="0"/>
          <w:numId w:val="14"/>
        </w:numPr>
        <w:spacing w:line="276" w:lineRule="auto"/>
        <w:rPr>
          <w:b/>
          <w:bCs/>
        </w:rPr>
      </w:pPr>
      <w:r>
        <w:rPr>
          <w:rFonts w:hint="cs"/>
          <w:b/>
          <w:bCs/>
          <w:rtl/>
        </w:rPr>
        <w:t xml:space="preserve">טענת העותרים: </w:t>
      </w:r>
      <w:r>
        <w:rPr>
          <w:rFonts w:hint="cs"/>
          <w:rtl/>
        </w:rPr>
        <w:t>קיימת פגיעה חוקתית בזכות לקניין.</w:t>
      </w:r>
    </w:p>
    <w:p w14:paraId="059A2BF1" w14:textId="25B7558E" w:rsidR="0035107C" w:rsidRDefault="0035107C" w:rsidP="00F02CCA">
      <w:pPr>
        <w:pStyle w:val="a4"/>
        <w:spacing w:line="276" w:lineRule="auto"/>
        <w:rPr>
          <w:rtl/>
        </w:rPr>
      </w:pPr>
      <w:r>
        <w:rPr>
          <w:rFonts w:hint="cs"/>
          <w:b/>
          <w:bCs/>
          <w:rtl/>
        </w:rPr>
        <w:t>תגובת ברק:</w:t>
      </w:r>
      <w:r>
        <w:rPr>
          <w:rFonts w:hint="cs"/>
          <w:rtl/>
        </w:rPr>
        <w:t xml:space="preserve"> </w:t>
      </w:r>
      <w:r w:rsidR="0097595B" w:rsidRPr="00615F77">
        <w:rPr>
          <w:rtl/>
        </w:rPr>
        <w:t xml:space="preserve">הזכאי לקצבת הזקנה שילם במשך מרבית שנות חייו תשלומים שיועדו – בתוספת תמיכה </w:t>
      </w:r>
      <w:r w:rsidR="0097595B">
        <w:rPr>
          <w:rtl/>
        </w:rPr>
        <w:t>כספית מאת המדינה – לצורך קבלת ק</w:t>
      </w:r>
      <w:r w:rsidR="0097595B" w:rsidRPr="00615F77">
        <w:rPr>
          <w:rtl/>
        </w:rPr>
        <w:t>צבת הזקנה.</w:t>
      </w:r>
      <w:r w:rsidR="004C4CEB">
        <w:rPr>
          <w:rFonts w:hint="cs"/>
          <w:rtl/>
        </w:rPr>
        <w:t xml:space="preserve"> </w:t>
      </w:r>
      <w:r w:rsidR="004C4CEB" w:rsidRPr="00615F77">
        <w:rPr>
          <w:rtl/>
        </w:rPr>
        <w:t>עם זאת הפגיעה בזכות נעשתה בחוק ההולם את ערכיה של מדינת ישראל, לתכלית ראויה ובמידה שאינה עולה על הנדרש</w:t>
      </w:r>
      <w:r w:rsidR="008E3657" w:rsidRPr="00615F77">
        <w:rPr>
          <w:rtl/>
        </w:rPr>
        <w:t>. תכלית היא ראויה אם היא משרתת מטרה חברתית חשובה הרגישה לזכויות האדם</w:t>
      </w:r>
      <w:r w:rsidR="008E3657">
        <w:rPr>
          <w:rFonts w:hint="cs"/>
          <w:rtl/>
        </w:rPr>
        <w:t xml:space="preserve">, </w:t>
      </w:r>
      <w:r w:rsidR="00FA2C4E" w:rsidRPr="00615F77">
        <w:rPr>
          <w:rtl/>
        </w:rPr>
        <w:t>התכלית היא ראויה אם הצורך בהגשמתה הינו בעל חשיבות חברתית או מדינית</w:t>
      </w:r>
      <w:r w:rsidR="00FA2C4E">
        <w:rPr>
          <w:rFonts w:hint="cs"/>
          <w:rtl/>
        </w:rPr>
        <w:t xml:space="preserve">, </w:t>
      </w:r>
      <w:r w:rsidR="00FA2C4E" w:rsidRPr="00615F77">
        <w:rPr>
          <w:rtl/>
        </w:rPr>
        <w:t>התכלית הינה מניעתו של משבר כלכלי חמור</w:t>
      </w:r>
      <w:r w:rsidR="00FA2C4E">
        <w:rPr>
          <w:rFonts w:hint="cs"/>
          <w:rtl/>
        </w:rPr>
        <w:t xml:space="preserve"> ולכן היא ראויה.</w:t>
      </w:r>
    </w:p>
    <w:p w14:paraId="674500C4" w14:textId="77777777" w:rsidR="00072E01" w:rsidRDefault="00072E01" w:rsidP="00F02CCA">
      <w:pPr>
        <w:pStyle w:val="a4"/>
        <w:spacing w:line="276" w:lineRule="auto"/>
        <w:rPr>
          <w:rtl/>
        </w:rPr>
      </w:pPr>
      <w:r>
        <w:rPr>
          <w:rFonts w:hint="cs"/>
          <w:rtl/>
        </w:rPr>
        <w:t xml:space="preserve">בנושא המידיות, פיתחה מערכת המשפט 3 כללים לבחינת מידתיות: </w:t>
      </w:r>
    </w:p>
    <w:p w14:paraId="4880D121" w14:textId="77777777" w:rsidR="00072E01" w:rsidRDefault="00072E01" w:rsidP="00F02CCA">
      <w:pPr>
        <w:pStyle w:val="a4"/>
        <w:numPr>
          <w:ilvl w:val="0"/>
          <w:numId w:val="15"/>
        </w:numPr>
        <w:spacing w:line="276" w:lineRule="auto"/>
      </w:pPr>
      <w:r w:rsidRPr="00615F77">
        <w:rPr>
          <w:rtl/>
        </w:rPr>
        <w:t>מבחן "ההתאמה"</w:t>
      </w:r>
      <w:r w:rsidRPr="00615F77">
        <w:rPr>
          <w:b/>
          <w:rtl/>
        </w:rPr>
        <w:t xml:space="preserve"> –</w:t>
      </w:r>
      <w:r w:rsidRPr="00615F77">
        <w:rPr>
          <w:rtl/>
        </w:rPr>
        <w:t xml:space="preserve"> בוחן אם קיים קשר רציונלי בין האמצעי שנקבע בחוק לבין התכלית שאותה בא האמצעי להגשים. </w:t>
      </w:r>
    </w:p>
    <w:p w14:paraId="778D0EC2" w14:textId="77777777" w:rsidR="00072E01" w:rsidRDefault="00072E01" w:rsidP="00F02CCA">
      <w:pPr>
        <w:pStyle w:val="a4"/>
        <w:numPr>
          <w:ilvl w:val="0"/>
          <w:numId w:val="15"/>
        </w:numPr>
        <w:spacing w:line="276" w:lineRule="auto"/>
      </w:pPr>
      <w:r w:rsidRPr="00615F77">
        <w:rPr>
          <w:rtl/>
        </w:rPr>
        <w:lastRenderedPageBreak/>
        <w:t>מבחן "האמצעי שפגיעתו פחותה" –  בודק אם לא היה ניתן להגשים את תכלית החוק על</w:t>
      </w:r>
      <w:r w:rsidRPr="00615F77">
        <w:rPr>
          <w:position w:val="4"/>
          <w:sz w:val="22"/>
          <w:rtl/>
        </w:rPr>
        <w:t>-</w:t>
      </w:r>
      <w:r w:rsidRPr="00615F77">
        <w:rPr>
          <w:rtl/>
        </w:rPr>
        <w:t>ידי אמצעי אחר, אשר פגיעתו בזכות האדם היא קטנה יותר.</w:t>
      </w:r>
    </w:p>
    <w:p w14:paraId="0559F04C" w14:textId="2B07E9DB" w:rsidR="00072E01" w:rsidRDefault="00072E01" w:rsidP="00F02CCA">
      <w:pPr>
        <w:pStyle w:val="a4"/>
        <w:numPr>
          <w:ilvl w:val="0"/>
          <w:numId w:val="15"/>
        </w:numPr>
        <w:spacing w:line="276" w:lineRule="auto"/>
      </w:pPr>
      <w:r w:rsidRPr="00615F77">
        <w:rPr>
          <w:rtl/>
        </w:rPr>
        <w:t>מבחן "המידתיות במובן הצר"</w:t>
      </w:r>
      <w:r w:rsidRPr="00615F77">
        <w:rPr>
          <w:b/>
          <w:rtl/>
        </w:rPr>
        <w:t xml:space="preserve"> –</w:t>
      </w:r>
      <w:r w:rsidRPr="00615F77">
        <w:rPr>
          <w:rtl/>
        </w:rPr>
        <w:t xml:space="preserve"> בודק את התועלת שתצמח לציבור לעומת הנזק שייגרם לפרט</w:t>
      </w:r>
      <w:r>
        <w:rPr>
          <w:rFonts w:hint="cs"/>
          <w:rtl/>
        </w:rPr>
        <w:t>.</w:t>
      </w:r>
    </w:p>
    <w:p w14:paraId="69A33293" w14:textId="0BB07EE3" w:rsidR="00042DB0" w:rsidRDefault="00042DB0" w:rsidP="00F02CCA">
      <w:pPr>
        <w:spacing w:line="276" w:lineRule="auto"/>
        <w:rPr>
          <w:sz w:val="28"/>
          <w:szCs w:val="28"/>
          <w:rtl/>
        </w:rPr>
      </w:pPr>
      <w:r>
        <w:rPr>
          <w:rFonts w:hint="cs"/>
          <w:b/>
          <w:bCs/>
          <w:sz w:val="28"/>
          <w:szCs w:val="28"/>
          <w:u w:val="single"/>
          <w:rtl/>
        </w:rPr>
        <w:t xml:space="preserve">פס"ד </w:t>
      </w:r>
      <w:proofErr w:type="spellStart"/>
      <w:r>
        <w:rPr>
          <w:rFonts w:hint="cs"/>
          <w:b/>
          <w:bCs/>
          <w:sz w:val="28"/>
          <w:szCs w:val="28"/>
          <w:u w:val="single"/>
          <w:rtl/>
        </w:rPr>
        <w:t>לוסטיג</w:t>
      </w:r>
      <w:proofErr w:type="spellEnd"/>
      <w:r>
        <w:rPr>
          <w:rFonts w:hint="cs"/>
          <w:b/>
          <w:bCs/>
          <w:sz w:val="28"/>
          <w:szCs w:val="28"/>
          <w:u w:val="single"/>
          <w:rtl/>
        </w:rPr>
        <w:t xml:space="preserve"> נ' </w:t>
      </w:r>
      <w:proofErr w:type="spellStart"/>
      <w:r>
        <w:rPr>
          <w:rFonts w:hint="cs"/>
          <w:b/>
          <w:bCs/>
          <w:sz w:val="28"/>
          <w:szCs w:val="28"/>
          <w:u w:val="single"/>
          <w:rtl/>
        </w:rPr>
        <w:t>מייזלס</w:t>
      </w:r>
      <w:proofErr w:type="spellEnd"/>
    </w:p>
    <w:p w14:paraId="0D008D3B" w14:textId="65344A11" w:rsidR="00042DB0" w:rsidRDefault="00060732" w:rsidP="00F02CCA">
      <w:pPr>
        <w:pStyle w:val="a4"/>
        <w:numPr>
          <w:ilvl w:val="0"/>
          <w:numId w:val="14"/>
        </w:numPr>
        <w:spacing w:line="276" w:lineRule="auto"/>
      </w:pPr>
      <w:r w:rsidRPr="00060732">
        <w:rPr>
          <w:rtl/>
        </w:rPr>
        <w:t>חכירה לדורות" - ובמיוחד לתקופה ממושכת - קרובה במהותה לבעלות יותר מאשר לשכירות, ותכונות אלה מוענקות לה בדרך כלל בהתחייבויות חוזיות</w:t>
      </w:r>
      <w:r>
        <w:rPr>
          <w:rFonts w:hint="cs"/>
          <w:rtl/>
        </w:rPr>
        <w:t>.</w:t>
      </w:r>
    </w:p>
    <w:p w14:paraId="220A6204" w14:textId="6435481E" w:rsidR="00DA174F" w:rsidRDefault="00DA174F" w:rsidP="00F02CCA">
      <w:pPr>
        <w:pStyle w:val="a4"/>
        <w:numPr>
          <w:ilvl w:val="0"/>
          <w:numId w:val="14"/>
        </w:numPr>
        <w:spacing w:line="276" w:lineRule="auto"/>
      </w:pPr>
      <w:r>
        <w:rPr>
          <w:rFonts w:hint="cs"/>
          <w:rtl/>
        </w:rPr>
        <w:t>ניתן להשתמש בחוזה חכירה כדי לעקוף את סעיף החוק בחוק המקרקעין שאוסר על העברת בעלות חלקית בנכס.</w:t>
      </w:r>
    </w:p>
    <w:p w14:paraId="6B1CA00E" w14:textId="0FAA504A" w:rsidR="002E753D" w:rsidRDefault="002E753D" w:rsidP="00F02CCA">
      <w:pPr>
        <w:spacing w:line="276" w:lineRule="auto"/>
        <w:rPr>
          <w:sz w:val="28"/>
          <w:szCs w:val="28"/>
          <w:rtl/>
        </w:rPr>
      </w:pPr>
      <w:r>
        <w:rPr>
          <w:rFonts w:hint="cs"/>
          <w:b/>
          <w:bCs/>
          <w:sz w:val="28"/>
          <w:szCs w:val="28"/>
          <w:u w:val="single"/>
          <w:rtl/>
        </w:rPr>
        <w:t xml:space="preserve">פס"ד </w:t>
      </w:r>
      <w:proofErr w:type="spellStart"/>
      <w:r>
        <w:rPr>
          <w:rFonts w:hint="cs"/>
          <w:b/>
          <w:bCs/>
          <w:sz w:val="28"/>
          <w:szCs w:val="28"/>
          <w:u w:val="single"/>
          <w:rtl/>
        </w:rPr>
        <w:t>אקונס</w:t>
      </w:r>
      <w:proofErr w:type="spellEnd"/>
      <w:r>
        <w:rPr>
          <w:rFonts w:hint="cs"/>
          <w:b/>
          <w:bCs/>
          <w:sz w:val="28"/>
          <w:szCs w:val="28"/>
          <w:u w:val="single"/>
          <w:rtl/>
        </w:rPr>
        <w:t xml:space="preserve"> נ' מדינת ישראל</w:t>
      </w:r>
    </w:p>
    <w:p w14:paraId="2E6E1976" w14:textId="50D38009" w:rsidR="002E753D" w:rsidRPr="00D11D60" w:rsidRDefault="002E753D" w:rsidP="00F02CCA">
      <w:pPr>
        <w:pStyle w:val="a4"/>
        <w:numPr>
          <w:ilvl w:val="0"/>
          <w:numId w:val="14"/>
        </w:numPr>
        <w:spacing w:line="276" w:lineRule="auto"/>
        <w:rPr>
          <w:rtl/>
        </w:rPr>
      </w:pPr>
      <w:r>
        <w:rPr>
          <w:rFonts w:hint="cs"/>
          <w:rtl/>
        </w:rPr>
        <w:t>סיכום רציו:</w:t>
      </w:r>
      <w:r w:rsidRPr="002E753D">
        <w:rPr>
          <w:rtl/>
        </w:rPr>
        <w:t xml:space="preserve"> </w:t>
      </w:r>
      <w:r w:rsidRPr="00D11D60">
        <w:rPr>
          <w:rtl/>
        </w:rPr>
        <w:t>עניינו של הערעור בהפקעות תת</w:t>
      </w:r>
      <w:r w:rsidRPr="002E753D">
        <w:rPr>
          <w:rtl/>
        </w:rPr>
        <w:t>-</w:t>
      </w:r>
      <w:r w:rsidRPr="00D11D60">
        <w:rPr>
          <w:rtl/>
        </w:rPr>
        <w:t>קרקעיות שבוצעו לגבי מקרקעין שבבעלות המערערים לצורך פרויקט מנהרות הכרמל. ההפקעות בוצעו לגבי זכות החזקה והשימוש בעומק שמתחת לבתי המערערים לצורך המנהרות. הואיל והמערערים סירבו למסור את החזקה בקרקעות, ביקשה המדינה מבית</w:t>
      </w:r>
      <w:r w:rsidRPr="002E753D">
        <w:rPr>
          <w:rtl/>
        </w:rPr>
        <w:t>-</w:t>
      </w:r>
      <w:r w:rsidRPr="00D11D60">
        <w:rPr>
          <w:rtl/>
        </w:rPr>
        <w:t>המשפט צו לפי סעיף 8 לפקודת הקרקעות (רכישה לצרכי הצבור) 1943 (להלן – הפקודה) למסירת החזקה. המערערים טענו כי הליך ההפקעה לפי הפקודה היה פגום ובלתי מידתי, בין היתר לאור העובדה שפרסומי ההפקעה לא פירטו את היקף ההפקעה באופן נהיר וברור. כמו כן טענו המערערים כי ההפקעה של זכויות החזקה והשימוש לתקופה של 99 שנים הינה פיקציה, ולאמיתו של דבר מדובר בהפקעת הבעלות ברבדים הנדונים. עוד הם טוענים כי הפקעת רובד מסוים של החלקה בלבד (עומק) סותרת את הכלל המעוגן בסעיף 13 ל</w:t>
      </w:r>
      <w:hyperlink r:id="rId6" w:history="1">
        <w:r w:rsidRPr="002E753D">
          <w:rPr>
            <w:rtl/>
          </w:rPr>
          <w:t>חוק המקרקעין</w:t>
        </w:r>
      </w:hyperlink>
      <w:r w:rsidRPr="00D11D60">
        <w:rPr>
          <w:rtl/>
        </w:rPr>
        <w:t xml:space="preserve">, תשכ"ט-1969 שלפיו אין לעשות </w:t>
      </w:r>
      <w:proofErr w:type="spellStart"/>
      <w:r w:rsidRPr="00D11D60">
        <w:rPr>
          <w:rtl/>
        </w:rPr>
        <w:t>עיסקה</w:t>
      </w:r>
      <w:proofErr w:type="spellEnd"/>
      <w:r w:rsidRPr="00D11D60">
        <w:rPr>
          <w:rtl/>
        </w:rPr>
        <w:t xml:space="preserve"> בחלק ממקרקעין. בית</w:t>
      </w:r>
      <w:r w:rsidRPr="002E753D">
        <w:rPr>
          <w:rtl/>
        </w:rPr>
        <w:t>-</w:t>
      </w:r>
      <w:r w:rsidRPr="00D11D60">
        <w:rPr>
          <w:rtl/>
        </w:rPr>
        <w:t>המשפט נתן את הצו המבוקש בכפוף להתחייבויות שנתנה המדינה במהלך הדיון בדבר המרווח שבין הקרקע המופקעת לבין פני הקרקע. מכאן הערעור.</w:t>
      </w:r>
    </w:p>
    <w:p w14:paraId="13D6EDD8" w14:textId="2C58442E" w:rsidR="002E753D" w:rsidRDefault="00A709DE" w:rsidP="00F02CCA">
      <w:pPr>
        <w:pStyle w:val="a4"/>
        <w:numPr>
          <w:ilvl w:val="0"/>
          <w:numId w:val="14"/>
        </w:numPr>
        <w:spacing w:line="276" w:lineRule="auto"/>
      </w:pPr>
      <w:r>
        <w:rPr>
          <w:rFonts w:hint="cs"/>
          <w:rtl/>
        </w:rPr>
        <w:t>עפ"י סעיף 11 לחוק המקרקעין, השטח התת קרקעי מתחת למקרקעין והשטח האווירי שמעליו הוא בבעלות בעל המקרקעין. לאחר המצאת התעופה הותאם החוק ואושר המעבר בשטח האווירי שבבעלות בעל מקרקעין, אך החוק לא הותאם באשר לשטח תת קרקעי למרות שהשימוש בשטח תת קרקעי מתגבר בשל המחסור בקרקעות.</w:t>
      </w:r>
    </w:p>
    <w:p w14:paraId="513C6FB4" w14:textId="24325E45" w:rsidR="001A70E7" w:rsidRDefault="001A70E7" w:rsidP="00F02CCA">
      <w:pPr>
        <w:pStyle w:val="a4"/>
        <w:numPr>
          <w:ilvl w:val="0"/>
          <w:numId w:val="14"/>
        </w:numPr>
        <w:spacing w:line="276" w:lineRule="auto"/>
      </w:pPr>
      <w:r>
        <w:rPr>
          <w:rFonts w:hint="cs"/>
          <w:rtl/>
        </w:rPr>
        <w:t>פסקי דין מסוימים שעסקו שנושא פסקו כי הבעלות לא תוכר מעבר לגבול יכולת ניצול מעשית, אולם הפסיקה לא אחידה.</w:t>
      </w:r>
      <w:r w:rsidR="00391F28">
        <w:rPr>
          <w:rFonts w:hint="cs"/>
          <w:rtl/>
        </w:rPr>
        <w:t xml:space="preserve"> לדעת השופטת, </w:t>
      </w:r>
      <w:r w:rsidR="00391F28" w:rsidRPr="00D11D60">
        <w:rPr>
          <w:rtl/>
        </w:rPr>
        <w:t>גבול יכולת הניצול המעשית הינו מושג עמום, העשוי להשתנות עם הזמן.</w:t>
      </w:r>
    </w:p>
    <w:p w14:paraId="3B5736D6" w14:textId="0230FB29" w:rsidR="0000747A" w:rsidRDefault="0000747A" w:rsidP="00F02CCA">
      <w:pPr>
        <w:pStyle w:val="a4"/>
        <w:numPr>
          <w:ilvl w:val="0"/>
          <w:numId w:val="14"/>
        </w:numPr>
        <w:spacing w:line="276" w:lineRule="auto"/>
      </w:pPr>
      <w:r>
        <w:rPr>
          <w:rFonts w:hint="cs"/>
          <w:rtl/>
        </w:rPr>
        <w:t xml:space="preserve">המדינה אינה יכולה, ללא הסכמת הבעלים, לרוקן את השטח שהפקיעה מחלק מתכולתו (כמו בניית מנהרות במקרה זה) </w:t>
      </w:r>
      <w:r w:rsidRPr="00D11D60">
        <w:rPr>
          <w:rtl/>
        </w:rPr>
        <w:t>בדרך של הפקעת זכות החזקה והשימוש לתקופה של 99 שנים. היא יכולה לעשות כן רק בדרך של הפקעת הבעלות.</w:t>
      </w:r>
    </w:p>
    <w:p w14:paraId="2C1FF4B7" w14:textId="062B744D" w:rsidR="000B46F8" w:rsidRDefault="0047703C" w:rsidP="00F02CCA">
      <w:pPr>
        <w:pStyle w:val="a4"/>
        <w:numPr>
          <w:ilvl w:val="0"/>
          <w:numId w:val="14"/>
        </w:numPr>
        <w:spacing w:line="276" w:lineRule="auto"/>
      </w:pPr>
      <w:hyperlink r:id="rId7" w:history="1">
        <w:r w:rsidR="000B46F8" w:rsidRPr="000B46F8">
          <w:rPr>
            <w:rtl/>
          </w:rPr>
          <w:t>סעיף 13</w:t>
        </w:r>
      </w:hyperlink>
      <w:r w:rsidR="000B46F8" w:rsidRPr="00D11D60">
        <w:rPr>
          <w:rtl/>
        </w:rPr>
        <w:t xml:space="preserve"> ל</w:t>
      </w:r>
      <w:hyperlink r:id="rId8" w:history="1">
        <w:r w:rsidR="000B46F8" w:rsidRPr="000B46F8">
          <w:rPr>
            <w:rtl/>
          </w:rPr>
          <w:t>חוק המקרקעין</w:t>
        </w:r>
      </w:hyperlink>
      <w:r w:rsidR="000B46F8">
        <w:rPr>
          <w:rtl/>
        </w:rPr>
        <w:t xml:space="preserve"> אינ</w:t>
      </w:r>
      <w:r w:rsidR="000B46F8" w:rsidRPr="00D11D60">
        <w:rPr>
          <w:rtl/>
        </w:rPr>
        <w:t xml:space="preserve">ו מונע </w:t>
      </w:r>
      <w:r w:rsidR="000B46F8" w:rsidRPr="000B46F8">
        <w:rPr>
          <w:rtl/>
        </w:rPr>
        <w:t>הפקעה</w:t>
      </w:r>
      <w:r w:rsidR="000B46F8" w:rsidRPr="00D11D60">
        <w:rPr>
          <w:rtl/>
        </w:rPr>
        <w:t xml:space="preserve"> של חלק ממקרקעין בלבד, וכך הוא גם כשהחלק המופקע הוא בעומק הקרקע.</w:t>
      </w:r>
      <w:r w:rsidR="00F011EC" w:rsidRPr="00F011EC">
        <w:rPr>
          <w:rtl/>
        </w:rPr>
        <w:t xml:space="preserve"> </w:t>
      </w:r>
      <w:r w:rsidR="00F011EC" w:rsidRPr="00D11D60">
        <w:rPr>
          <w:rtl/>
        </w:rPr>
        <w:t>גם אין מניעה לרשום הערות אזהרה ההולמות את היקף ההפקעה גם בהפקעת "פרוסה" מן הקרקע. אם אין לרשם המקרקעין נהלים המסדירים רישום הערת אזהרה כזו יש ליצור נוהל מתאים. לא הנוהל יכתיב את הדין. הדין הוא שיכתיב את הנוהל.</w:t>
      </w:r>
    </w:p>
    <w:p w14:paraId="4C1968CA" w14:textId="37B156A0" w:rsidR="00897C0B" w:rsidRDefault="00897C0B" w:rsidP="00F02CCA">
      <w:pPr>
        <w:spacing w:line="276" w:lineRule="auto"/>
        <w:rPr>
          <w:b/>
          <w:bCs/>
          <w:sz w:val="28"/>
          <w:szCs w:val="28"/>
          <w:u w:val="single"/>
          <w:rtl/>
        </w:rPr>
      </w:pPr>
      <w:r>
        <w:rPr>
          <w:rFonts w:hint="cs"/>
          <w:b/>
          <w:bCs/>
          <w:sz w:val="28"/>
          <w:szCs w:val="28"/>
          <w:u w:val="single"/>
          <w:rtl/>
        </w:rPr>
        <w:t xml:space="preserve">פס"ד </w:t>
      </w:r>
      <w:proofErr w:type="spellStart"/>
      <w:r w:rsidRPr="00897C0B">
        <w:rPr>
          <w:b/>
          <w:bCs/>
          <w:sz w:val="28"/>
          <w:szCs w:val="28"/>
          <w:u w:val="single"/>
          <w:rtl/>
        </w:rPr>
        <w:t>אסטרחאן</w:t>
      </w:r>
      <w:proofErr w:type="spellEnd"/>
      <w:r w:rsidRPr="00897C0B">
        <w:rPr>
          <w:b/>
          <w:bCs/>
          <w:sz w:val="28"/>
          <w:szCs w:val="28"/>
          <w:u w:val="single"/>
          <w:rtl/>
        </w:rPr>
        <w:t xml:space="preserve"> ואח' נ' בר חורין ואח</w:t>
      </w:r>
      <w:r w:rsidRPr="00897C0B">
        <w:rPr>
          <w:b/>
          <w:bCs/>
          <w:sz w:val="28"/>
          <w:szCs w:val="28"/>
          <w:u w:val="single"/>
        </w:rPr>
        <w:t>'</w:t>
      </w:r>
    </w:p>
    <w:p w14:paraId="29550E98" w14:textId="4411A625" w:rsidR="00897C0B" w:rsidRDefault="00897C0B" w:rsidP="00F02CCA">
      <w:pPr>
        <w:spacing w:line="276" w:lineRule="auto"/>
        <w:rPr>
          <w:u w:val="single"/>
          <w:rtl/>
        </w:rPr>
      </w:pPr>
      <w:r>
        <w:rPr>
          <w:rFonts w:hint="cs"/>
          <w:u w:val="single"/>
          <w:rtl/>
        </w:rPr>
        <w:t>הסיפור העובדתי:</w:t>
      </w:r>
    </w:p>
    <w:p w14:paraId="32197E18" w14:textId="1966C653" w:rsidR="002943FA" w:rsidRDefault="00897C0B" w:rsidP="00F02CCA">
      <w:pPr>
        <w:pStyle w:val="a4"/>
        <w:numPr>
          <w:ilvl w:val="0"/>
          <w:numId w:val="16"/>
        </w:numPr>
        <w:spacing w:line="276" w:lineRule="auto"/>
      </w:pPr>
      <w:r>
        <w:rPr>
          <w:rFonts w:hint="cs"/>
          <w:rtl/>
        </w:rPr>
        <w:t xml:space="preserve">המערערים </w:t>
      </w:r>
      <w:r w:rsidR="002943FA">
        <w:rPr>
          <w:rFonts w:hint="cs"/>
          <w:rtl/>
        </w:rPr>
        <w:t xml:space="preserve">הם הבעלים של </w:t>
      </w:r>
      <w:r>
        <w:rPr>
          <w:rFonts w:hint="cs"/>
          <w:rtl/>
        </w:rPr>
        <w:t>ח</w:t>
      </w:r>
      <w:r w:rsidR="002943FA">
        <w:rPr>
          <w:rFonts w:hint="cs"/>
          <w:rtl/>
        </w:rPr>
        <w:t>לקה 23</w:t>
      </w:r>
      <w:r>
        <w:rPr>
          <w:rFonts w:hint="cs"/>
          <w:rtl/>
        </w:rPr>
        <w:t xml:space="preserve">. </w:t>
      </w:r>
      <w:r w:rsidR="003A2390">
        <w:rPr>
          <w:rFonts w:hint="cs"/>
          <w:rtl/>
        </w:rPr>
        <w:t>החלקה נרכשה ע"י זוג (הבעל נפטר) ו</w:t>
      </w:r>
      <w:r>
        <w:rPr>
          <w:rFonts w:hint="cs"/>
          <w:rtl/>
        </w:rPr>
        <w:t>על הח</w:t>
      </w:r>
      <w:r w:rsidR="000C091F">
        <w:rPr>
          <w:rFonts w:hint="cs"/>
          <w:rtl/>
        </w:rPr>
        <w:t>לקה בנויים ביתה של האם ובתי ילד</w:t>
      </w:r>
      <w:r>
        <w:rPr>
          <w:rFonts w:hint="cs"/>
          <w:rtl/>
        </w:rPr>
        <w:t>יה.</w:t>
      </w:r>
    </w:p>
    <w:p w14:paraId="741FA1BF" w14:textId="2A21ED39" w:rsidR="00897C0B" w:rsidRDefault="002943FA" w:rsidP="00F02CCA">
      <w:pPr>
        <w:pStyle w:val="a4"/>
        <w:numPr>
          <w:ilvl w:val="0"/>
          <w:numId w:val="16"/>
        </w:numPr>
        <w:spacing w:line="276" w:lineRule="auto"/>
      </w:pPr>
      <w:r>
        <w:rPr>
          <w:rFonts w:hint="cs"/>
          <w:rtl/>
        </w:rPr>
        <w:t>המשיבים היו הבעלים של חלקה 22</w:t>
      </w:r>
      <w:r w:rsidR="00897C0B">
        <w:rPr>
          <w:rFonts w:hint="cs"/>
          <w:rtl/>
        </w:rPr>
        <w:t xml:space="preserve"> </w:t>
      </w:r>
      <w:r>
        <w:rPr>
          <w:rFonts w:hint="cs"/>
          <w:rtl/>
        </w:rPr>
        <w:t xml:space="preserve">. 2/3 מהחלקה בבעלות גבריאלי ו1/3 בבעלות </w:t>
      </w:r>
      <w:proofErr w:type="spellStart"/>
      <w:r>
        <w:rPr>
          <w:rFonts w:hint="cs"/>
          <w:rtl/>
        </w:rPr>
        <w:t>רודלניק</w:t>
      </w:r>
      <w:proofErr w:type="spellEnd"/>
      <w:r>
        <w:rPr>
          <w:rFonts w:hint="cs"/>
          <w:rtl/>
        </w:rPr>
        <w:t xml:space="preserve">. </w:t>
      </w:r>
      <w:r w:rsidR="00B616A2">
        <w:rPr>
          <w:rFonts w:hint="cs"/>
          <w:rtl/>
        </w:rPr>
        <w:t xml:space="preserve">ב86' </w:t>
      </w:r>
      <w:proofErr w:type="spellStart"/>
      <w:r w:rsidR="00B616A2">
        <w:rPr>
          <w:rFonts w:hint="cs"/>
          <w:rtl/>
        </w:rPr>
        <w:t>גבראילי</w:t>
      </w:r>
      <w:proofErr w:type="spellEnd"/>
      <w:r w:rsidR="00B616A2">
        <w:rPr>
          <w:rFonts w:hint="cs"/>
          <w:rtl/>
        </w:rPr>
        <w:t xml:space="preserve"> מכר את זכויות בחלקה לחברת בר-חורין. </w:t>
      </w:r>
      <w:r w:rsidR="007357F7">
        <w:rPr>
          <w:rFonts w:hint="cs"/>
          <w:rtl/>
        </w:rPr>
        <w:t>לפי תוכנית המתאר החלקה מסווגת כאזור תעשייה ומלאכה.</w:t>
      </w:r>
    </w:p>
    <w:p w14:paraId="7296790C" w14:textId="7B6090EC" w:rsidR="005F2B0F" w:rsidRDefault="005F2B0F" w:rsidP="00F02CCA">
      <w:pPr>
        <w:pStyle w:val="a4"/>
        <w:numPr>
          <w:ilvl w:val="0"/>
          <w:numId w:val="16"/>
        </w:numPr>
        <w:spacing w:line="276" w:lineRule="auto"/>
      </w:pPr>
      <w:r>
        <w:rPr>
          <w:rFonts w:hint="cs"/>
          <w:rtl/>
        </w:rPr>
        <w:t>מערערים טענו כי חלקה 22 שימשה להם מעבר מהרחובות הסמוכים לביתם בחלקה 23 וכן שימשה להם לחניית כלי רכב כבר מעל 30 שנה</w:t>
      </w:r>
      <w:r w:rsidR="008E56A1">
        <w:rPr>
          <w:rFonts w:hint="cs"/>
          <w:rtl/>
        </w:rPr>
        <w:t xml:space="preserve"> רצוף</w:t>
      </w:r>
      <w:r>
        <w:rPr>
          <w:rFonts w:hint="cs"/>
          <w:rtl/>
        </w:rPr>
        <w:t>.</w:t>
      </w:r>
    </w:p>
    <w:p w14:paraId="75DC43C8" w14:textId="77777777" w:rsidR="00277A0E" w:rsidRPr="009165E2" w:rsidRDefault="008E56A1" w:rsidP="00F02CCA">
      <w:pPr>
        <w:pStyle w:val="a4"/>
        <w:numPr>
          <w:ilvl w:val="0"/>
          <w:numId w:val="16"/>
        </w:numPr>
        <w:spacing w:line="276" w:lineRule="auto"/>
        <w:rPr>
          <w:rtl/>
        </w:rPr>
      </w:pPr>
      <w:r>
        <w:rPr>
          <w:rFonts w:hint="cs"/>
          <w:rtl/>
        </w:rPr>
        <w:t>בר חורין הכחיש את קיומו של השימוש הנטען. הוא טען כי יש מוצא מהחלקה גם מחלקה הצפוני ובנוסף כי השימוש נעשה קודם ע"י אב המשפחה המנוח אשר נפטר לפני שעברו 30 שנה של שימוש.</w:t>
      </w:r>
      <w:r w:rsidR="00277A0E">
        <w:rPr>
          <w:rFonts w:hint="cs"/>
          <w:rtl/>
        </w:rPr>
        <w:t xml:space="preserve"> </w:t>
      </w:r>
      <w:r w:rsidR="00277A0E" w:rsidRPr="009165E2">
        <w:rPr>
          <w:rtl/>
        </w:rPr>
        <w:t xml:space="preserve">הוא טוען עוד, שהשימוש שנעשה בידי הבעל המנוח היה שלא כדין, תוך הסגת גבולה של חלקה </w:t>
      </w:r>
      <w:r w:rsidR="00277A0E" w:rsidRPr="009165E2">
        <w:t>.22</w:t>
      </w:r>
      <w:r w:rsidR="00277A0E" w:rsidRPr="009165E2">
        <w:rPr>
          <w:rtl/>
        </w:rPr>
        <w:t>על-כן, אין הוא מקים כל זכות לבעל המנוח או ליורשיו.</w:t>
      </w:r>
    </w:p>
    <w:p w14:paraId="1BC591EA" w14:textId="77777777" w:rsidR="00E87895" w:rsidRPr="009165E2" w:rsidRDefault="00E87895" w:rsidP="00F02CCA">
      <w:pPr>
        <w:pStyle w:val="a4"/>
        <w:numPr>
          <w:ilvl w:val="0"/>
          <w:numId w:val="16"/>
        </w:numPr>
        <w:tabs>
          <w:tab w:val="left" w:pos="288"/>
          <w:tab w:val="left" w:pos="720"/>
          <w:tab w:val="decimal" w:pos="2736"/>
          <w:tab w:val="left" w:pos="4896"/>
        </w:tabs>
        <w:autoSpaceDE w:val="0"/>
        <w:autoSpaceDN w:val="0"/>
        <w:adjustRightInd w:val="0"/>
        <w:spacing w:after="80" w:line="276" w:lineRule="auto"/>
        <w:jc w:val="both"/>
        <w:rPr>
          <w:rtl/>
        </w:rPr>
      </w:pPr>
      <w:r w:rsidRPr="009165E2">
        <w:rPr>
          <w:rtl/>
        </w:rPr>
        <w:t>גבריאלי תומך בטענותיו של בר-חורין ומוסיף עליהן שתיים אלו: אם נעשה שימוש בחלקה, נעשה הדבר בהיעדרו מן המקום ושלא בידיעתו; מכל מקום, גם אם השימוש הקים זכות, אין להנציח את קיומה כאשר הבעלים מבקשים להשתמש בחלקה לצורכיהם ולענייניהם.</w:t>
      </w:r>
    </w:p>
    <w:p w14:paraId="42A4B5CE" w14:textId="7C201FA6" w:rsidR="008E56A1" w:rsidRDefault="007338BB" w:rsidP="00F02CCA">
      <w:pPr>
        <w:pStyle w:val="a4"/>
        <w:numPr>
          <w:ilvl w:val="0"/>
          <w:numId w:val="16"/>
        </w:numPr>
        <w:spacing w:line="276" w:lineRule="auto"/>
      </w:pPr>
      <w:r>
        <w:rPr>
          <w:rFonts w:hint="cs"/>
          <w:rtl/>
        </w:rPr>
        <w:t>הערכאה הראשונה פסקה לטובת המשיבים. היא לא שוכנעה שנעשה שימוש רציף של 30 שנה ובנוסף יש גישה וחניה לבתים בצד הדרומי של החלקה מהצד הצפוני של החלקה.</w:t>
      </w:r>
    </w:p>
    <w:p w14:paraId="776B20BB" w14:textId="6C45D2AC" w:rsidR="00503A51" w:rsidRDefault="00503A51" w:rsidP="00F02CCA">
      <w:pPr>
        <w:pStyle w:val="a4"/>
        <w:numPr>
          <w:ilvl w:val="0"/>
          <w:numId w:val="16"/>
        </w:numPr>
        <w:spacing w:line="276" w:lineRule="auto"/>
      </w:pPr>
      <w:r>
        <w:rPr>
          <w:rFonts w:hint="cs"/>
          <w:rtl/>
        </w:rPr>
        <w:t>הערכאה השנייה דחתה את הערעור.</w:t>
      </w:r>
    </w:p>
    <w:p w14:paraId="4DB013AF" w14:textId="2D22814D" w:rsidR="008977D5" w:rsidRDefault="008977D5" w:rsidP="00F02CCA">
      <w:pPr>
        <w:spacing w:line="276" w:lineRule="auto"/>
        <w:rPr>
          <w:u w:val="single"/>
          <w:rtl/>
        </w:rPr>
      </w:pPr>
      <w:r>
        <w:rPr>
          <w:rFonts w:hint="cs"/>
          <w:u w:val="single"/>
          <w:rtl/>
        </w:rPr>
        <w:lastRenderedPageBreak/>
        <w:t>טענות הצדדים:</w:t>
      </w:r>
    </w:p>
    <w:p w14:paraId="1FC72CE2" w14:textId="592955A9" w:rsidR="008977D5" w:rsidRDefault="008977D5" w:rsidP="00F02CCA">
      <w:pPr>
        <w:spacing w:line="276" w:lineRule="auto"/>
        <w:ind w:left="360"/>
        <w:rPr>
          <w:b/>
          <w:bCs/>
          <w:rtl/>
        </w:rPr>
      </w:pPr>
      <w:r>
        <w:rPr>
          <w:rFonts w:hint="cs"/>
          <w:b/>
          <w:bCs/>
          <w:rtl/>
        </w:rPr>
        <w:t>המערערים:</w:t>
      </w:r>
    </w:p>
    <w:p w14:paraId="21C80817" w14:textId="0F42F392" w:rsidR="008977D5" w:rsidRDefault="008977D5" w:rsidP="00F02CCA">
      <w:pPr>
        <w:pStyle w:val="a4"/>
        <w:numPr>
          <w:ilvl w:val="0"/>
          <w:numId w:val="17"/>
        </w:numPr>
        <w:tabs>
          <w:tab w:val="left" w:pos="288"/>
          <w:tab w:val="left" w:pos="720"/>
          <w:tab w:val="left" w:pos="1296"/>
        </w:tabs>
        <w:autoSpaceDE w:val="0"/>
        <w:autoSpaceDN w:val="0"/>
        <w:adjustRightInd w:val="0"/>
        <w:spacing w:after="80" w:line="276" w:lineRule="auto"/>
        <w:jc w:val="both"/>
      </w:pPr>
      <w:r w:rsidRPr="009165E2">
        <w:rPr>
          <w:rtl/>
        </w:rPr>
        <w:t xml:space="preserve">שימושם בחלקה </w:t>
      </w:r>
      <w:r w:rsidRPr="009165E2">
        <w:t>22</w:t>
      </w:r>
      <w:r w:rsidRPr="009165E2">
        <w:rPr>
          <w:rtl/>
        </w:rPr>
        <w:t xml:space="preserve">היה בתקופה רצופה, כפי שנדרש כדי לזכות את חלקה </w:t>
      </w:r>
      <w:r w:rsidRPr="009165E2">
        <w:t>23</w:t>
      </w:r>
      <w:r w:rsidRPr="009165E2">
        <w:rPr>
          <w:rtl/>
        </w:rPr>
        <w:t xml:space="preserve"> בזיקת ההנאה</w:t>
      </w:r>
      <w:r>
        <w:rPr>
          <w:rFonts w:hint="cs"/>
          <w:rtl/>
        </w:rPr>
        <w:t>.</w:t>
      </w:r>
    </w:p>
    <w:p w14:paraId="1686D393" w14:textId="048B1915" w:rsidR="008977D5" w:rsidRDefault="008977D5" w:rsidP="00F02CCA">
      <w:pPr>
        <w:pStyle w:val="a4"/>
        <w:numPr>
          <w:ilvl w:val="0"/>
          <w:numId w:val="17"/>
        </w:numPr>
        <w:tabs>
          <w:tab w:val="left" w:pos="288"/>
          <w:tab w:val="left" w:pos="720"/>
          <w:tab w:val="left" w:pos="1296"/>
        </w:tabs>
        <w:autoSpaceDE w:val="0"/>
        <w:autoSpaceDN w:val="0"/>
        <w:adjustRightInd w:val="0"/>
        <w:spacing w:after="80" w:line="276" w:lineRule="auto"/>
        <w:jc w:val="both"/>
      </w:pPr>
      <w:r>
        <w:rPr>
          <w:rFonts w:hint="cs"/>
          <w:rtl/>
        </w:rPr>
        <w:t>זיקת הנאה נרכשת לטובת מקרקעין ולא לטובת אדם, אחרת היה נוצר מצב שאדם יכל ליהנות מזיקה זו רק בערוב ימיו ויורשיו יאלצו להתחיל מחדש את ספירת השנים במותו.</w:t>
      </w:r>
    </w:p>
    <w:p w14:paraId="674DFDEA" w14:textId="24411C9F" w:rsidR="008977D5" w:rsidRDefault="008977D5" w:rsidP="00F02CCA">
      <w:pPr>
        <w:pStyle w:val="a4"/>
        <w:numPr>
          <w:ilvl w:val="0"/>
          <w:numId w:val="17"/>
        </w:numPr>
        <w:tabs>
          <w:tab w:val="left" w:pos="288"/>
          <w:tab w:val="left" w:pos="720"/>
          <w:tab w:val="left" w:pos="1296"/>
        </w:tabs>
        <w:autoSpaceDE w:val="0"/>
        <w:autoSpaceDN w:val="0"/>
        <w:adjustRightInd w:val="0"/>
        <w:spacing w:after="80" w:line="276" w:lineRule="auto"/>
        <w:jc w:val="both"/>
      </w:pPr>
      <w:r w:rsidRPr="009165E2">
        <w:rPr>
          <w:rtl/>
        </w:rPr>
        <w:t>לצורך רכישת זיקת ההנאה מכוח שנים ניתן לצרף תקופות שימוש של מספר</w:t>
      </w:r>
      <w:r w:rsidRPr="009165E2">
        <w:t xml:space="preserve"> </w:t>
      </w:r>
      <w:r w:rsidRPr="009165E2">
        <w:rPr>
          <w:rtl/>
        </w:rPr>
        <w:t>אנשים, שהם חליפים זה לזה</w:t>
      </w:r>
      <w:r>
        <w:rPr>
          <w:rFonts w:hint="cs"/>
          <w:rtl/>
        </w:rPr>
        <w:t>.</w:t>
      </w:r>
    </w:p>
    <w:p w14:paraId="70F3D494" w14:textId="41E8ADE5" w:rsidR="008C19A1" w:rsidRDefault="008C19A1" w:rsidP="00F02CCA">
      <w:pPr>
        <w:pStyle w:val="a4"/>
        <w:numPr>
          <w:ilvl w:val="0"/>
          <w:numId w:val="17"/>
        </w:numPr>
        <w:tabs>
          <w:tab w:val="left" w:pos="288"/>
          <w:tab w:val="left" w:pos="720"/>
          <w:tab w:val="left" w:pos="1296"/>
        </w:tabs>
        <w:autoSpaceDE w:val="0"/>
        <w:autoSpaceDN w:val="0"/>
        <w:adjustRightInd w:val="0"/>
        <w:spacing w:after="80" w:line="276" w:lineRule="auto"/>
        <w:jc w:val="both"/>
      </w:pPr>
      <w:r w:rsidRPr="009165E2">
        <w:rPr>
          <w:rtl/>
        </w:rPr>
        <w:t>אין צורך בידיעתו של בעל החלקה הכפופה כדי שיחל מרוץ הזמן לרכישתה של זיקת הנאה מכוח שנים. בכל מקרה, בנסיבות שבענייננו, הייתה למשיבים ידיעה בפועל על השימוש, ומכל מקום, הם היו חייבים לדעת אודותיו</w:t>
      </w:r>
      <w:r>
        <w:rPr>
          <w:rFonts w:hint="cs"/>
          <w:rtl/>
        </w:rPr>
        <w:t>.</w:t>
      </w:r>
    </w:p>
    <w:p w14:paraId="1663F798" w14:textId="28F6E5DE" w:rsidR="008C19A1" w:rsidRDefault="008C19A1" w:rsidP="00F02CCA">
      <w:pPr>
        <w:pStyle w:val="a4"/>
        <w:numPr>
          <w:ilvl w:val="0"/>
          <w:numId w:val="17"/>
        </w:numPr>
        <w:tabs>
          <w:tab w:val="left" w:pos="288"/>
          <w:tab w:val="left" w:pos="720"/>
          <w:tab w:val="left" w:pos="1296"/>
        </w:tabs>
        <w:autoSpaceDE w:val="0"/>
        <w:autoSpaceDN w:val="0"/>
        <w:adjustRightInd w:val="0"/>
        <w:spacing w:after="80" w:line="276" w:lineRule="auto"/>
        <w:jc w:val="both"/>
      </w:pPr>
      <w:r w:rsidRPr="009165E2">
        <w:rPr>
          <w:rtl/>
        </w:rPr>
        <w:t xml:space="preserve">הוראות </w:t>
      </w:r>
      <w:hyperlink r:id="rId9" w:history="1">
        <w:r w:rsidRPr="009165E2">
          <w:rPr>
            <w:rStyle w:val="Hyperlink"/>
            <w:rtl/>
          </w:rPr>
          <w:t>סעיף 96</w:t>
        </w:r>
      </w:hyperlink>
      <w:r>
        <w:rPr>
          <w:rFonts w:hint="cs"/>
          <w:rtl/>
        </w:rPr>
        <w:t xml:space="preserve"> </w:t>
      </w:r>
      <w:r w:rsidRPr="009165E2">
        <w:rPr>
          <w:rtl/>
        </w:rPr>
        <w:t>לחוק המקרקעין בדבר סמכותו של בית המשפט לבטל זיקת</w:t>
      </w:r>
      <w:r w:rsidRPr="009165E2">
        <w:t xml:space="preserve"> </w:t>
      </w:r>
      <w:r w:rsidRPr="009165E2">
        <w:rPr>
          <w:rtl/>
        </w:rPr>
        <w:t>הנאה תמורת פיצוי מתאים אינן חלות על זיקת הנאה מכוח שנים.</w:t>
      </w:r>
    </w:p>
    <w:p w14:paraId="22DD3F01" w14:textId="65036D7F" w:rsidR="00CA7556" w:rsidRDefault="00CA7556" w:rsidP="00F02CCA">
      <w:pPr>
        <w:tabs>
          <w:tab w:val="left" w:pos="288"/>
          <w:tab w:val="left" w:pos="720"/>
          <w:tab w:val="left" w:pos="1296"/>
        </w:tabs>
        <w:autoSpaceDE w:val="0"/>
        <w:autoSpaceDN w:val="0"/>
        <w:adjustRightInd w:val="0"/>
        <w:spacing w:after="80" w:line="276" w:lineRule="auto"/>
        <w:jc w:val="both"/>
        <w:rPr>
          <w:b/>
          <w:bCs/>
          <w:rtl/>
        </w:rPr>
      </w:pPr>
      <w:r>
        <w:rPr>
          <w:b/>
          <w:bCs/>
          <w:rtl/>
        </w:rPr>
        <w:tab/>
      </w:r>
      <w:r>
        <w:rPr>
          <w:rFonts w:hint="cs"/>
          <w:b/>
          <w:bCs/>
          <w:rtl/>
        </w:rPr>
        <w:t>המשיבים:</w:t>
      </w:r>
    </w:p>
    <w:p w14:paraId="4F8C9E57" w14:textId="4B9D51FC" w:rsidR="00CA7556" w:rsidRDefault="00CA7556" w:rsidP="00F02CCA">
      <w:pPr>
        <w:tabs>
          <w:tab w:val="left" w:pos="288"/>
          <w:tab w:val="left" w:pos="720"/>
          <w:tab w:val="left" w:pos="1296"/>
        </w:tabs>
        <w:autoSpaceDE w:val="0"/>
        <w:autoSpaceDN w:val="0"/>
        <w:adjustRightInd w:val="0"/>
        <w:spacing w:after="80" w:line="276" w:lineRule="auto"/>
        <w:ind w:left="288"/>
        <w:jc w:val="both"/>
        <w:rPr>
          <w:rtl/>
        </w:rPr>
      </w:pPr>
      <w:r>
        <w:rPr>
          <w:rFonts w:hint="cs"/>
          <w:rtl/>
        </w:rPr>
        <w:t xml:space="preserve">כבר נקבע כממצא עובדתי שלא היה שימוש רציף של 30 שנה, </w:t>
      </w:r>
      <w:r w:rsidRPr="009165E2">
        <w:rPr>
          <w:rtl/>
        </w:rPr>
        <w:t>ומאחר שאין זה מנוהגו של ב</w:t>
      </w:r>
      <w:r>
        <w:rPr>
          <w:rtl/>
        </w:rPr>
        <w:t>ית-משפט לערעורים להתערב במ</w:t>
      </w:r>
      <w:r w:rsidRPr="009165E2">
        <w:rPr>
          <w:rtl/>
        </w:rPr>
        <w:t>מצאיה העובדתיים של ערכאת השמיעה, יש לדחות את הערעור</w:t>
      </w:r>
      <w:r>
        <w:rPr>
          <w:rFonts w:hint="cs"/>
          <w:rtl/>
        </w:rPr>
        <w:t>.</w:t>
      </w:r>
    </w:p>
    <w:p w14:paraId="3F52AC40" w14:textId="02726556" w:rsidR="00637D79" w:rsidRDefault="00536D17" w:rsidP="00F02CCA">
      <w:pPr>
        <w:tabs>
          <w:tab w:val="left" w:pos="288"/>
          <w:tab w:val="left" w:pos="720"/>
          <w:tab w:val="left" w:pos="1296"/>
        </w:tabs>
        <w:autoSpaceDE w:val="0"/>
        <w:autoSpaceDN w:val="0"/>
        <w:adjustRightInd w:val="0"/>
        <w:spacing w:after="80" w:line="276" w:lineRule="auto"/>
        <w:jc w:val="both"/>
        <w:rPr>
          <w:u w:val="single"/>
          <w:rtl/>
        </w:rPr>
      </w:pPr>
      <w:r>
        <w:rPr>
          <w:rFonts w:hint="cs"/>
          <w:u w:val="single"/>
          <w:rtl/>
        </w:rPr>
        <w:t>השאלות המשפטיות:</w:t>
      </w:r>
    </w:p>
    <w:p w14:paraId="6E1D195E" w14:textId="16620AD5" w:rsidR="00536D17" w:rsidRPr="009165E2" w:rsidRDefault="00536D17" w:rsidP="00F02CCA">
      <w:pPr>
        <w:pStyle w:val="a4"/>
        <w:numPr>
          <w:ilvl w:val="0"/>
          <w:numId w:val="18"/>
        </w:numPr>
        <w:tabs>
          <w:tab w:val="left" w:pos="288"/>
          <w:tab w:val="left" w:pos="720"/>
          <w:tab w:val="left" w:pos="1296"/>
        </w:tabs>
        <w:autoSpaceDE w:val="0"/>
        <w:autoSpaceDN w:val="0"/>
        <w:adjustRightInd w:val="0"/>
        <w:spacing w:after="80" w:line="276" w:lineRule="auto"/>
        <w:jc w:val="both"/>
        <w:rPr>
          <w:rtl/>
        </w:rPr>
      </w:pPr>
      <w:r w:rsidRPr="009165E2">
        <w:rPr>
          <w:rtl/>
        </w:rPr>
        <w:t>האם זיקת הנאה מכוח שנים קמה על יסוד שימוש שתחילתו ביום תחילת החוק ולאחריו, או האם היא קמה גם על יסוד שימוש שקדם לו</w:t>
      </w:r>
      <w:r w:rsidRPr="009165E2">
        <w:t>?</w:t>
      </w:r>
      <w:r w:rsidRPr="009165E2">
        <w:rPr>
          <w:rtl/>
        </w:rPr>
        <w:t xml:space="preserve"> </w:t>
      </w:r>
    </w:p>
    <w:p w14:paraId="10B0EB60" w14:textId="484DB6BF" w:rsidR="00536D17" w:rsidRPr="009165E2" w:rsidRDefault="00536D17" w:rsidP="00F02CCA">
      <w:pPr>
        <w:pStyle w:val="a4"/>
        <w:numPr>
          <w:ilvl w:val="0"/>
          <w:numId w:val="18"/>
        </w:numPr>
        <w:tabs>
          <w:tab w:val="left" w:pos="288"/>
          <w:tab w:val="left" w:pos="720"/>
          <w:tab w:val="left" w:pos="1296"/>
        </w:tabs>
        <w:autoSpaceDE w:val="0"/>
        <w:autoSpaceDN w:val="0"/>
        <w:adjustRightInd w:val="0"/>
        <w:spacing w:after="80" w:line="276" w:lineRule="auto"/>
        <w:jc w:val="both"/>
        <w:rPr>
          <w:rtl/>
        </w:rPr>
      </w:pPr>
      <w:r w:rsidRPr="009165E2">
        <w:t xml:space="preserve"> </w:t>
      </w:r>
      <w:r w:rsidRPr="009165E2">
        <w:rPr>
          <w:rtl/>
        </w:rPr>
        <w:t>מה הם</w:t>
      </w:r>
      <w:r w:rsidRPr="009165E2">
        <w:t xml:space="preserve"> </w:t>
      </w:r>
      <w:r w:rsidRPr="009165E2">
        <w:rPr>
          <w:rtl/>
        </w:rPr>
        <w:t>התנאים הנדרשים לרכישתה של זיקת הנאה מכוח שנים</w:t>
      </w:r>
      <w:r w:rsidRPr="009165E2">
        <w:t>?</w:t>
      </w:r>
      <w:r w:rsidRPr="009165E2">
        <w:rPr>
          <w:rtl/>
        </w:rPr>
        <w:t xml:space="preserve"> </w:t>
      </w:r>
    </w:p>
    <w:p w14:paraId="1663BBEA" w14:textId="1CCF98F5" w:rsidR="00536D17" w:rsidRPr="00536D17" w:rsidRDefault="00536D17" w:rsidP="00F02CCA">
      <w:pPr>
        <w:pStyle w:val="a4"/>
        <w:numPr>
          <w:ilvl w:val="0"/>
          <w:numId w:val="18"/>
        </w:numPr>
        <w:tabs>
          <w:tab w:val="left" w:pos="288"/>
          <w:tab w:val="left" w:pos="720"/>
          <w:tab w:val="left" w:pos="1296"/>
        </w:tabs>
        <w:autoSpaceDE w:val="0"/>
        <w:autoSpaceDN w:val="0"/>
        <w:adjustRightInd w:val="0"/>
        <w:spacing w:after="80" w:line="276" w:lineRule="auto"/>
        <w:jc w:val="both"/>
        <w:rPr>
          <w:u w:val="single"/>
        </w:rPr>
      </w:pPr>
      <w:r w:rsidRPr="009165E2">
        <w:t xml:space="preserve"> </w:t>
      </w:r>
      <w:r w:rsidRPr="009165E2">
        <w:rPr>
          <w:rtl/>
        </w:rPr>
        <w:t>האם זיקת הנאה מכוח שנים נוצרת לטובת מקרקעין או לטובת אדם</w:t>
      </w:r>
      <w:r w:rsidRPr="009165E2">
        <w:t xml:space="preserve">? </w:t>
      </w:r>
    </w:p>
    <w:p w14:paraId="4D672849" w14:textId="065439AE" w:rsidR="00536D17" w:rsidRPr="009165E2" w:rsidRDefault="00536D17" w:rsidP="00F02CCA">
      <w:pPr>
        <w:pStyle w:val="a4"/>
        <w:numPr>
          <w:ilvl w:val="0"/>
          <w:numId w:val="18"/>
        </w:numPr>
        <w:tabs>
          <w:tab w:val="left" w:pos="288"/>
          <w:tab w:val="left" w:pos="720"/>
          <w:tab w:val="left" w:pos="1296"/>
        </w:tabs>
        <w:autoSpaceDE w:val="0"/>
        <w:autoSpaceDN w:val="0"/>
        <w:adjustRightInd w:val="0"/>
        <w:spacing w:after="80" w:line="276" w:lineRule="auto"/>
        <w:jc w:val="both"/>
        <w:rPr>
          <w:rtl/>
        </w:rPr>
      </w:pPr>
      <w:r w:rsidRPr="009165E2">
        <w:rPr>
          <w:rtl/>
        </w:rPr>
        <w:t>הניתן לצרף תקופות שימוש של משתמשים לשם יצירתה של תקופת שימוש בת שלושים שנים ברציפות</w:t>
      </w:r>
      <w:r w:rsidRPr="009165E2">
        <w:t>?</w:t>
      </w:r>
      <w:r w:rsidRPr="009165E2">
        <w:rPr>
          <w:rtl/>
        </w:rPr>
        <w:t xml:space="preserve"> </w:t>
      </w:r>
    </w:p>
    <w:p w14:paraId="649C28DF" w14:textId="5BEEE19A" w:rsidR="00536D17" w:rsidRPr="009165E2" w:rsidRDefault="00536D17" w:rsidP="00F02CCA">
      <w:pPr>
        <w:pStyle w:val="a4"/>
        <w:numPr>
          <w:ilvl w:val="0"/>
          <w:numId w:val="18"/>
        </w:numPr>
        <w:tabs>
          <w:tab w:val="left" w:pos="288"/>
          <w:tab w:val="left" w:pos="720"/>
          <w:tab w:val="left" w:pos="1296"/>
        </w:tabs>
        <w:autoSpaceDE w:val="0"/>
        <w:autoSpaceDN w:val="0"/>
        <w:adjustRightInd w:val="0"/>
        <w:spacing w:after="80" w:line="276" w:lineRule="auto"/>
        <w:jc w:val="both"/>
        <w:rPr>
          <w:rtl/>
        </w:rPr>
      </w:pPr>
      <w:r w:rsidRPr="009165E2">
        <w:rPr>
          <w:rtl/>
        </w:rPr>
        <w:t>מה משמעותן של אפשרויות אלטרנטיביות לגישה ולחניה</w:t>
      </w:r>
      <w:r w:rsidRPr="009165E2">
        <w:t xml:space="preserve">? </w:t>
      </w:r>
    </w:p>
    <w:p w14:paraId="55D8D5D7" w14:textId="0958767E" w:rsidR="00536D17" w:rsidRPr="009165E2" w:rsidRDefault="00536D17" w:rsidP="00F02CCA">
      <w:pPr>
        <w:pStyle w:val="a4"/>
        <w:numPr>
          <w:ilvl w:val="0"/>
          <w:numId w:val="18"/>
        </w:numPr>
        <w:tabs>
          <w:tab w:val="left" w:pos="288"/>
          <w:tab w:val="left" w:pos="720"/>
          <w:tab w:val="left" w:pos="1296"/>
        </w:tabs>
        <w:autoSpaceDE w:val="0"/>
        <w:autoSpaceDN w:val="0"/>
        <w:adjustRightInd w:val="0"/>
        <w:spacing w:after="80" w:line="276" w:lineRule="auto"/>
        <w:jc w:val="both"/>
        <w:rPr>
          <w:rtl/>
        </w:rPr>
      </w:pPr>
      <w:r w:rsidRPr="009165E2">
        <w:rPr>
          <w:rtl/>
        </w:rPr>
        <w:t xml:space="preserve">מהי תחולת הוראותיו של </w:t>
      </w:r>
      <w:hyperlink r:id="rId10" w:history="1">
        <w:r w:rsidRPr="009165E2">
          <w:rPr>
            <w:rStyle w:val="Hyperlink"/>
            <w:rtl/>
          </w:rPr>
          <w:t>סעיף 96</w:t>
        </w:r>
      </w:hyperlink>
      <w:r w:rsidRPr="009165E2">
        <w:rPr>
          <w:rtl/>
        </w:rPr>
        <w:t>לחוק על זיקת הנאה מכוח שנים, ואימתי יתערב בית המשפט בתנאי זיקת ההנאה או במשך תקופתה</w:t>
      </w:r>
      <w:r w:rsidRPr="009165E2">
        <w:t>?</w:t>
      </w:r>
      <w:r w:rsidRPr="009165E2">
        <w:rPr>
          <w:rtl/>
        </w:rPr>
        <w:t xml:space="preserve"> </w:t>
      </w:r>
    </w:p>
    <w:p w14:paraId="1BE0A252" w14:textId="59C2CC34" w:rsidR="00E82FA1" w:rsidRDefault="00E82FA1" w:rsidP="00F02CCA">
      <w:pPr>
        <w:tabs>
          <w:tab w:val="left" w:pos="288"/>
          <w:tab w:val="left" w:pos="720"/>
          <w:tab w:val="left" w:pos="1296"/>
        </w:tabs>
        <w:autoSpaceDE w:val="0"/>
        <w:autoSpaceDN w:val="0"/>
        <w:adjustRightInd w:val="0"/>
        <w:spacing w:after="80" w:line="276" w:lineRule="auto"/>
        <w:jc w:val="both"/>
        <w:rPr>
          <w:u w:val="single"/>
          <w:rtl/>
        </w:rPr>
      </w:pPr>
      <w:r>
        <w:rPr>
          <w:rFonts w:hint="cs"/>
          <w:u w:val="single"/>
          <w:rtl/>
        </w:rPr>
        <w:t>הדיון:</w:t>
      </w:r>
    </w:p>
    <w:p w14:paraId="2120DE67" w14:textId="5A0A52B0" w:rsidR="00342E9A" w:rsidRPr="00342E9A" w:rsidRDefault="00342E9A" w:rsidP="00F02CCA">
      <w:pPr>
        <w:tabs>
          <w:tab w:val="left" w:pos="288"/>
          <w:tab w:val="left" w:pos="720"/>
          <w:tab w:val="left" w:pos="1296"/>
        </w:tabs>
        <w:autoSpaceDE w:val="0"/>
        <w:autoSpaceDN w:val="0"/>
        <w:adjustRightInd w:val="0"/>
        <w:spacing w:after="80" w:line="276" w:lineRule="auto"/>
        <w:jc w:val="both"/>
        <w:rPr>
          <w:b/>
          <w:bCs/>
          <w:rtl/>
        </w:rPr>
      </w:pPr>
      <w:r>
        <w:rPr>
          <w:rFonts w:hint="cs"/>
          <w:b/>
          <w:bCs/>
          <w:rtl/>
        </w:rPr>
        <w:t>השופט בן-יאיר:</w:t>
      </w:r>
    </w:p>
    <w:p w14:paraId="476F09C7" w14:textId="3411675B" w:rsidR="00BB40D7" w:rsidRPr="00415221" w:rsidRDefault="002E4C97" w:rsidP="00F02CCA">
      <w:pPr>
        <w:pStyle w:val="a4"/>
        <w:numPr>
          <w:ilvl w:val="0"/>
          <w:numId w:val="19"/>
        </w:numPr>
        <w:tabs>
          <w:tab w:val="left" w:pos="288"/>
          <w:tab w:val="left" w:pos="720"/>
          <w:tab w:val="left" w:pos="1296"/>
        </w:tabs>
        <w:autoSpaceDE w:val="0"/>
        <w:autoSpaceDN w:val="0"/>
        <w:adjustRightInd w:val="0"/>
        <w:spacing w:after="80" w:line="276" w:lineRule="auto"/>
        <w:jc w:val="both"/>
        <w:rPr>
          <w:b/>
          <w:bCs/>
          <w:u w:val="single"/>
        </w:rPr>
      </w:pPr>
      <w:r w:rsidRPr="00415221">
        <w:rPr>
          <w:rFonts w:hint="cs"/>
          <w:b/>
          <w:bCs/>
          <w:u w:val="single"/>
          <w:rtl/>
        </w:rPr>
        <w:t>זיקת הנאה מכוח שנים/ מועד תחילת השימוש:</w:t>
      </w:r>
    </w:p>
    <w:p w14:paraId="78845C76" w14:textId="43CD80FF" w:rsidR="00883E00" w:rsidRPr="00415221" w:rsidRDefault="00883E00" w:rsidP="00F02CCA">
      <w:pPr>
        <w:tabs>
          <w:tab w:val="left" w:pos="288"/>
          <w:tab w:val="left" w:pos="720"/>
          <w:tab w:val="left" w:pos="1296"/>
        </w:tabs>
        <w:autoSpaceDE w:val="0"/>
        <w:autoSpaceDN w:val="0"/>
        <w:adjustRightInd w:val="0"/>
        <w:spacing w:after="80" w:line="276" w:lineRule="auto"/>
        <w:ind w:left="720"/>
        <w:jc w:val="both"/>
        <w:rPr>
          <w:rtl/>
        </w:rPr>
      </w:pPr>
      <w:r w:rsidRPr="00415221">
        <w:rPr>
          <w:rtl/>
        </w:rPr>
        <w:t>זיקת הנאה מכוח שנים יכולה לקום על יסוד שימוש שנעשה במקרקעין כפופים בתקופה שקדמה לתחילתו של החוק</w:t>
      </w:r>
      <w:r w:rsidRPr="00415221">
        <w:rPr>
          <w:rFonts w:hint="cs"/>
          <w:rtl/>
        </w:rPr>
        <w:t>.</w:t>
      </w:r>
      <w:r w:rsidR="00415221" w:rsidRPr="00415221">
        <w:rPr>
          <w:rFonts w:hint="cs"/>
          <w:rtl/>
        </w:rPr>
        <w:t xml:space="preserve"> (מכיוון שאחרת נוצרות 2 מערכות דינים שונות ובנוסף התנאי מעיד על השלמת הבעלים עם השימוש ולא על הסתמכות על הדין הקודם)</w:t>
      </w:r>
    </w:p>
    <w:p w14:paraId="08F9D82D" w14:textId="77777777" w:rsidR="00415221" w:rsidRPr="00415221" w:rsidRDefault="0016693A" w:rsidP="00F02CCA">
      <w:pPr>
        <w:pStyle w:val="a4"/>
        <w:numPr>
          <w:ilvl w:val="0"/>
          <w:numId w:val="19"/>
        </w:numPr>
        <w:tabs>
          <w:tab w:val="left" w:pos="288"/>
          <w:tab w:val="left" w:pos="720"/>
          <w:tab w:val="left" w:pos="1296"/>
        </w:tabs>
        <w:autoSpaceDE w:val="0"/>
        <w:autoSpaceDN w:val="0"/>
        <w:adjustRightInd w:val="0"/>
        <w:spacing w:after="80" w:line="276" w:lineRule="auto"/>
        <w:jc w:val="both"/>
        <w:rPr>
          <w:b/>
          <w:bCs/>
          <w:u w:val="single"/>
        </w:rPr>
      </w:pPr>
      <w:r w:rsidRPr="00415221">
        <w:rPr>
          <w:b/>
          <w:bCs/>
          <w:u w:val="single"/>
          <w:rtl/>
        </w:rPr>
        <w:t>התנאים לרכישת זיקת הנאה מכוח שנים</w:t>
      </w:r>
      <w:r w:rsidRPr="00415221">
        <w:rPr>
          <w:rFonts w:hint="cs"/>
          <w:b/>
          <w:bCs/>
          <w:u w:val="single"/>
          <w:rtl/>
        </w:rPr>
        <w:t>:</w:t>
      </w:r>
      <w:r w:rsidR="00594AED" w:rsidRPr="00415221">
        <w:rPr>
          <w:rFonts w:hint="cs"/>
          <w:b/>
          <w:bCs/>
          <w:u w:val="single"/>
          <w:rtl/>
        </w:rPr>
        <w:t xml:space="preserve"> </w:t>
      </w:r>
    </w:p>
    <w:p w14:paraId="06B1629A" w14:textId="53B60565" w:rsidR="0016693A" w:rsidRDefault="0010522F" w:rsidP="00F02CCA">
      <w:pPr>
        <w:pStyle w:val="a4"/>
        <w:tabs>
          <w:tab w:val="left" w:pos="288"/>
          <w:tab w:val="left" w:pos="720"/>
          <w:tab w:val="left" w:pos="1296"/>
        </w:tabs>
        <w:autoSpaceDE w:val="0"/>
        <w:autoSpaceDN w:val="0"/>
        <w:adjustRightInd w:val="0"/>
        <w:spacing w:after="80" w:line="276" w:lineRule="auto"/>
        <w:jc w:val="both"/>
      </w:pPr>
      <w:r>
        <w:rPr>
          <w:rFonts w:hint="cs"/>
          <w:rtl/>
        </w:rPr>
        <w:t>סעיף 94</w:t>
      </w:r>
      <w:r w:rsidR="00415221">
        <w:rPr>
          <w:rFonts w:hint="cs"/>
          <w:rtl/>
        </w:rPr>
        <w:t xml:space="preserve"> לחוק המקרקעין מציב שלושה תנאים-</w:t>
      </w:r>
    </w:p>
    <w:p w14:paraId="1A575D8F" w14:textId="77777777" w:rsidR="0010522F" w:rsidRDefault="0010522F" w:rsidP="00F02CCA">
      <w:pPr>
        <w:pStyle w:val="a4"/>
        <w:numPr>
          <w:ilvl w:val="0"/>
          <w:numId w:val="20"/>
        </w:numPr>
        <w:tabs>
          <w:tab w:val="left" w:pos="288"/>
          <w:tab w:val="left" w:pos="720"/>
          <w:tab w:val="left" w:pos="1152"/>
          <w:tab w:val="left" w:pos="1296"/>
          <w:tab w:val="left" w:pos="5760"/>
        </w:tabs>
        <w:autoSpaceDE w:val="0"/>
        <w:autoSpaceDN w:val="0"/>
        <w:adjustRightInd w:val="0"/>
        <w:spacing w:after="80" w:line="276" w:lineRule="auto"/>
        <w:jc w:val="both"/>
      </w:pPr>
      <w:r w:rsidRPr="00415221">
        <w:rPr>
          <w:b/>
          <w:bCs/>
          <w:rtl/>
        </w:rPr>
        <w:t>זכות הראויה להוות זיקת הנאה</w:t>
      </w:r>
      <w:r w:rsidRPr="00415221">
        <w:rPr>
          <w:rFonts w:hint="cs"/>
          <w:b/>
          <w:bCs/>
          <w:rtl/>
        </w:rPr>
        <w:t>-</w:t>
      </w:r>
      <w:r>
        <w:rPr>
          <w:rFonts w:hint="cs"/>
          <w:rtl/>
        </w:rPr>
        <w:t xml:space="preserve"> ה</w:t>
      </w:r>
      <w:r w:rsidRPr="009165E2">
        <w:rPr>
          <w:rtl/>
        </w:rPr>
        <w:t xml:space="preserve">הגדרה העומדת ביסודו של התנאי מורכבת משני יסודות: </w:t>
      </w:r>
    </w:p>
    <w:p w14:paraId="522551D2" w14:textId="7CC0C38C" w:rsidR="0010522F" w:rsidRDefault="0010522F" w:rsidP="00F02CCA">
      <w:pPr>
        <w:pStyle w:val="a4"/>
        <w:numPr>
          <w:ilvl w:val="0"/>
          <w:numId w:val="21"/>
        </w:numPr>
        <w:tabs>
          <w:tab w:val="left" w:pos="288"/>
          <w:tab w:val="left" w:pos="720"/>
          <w:tab w:val="left" w:pos="1152"/>
          <w:tab w:val="left" w:pos="1296"/>
          <w:tab w:val="left" w:pos="5760"/>
        </w:tabs>
        <w:autoSpaceDE w:val="0"/>
        <w:autoSpaceDN w:val="0"/>
        <w:adjustRightInd w:val="0"/>
        <w:spacing w:after="80" w:line="276" w:lineRule="auto"/>
        <w:jc w:val="both"/>
      </w:pPr>
      <w:r>
        <w:rPr>
          <w:rtl/>
        </w:rPr>
        <w:t>שיעבוד מקרקעין להנאה</w:t>
      </w:r>
      <w:r>
        <w:rPr>
          <w:rFonts w:hint="cs"/>
          <w:rtl/>
        </w:rPr>
        <w:t>.</w:t>
      </w:r>
      <w:r>
        <w:rPr>
          <w:rtl/>
        </w:rPr>
        <w:t xml:space="preserve"> </w:t>
      </w:r>
    </w:p>
    <w:p w14:paraId="5661B7DB" w14:textId="6474DE3C" w:rsidR="0010522F" w:rsidRDefault="0010522F" w:rsidP="00F02CCA">
      <w:pPr>
        <w:pStyle w:val="a4"/>
        <w:numPr>
          <w:ilvl w:val="0"/>
          <w:numId w:val="21"/>
        </w:numPr>
        <w:tabs>
          <w:tab w:val="left" w:pos="288"/>
          <w:tab w:val="left" w:pos="720"/>
          <w:tab w:val="left" w:pos="1152"/>
          <w:tab w:val="left" w:pos="1296"/>
          <w:tab w:val="left" w:pos="5760"/>
        </w:tabs>
        <w:autoSpaceDE w:val="0"/>
        <w:autoSpaceDN w:val="0"/>
        <w:adjustRightInd w:val="0"/>
        <w:spacing w:after="80" w:line="276" w:lineRule="auto"/>
        <w:jc w:val="both"/>
      </w:pPr>
      <w:r w:rsidRPr="009165E2">
        <w:rPr>
          <w:rtl/>
        </w:rPr>
        <w:t>שלילת זכות החזקה במקרקעין.</w:t>
      </w:r>
    </w:p>
    <w:p w14:paraId="6F7A2597" w14:textId="156BD2BF" w:rsidR="00900637" w:rsidRDefault="000E088E" w:rsidP="00F02CCA">
      <w:pPr>
        <w:pStyle w:val="a4"/>
        <w:numPr>
          <w:ilvl w:val="0"/>
          <w:numId w:val="20"/>
        </w:numPr>
        <w:tabs>
          <w:tab w:val="left" w:pos="288"/>
          <w:tab w:val="left" w:pos="720"/>
          <w:tab w:val="left" w:pos="1152"/>
          <w:tab w:val="left" w:pos="1296"/>
          <w:tab w:val="left" w:pos="5760"/>
        </w:tabs>
        <w:autoSpaceDE w:val="0"/>
        <w:autoSpaceDN w:val="0"/>
        <w:adjustRightInd w:val="0"/>
        <w:spacing w:after="80" w:line="276" w:lineRule="auto"/>
        <w:jc w:val="both"/>
      </w:pPr>
      <w:r w:rsidRPr="00415221">
        <w:rPr>
          <w:b/>
          <w:bCs/>
          <w:rtl/>
        </w:rPr>
        <w:t>אופיו ותכונותיו של השימוש הם כאלה שמאפשרים לו להיכנס לגדר הוראותיו של סעיף 94</w:t>
      </w:r>
      <w:r w:rsidRPr="00415221">
        <w:rPr>
          <w:rFonts w:hint="cs"/>
          <w:b/>
          <w:bCs/>
          <w:rtl/>
        </w:rPr>
        <w:t xml:space="preserve"> </w:t>
      </w:r>
      <w:r w:rsidRPr="00415221">
        <w:rPr>
          <w:b/>
          <w:bCs/>
          <w:rtl/>
        </w:rPr>
        <w:t>הנ"ל</w:t>
      </w:r>
      <w:r w:rsidRPr="00415221">
        <w:rPr>
          <w:rFonts w:hint="cs"/>
          <w:b/>
          <w:bCs/>
          <w:rtl/>
        </w:rPr>
        <w:t>-</w:t>
      </w:r>
      <w:r>
        <w:rPr>
          <w:rFonts w:hint="cs"/>
          <w:rtl/>
        </w:rPr>
        <w:t xml:space="preserve"> </w:t>
      </w:r>
      <w:r w:rsidR="00D47946" w:rsidRPr="009165E2">
        <w:rPr>
          <w:rtl/>
        </w:rPr>
        <w:t xml:space="preserve">השימוש צריך להיות כזה, שאופיו ותכונותיו אינם שוללים מבעל המקרקעין הכפופים את האפשרות להפעיל את זכותו לפי </w:t>
      </w:r>
      <w:r w:rsidR="00D47946" w:rsidRPr="00D47946">
        <w:rPr>
          <w:rtl/>
        </w:rPr>
        <w:t>סעיף 94(ב)</w:t>
      </w:r>
      <w:r w:rsidR="00D47946" w:rsidRPr="009165E2">
        <w:rPr>
          <w:rtl/>
        </w:rPr>
        <w:t>, כדי לשים קץ למרוץ ההתיישנות</w:t>
      </w:r>
      <w:r w:rsidR="00D47946">
        <w:rPr>
          <w:rFonts w:hint="cs"/>
          <w:rtl/>
        </w:rPr>
        <w:t>.</w:t>
      </w:r>
      <w:r w:rsidR="00900637">
        <w:rPr>
          <w:rFonts w:hint="cs"/>
          <w:rtl/>
        </w:rPr>
        <w:t xml:space="preserve"> ורשימת התכונות היא אינה סגורה, עם זאת, </w:t>
      </w:r>
      <w:r w:rsidR="00900637" w:rsidRPr="009165E2">
        <w:rPr>
          <w:rtl/>
        </w:rPr>
        <w:t xml:space="preserve">ניתן לומר, שתכונותיו היסודיות של שימוש, שמאפשר רכישתה של זיקת הנאה מכוח שנים, הן אלו: </w:t>
      </w:r>
    </w:p>
    <w:p w14:paraId="14D5FDEC" w14:textId="77777777" w:rsidR="00900637" w:rsidRDefault="00900637" w:rsidP="00F02CCA">
      <w:pPr>
        <w:pStyle w:val="a4"/>
        <w:numPr>
          <w:ilvl w:val="0"/>
          <w:numId w:val="22"/>
        </w:numPr>
        <w:tabs>
          <w:tab w:val="left" w:pos="288"/>
          <w:tab w:val="left" w:pos="720"/>
          <w:tab w:val="left" w:pos="1152"/>
          <w:tab w:val="left" w:pos="1296"/>
          <w:tab w:val="left" w:pos="5760"/>
        </w:tabs>
        <w:autoSpaceDE w:val="0"/>
        <w:autoSpaceDN w:val="0"/>
        <w:adjustRightInd w:val="0"/>
        <w:spacing w:after="80" w:line="276" w:lineRule="auto"/>
        <w:jc w:val="both"/>
      </w:pPr>
      <w:r w:rsidRPr="009165E2">
        <w:rPr>
          <w:rtl/>
        </w:rPr>
        <w:t>שהוא נוגד לז</w:t>
      </w:r>
      <w:r>
        <w:rPr>
          <w:rtl/>
        </w:rPr>
        <w:t>כות הבעלים של המקרקעין הכפופי</w:t>
      </w:r>
      <w:r>
        <w:rPr>
          <w:rFonts w:hint="cs"/>
          <w:rtl/>
        </w:rPr>
        <w:t>ם.</w:t>
      </w:r>
    </w:p>
    <w:p w14:paraId="489BE40C" w14:textId="77777777" w:rsidR="00900637" w:rsidRDefault="00900637" w:rsidP="00F02CCA">
      <w:pPr>
        <w:pStyle w:val="a4"/>
        <w:numPr>
          <w:ilvl w:val="0"/>
          <w:numId w:val="22"/>
        </w:numPr>
        <w:tabs>
          <w:tab w:val="left" w:pos="288"/>
          <w:tab w:val="left" w:pos="720"/>
          <w:tab w:val="left" w:pos="1152"/>
          <w:tab w:val="left" w:pos="1296"/>
          <w:tab w:val="left" w:pos="5760"/>
        </w:tabs>
        <w:autoSpaceDE w:val="0"/>
        <w:autoSpaceDN w:val="0"/>
        <w:adjustRightInd w:val="0"/>
        <w:spacing w:after="80" w:line="276" w:lineRule="auto"/>
        <w:jc w:val="both"/>
      </w:pPr>
      <w:r>
        <w:rPr>
          <w:rtl/>
        </w:rPr>
        <w:t>שהוא גלוי וחשוף לעין כול</w:t>
      </w:r>
      <w:r>
        <w:rPr>
          <w:rFonts w:hint="cs"/>
          <w:rtl/>
        </w:rPr>
        <w:t>.</w:t>
      </w:r>
    </w:p>
    <w:p w14:paraId="5195BCD1" w14:textId="062896CD" w:rsidR="00900637" w:rsidRDefault="00900637" w:rsidP="00F02CCA">
      <w:pPr>
        <w:pStyle w:val="a4"/>
        <w:numPr>
          <w:ilvl w:val="0"/>
          <w:numId w:val="22"/>
        </w:numPr>
        <w:tabs>
          <w:tab w:val="left" w:pos="288"/>
          <w:tab w:val="left" w:pos="720"/>
          <w:tab w:val="left" w:pos="1152"/>
          <w:tab w:val="left" w:pos="1296"/>
          <w:tab w:val="left" w:pos="5760"/>
        </w:tabs>
        <w:autoSpaceDE w:val="0"/>
        <w:autoSpaceDN w:val="0"/>
        <w:adjustRightInd w:val="0"/>
        <w:spacing w:after="80" w:line="276" w:lineRule="auto"/>
        <w:jc w:val="both"/>
      </w:pPr>
      <w:r w:rsidRPr="009165E2">
        <w:rPr>
          <w:rtl/>
        </w:rPr>
        <w:t>שהוא נמצא בידיעתו הקונסטרו</w:t>
      </w:r>
      <w:r>
        <w:rPr>
          <w:rtl/>
        </w:rPr>
        <w:t>קטיבית של בעל המקרקעין הכפופי</w:t>
      </w:r>
      <w:r>
        <w:rPr>
          <w:rFonts w:hint="cs"/>
          <w:rtl/>
        </w:rPr>
        <w:t>ם</w:t>
      </w:r>
      <w:r w:rsidR="00361345">
        <w:rPr>
          <w:rFonts w:hint="cs"/>
          <w:rtl/>
        </w:rPr>
        <w:t xml:space="preserve">- </w:t>
      </w:r>
      <w:r w:rsidR="00361345" w:rsidRPr="009165E2">
        <w:rPr>
          <w:rtl/>
        </w:rPr>
        <w:t>אם השימוש נעשה במערכת נסיבות השוללת את יכולת הידיעה של בעל המקרקעין או המטילה עליו נטל בלתי סביר, כדי לגלות את דבר קיומו של השימוש, נשללת יכולתו של הבעלים להגן על זכויות הקניין שלו</w:t>
      </w:r>
      <w:r>
        <w:rPr>
          <w:rFonts w:hint="cs"/>
          <w:rtl/>
        </w:rPr>
        <w:t>.</w:t>
      </w:r>
    </w:p>
    <w:p w14:paraId="727EA2F3" w14:textId="58C32600" w:rsidR="000E088E" w:rsidRDefault="00900637" w:rsidP="00F02CCA">
      <w:pPr>
        <w:pStyle w:val="a4"/>
        <w:numPr>
          <w:ilvl w:val="0"/>
          <w:numId w:val="22"/>
        </w:numPr>
        <w:tabs>
          <w:tab w:val="left" w:pos="288"/>
          <w:tab w:val="left" w:pos="720"/>
          <w:tab w:val="left" w:pos="1152"/>
          <w:tab w:val="left" w:pos="1296"/>
          <w:tab w:val="left" w:pos="5760"/>
        </w:tabs>
        <w:autoSpaceDE w:val="0"/>
        <w:autoSpaceDN w:val="0"/>
        <w:adjustRightInd w:val="0"/>
        <w:spacing w:after="80" w:line="276" w:lineRule="auto"/>
        <w:jc w:val="both"/>
      </w:pPr>
      <w:r w:rsidRPr="009165E2">
        <w:rPr>
          <w:rtl/>
        </w:rPr>
        <w:t>שמקורו אינו בזכות חוזית או בזכות אחרת שהוענקה על-ידי בעל המקרקעין הכפופים למשתמש.</w:t>
      </w:r>
    </w:p>
    <w:p w14:paraId="5B82DC5A" w14:textId="17BB0826" w:rsidR="000E088E" w:rsidRPr="009165E2" w:rsidRDefault="000E088E" w:rsidP="00F02CCA">
      <w:pPr>
        <w:pStyle w:val="a4"/>
        <w:numPr>
          <w:ilvl w:val="0"/>
          <w:numId w:val="20"/>
        </w:numPr>
        <w:tabs>
          <w:tab w:val="left" w:pos="288"/>
          <w:tab w:val="left" w:pos="720"/>
          <w:tab w:val="left" w:pos="1152"/>
          <w:tab w:val="left" w:pos="1296"/>
          <w:tab w:val="left" w:pos="5760"/>
        </w:tabs>
        <w:autoSpaceDE w:val="0"/>
        <w:autoSpaceDN w:val="0"/>
        <w:adjustRightInd w:val="0"/>
        <w:spacing w:after="80" w:line="276" w:lineRule="auto"/>
        <w:jc w:val="both"/>
      </w:pPr>
      <w:r w:rsidRPr="00415221">
        <w:rPr>
          <w:b/>
          <w:bCs/>
          <w:rtl/>
        </w:rPr>
        <w:t>תקופת השימוש היא בת שלושים שנים רצופות</w:t>
      </w:r>
      <w:r w:rsidR="00594AED" w:rsidRPr="00415221">
        <w:rPr>
          <w:rFonts w:hint="cs"/>
          <w:b/>
          <w:bCs/>
          <w:rtl/>
        </w:rPr>
        <w:t>-</w:t>
      </w:r>
      <w:r w:rsidR="00594AED">
        <w:rPr>
          <w:rFonts w:hint="cs"/>
          <w:rtl/>
        </w:rPr>
        <w:t xml:space="preserve"> </w:t>
      </w:r>
      <w:r w:rsidR="00594AED" w:rsidRPr="009165E2">
        <w:rPr>
          <w:rtl/>
        </w:rPr>
        <w:t>הרציפות הנדרשת היא של תקופת השימוש ולא של השימוש עצמו.</w:t>
      </w:r>
    </w:p>
    <w:p w14:paraId="6245C546" w14:textId="05700729" w:rsidR="0010522F" w:rsidRPr="00DB3FA4" w:rsidRDefault="000C5830" w:rsidP="00F02CCA">
      <w:pPr>
        <w:pStyle w:val="a4"/>
        <w:numPr>
          <w:ilvl w:val="0"/>
          <w:numId w:val="19"/>
        </w:numPr>
        <w:tabs>
          <w:tab w:val="left" w:pos="288"/>
          <w:tab w:val="left" w:pos="720"/>
          <w:tab w:val="left" w:pos="1296"/>
        </w:tabs>
        <w:autoSpaceDE w:val="0"/>
        <w:autoSpaceDN w:val="0"/>
        <w:adjustRightInd w:val="0"/>
        <w:spacing w:after="80" w:line="276" w:lineRule="auto"/>
        <w:jc w:val="both"/>
        <w:rPr>
          <w:b/>
          <w:bCs/>
          <w:u w:val="single"/>
        </w:rPr>
      </w:pPr>
      <w:r w:rsidRPr="000C5830">
        <w:rPr>
          <w:b/>
          <w:bCs/>
          <w:u w:val="single"/>
          <w:rtl/>
        </w:rPr>
        <w:t>זהות הזכאי בזיקת הנאה מכוח שנים</w:t>
      </w:r>
      <w:r w:rsidRPr="000C5830">
        <w:rPr>
          <w:rFonts w:hint="cs"/>
          <w:b/>
          <w:bCs/>
          <w:u w:val="single"/>
          <w:rtl/>
        </w:rPr>
        <w:t>:</w:t>
      </w:r>
      <w:r w:rsidR="001C5154">
        <w:rPr>
          <w:rFonts w:hint="cs"/>
          <w:rtl/>
        </w:rPr>
        <w:t xml:space="preserve"> </w:t>
      </w:r>
      <w:r w:rsidR="00DB3FA4" w:rsidRPr="009165E2">
        <w:rPr>
          <w:rtl/>
        </w:rPr>
        <w:t xml:space="preserve">כאשר הזיקה משרתת את בעלי המקרקעין הזכאים באופן שאינו ניתן להפרדה מזכויותיהם במקרקעין, תהיה הנטייה לראות בזיקת ההנאה זיקה לטובת מקרקעין. לעומת זאת, כאשר הזיקה משרתת את המשתמש באופן אישי, </w:t>
      </w:r>
      <w:r w:rsidR="00DB3FA4">
        <w:rPr>
          <w:rtl/>
        </w:rPr>
        <w:t xml:space="preserve">ללא קשר לזכויותיו במקרקעין שלו </w:t>
      </w:r>
      <w:r w:rsidR="00DB3FA4" w:rsidRPr="009165E2">
        <w:rPr>
          <w:rtl/>
        </w:rPr>
        <w:t>תהיה הנטייה לראות בזיקת ההנאה זיקה לטובת אדם.</w:t>
      </w:r>
    </w:p>
    <w:p w14:paraId="09F1FEAD" w14:textId="3660F7FC" w:rsidR="005040D6" w:rsidRPr="005040D6" w:rsidRDefault="005040D6" w:rsidP="00F02CCA">
      <w:pPr>
        <w:pStyle w:val="a4"/>
        <w:numPr>
          <w:ilvl w:val="0"/>
          <w:numId w:val="19"/>
        </w:numPr>
        <w:tabs>
          <w:tab w:val="left" w:pos="288"/>
          <w:tab w:val="left" w:pos="720"/>
          <w:tab w:val="left" w:pos="1296"/>
          <w:tab w:val="left" w:pos="2304"/>
          <w:tab w:val="left" w:pos="6480"/>
        </w:tabs>
        <w:autoSpaceDE w:val="0"/>
        <w:autoSpaceDN w:val="0"/>
        <w:adjustRightInd w:val="0"/>
        <w:spacing w:after="80" w:line="276" w:lineRule="auto"/>
        <w:jc w:val="both"/>
        <w:rPr>
          <w:b/>
          <w:bCs/>
          <w:u w:val="single"/>
        </w:rPr>
      </w:pPr>
      <w:r w:rsidRPr="005040D6">
        <w:rPr>
          <w:b/>
          <w:bCs/>
          <w:u w:val="single"/>
          <w:rtl/>
        </w:rPr>
        <w:t>צירוף תקופות שימוש</w:t>
      </w:r>
      <w:r>
        <w:rPr>
          <w:rFonts w:hint="cs"/>
          <w:b/>
          <w:bCs/>
          <w:u w:val="single"/>
          <w:rtl/>
        </w:rPr>
        <w:t>:</w:t>
      </w:r>
      <w:r>
        <w:rPr>
          <w:rFonts w:hint="cs"/>
          <w:rtl/>
        </w:rPr>
        <w:t xml:space="preserve"> </w:t>
      </w:r>
      <w:r w:rsidR="0073337B" w:rsidRPr="009165E2">
        <w:rPr>
          <w:rtl/>
        </w:rPr>
        <w:t xml:space="preserve">למרות שבחוק המקרקעין אין הוראה מפורשת, המאפשרת למשתמש לצרף לתקופת שימושו את תקופת השימוש של קודמו, אין ללמוד מכד, </w:t>
      </w:r>
      <w:r w:rsidR="0073337B">
        <w:rPr>
          <w:rFonts w:hint="cs"/>
          <w:rtl/>
        </w:rPr>
        <w:t>ש</w:t>
      </w:r>
      <w:r w:rsidR="0073337B" w:rsidRPr="009165E2">
        <w:rPr>
          <w:rtl/>
        </w:rPr>
        <w:t>השימוש חייב להיות שימושו של הרוכש עצמו</w:t>
      </w:r>
      <w:r w:rsidR="0073337B">
        <w:rPr>
          <w:rFonts w:hint="cs"/>
          <w:rtl/>
        </w:rPr>
        <w:t>.</w:t>
      </w:r>
    </w:p>
    <w:p w14:paraId="4C96565D" w14:textId="548F8A1C" w:rsidR="00405D7E" w:rsidRPr="009165E2" w:rsidRDefault="00CA5593" w:rsidP="00F02CCA">
      <w:pPr>
        <w:pStyle w:val="a4"/>
        <w:numPr>
          <w:ilvl w:val="0"/>
          <w:numId w:val="19"/>
        </w:numPr>
        <w:tabs>
          <w:tab w:val="left" w:pos="288"/>
          <w:tab w:val="left" w:pos="720"/>
          <w:tab w:val="left" w:pos="1296"/>
        </w:tabs>
        <w:autoSpaceDE w:val="0"/>
        <w:autoSpaceDN w:val="0"/>
        <w:adjustRightInd w:val="0"/>
        <w:spacing w:after="80" w:line="276" w:lineRule="auto"/>
        <w:jc w:val="both"/>
      </w:pPr>
      <w:r w:rsidRPr="00405D7E">
        <w:rPr>
          <w:b/>
          <w:bCs/>
          <w:u w:val="single"/>
          <w:rtl/>
        </w:rPr>
        <w:lastRenderedPageBreak/>
        <w:t>אפשרויות אלטרנטיביות לגישה ולחניה</w:t>
      </w:r>
      <w:r w:rsidRPr="00405D7E">
        <w:rPr>
          <w:rFonts w:hint="cs"/>
          <w:b/>
          <w:bCs/>
          <w:u w:val="single"/>
          <w:rtl/>
        </w:rPr>
        <w:t>:</w:t>
      </w:r>
      <w:r>
        <w:rPr>
          <w:rFonts w:hint="cs"/>
          <w:rtl/>
        </w:rPr>
        <w:t xml:space="preserve"> </w:t>
      </w:r>
      <w:r w:rsidR="00405D7E" w:rsidRPr="009165E2">
        <w:rPr>
          <w:rtl/>
        </w:rPr>
        <w:t>הכורח אינו מהווה תנאי ליצירתה של זיקת הנאה מכוח שנים, והוא אינו נמנה עם היסודות הנדרשים לה</w:t>
      </w:r>
      <w:r w:rsidR="00405D7E" w:rsidRPr="009165E2">
        <w:t>.</w:t>
      </w:r>
    </w:p>
    <w:p w14:paraId="77E188B5" w14:textId="59130E6A" w:rsidR="00DB3FA4" w:rsidRDefault="003E175B" w:rsidP="00F02CCA">
      <w:pPr>
        <w:pStyle w:val="a4"/>
        <w:numPr>
          <w:ilvl w:val="0"/>
          <w:numId w:val="19"/>
        </w:numPr>
        <w:tabs>
          <w:tab w:val="left" w:pos="288"/>
          <w:tab w:val="left" w:pos="720"/>
          <w:tab w:val="left" w:pos="1296"/>
        </w:tabs>
        <w:autoSpaceDE w:val="0"/>
        <w:autoSpaceDN w:val="0"/>
        <w:adjustRightInd w:val="0"/>
        <w:spacing w:after="80" w:line="276" w:lineRule="auto"/>
        <w:jc w:val="both"/>
        <w:rPr>
          <w:b/>
          <w:bCs/>
          <w:u w:val="single"/>
        </w:rPr>
      </w:pPr>
      <w:r w:rsidRPr="003E175B">
        <w:rPr>
          <w:b/>
          <w:bCs/>
          <w:u w:val="single"/>
          <w:rtl/>
        </w:rPr>
        <w:t xml:space="preserve">תחולת </w:t>
      </w:r>
      <w:hyperlink r:id="rId11" w:history="1">
        <w:r w:rsidRPr="003E175B">
          <w:rPr>
            <w:b/>
            <w:bCs/>
            <w:u w:val="single"/>
            <w:rtl/>
          </w:rPr>
          <w:t>סעיף 96</w:t>
        </w:r>
      </w:hyperlink>
      <w:r>
        <w:rPr>
          <w:rFonts w:hint="cs"/>
          <w:b/>
          <w:bCs/>
          <w:u w:val="single"/>
          <w:rtl/>
        </w:rPr>
        <w:t xml:space="preserve"> </w:t>
      </w:r>
      <w:r w:rsidRPr="003E175B">
        <w:rPr>
          <w:b/>
          <w:bCs/>
          <w:u w:val="single"/>
          <w:rtl/>
        </w:rPr>
        <w:t>על זיקת הנאה מכוח שנים</w:t>
      </w:r>
      <w:r>
        <w:rPr>
          <w:rFonts w:hint="cs"/>
          <w:b/>
          <w:bCs/>
          <w:u w:val="single"/>
          <w:rtl/>
        </w:rPr>
        <w:t>:</w:t>
      </w:r>
      <w:r w:rsidR="00ED3405">
        <w:rPr>
          <w:rFonts w:hint="cs"/>
          <w:rtl/>
        </w:rPr>
        <w:t xml:space="preserve"> </w:t>
      </w:r>
      <w:r w:rsidR="00ED3405" w:rsidRPr="009165E2">
        <w:rPr>
          <w:rtl/>
        </w:rPr>
        <w:t xml:space="preserve">מטרתו של </w:t>
      </w:r>
      <w:r w:rsidR="00ED3405" w:rsidRPr="00643FDB">
        <w:rPr>
          <w:rtl/>
        </w:rPr>
        <w:t>סעיף 96</w:t>
      </w:r>
      <w:r w:rsidR="00643FDB">
        <w:rPr>
          <w:rFonts w:hint="cs"/>
          <w:rtl/>
        </w:rPr>
        <w:t xml:space="preserve"> </w:t>
      </w:r>
      <w:r w:rsidR="00ED3405" w:rsidRPr="009165E2">
        <w:rPr>
          <w:rtl/>
        </w:rPr>
        <w:t>היא למנוע היווצרות זכויות העלולות להכביד או לשתק את ההתפתחות הכלכלית במקרקעין המשועבדים לזיקת הנאה כל שהיא</w:t>
      </w:r>
      <w:r w:rsidR="009C5054">
        <w:rPr>
          <w:rFonts w:hint="cs"/>
          <w:rtl/>
        </w:rPr>
        <w:t>.</w:t>
      </w:r>
      <w:r w:rsidR="00ED3405" w:rsidRPr="009165E2">
        <w:rPr>
          <w:rtl/>
        </w:rPr>
        <w:t xml:space="preserve"> מטרה זאת מחייבת להחיל את הוראות הסעיף על זיקות הנאה, ללא הבחנה בדבר מקור יצירתן.</w:t>
      </w:r>
    </w:p>
    <w:p w14:paraId="4B1CE89A" w14:textId="6D24A1CA" w:rsidR="00342E9A" w:rsidRDefault="00342E9A" w:rsidP="00F02CCA">
      <w:pPr>
        <w:tabs>
          <w:tab w:val="left" w:pos="288"/>
          <w:tab w:val="left" w:pos="720"/>
          <w:tab w:val="left" w:pos="1296"/>
        </w:tabs>
        <w:autoSpaceDE w:val="0"/>
        <w:autoSpaceDN w:val="0"/>
        <w:adjustRightInd w:val="0"/>
        <w:spacing w:after="80" w:line="276" w:lineRule="auto"/>
        <w:jc w:val="both"/>
        <w:rPr>
          <w:b/>
          <w:bCs/>
          <w:rtl/>
        </w:rPr>
      </w:pPr>
      <w:r>
        <w:rPr>
          <w:rFonts w:hint="cs"/>
          <w:b/>
          <w:bCs/>
          <w:rtl/>
        </w:rPr>
        <w:t>השופט ש' לוין</w:t>
      </w:r>
      <w:r w:rsidR="00294AE9">
        <w:rPr>
          <w:rFonts w:hint="cs"/>
          <w:b/>
          <w:bCs/>
          <w:rtl/>
        </w:rPr>
        <w:t xml:space="preserve"> (דעת הרוב)</w:t>
      </w:r>
      <w:r>
        <w:rPr>
          <w:rFonts w:hint="cs"/>
          <w:b/>
          <w:bCs/>
          <w:rtl/>
        </w:rPr>
        <w:t>:</w:t>
      </w:r>
    </w:p>
    <w:p w14:paraId="39429488" w14:textId="1071FA52" w:rsidR="009A2001" w:rsidRDefault="009A2001" w:rsidP="00F02CCA">
      <w:pPr>
        <w:pStyle w:val="a4"/>
        <w:numPr>
          <w:ilvl w:val="0"/>
          <w:numId w:val="23"/>
        </w:numPr>
        <w:tabs>
          <w:tab w:val="left" w:pos="288"/>
          <w:tab w:val="left" w:pos="720"/>
          <w:tab w:val="left" w:pos="1296"/>
        </w:tabs>
        <w:autoSpaceDE w:val="0"/>
        <w:autoSpaceDN w:val="0"/>
        <w:adjustRightInd w:val="0"/>
        <w:spacing w:after="80" w:line="276" w:lineRule="auto"/>
        <w:jc w:val="both"/>
      </w:pPr>
      <w:r>
        <w:rPr>
          <w:rFonts w:hint="cs"/>
          <w:rtl/>
        </w:rPr>
        <w:t>מסכים שהספירה לזיקת ההנאה מכוח שנים קמה עוד מלפני כניסת החוק.</w:t>
      </w:r>
    </w:p>
    <w:p w14:paraId="7F9CCBAA" w14:textId="42B7BFCB" w:rsidR="00FE7DDE" w:rsidRDefault="00FE7DDE" w:rsidP="00F02CCA">
      <w:pPr>
        <w:pStyle w:val="a4"/>
        <w:numPr>
          <w:ilvl w:val="0"/>
          <w:numId w:val="23"/>
        </w:numPr>
        <w:tabs>
          <w:tab w:val="left" w:pos="288"/>
          <w:tab w:val="left" w:pos="720"/>
          <w:tab w:val="left" w:pos="1296"/>
        </w:tabs>
        <w:autoSpaceDE w:val="0"/>
        <w:autoSpaceDN w:val="0"/>
        <w:adjustRightInd w:val="0"/>
        <w:spacing w:after="80" w:line="276" w:lineRule="auto"/>
        <w:jc w:val="both"/>
      </w:pPr>
      <w:r>
        <w:rPr>
          <w:rFonts w:hint="cs"/>
          <w:rtl/>
        </w:rPr>
        <w:t xml:space="preserve">מסכים עם הקביעה </w:t>
      </w:r>
      <w:r w:rsidRPr="009165E2">
        <w:rPr>
          <w:rtl/>
        </w:rPr>
        <w:t>שניתן לבית המשפט שיקול-דעת מסוים</w:t>
      </w:r>
      <w:r w:rsidRPr="009165E2">
        <w:t xml:space="preserve"> </w:t>
      </w:r>
      <w:r w:rsidRPr="009165E2">
        <w:rPr>
          <w:rtl/>
        </w:rPr>
        <w:t xml:space="preserve">לקבוע, מה טיבה של הזכות הראויה להיכלל </w:t>
      </w:r>
      <w:hyperlink r:id="rId12" w:history="1">
        <w:r w:rsidRPr="009165E2">
          <w:rPr>
            <w:rStyle w:val="Hyperlink"/>
            <w:rtl/>
          </w:rPr>
          <w:t>בסעיף 94</w:t>
        </w:r>
      </w:hyperlink>
      <w:r>
        <w:rPr>
          <w:rFonts w:hint="cs"/>
          <w:rtl/>
        </w:rPr>
        <w:t>.</w:t>
      </w:r>
    </w:p>
    <w:p w14:paraId="2DECE834" w14:textId="1E45B4A7" w:rsidR="00FE7DDE" w:rsidRDefault="00FE7DDE" w:rsidP="00F02CCA">
      <w:pPr>
        <w:pStyle w:val="a4"/>
        <w:numPr>
          <w:ilvl w:val="0"/>
          <w:numId w:val="23"/>
        </w:numPr>
        <w:tabs>
          <w:tab w:val="left" w:pos="288"/>
          <w:tab w:val="left" w:pos="720"/>
          <w:tab w:val="left" w:pos="1296"/>
        </w:tabs>
        <w:autoSpaceDE w:val="0"/>
        <w:autoSpaceDN w:val="0"/>
        <w:adjustRightInd w:val="0"/>
        <w:spacing w:after="80" w:line="276" w:lineRule="auto"/>
        <w:jc w:val="both"/>
      </w:pPr>
      <w:r>
        <w:rPr>
          <w:rFonts w:hint="cs"/>
          <w:rtl/>
        </w:rPr>
        <w:t>מסכים ש</w:t>
      </w:r>
      <w:r w:rsidRPr="009165E2">
        <w:rPr>
          <w:rtl/>
        </w:rPr>
        <w:t>"זכות" מעבר ו"זכות" חניה ניתנות להיכלל</w:t>
      </w:r>
      <w:r w:rsidRPr="009165E2">
        <w:t xml:space="preserve"> </w:t>
      </w:r>
      <w:r w:rsidRPr="009165E2">
        <w:rPr>
          <w:rtl/>
        </w:rPr>
        <w:t xml:space="preserve">באורח עקרוני בגדר </w:t>
      </w:r>
      <w:hyperlink r:id="rId13" w:history="1">
        <w:r w:rsidRPr="009165E2">
          <w:rPr>
            <w:rStyle w:val="Hyperlink"/>
            <w:rtl/>
          </w:rPr>
          <w:t>סעיף 94</w:t>
        </w:r>
      </w:hyperlink>
      <w:r>
        <w:rPr>
          <w:rFonts w:hint="cs"/>
          <w:rtl/>
        </w:rPr>
        <w:t xml:space="preserve"> </w:t>
      </w:r>
      <w:r w:rsidRPr="009165E2">
        <w:rPr>
          <w:rtl/>
        </w:rPr>
        <w:t>לחוק</w:t>
      </w:r>
      <w:r>
        <w:rPr>
          <w:rFonts w:hint="cs"/>
          <w:rtl/>
        </w:rPr>
        <w:t>.</w:t>
      </w:r>
    </w:p>
    <w:p w14:paraId="73301F57" w14:textId="786D65F4" w:rsidR="00FE7DDE" w:rsidRDefault="00F31C77" w:rsidP="00F02CCA">
      <w:pPr>
        <w:pStyle w:val="a4"/>
        <w:numPr>
          <w:ilvl w:val="0"/>
          <w:numId w:val="23"/>
        </w:numPr>
        <w:tabs>
          <w:tab w:val="left" w:pos="288"/>
          <w:tab w:val="left" w:pos="720"/>
          <w:tab w:val="left" w:pos="1296"/>
        </w:tabs>
        <w:autoSpaceDE w:val="0"/>
        <w:autoSpaceDN w:val="0"/>
        <w:adjustRightInd w:val="0"/>
        <w:spacing w:after="80" w:line="276" w:lineRule="auto"/>
        <w:jc w:val="both"/>
      </w:pPr>
      <w:r>
        <w:rPr>
          <w:rFonts w:hint="cs"/>
          <w:rtl/>
        </w:rPr>
        <w:t>מכיוון שביטול זיקת ההנאה למערערים לא יגרום נזק, בשל החלופות הקיימות אין סיבה לא לבטל את זיקת ההנאה.</w:t>
      </w:r>
    </w:p>
    <w:p w14:paraId="17ED31A9" w14:textId="6D2C2438" w:rsidR="00C66431" w:rsidRDefault="00C66431" w:rsidP="00F02CCA">
      <w:pPr>
        <w:tabs>
          <w:tab w:val="left" w:pos="288"/>
          <w:tab w:val="left" w:pos="720"/>
          <w:tab w:val="left" w:pos="1296"/>
        </w:tabs>
        <w:autoSpaceDE w:val="0"/>
        <w:autoSpaceDN w:val="0"/>
        <w:adjustRightInd w:val="0"/>
        <w:spacing w:after="80" w:line="276" w:lineRule="auto"/>
        <w:jc w:val="both"/>
        <w:rPr>
          <w:b/>
          <w:bCs/>
          <w:sz w:val="28"/>
          <w:szCs w:val="28"/>
          <w:u w:val="single"/>
          <w:rtl/>
        </w:rPr>
      </w:pPr>
    </w:p>
    <w:p w14:paraId="517671CD" w14:textId="545C535B" w:rsidR="00C66431" w:rsidRDefault="00F14436" w:rsidP="00F02CCA">
      <w:pPr>
        <w:tabs>
          <w:tab w:val="left" w:pos="288"/>
          <w:tab w:val="left" w:pos="720"/>
          <w:tab w:val="left" w:pos="1296"/>
        </w:tabs>
        <w:autoSpaceDE w:val="0"/>
        <w:autoSpaceDN w:val="0"/>
        <w:adjustRightInd w:val="0"/>
        <w:spacing w:after="80" w:line="276" w:lineRule="auto"/>
        <w:jc w:val="both"/>
        <w:rPr>
          <w:b/>
          <w:bCs/>
          <w:sz w:val="28"/>
          <w:szCs w:val="28"/>
          <w:u w:val="single"/>
          <w:rtl/>
        </w:rPr>
      </w:pPr>
      <w:r w:rsidRPr="00F14436">
        <w:rPr>
          <w:rFonts w:hint="cs"/>
          <w:b/>
          <w:bCs/>
          <w:sz w:val="28"/>
          <w:szCs w:val="28"/>
          <w:u w:val="single"/>
          <w:rtl/>
        </w:rPr>
        <w:t xml:space="preserve">פס"ד </w:t>
      </w:r>
      <w:r w:rsidR="00C66431" w:rsidRPr="00F14436">
        <w:rPr>
          <w:b/>
          <w:bCs/>
          <w:sz w:val="28"/>
          <w:szCs w:val="28"/>
          <w:u w:val="single"/>
          <w:rtl/>
        </w:rPr>
        <w:t xml:space="preserve">קיבוץ החותרים אגודה שיתופית חקלאית רשומה נ' </w:t>
      </w:r>
      <w:proofErr w:type="spellStart"/>
      <w:r w:rsidR="00C66431" w:rsidRPr="00F14436">
        <w:rPr>
          <w:b/>
          <w:bCs/>
          <w:sz w:val="28"/>
          <w:szCs w:val="28"/>
          <w:u w:val="single"/>
          <w:rtl/>
        </w:rPr>
        <w:t>מינהל</w:t>
      </w:r>
      <w:proofErr w:type="spellEnd"/>
      <w:r w:rsidR="00C66431" w:rsidRPr="00F14436">
        <w:rPr>
          <w:b/>
          <w:bCs/>
          <w:sz w:val="28"/>
          <w:szCs w:val="28"/>
          <w:u w:val="single"/>
          <w:rtl/>
        </w:rPr>
        <w:t xml:space="preserve"> מקרקעי ישראל</w:t>
      </w:r>
    </w:p>
    <w:p w14:paraId="74F6B56E" w14:textId="7242FAEB" w:rsidR="00F14436" w:rsidRDefault="005D6865" w:rsidP="00F02CCA">
      <w:pPr>
        <w:pStyle w:val="a4"/>
        <w:numPr>
          <w:ilvl w:val="0"/>
          <w:numId w:val="24"/>
        </w:numPr>
        <w:tabs>
          <w:tab w:val="left" w:pos="288"/>
          <w:tab w:val="left" w:pos="720"/>
          <w:tab w:val="left" w:pos="1296"/>
        </w:tabs>
        <w:autoSpaceDE w:val="0"/>
        <w:autoSpaceDN w:val="0"/>
        <w:adjustRightInd w:val="0"/>
        <w:spacing w:after="80" w:line="276" w:lineRule="auto"/>
        <w:jc w:val="both"/>
      </w:pPr>
      <w:r>
        <w:rPr>
          <w:rFonts w:hint="cs"/>
          <w:rtl/>
        </w:rPr>
        <w:t>הכורים טוענים שקמה להם זיקת הנאה שנפגעה שלא כדין ע"י החלטה 833.</w:t>
      </w:r>
    </w:p>
    <w:p w14:paraId="696A1F4D" w14:textId="77777777" w:rsidR="005D6865" w:rsidRDefault="005D6865" w:rsidP="00F02CCA">
      <w:pPr>
        <w:pStyle w:val="a4"/>
        <w:numPr>
          <w:ilvl w:val="0"/>
          <w:numId w:val="24"/>
        </w:numPr>
        <w:tabs>
          <w:tab w:val="left" w:pos="288"/>
          <w:tab w:val="left" w:pos="720"/>
          <w:tab w:val="left" w:pos="1296"/>
        </w:tabs>
        <w:autoSpaceDE w:val="0"/>
        <w:autoSpaceDN w:val="0"/>
        <w:adjustRightInd w:val="0"/>
        <w:spacing w:after="80" w:line="276" w:lineRule="auto"/>
        <w:jc w:val="both"/>
      </w:pPr>
      <w:r>
        <w:rPr>
          <w:rFonts w:hint="cs"/>
          <w:rtl/>
        </w:rPr>
        <w:t xml:space="preserve">זיקת הנאה היא זכות קניינית (למרות שקיימת דעה חריגה כי זוהי זכות חוזית). </w:t>
      </w:r>
    </w:p>
    <w:p w14:paraId="4BCB716F" w14:textId="77777777" w:rsidR="005D6865" w:rsidRDefault="005D6865" w:rsidP="00F02CCA">
      <w:pPr>
        <w:pStyle w:val="a4"/>
        <w:numPr>
          <w:ilvl w:val="0"/>
          <w:numId w:val="24"/>
        </w:numPr>
        <w:tabs>
          <w:tab w:val="left" w:pos="288"/>
          <w:tab w:val="left" w:pos="720"/>
          <w:tab w:val="left" w:pos="1296"/>
        </w:tabs>
        <w:autoSpaceDE w:val="0"/>
        <w:autoSpaceDN w:val="0"/>
        <w:adjustRightInd w:val="0"/>
        <w:spacing w:after="80" w:line="276" w:lineRule="auto"/>
        <w:jc w:val="both"/>
      </w:pPr>
      <w:r>
        <w:rPr>
          <w:rFonts w:hint="cs"/>
          <w:rtl/>
        </w:rPr>
        <w:t>הפסיקה פירשה את ההגדרה בסעיף 5 לחוק המקרקעין כסעיף הכולל שני יסודות:</w:t>
      </w:r>
    </w:p>
    <w:p w14:paraId="5AE78000" w14:textId="77777777" w:rsidR="005D6865" w:rsidRDefault="005D6865" w:rsidP="00F02CCA">
      <w:pPr>
        <w:pStyle w:val="a4"/>
        <w:numPr>
          <w:ilvl w:val="0"/>
          <w:numId w:val="25"/>
        </w:numPr>
        <w:tabs>
          <w:tab w:val="left" w:pos="288"/>
          <w:tab w:val="left" w:pos="720"/>
          <w:tab w:val="left" w:pos="1296"/>
        </w:tabs>
        <w:autoSpaceDE w:val="0"/>
        <w:autoSpaceDN w:val="0"/>
        <w:adjustRightInd w:val="0"/>
        <w:spacing w:after="80" w:line="276" w:lineRule="auto"/>
        <w:jc w:val="both"/>
      </w:pPr>
      <w:r>
        <w:rPr>
          <w:rFonts w:hint="cs"/>
          <w:rtl/>
        </w:rPr>
        <w:t xml:space="preserve">חיובי- </w:t>
      </w:r>
      <w:r w:rsidRPr="00C0073D">
        <w:rPr>
          <w:rtl/>
        </w:rPr>
        <w:t xml:space="preserve">זהו שעבוד המקרקעין לזכות של אחר הגורע מזכות הבעלות בהם. </w:t>
      </w:r>
    </w:p>
    <w:p w14:paraId="0BDC7BDD" w14:textId="263A2D73" w:rsidR="00995BA1" w:rsidRDefault="005D6865" w:rsidP="00F02CCA">
      <w:pPr>
        <w:pStyle w:val="a4"/>
        <w:numPr>
          <w:ilvl w:val="0"/>
          <w:numId w:val="25"/>
        </w:numPr>
        <w:tabs>
          <w:tab w:val="left" w:pos="288"/>
          <w:tab w:val="left" w:pos="720"/>
          <w:tab w:val="left" w:pos="1296"/>
        </w:tabs>
        <w:autoSpaceDE w:val="0"/>
        <w:autoSpaceDN w:val="0"/>
        <w:adjustRightInd w:val="0"/>
        <w:spacing w:after="80" w:line="276" w:lineRule="auto"/>
        <w:jc w:val="both"/>
      </w:pPr>
      <w:r>
        <w:rPr>
          <w:rFonts w:hint="cs"/>
          <w:rtl/>
        </w:rPr>
        <w:t xml:space="preserve">שלילי- </w:t>
      </w:r>
      <w:r w:rsidRPr="00C0073D">
        <w:rPr>
          <w:rtl/>
        </w:rPr>
        <w:t xml:space="preserve">לאמור הזכות </w:t>
      </w:r>
      <w:r w:rsidRPr="005D6865">
        <w:rPr>
          <w:rtl/>
        </w:rPr>
        <w:t>להחזיק</w:t>
      </w:r>
      <w:r w:rsidRPr="00C0073D">
        <w:rPr>
          <w:rtl/>
        </w:rPr>
        <w:t xml:space="preserve"> במקרקעין הכפופ</w:t>
      </w:r>
      <w:r>
        <w:rPr>
          <w:rtl/>
        </w:rPr>
        <w:t>ים</w:t>
      </w:r>
      <w:r>
        <w:rPr>
          <w:rFonts w:hint="cs"/>
          <w:rtl/>
        </w:rPr>
        <w:t xml:space="preserve">, </w:t>
      </w:r>
      <w:r>
        <w:rPr>
          <w:rtl/>
        </w:rPr>
        <w:t>לצורך הפקת ההנאה מהם</w:t>
      </w:r>
      <w:r>
        <w:rPr>
          <w:rFonts w:hint="cs"/>
          <w:rtl/>
        </w:rPr>
        <w:t xml:space="preserve">, </w:t>
      </w:r>
      <w:r w:rsidRPr="00C0073D">
        <w:rPr>
          <w:rtl/>
        </w:rPr>
        <w:t>איננה נובעת מזיקת ההנאה</w:t>
      </w:r>
      <w:r>
        <w:rPr>
          <w:rFonts w:hint="cs"/>
          <w:rtl/>
        </w:rPr>
        <w:t xml:space="preserve"> וזו אינה מהווה מקור לזכות להחזיק במקרקעין.  </w:t>
      </w:r>
      <w:r>
        <w:rPr>
          <w:rFonts w:hint="cs"/>
          <w:rtl/>
        </w:rPr>
        <w:tab/>
      </w:r>
      <w:r w:rsidR="002618F3">
        <w:rPr>
          <w:rFonts w:hint="cs"/>
          <w:rtl/>
        </w:rPr>
        <w:t>(זה שיש לו זיקת הנאה לא אומר שיש לו זכות בעלות במקרקעין המדובר)</w:t>
      </w:r>
    </w:p>
    <w:p w14:paraId="75402605" w14:textId="4E04EC7E" w:rsidR="00995BA1" w:rsidRDefault="00995BA1" w:rsidP="00F02CCA">
      <w:pPr>
        <w:pStyle w:val="a4"/>
        <w:numPr>
          <w:ilvl w:val="0"/>
          <w:numId w:val="26"/>
        </w:numPr>
        <w:tabs>
          <w:tab w:val="left" w:pos="288"/>
          <w:tab w:val="left" w:pos="720"/>
          <w:tab w:val="left" w:pos="1296"/>
        </w:tabs>
        <w:autoSpaceDE w:val="0"/>
        <w:autoSpaceDN w:val="0"/>
        <w:adjustRightInd w:val="0"/>
        <w:spacing w:after="80" w:line="276" w:lineRule="auto"/>
        <w:jc w:val="both"/>
      </w:pPr>
      <w:r w:rsidRPr="00C0073D">
        <w:rPr>
          <w:rtl/>
        </w:rPr>
        <w:t>לפי סעיף 93(א), "זיקת הנאה" יכול שתיקבע באופן חיובי, לאמור מי שהזיקה ניתנה לטובתו זכאי לעשות שימוש מסוים במקרקעין הכפופים (סעיף 93(א)(1)), ויכול שתיקבע באופן שלילי, כך שבעל המקרקעין הכפופים חייב להימנע מביצוע פעולה מסוימת באותם מקרקעין (93(א)(2)).</w:t>
      </w:r>
    </w:p>
    <w:p w14:paraId="2DF187CC" w14:textId="619FC9DB" w:rsidR="00F07A5E" w:rsidRDefault="00F07A5E" w:rsidP="00F02CCA">
      <w:pPr>
        <w:pStyle w:val="a4"/>
        <w:numPr>
          <w:ilvl w:val="0"/>
          <w:numId w:val="26"/>
        </w:numPr>
        <w:tabs>
          <w:tab w:val="left" w:pos="288"/>
          <w:tab w:val="left" w:pos="720"/>
          <w:tab w:val="left" w:pos="1296"/>
        </w:tabs>
        <w:autoSpaceDE w:val="0"/>
        <w:autoSpaceDN w:val="0"/>
        <w:adjustRightInd w:val="0"/>
        <w:spacing w:after="80" w:line="276" w:lineRule="auto"/>
        <w:jc w:val="both"/>
      </w:pPr>
      <w:r>
        <w:rPr>
          <w:rFonts w:hint="cs"/>
          <w:rtl/>
        </w:rPr>
        <w:t>דרכים לכינון זיקת ההנאה:</w:t>
      </w:r>
    </w:p>
    <w:p w14:paraId="4A0FC2E8" w14:textId="215A7391" w:rsidR="00F07A5E" w:rsidRDefault="00F07A5E" w:rsidP="00F02CCA">
      <w:pPr>
        <w:pStyle w:val="a4"/>
        <w:numPr>
          <w:ilvl w:val="0"/>
          <w:numId w:val="27"/>
        </w:numPr>
        <w:tabs>
          <w:tab w:val="left" w:pos="288"/>
          <w:tab w:val="left" w:pos="720"/>
          <w:tab w:val="left" w:pos="1296"/>
        </w:tabs>
        <w:autoSpaceDE w:val="0"/>
        <w:autoSpaceDN w:val="0"/>
        <w:adjustRightInd w:val="0"/>
        <w:spacing w:after="80" w:line="276" w:lineRule="auto"/>
        <w:jc w:val="both"/>
      </w:pPr>
      <w:r>
        <w:rPr>
          <w:rFonts w:hint="cs"/>
          <w:rtl/>
        </w:rPr>
        <w:t>לפי החוק- מכוח שנים.</w:t>
      </w:r>
    </w:p>
    <w:p w14:paraId="298F0E3C" w14:textId="4CD237E8" w:rsidR="00F07A5E" w:rsidRDefault="00F07A5E" w:rsidP="00F02CCA">
      <w:pPr>
        <w:pStyle w:val="a4"/>
        <w:numPr>
          <w:ilvl w:val="0"/>
          <w:numId w:val="27"/>
        </w:numPr>
        <w:tabs>
          <w:tab w:val="left" w:pos="288"/>
          <w:tab w:val="left" w:pos="720"/>
          <w:tab w:val="left" w:pos="1296"/>
        </w:tabs>
        <w:autoSpaceDE w:val="0"/>
        <w:autoSpaceDN w:val="0"/>
        <w:adjustRightInd w:val="0"/>
        <w:spacing w:after="80" w:line="276" w:lineRule="auto"/>
        <w:jc w:val="both"/>
      </w:pPr>
      <w:r>
        <w:rPr>
          <w:rFonts w:hint="cs"/>
          <w:rtl/>
        </w:rPr>
        <w:t>לפי הפסיקה והספרות- מכוח הסכם.</w:t>
      </w:r>
    </w:p>
    <w:p w14:paraId="2F009555" w14:textId="00637035" w:rsidR="00F07A5E" w:rsidRPr="005D6865" w:rsidRDefault="00F07A5E" w:rsidP="00F02CCA">
      <w:pPr>
        <w:pStyle w:val="a4"/>
        <w:numPr>
          <w:ilvl w:val="0"/>
          <w:numId w:val="27"/>
        </w:numPr>
        <w:tabs>
          <w:tab w:val="left" w:pos="288"/>
          <w:tab w:val="left" w:pos="720"/>
          <w:tab w:val="left" w:pos="1296"/>
        </w:tabs>
        <w:autoSpaceDE w:val="0"/>
        <w:autoSpaceDN w:val="0"/>
        <w:adjustRightInd w:val="0"/>
        <w:spacing w:after="80" w:line="276" w:lineRule="auto"/>
        <w:jc w:val="both"/>
        <w:rPr>
          <w:rtl/>
        </w:rPr>
      </w:pPr>
      <w:r>
        <w:rPr>
          <w:rFonts w:hint="cs"/>
          <w:rtl/>
        </w:rPr>
        <w:t xml:space="preserve">דרכים נוספות שהוצעו- </w:t>
      </w:r>
      <w:r w:rsidRPr="00C0073D">
        <w:rPr>
          <w:rtl/>
        </w:rPr>
        <w:t>הן צוואה, פסק</w:t>
      </w:r>
      <w:r w:rsidRPr="00C0073D">
        <w:rPr>
          <w:position w:val="4"/>
          <w:rtl/>
        </w:rPr>
        <w:t>-</w:t>
      </w:r>
      <w:r w:rsidR="001408B1">
        <w:rPr>
          <w:rtl/>
        </w:rPr>
        <w:t>דין, מעשה מ</w:t>
      </w:r>
      <w:r w:rsidRPr="00C0073D">
        <w:rPr>
          <w:rtl/>
        </w:rPr>
        <w:t>נהלי והדין</w:t>
      </w:r>
      <w:r>
        <w:rPr>
          <w:rFonts w:hint="cs"/>
          <w:rtl/>
        </w:rPr>
        <w:t>.</w:t>
      </w:r>
    </w:p>
    <w:p w14:paraId="37CF034E" w14:textId="7FEB90FB" w:rsidR="00A812BD" w:rsidRDefault="00A812BD" w:rsidP="00F02CCA">
      <w:pPr>
        <w:pStyle w:val="a4"/>
        <w:numPr>
          <w:ilvl w:val="0"/>
          <w:numId w:val="28"/>
        </w:numPr>
        <w:tabs>
          <w:tab w:val="left" w:pos="288"/>
          <w:tab w:val="left" w:pos="720"/>
          <w:tab w:val="left" w:pos="1296"/>
        </w:tabs>
        <w:autoSpaceDE w:val="0"/>
        <w:autoSpaceDN w:val="0"/>
        <w:adjustRightInd w:val="0"/>
        <w:spacing w:after="80" w:line="276" w:lineRule="auto"/>
        <w:jc w:val="both"/>
      </w:pPr>
      <w:r w:rsidRPr="00C0073D">
        <w:rPr>
          <w:rtl/>
        </w:rPr>
        <w:t xml:space="preserve">החובה להוכיח קיומה של זכות קניינית או כוונה </w:t>
      </w:r>
      <w:proofErr w:type="spellStart"/>
      <w:r w:rsidRPr="00C0073D">
        <w:rPr>
          <w:rtl/>
        </w:rPr>
        <w:t>להעניקה</w:t>
      </w:r>
      <w:proofErr w:type="spellEnd"/>
      <w:r w:rsidRPr="00C0073D">
        <w:rPr>
          <w:rtl/>
        </w:rPr>
        <w:t xml:space="preserve"> היא על הטוען זאת.</w:t>
      </w:r>
      <w:r w:rsidR="0073009E">
        <w:rPr>
          <w:rFonts w:hint="cs"/>
          <w:rtl/>
        </w:rPr>
        <w:t xml:space="preserve"> אם הם לא הוכיחו, היחסים הם חוזיים בלבד.</w:t>
      </w:r>
    </w:p>
    <w:p w14:paraId="2F65275F" w14:textId="27E349A3" w:rsidR="00CD5B3A" w:rsidRDefault="00CD5B3A" w:rsidP="00F02CCA">
      <w:pPr>
        <w:pStyle w:val="a4"/>
        <w:numPr>
          <w:ilvl w:val="0"/>
          <w:numId w:val="28"/>
        </w:numPr>
        <w:tabs>
          <w:tab w:val="left" w:pos="288"/>
          <w:tab w:val="left" w:pos="720"/>
          <w:tab w:val="left" w:pos="1296"/>
        </w:tabs>
        <w:autoSpaceDE w:val="0"/>
        <w:autoSpaceDN w:val="0"/>
        <w:adjustRightInd w:val="0"/>
        <w:spacing w:after="80" w:line="276" w:lineRule="auto"/>
        <w:jc w:val="both"/>
      </w:pPr>
      <w:r>
        <w:rPr>
          <w:rFonts w:hint="cs"/>
          <w:rtl/>
        </w:rPr>
        <w:t>הסיבות שאין לראות בהרשאות שמוצו ע"י הכורים "זיקת הנאה":</w:t>
      </w:r>
    </w:p>
    <w:p w14:paraId="0B25DE1B" w14:textId="010FBEA5" w:rsidR="00063992" w:rsidRDefault="00063992" w:rsidP="00F02CCA">
      <w:pPr>
        <w:pStyle w:val="a4"/>
        <w:numPr>
          <w:ilvl w:val="0"/>
          <w:numId w:val="29"/>
        </w:numPr>
        <w:tabs>
          <w:tab w:val="left" w:pos="288"/>
          <w:tab w:val="left" w:pos="720"/>
          <w:tab w:val="left" w:pos="1296"/>
        </w:tabs>
        <w:autoSpaceDE w:val="0"/>
        <w:autoSpaceDN w:val="0"/>
        <w:adjustRightInd w:val="0"/>
        <w:spacing w:after="80" w:line="276" w:lineRule="auto"/>
        <w:jc w:val="both"/>
      </w:pPr>
      <w:r w:rsidRPr="00C0073D">
        <w:rPr>
          <w:rtl/>
        </w:rPr>
        <w:t>משקיימים הסכמי הרשאה הכוללים את תנאי ההרשאה ואינם מכילים הקניה של "זיקת הנאה", אין לייחס להרשאה אופי של "זיקת הנאה".</w:t>
      </w:r>
    </w:p>
    <w:p w14:paraId="54117870" w14:textId="64B4E8B7" w:rsidR="00CD5B3A" w:rsidRDefault="00CD5B3A" w:rsidP="00F02CCA">
      <w:pPr>
        <w:pStyle w:val="a4"/>
        <w:numPr>
          <w:ilvl w:val="0"/>
          <w:numId w:val="29"/>
        </w:numPr>
        <w:tabs>
          <w:tab w:val="left" w:pos="288"/>
          <w:tab w:val="left" w:pos="720"/>
          <w:tab w:val="left" w:pos="1296"/>
        </w:tabs>
        <w:autoSpaceDE w:val="0"/>
        <w:autoSpaceDN w:val="0"/>
        <w:adjustRightInd w:val="0"/>
        <w:spacing w:after="80" w:line="276" w:lineRule="auto"/>
        <w:jc w:val="both"/>
      </w:pPr>
      <w:r w:rsidRPr="00C0073D">
        <w:rPr>
          <w:rtl/>
        </w:rPr>
        <w:t>מהסכמי ההרשאה עולה בבירור כי לא הייתה כוונה להעניק לכורים זכות מסוג "זיקת</w:t>
      </w:r>
      <w:r>
        <w:rPr>
          <w:rtl/>
        </w:rPr>
        <w:t xml:space="preserve"> הנאה"</w:t>
      </w:r>
      <w:r>
        <w:rPr>
          <w:rFonts w:hint="cs"/>
          <w:rtl/>
        </w:rPr>
        <w:t>.</w:t>
      </w:r>
    </w:p>
    <w:p w14:paraId="499120CB" w14:textId="10779BF0" w:rsidR="00215571" w:rsidRDefault="00CD5B3A" w:rsidP="00F02CCA">
      <w:pPr>
        <w:pStyle w:val="a4"/>
        <w:numPr>
          <w:ilvl w:val="0"/>
          <w:numId w:val="29"/>
        </w:numPr>
        <w:tabs>
          <w:tab w:val="left" w:pos="288"/>
          <w:tab w:val="left" w:pos="720"/>
          <w:tab w:val="left" w:pos="1296"/>
        </w:tabs>
        <w:autoSpaceDE w:val="0"/>
        <w:autoSpaceDN w:val="0"/>
        <w:adjustRightInd w:val="0"/>
        <w:spacing w:after="80" w:line="276" w:lineRule="auto"/>
        <w:jc w:val="both"/>
      </w:pPr>
      <w:r>
        <w:rPr>
          <w:rFonts w:hint="cs"/>
          <w:rtl/>
        </w:rPr>
        <w:t xml:space="preserve">לפי המונחים בהם משתמשים בהחלטות עולה </w:t>
      </w:r>
      <w:r>
        <w:rPr>
          <w:rtl/>
        </w:rPr>
        <w:t>המסקנה</w:t>
      </w:r>
      <w:r>
        <w:rPr>
          <w:rFonts w:hint="cs"/>
          <w:rtl/>
        </w:rPr>
        <w:t xml:space="preserve"> </w:t>
      </w:r>
      <w:r w:rsidRPr="00C0073D">
        <w:rPr>
          <w:rtl/>
        </w:rPr>
        <w:t>כי החלטות המועצה והסכמי ההרשאה שנכרתו בעקבותיהן כיוונו להענקת זכות אובליגטורית מסוג "רשות" ולא למתן "זיקת הנאה"</w:t>
      </w:r>
      <w:r w:rsidR="00215571">
        <w:rPr>
          <w:rFonts w:hint="cs"/>
          <w:rtl/>
        </w:rPr>
        <w:t>.</w:t>
      </w:r>
    </w:p>
    <w:p w14:paraId="57A60188" w14:textId="2C3A86E7" w:rsidR="00215571" w:rsidRDefault="00215571" w:rsidP="00F02CCA">
      <w:pPr>
        <w:pStyle w:val="a4"/>
        <w:numPr>
          <w:ilvl w:val="0"/>
          <w:numId w:val="29"/>
        </w:numPr>
        <w:tabs>
          <w:tab w:val="left" w:pos="288"/>
          <w:tab w:val="left" w:pos="720"/>
          <w:tab w:val="left" w:pos="1296"/>
        </w:tabs>
        <w:autoSpaceDE w:val="0"/>
        <w:autoSpaceDN w:val="0"/>
        <w:adjustRightInd w:val="0"/>
        <w:spacing w:after="80" w:line="276" w:lineRule="auto"/>
        <w:jc w:val="both"/>
      </w:pPr>
      <w:r>
        <w:rPr>
          <w:rFonts w:hint="cs"/>
          <w:rtl/>
        </w:rPr>
        <w:t xml:space="preserve">"זיקת הנאה" הנוצרת בהסכם היא "עסקה במקרקעין" (ס.6). ועסקה שלא נגמרה ברישום היא רק התחייבות לעשות עסקה. </w:t>
      </w:r>
      <w:r w:rsidRPr="00C0073D">
        <w:rPr>
          <w:rtl/>
        </w:rPr>
        <w:t>). זכותם הנטענת של הכורים לא נרשמה כדין והם גם לא פנו לבית</w:t>
      </w:r>
      <w:r w:rsidRPr="00C0073D">
        <w:rPr>
          <w:position w:val="4"/>
          <w:rtl/>
        </w:rPr>
        <w:t>-</w:t>
      </w:r>
      <w:r w:rsidRPr="00C0073D">
        <w:rPr>
          <w:rtl/>
        </w:rPr>
        <w:t>המשפט המוסמך בבקשה לרושמה. בכך יש כדי להוסיף משקל למסקנה כי אין בידם "זיקת הנאה" מכוח הסכם.</w:t>
      </w:r>
    </w:p>
    <w:p w14:paraId="5C562874" w14:textId="07EA8CA5" w:rsidR="00D66E0B" w:rsidRDefault="00D66E0B" w:rsidP="00F02CCA">
      <w:pPr>
        <w:pStyle w:val="a4"/>
        <w:numPr>
          <w:ilvl w:val="0"/>
          <w:numId w:val="30"/>
        </w:numPr>
        <w:tabs>
          <w:tab w:val="left" w:pos="288"/>
          <w:tab w:val="left" w:pos="720"/>
          <w:tab w:val="left" w:pos="1296"/>
        </w:tabs>
        <w:autoSpaceDE w:val="0"/>
        <w:autoSpaceDN w:val="0"/>
        <w:adjustRightInd w:val="0"/>
        <w:spacing w:after="80" w:line="276" w:lineRule="auto"/>
        <w:jc w:val="both"/>
      </w:pPr>
      <w:r w:rsidRPr="00C0073D">
        <w:rPr>
          <w:rtl/>
        </w:rPr>
        <w:t>בהנחה שניתן</w:t>
      </w:r>
      <w:r>
        <w:rPr>
          <w:rtl/>
        </w:rPr>
        <w:t xml:space="preserve"> ליצור "זיקת הנאה" מכוח החלטה מ</w:t>
      </w:r>
      <w:r w:rsidRPr="00C0073D">
        <w:rPr>
          <w:rtl/>
        </w:rPr>
        <w:t>נהלית</w:t>
      </w:r>
      <w:r>
        <w:rPr>
          <w:rFonts w:hint="cs"/>
          <w:rtl/>
        </w:rPr>
        <w:t xml:space="preserve">, </w:t>
      </w:r>
      <w:r w:rsidRPr="00C0073D">
        <w:rPr>
          <w:rtl/>
        </w:rPr>
        <w:t xml:space="preserve"> הרי שתנאי לכינונה של זכות כזו הוא שהזכות תוענק על</w:t>
      </w:r>
      <w:r w:rsidRPr="00D66E0B">
        <w:rPr>
          <w:rtl/>
        </w:rPr>
        <w:t>-</w:t>
      </w:r>
      <w:r w:rsidRPr="00C0073D">
        <w:rPr>
          <w:rtl/>
        </w:rPr>
        <w:t xml:space="preserve">ידי </w:t>
      </w:r>
      <w:r w:rsidRPr="00D66E0B">
        <w:rPr>
          <w:rtl/>
        </w:rPr>
        <w:t>רשות מנהלית מוסמכת בכוונה להעניק "זיקת הנאה"</w:t>
      </w:r>
      <w:r w:rsidRPr="00C0073D">
        <w:rPr>
          <w:rtl/>
        </w:rPr>
        <w:t>. מקום שבו לא התכוונה הרשות להעניק זכות או שהתכוונה להעניק זכות אובליגטורית, לא תיווצר זכות מסוג "זיקת הנאה"</w:t>
      </w:r>
      <w:r w:rsidR="008D5B33">
        <w:rPr>
          <w:rFonts w:hint="cs"/>
          <w:rtl/>
        </w:rPr>
        <w:t>.</w:t>
      </w:r>
    </w:p>
    <w:p w14:paraId="4C224260" w14:textId="0BF2C36E" w:rsidR="00DB2F9F" w:rsidRPr="00342E9A" w:rsidRDefault="00DB2F9F" w:rsidP="00F02CCA">
      <w:pPr>
        <w:pStyle w:val="a4"/>
        <w:numPr>
          <w:ilvl w:val="0"/>
          <w:numId w:val="30"/>
        </w:numPr>
        <w:tabs>
          <w:tab w:val="left" w:pos="288"/>
          <w:tab w:val="left" w:pos="720"/>
          <w:tab w:val="left" w:pos="1296"/>
        </w:tabs>
        <w:autoSpaceDE w:val="0"/>
        <w:autoSpaceDN w:val="0"/>
        <w:adjustRightInd w:val="0"/>
        <w:spacing w:after="80" w:line="276" w:lineRule="auto"/>
        <w:jc w:val="both"/>
        <w:rPr>
          <w:rtl/>
        </w:rPr>
      </w:pPr>
      <w:r>
        <w:rPr>
          <w:rFonts w:hint="cs"/>
          <w:rtl/>
        </w:rPr>
        <w:t xml:space="preserve">באשר לזיקת הנאה מכוח שנים- </w:t>
      </w:r>
      <w:r w:rsidRPr="00C0073D">
        <w:rPr>
          <w:rtl/>
        </w:rPr>
        <w:t>זכות זמנית, גם אם היא מוענקת מחדש, איננה עולה בקנה אחד עם רכישת "זיקת הנאה"</w:t>
      </w:r>
    </w:p>
    <w:p w14:paraId="59D26B5D" w14:textId="77777777" w:rsidR="00890B84" w:rsidRDefault="00890B84" w:rsidP="00F02CCA">
      <w:pPr>
        <w:tabs>
          <w:tab w:val="left" w:pos="288"/>
          <w:tab w:val="left" w:pos="720"/>
          <w:tab w:val="left" w:pos="1296"/>
        </w:tabs>
        <w:autoSpaceDE w:val="0"/>
        <w:autoSpaceDN w:val="0"/>
        <w:adjustRightInd w:val="0"/>
        <w:spacing w:after="80" w:line="276" w:lineRule="auto"/>
        <w:jc w:val="both"/>
        <w:rPr>
          <w:rtl/>
        </w:rPr>
      </w:pPr>
    </w:p>
    <w:p w14:paraId="55F02A9A" w14:textId="77777777" w:rsidR="00890B84" w:rsidRDefault="00890B84" w:rsidP="00F02CCA">
      <w:pPr>
        <w:tabs>
          <w:tab w:val="left" w:pos="288"/>
          <w:tab w:val="left" w:pos="720"/>
          <w:tab w:val="left" w:pos="1296"/>
        </w:tabs>
        <w:autoSpaceDE w:val="0"/>
        <w:autoSpaceDN w:val="0"/>
        <w:adjustRightInd w:val="0"/>
        <w:spacing w:after="80" w:line="276" w:lineRule="auto"/>
        <w:jc w:val="both"/>
        <w:rPr>
          <w:sz w:val="28"/>
          <w:szCs w:val="28"/>
          <w:rtl/>
        </w:rPr>
      </w:pPr>
      <w:r>
        <w:rPr>
          <w:rFonts w:hint="cs"/>
          <w:b/>
          <w:bCs/>
          <w:sz w:val="28"/>
          <w:szCs w:val="28"/>
          <w:u w:val="single"/>
          <w:rtl/>
        </w:rPr>
        <w:t>פס"ד טוינה נ' לוי</w:t>
      </w:r>
    </w:p>
    <w:p w14:paraId="05D84BE7" w14:textId="77777777" w:rsidR="00890B84" w:rsidRDefault="00890B84" w:rsidP="00F02CCA">
      <w:pPr>
        <w:tabs>
          <w:tab w:val="left" w:pos="288"/>
          <w:tab w:val="left" w:pos="720"/>
          <w:tab w:val="left" w:pos="1296"/>
        </w:tabs>
        <w:autoSpaceDE w:val="0"/>
        <w:autoSpaceDN w:val="0"/>
        <w:adjustRightInd w:val="0"/>
        <w:spacing w:after="80" w:line="276" w:lineRule="auto"/>
        <w:jc w:val="both"/>
        <w:rPr>
          <w:u w:val="single"/>
          <w:rtl/>
        </w:rPr>
      </w:pPr>
      <w:r>
        <w:rPr>
          <w:rFonts w:hint="cs"/>
          <w:u w:val="single"/>
          <w:rtl/>
        </w:rPr>
        <w:t>הסיפור העובדתי:</w:t>
      </w:r>
    </w:p>
    <w:p w14:paraId="3AE7828A" w14:textId="77777777" w:rsidR="00B91DA5" w:rsidRDefault="00890B84" w:rsidP="00F02CCA">
      <w:pPr>
        <w:pStyle w:val="ruller40"/>
        <w:spacing w:line="276" w:lineRule="auto"/>
        <w:rPr>
          <w:rFonts w:ascii="David" w:hAnsi="David" w:cs="David"/>
          <w:sz w:val="24"/>
          <w:szCs w:val="24"/>
          <w:rtl/>
        </w:rPr>
      </w:pPr>
      <w:r w:rsidRPr="00890B84">
        <w:rPr>
          <w:rFonts w:ascii="David" w:hAnsi="David" w:cs="David"/>
          <w:sz w:val="24"/>
          <w:szCs w:val="24"/>
          <w:rtl/>
        </w:rPr>
        <w:t>המערערים טענו שקיימת להן זיקת הנאה מעבר בחלקה הצמודה לחלקה שלהם. המערערים עתרו בבית משפט קמא למתן פסק-דין הצהרתי, שלפיו הם זכאים לרישום זיקת הנאה בלשכת רישום המקרקעין שעניינה "זכות מעבר בלתי מוגבלת ובלתי מופרעת" במעבר. כן עתרו לצו מניעה, אשר יאסור על המשיבים להפריע להם להקים שער בגבול שבין החלקות. </w:t>
      </w:r>
    </w:p>
    <w:p w14:paraId="029F42D6" w14:textId="4813CE8B" w:rsidR="00890B84" w:rsidRDefault="00890B84" w:rsidP="00F02CCA">
      <w:pPr>
        <w:pStyle w:val="ruller40"/>
        <w:spacing w:line="276" w:lineRule="auto"/>
        <w:rPr>
          <w:rFonts w:ascii="David" w:hAnsi="David" w:cs="David"/>
          <w:sz w:val="24"/>
          <w:szCs w:val="24"/>
          <w:rtl/>
        </w:rPr>
      </w:pPr>
      <w:r w:rsidRPr="00890B84">
        <w:rPr>
          <w:rFonts w:ascii="David" w:hAnsi="David" w:cs="David"/>
          <w:sz w:val="24"/>
          <w:szCs w:val="24"/>
          <w:rtl/>
        </w:rPr>
        <w:t xml:space="preserve"> </w:t>
      </w:r>
    </w:p>
    <w:p w14:paraId="281023E0" w14:textId="016EA802" w:rsidR="00B91DA5" w:rsidRPr="00213AD8" w:rsidRDefault="00B91DA5" w:rsidP="00F02CCA">
      <w:pPr>
        <w:pStyle w:val="ruller40"/>
        <w:spacing w:line="276" w:lineRule="auto"/>
        <w:rPr>
          <w:rFonts w:ascii="David" w:hAnsi="David" w:cs="David"/>
          <w:sz w:val="24"/>
          <w:szCs w:val="24"/>
          <w:rtl/>
        </w:rPr>
      </w:pPr>
      <w:r>
        <w:rPr>
          <w:rFonts w:ascii="David" w:hAnsi="David" w:cs="David" w:hint="cs"/>
          <w:sz w:val="24"/>
          <w:szCs w:val="24"/>
          <w:rtl/>
        </w:rPr>
        <w:lastRenderedPageBreak/>
        <w:t xml:space="preserve">בימ"ש קמא קבע כי </w:t>
      </w:r>
      <w:r w:rsidRPr="00B91DA5">
        <w:rPr>
          <w:rFonts w:ascii="David" w:hAnsi="David" w:cs="David"/>
          <w:sz w:val="24"/>
          <w:szCs w:val="24"/>
          <w:rtl/>
        </w:rPr>
        <w:t>המערערים רכשו בחלקת המשיבים זיקת הנאה, אשר תוכנה הוא זכות מעבר מדירותיהם לרחוב רש"י וחזרה כשהם נושאים עימם כבודה אישית, לרבות סלי קניות. באשר לאספקת הגז, סבר השופט קמא כי אין להכיר בזיקה הנאה זו עקב כך שלא התקיימה דרישת הרציפות, שהרי אין המדובר בשימוש רצוף במהלך תקופה של 30 שנה</w:t>
      </w:r>
      <w:r w:rsidRPr="00213AD8">
        <w:rPr>
          <w:rFonts w:ascii="David" w:hAnsi="David" w:cs="David"/>
          <w:sz w:val="28"/>
          <w:szCs w:val="28"/>
          <w:rtl/>
        </w:rPr>
        <w:t>.</w:t>
      </w:r>
      <w:r w:rsidR="00D00441" w:rsidRPr="00213AD8">
        <w:rPr>
          <w:rFonts w:ascii="David" w:hAnsi="David" w:cs="David" w:hint="cs"/>
          <w:sz w:val="24"/>
          <w:szCs w:val="24"/>
          <w:rtl/>
        </w:rPr>
        <w:t xml:space="preserve"> בנוסף קבע שהמפתחות לשער בין החלקות ימצאו גם בידי המערערים וגם בידי המשיבים (ולא יקנו למשיבים זכות מעבר בחלקה של המערערים), ולבסוף בנסיבות העניין כי אין צו להוצאות.</w:t>
      </w:r>
    </w:p>
    <w:p w14:paraId="0D300941" w14:textId="06DFC2C2" w:rsidR="00D00441" w:rsidRPr="00213AD8" w:rsidRDefault="00D00441" w:rsidP="00F02CCA">
      <w:pPr>
        <w:pStyle w:val="ruller40"/>
        <w:spacing w:line="276" w:lineRule="auto"/>
        <w:rPr>
          <w:rFonts w:ascii="David" w:hAnsi="David" w:cs="David"/>
          <w:sz w:val="28"/>
          <w:szCs w:val="28"/>
          <w:rtl/>
        </w:rPr>
      </w:pPr>
    </w:p>
    <w:p w14:paraId="513F37AC" w14:textId="1A621B88" w:rsidR="00D00441" w:rsidRPr="00213AD8" w:rsidRDefault="00D00441" w:rsidP="00F02CCA">
      <w:pPr>
        <w:pStyle w:val="ruller40"/>
        <w:spacing w:line="276" w:lineRule="auto"/>
        <w:rPr>
          <w:rFonts w:ascii="David" w:hAnsi="David" w:cs="David"/>
          <w:sz w:val="24"/>
          <w:szCs w:val="24"/>
          <w:rtl/>
        </w:rPr>
      </w:pPr>
      <w:r w:rsidRPr="00213AD8">
        <w:rPr>
          <w:rFonts w:ascii="David" w:hAnsi="David" w:cs="David" w:hint="cs"/>
          <w:sz w:val="24"/>
          <w:szCs w:val="24"/>
          <w:u w:val="single"/>
          <w:rtl/>
        </w:rPr>
        <w:t>טענות המערערים:</w:t>
      </w:r>
    </w:p>
    <w:p w14:paraId="40C6F125" w14:textId="77EBC8F8" w:rsidR="00D00441" w:rsidRDefault="00213AD8" w:rsidP="00F02CCA">
      <w:pPr>
        <w:pStyle w:val="ruller40"/>
        <w:numPr>
          <w:ilvl w:val="0"/>
          <w:numId w:val="31"/>
        </w:numPr>
        <w:spacing w:line="276" w:lineRule="auto"/>
        <w:rPr>
          <w:rFonts w:ascii="David" w:hAnsi="David" w:cs="David"/>
          <w:sz w:val="24"/>
          <w:szCs w:val="24"/>
        </w:rPr>
      </w:pPr>
      <w:r w:rsidRPr="00213AD8">
        <w:rPr>
          <w:rFonts w:ascii="David" w:hAnsi="David" w:cs="David" w:hint="cs"/>
          <w:sz w:val="24"/>
          <w:szCs w:val="24"/>
          <w:rtl/>
        </w:rPr>
        <w:t xml:space="preserve">באשר לאספקת הגז- </w:t>
      </w:r>
      <w:r w:rsidR="00DC3447" w:rsidRPr="00DC3447">
        <w:rPr>
          <w:rFonts w:ascii="David" w:hAnsi="David" w:cs="David"/>
          <w:sz w:val="24"/>
          <w:szCs w:val="24"/>
          <w:rtl/>
        </w:rPr>
        <w:t>המערערים חולקים על מסקנתו של בית משפט קמא כי אין מדובר בשימוש רציף של חלוקת גז.  </w:t>
      </w:r>
    </w:p>
    <w:p w14:paraId="5692508C" w14:textId="0536229A" w:rsidR="00DC3447" w:rsidRPr="00DC3447" w:rsidRDefault="00DC3447" w:rsidP="00F02CCA">
      <w:pPr>
        <w:pStyle w:val="ruller40"/>
        <w:numPr>
          <w:ilvl w:val="0"/>
          <w:numId w:val="31"/>
        </w:numPr>
        <w:spacing w:line="276" w:lineRule="auto"/>
        <w:rPr>
          <w:rFonts w:ascii="David" w:hAnsi="David" w:cs="David"/>
          <w:sz w:val="24"/>
          <w:szCs w:val="24"/>
          <w:rtl/>
        </w:rPr>
      </w:pPr>
      <w:r>
        <w:rPr>
          <w:rFonts w:ascii="David" w:hAnsi="David" w:cs="David" w:hint="cs"/>
          <w:sz w:val="24"/>
          <w:szCs w:val="24"/>
          <w:rtl/>
        </w:rPr>
        <w:t>באשר למפתחות לשער</w:t>
      </w:r>
      <w:r w:rsidRPr="00DC3447">
        <w:rPr>
          <w:rFonts w:ascii="David" w:hAnsi="David" w:cs="David" w:hint="cs"/>
          <w:sz w:val="24"/>
          <w:szCs w:val="24"/>
          <w:rtl/>
        </w:rPr>
        <w:t xml:space="preserve">- </w:t>
      </w:r>
      <w:r w:rsidRPr="00DC3447">
        <w:rPr>
          <w:rFonts w:ascii="David" w:hAnsi="David" w:cs="David"/>
          <w:sz w:val="24"/>
          <w:szCs w:val="24"/>
          <w:rtl/>
        </w:rPr>
        <w:t xml:space="preserve">בידי המשיבים מעולם לא היה מפתח לשער, הם לא עתרו לסעד שכזה והענקתו - מהווה פגיעה בפרטיות ובזכות </w:t>
      </w:r>
      <w:proofErr w:type="spellStart"/>
      <w:r w:rsidRPr="00DC3447">
        <w:rPr>
          <w:rFonts w:ascii="David" w:hAnsi="David" w:cs="David"/>
          <w:sz w:val="24"/>
          <w:szCs w:val="24"/>
          <w:rtl/>
        </w:rPr>
        <w:t>הקנין</w:t>
      </w:r>
      <w:proofErr w:type="spellEnd"/>
      <w:r w:rsidRPr="00DC3447">
        <w:rPr>
          <w:rFonts w:ascii="David" w:hAnsi="David" w:cs="David"/>
          <w:sz w:val="24"/>
          <w:szCs w:val="24"/>
          <w:rtl/>
        </w:rPr>
        <w:t xml:space="preserve"> של המערערים.</w:t>
      </w:r>
    </w:p>
    <w:p w14:paraId="2B89DCB6" w14:textId="341245F9" w:rsidR="00DC3447" w:rsidRDefault="00E20512" w:rsidP="00F02CCA">
      <w:pPr>
        <w:pStyle w:val="ruller40"/>
        <w:numPr>
          <w:ilvl w:val="0"/>
          <w:numId w:val="31"/>
        </w:numPr>
        <w:spacing w:line="276" w:lineRule="auto"/>
        <w:rPr>
          <w:rFonts w:ascii="David" w:hAnsi="David" w:cs="David"/>
          <w:sz w:val="24"/>
          <w:szCs w:val="24"/>
        </w:rPr>
      </w:pPr>
      <w:r>
        <w:rPr>
          <w:rFonts w:ascii="David" w:hAnsi="David" w:cs="David" w:hint="cs"/>
          <w:sz w:val="24"/>
          <w:szCs w:val="24"/>
          <w:rtl/>
        </w:rPr>
        <w:t>מלינים על כך שלא נפסקו להם פיצויי הוצאות.</w:t>
      </w:r>
    </w:p>
    <w:p w14:paraId="3C133740" w14:textId="483B6B44" w:rsidR="009F3E6E" w:rsidRDefault="009F3E6E" w:rsidP="00F02CCA">
      <w:pPr>
        <w:pStyle w:val="ruller40"/>
        <w:spacing w:line="276" w:lineRule="auto"/>
        <w:rPr>
          <w:rFonts w:ascii="David" w:hAnsi="David" w:cs="David"/>
          <w:sz w:val="24"/>
          <w:szCs w:val="24"/>
          <w:rtl/>
        </w:rPr>
      </w:pPr>
    </w:p>
    <w:p w14:paraId="2A8EE174" w14:textId="3DE4B101" w:rsidR="009F3E6E" w:rsidRDefault="009F3E6E" w:rsidP="00F02CCA">
      <w:pPr>
        <w:pStyle w:val="ruller40"/>
        <w:spacing w:line="276" w:lineRule="auto"/>
        <w:rPr>
          <w:rFonts w:ascii="David" w:hAnsi="David" w:cs="David"/>
          <w:sz w:val="24"/>
          <w:szCs w:val="24"/>
          <w:u w:val="single"/>
          <w:rtl/>
        </w:rPr>
      </w:pPr>
      <w:r>
        <w:rPr>
          <w:rFonts w:ascii="David" w:hAnsi="David" w:cs="David" w:hint="cs"/>
          <w:sz w:val="24"/>
          <w:szCs w:val="24"/>
          <w:u w:val="single"/>
          <w:rtl/>
        </w:rPr>
        <w:t>הדיון:</w:t>
      </w:r>
    </w:p>
    <w:p w14:paraId="09674AE2" w14:textId="43D108B2" w:rsidR="009F3E6E" w:rsidRDefault="009F3E6E" w:rsidP="00F02CCA">
      <w:pPr>
        <w:pStyle w:val="ruller40"/>
        <w:numPr>
          <w:ilvl w:val="0"/>
          <w:numId w:val="32"/>
        </w:numPr>
        <w:spacing w:line="276" w:lineRule="auto"/>
        <w:rPr>
          <w:rFonts w:ascii="David" w:hAnsi="David" w:cs="David"/>
          <w:u w:val="single"/>
        </w:rPr>
      </w:pPr>
      <w:r w:rsidRPr="009F3E6E">
        <w:rPr>
          <w:rFonts w:ascii="David" w:hAnsi="David" w:cs="David"/>
          <w:sz w:val="24"/>
          <w:szCs w:val="24"/>
          <w:rtl/>
        </w:rPr>
        <w:t xml:space="preserve">הקביעה כי אספקת בלוני גז החלה לפני למעלה משלושים שנה דרך המעבר, מובילה בהכרח למסקנה כי נרכשה זיקת הנאה </w:t>
      </w:r>
      <w:proofErr w:type="spellStart"/>
      <w:r w:rsidRPr="009F3E6E">
        <w:rPr>
          <w:rFonts w:ascii="David" w:hAnsi="David" w:cs="David"/>
          <w:sz w:val="24"/>
          <w:szCs w:val="24"/>
          <w:rtl/>
        </w:rPr>
        <w:t>מכח</w:t>
      </w:r>
      <w:proofErr w:type="spellEnd"/>
      <w:r w:rsidRPr="009F3E6E">
        <w:rPr>
          <w:rFonts w:ascii="David" w:hAnsi="David" w:cs="David"/>
          <w:sz w:val="24"/>
          <w:szCs w:val="24"/>
          <w:rtl/>
        </w:rPr>
        <w:t xml:space="preserve"> שנים </w:t>
      </w:r>
      <w:r w:rsidRPr="009F3E6E">
        <w:rPr>
          <w:rFonts w:ascii="David" w:hAnsi="David" w:cs="David"/>
          <w:sz w:val="24"/>
          <w:szCs w:val="24"/>
          <w:u w:val="single"/>
          <w:rtl/>
        </w:rPr>
        <w:t xml:space="preserve">גם </w:t>
      </w:r>
      <w:proofErr w:type="spellStart"/>
      <w:r w:rsidRPr="009F3E6E">
        <w:rPr>
          <w:rFonts w:ascii="David" w:hAnsi="David" w:cs="David"/>
          <w:sz w:val="24"/>
          <w:szCs w:val="24"/>
          <w:u w:val="single"/>
          <w:rtl/>
        </w:rPr>
        <w:t>לענין</w:t>
      </w:r>
      <w:proofErr w:type="spellEnd"/>
      <w:r w:rsidRPr="009F3E6E">
        <w:rPr>
          <w:rFonts w:ascii="David" w:hAnsi="David" w:cs="David"/>
          <w:sz w:val="24"/>
          <w:szCs w:val="24"/>
          <w:u w:val="single"/>
          <w:rtl/>
        </w:rPr>
        <w:t xml:space="preserve"> זה</w:t>
      </w:r>
      <w:r w:rsidRPr="009F3E6E">
        <w:rPr>
          <w:rFonts w:ascii="David" w:hAnsi="David" w:cs="David"/>
          <w:sz w:val="24"/>
          <w:szCs w:val="24"/>
          <w:rtl/>
        </w:rPr>
        <w:t xml:space="preserve">. דרישת הרציפות </w:t>
      </w:r>
      <w:hyperlink r:id="rId14" w:history="1">
        <w:r w:rsidRPr="009F3E6E">
          <w:rPr>
            <w:rFonts w:ascii="David" w:hAnsi="David" w:cs="David"/>
            <w:color w:val="0000FF"/>
            <w:sz w:val="24"/>
            <w:szCs w:val="24"/>
            <w:u w:val="single"/>
            <w:rtl/>
          </w:rPr>
          <w:t>שבסעיף 94(א)</w:t>
        </w:r>
      </w:hyperlink>
      <w:r w:rsidRPr="009F3E6E">
        <w:rPr>
          <w:rFonts w:ascii="David" w:hAnsi="David" w:cs="David"/>
          <w:sz w:val="24"/>
          <w:szCs w:val="24"/>
          <w:rtl/>
        </w:rPr>
        <w:t xml:space="preserve"> לחוק באה על סיפוקה גם בשימוש לסירוגין במעבר ואין צורך בשימוש בלעדי </w:t>
      </w:r>
      <w:r w:rsidRPr="009F3E6E">
        <w:rPr>
          <w:rFonts w:ascii="David" w:hAnsi="David" w:cs="David"/>
          <w:sz w:val="24"/>
          <w:szCs w:val="24"/>
          <w:u w:val="single"/>
          <w:rtl/>
        </w:rPr>
        <w:t>בו</w:t>
      </w:r>
      <w:r w:rsidRPr="009F3E6E">
        <w:rPr>
          <w:rFonts w:ascii="David" w:hAnsi="David" w:cs="David"/>
          <w:sz w:val="24"/>
          <w:szCs w:val="24"/>
          <w:rtl/>
        </w:rPr>
        <w:t xml:space="preserve"> (ולא בדרך אחרת), כדי ליצור את זיקת ההנאה.</w:t>
      </w:r>
    </w:p>
    <w:p w14:paraId="7C9EEFF1" w14:textId="7C04075A" w:rsidR="001E7D5E" w:rsidRDefault="001E7D5E" w:rsidP="00F02CCA">
      <w:pPr>
        <w:pStyle w:val="ruller40"/>
        <w:spacing w:line="276" w:lineRule="auto"/>
        <w:rPr>
          <w:rFonts w:ascii="David" w:hAnsi="David" w:cs="David"/>
          <w:u w:val="single"/>
          <w:rtl/>
        </w:rPr>
      </w:pPr>
    </w:p>
    <w:p w14:paraId="419AF2C5" w14:textId="7C696270" w:rsidR="001E7D5E" w:rsidRDefault="001E7D5E" w:rsidP="00F02CCA">
      <w:pPr>
        <w:pStyle w:val="ruller40"/>
        <w:spacing w:line="276" w:lineRule="auto"/>
        <w:rPr>
          <w:rFonts w:ascii="David" w:hAnsi="David" w:cs="David"/>
          <w:b/>
          <w:bCs/>
          <w:sz w:val="44"/>
          <w:szCs w:val="44"/>
          <w:u w:val="single"/>
          <w:rtl/>
        </w:rPr>
      </w:pPr>
      <w:r w:rsidRPr="001E7D5E">
        <w:rPr>
          <w:rFonts w:ascii="David" w:hAnsi="David" w:cs="David"/>
          <w:b/>
          <w:bCs/>
          <w:color w:val="222222"/>
          <w:sz w:val="28"/>
          <w:szCs w:val="28"/>
          <w:u w:val="single"/>
          <w:shd w:val="clear" w:color="auto" w:fill="FFFFFF"/>
          <w:rtl/>
        </w:rPr>
        <w:t>פס"ד עיריית רמת גן נ' עזבון בורשטיין</w:t>
      </w:r>
    </w:p>
    <w:p w14:paraId="71F25207" w14:textId="2BE3C744" w:rsidR="001E7D5E" w:rsidRDefault="00947D04" w:rsidP="00F02CCA">
      <w:pPr>
        <w:pStyle w:val="ruller40"/>
        <w:numPr>
          <w:ilvl w:val="0"/>
          <w:numId w:val="32"/>
        </w:numPr>
        <w:spacing w:line="276" w:lineRule="auto"/>
        <w:rPr>
          <w:rFonts w:ascii="David" w:hAnsi="David" w:cs="David"/>
          <w:sz w:val="24"/>
          <w:szCs w:val="24"/>
        </w:rPr>
      </w:pPr>
      <w:r w:rsidRPr="00947D04">
        <w:rPr>
          <w:rStyle w:val="default"/>
          <w:rFonts w:ascii="David" w:hAnsi="David" w:cs="David"/>
          <w:sz w:val="24"/>
          <w:szCs w:val="24"/>
          <w:rtl/>
        </w:rPr>
        <w:t xml:space="preserve">זיקת </w:t>
      </w:r>
      <w:r w:rsidRPr="00947D04">
        <w:rPr>
          <w:rFonts w:ascii="David" w:hAnsi="David" w:cs="David"/>
          <w:sz w:val="24"/>
          <w:szCs w:val="24"/>
          <w:rtl/>
        </w:rPr>
        <w:t>הנאה יכולה להיווצר מכוח הסכם, כאשר מכוח עקרון חופש החוזים - הצדדים להסכם יכולים לעצב את תוכן זיקת ההנאה כרצונם ובכפוף להוראות כל דין</w:t>
      </w:r>
      <w:r>
        <w:rPr>
          <w:rFonts w:ascii="David" w:hAnsi="David" w:cs="David" w:hint="cs"/>
          <w:sz w:val="24"/>
          <w:szCs w:val="24"/>
          <w:rtl/>
        </w:rPr>
        <w:t>.</w:t>
      </w:r>
      <w:r w:rsidR="00575B8C">
        <w:rPr>
          <w:rFonts w:ascii="David" w:hAnsi="David" w:cs="David" w:hint="cs"/>
          <w:sz w:val="24"/>
          <w:szCs w:val="24"/>
          <w:rtl/>
        </w:rPr>
        <w:t xml:space="preserve"> זיקת הנאה יכולה גם להיווצר מכוח שנים.</w:t>
      </w:r>
    </w:p>
    <w:p w14:paraId="5C603685" w14:textId="434B7B73" w:rsidR="005A480C" w:rsidRDefault="005A480C" w:rsidP="00F02CCA">
      <w:pPr>
        <w:pStyle w:val="ruller40"/>
        <w:numPr>
          <w:ilvl w:val="0"/>
          <w:numId w:val="32"/>
        </w:numPr>
        <w:spacing w:line="276" w:lineRule="auto"/>
        <w:rPr>
          <w:rFonts w:ascii="David" w:hAnsi="David" w:cs="David"/>
          <w:sz w:val="28"/>
          <w:szCs w:val="28"/>
        </w:rPr>
      </w:pPr>
      <w:r w:rsidRPr="002B69BC">
        <w:rPr>
          <w:rFonts w:ascii="David" w:hAnsi="David" w:cs="David"/>
          <w:sz w:val="24"/>
          <w:szCs w:val="24"/>
          <w:rtl/>
        </w:rPr>
        <w:t>אין מניעה כי תיווצר זיקת הנאה מכוח שימוש רב שנים לטובת הציבור.</w:t>
      </w:r>
    </w:p>
    <w:p w14:paraId="41CBB4E2" w14:textId="4928B5DB" w:rsidR="002B69BC" w:rsidRDefault="0063169A" w:rsidP="00F02CCA">
      <w:pPr>
        <w:pStyle w:val="ruller40"/>
        <w:numPr>
          <w:ilvl w:val="0"/>
          <w:numId w:val="32"/>
        </w:numPr>
        <w:spacing w:line="276" w:lineRule="auto"/>
        <w:rPr>
          <w:rFonts w:ascii="David" w:hAnsi="David" w:cs="David"/>
          <w:sz w:val="28"/>
          <w:szCs w:val="28"/>
        </w:rPr>
      </w:pPr>
      <w:r>
        <w:rPr>
          <w:rFonts w:ascii="David" w:hAnsi="David" w:cs="David" w:hint="cs"/>
          <w:sz w:val="24"/>
          <w:szCs w:val="24"/>
          <w:rtl/>
        </w:rPr>
        <w:t>בזיקת הנאה לטובת הציבור הזכות עבירה ועוברת באופן אוטומטי.</w:t>
      </w:r>
    </w:p>
    <w:p w14:paraId="39D56CD9" w14:textId="35CE5CEA" w:rsidR="00A824F3" w:rsidRDefault="00A824F3" w:rsidP="00F02CCA">
      <w:pPr>
        <w:pStyle w:val="ruller40"/>
        <w:numPr>
          <w:ilvl w:val="0"/>
          <w:numId w:val="32"/>
        </w:numPr>
        <w:spacing w:line="276" w:lineRule="auto"/>
        <w:rPr>
          <w:rFonts w:ascii="David" w:hAnsi="David" w:cs="David"/>
          <w:sz w:val="28"/>
          <w:szCs w:val="28"/>
        </w:rPr>
      </w:pPr>
      <w:r>
        <w:rPr>
          <w:rFonts w:ascii="David" w:hAnsi="David" w:cs="David" w:hint="cs"/>
          <w:sz w:val="24"/>
          <w:szCs w:val="24"/>
          <w:rtl/>
        </w:rPr>
        <w:t>בזיקת הנאה של הציבור הבעלים של הזיקה הם הציבור ולאו דווקא העירייה עצמה.</w:t>
      </w:r>
    </w:p>
    <w:p w14:paraId="2DF27C3C" w14:textId="51F4B9C8" w:rsidR="00ED13E0" w:rsidRPr="00ED13E0" w:rsidRDefault="00ED13E0" w:rsidP="00F02CCA">
      <w:pPr>
        <w:pStyle w:val="ruller40"/>
        <w:numPr>
          <w:ilvl w:val="0"/>
          <w:numId w:val="32"/>
        </w:numPr>
        <w:spacing w:line="276" w:lineRule="auto"/>
        <w:rPr>
          <w:rFonts w:ascii="David" w:hAnsi="David" w:cs="David"/>
          <w:sz w:val="24"/>
          <w:szCs w:val="24"/>
        </w:rPr>
      </w:pPr>
      <w:r w:rsidRPr="00C74DD9">
        <w:rPr>
          <w:rFonts w:ascii="David" w:hAnsi="David" w:cs="David"/>
          <w:rtl/>
        </w:rPr>
        <w:t>זיקת הנאה היא לתקופה בלתי מוגבלת, אך המחוקק הקנה סמכות נרחבת לבית המשפט לבטל את זיקת ההנאה או לשנות את תנאיה בהתאם לשינוי בנסיבות</w:t>
      </w:r>
      <w:r>
        <w:rPr>
          <w:rFonts w:ascii="David" w:hAnsi="David" w:cs="David" w:hint="cs"/>
          <w:rtl/>
        </w:rPr>
        <w:t>.</w:t>
      </w:r>
    </w:p>
    <w:p w14:paraId="34881236" w14:textId="634C9E43" w:rsidR="00ED13E0" w:rsidRDefault="00ED13E0" w:rsidP="00F02CCA">
      <w:pPr>
        <w:pStyle w:val="ruller40"/>
        <w:numPr>
          <w:ilvl w:val="0"/>
          <w:numId w:val="32"/>
        </w:numPr>
        <w:spacing w:line="276" w:lineRule="auto"/>
        <w:rPr>
          <w:rFonts w:ascii="David" w:hAnsi="David" w:cs="David"/>
          <w:sz w:val="24"/>
          <w:szCs w:val="24"/>
        </w:rPr>
      </w:pPr>
      <w:r>
        <w:rPr>
          <w:rFonts w:ascii="David" w:hAnsi="David" w:cs="David" w:hint="cs"/>
          <w:sz w:val="24"/>
          <w:szCs w:val="24"/>
          <w:rtl/>
        </w:rPr>
        <w:t>זיקת הנאה מכוח שנים תיווצר בקיום התנאים הבאים:</w:t>
      </w:r>
    </w:p>
    <w:p w14:paraId="0D6053C6" w14:textId="4F8CFD2F" w:rsidR="00ED13E0" w:rsidRDefault="00ED13E0" w:rsidP="00F02CCA">
      <w:pPr>
        <w:pStyle w:val="ruller40"/>
        <w:numPr>
          <w:ilvl w:val="0"/>
          <w:numId w:val="33"/>
        </w:numPr>
        <w:spacing w:line="276" w:lineRule="auto"/>
        <w:rPr>
          <w:rFonts w:ascii="David" w:hAnsi="David" w:cs="David"/>
          <w:sz w:val="24"/>
          <w:szCs w:val="24"/>
        </w:rPr>
      </w:pPr>
      <w:r>
        <w:rPr>
          <w:rFonts w:ascii="David" w:hAnsi="David" w:cs="David" w:hint="cs"/>
          <w:sz w:val="24"/>
          <w:szCs w:val="24"/>
          <w:rtl/>
        </w:rPr>
        <w:t xml:space="preserve">"שימוש" במקרקעין- השימוש חייב להפרת את הזכות של הבעלים למקרקעין </w:t>
      </w:r>
      <w:r w:rsidR="0057276F">
        <w:rPr>
          <w:rFonts w:ascii="David" w:hAnsi="David" w:cs="David" w:hint="cs"/>
          <w:sz w:val="24"/>
          <w:szCs w:val="24"/>
          <w:rtl/>
        </w:rPr>
        <w:t xml:space="preserve">ולהיות גלוי </w:t>
      </w:r>
      <w:r>
        <w:rPr>
          <w:rFonts w:ascii="David" w:hAnsi="David" w:cs="David" w:hint="cs"/>
          <w:sz w:val="24"/>
          <w:szCs w:val="24"/>
          <w:rtl/>
        </w:rPr>
        <w:t>אחרת לא תהיה לו מוטיבציה להפסיק את מרוץ ההתיישנות.</w:t>
      </w:r>
      <w:r w:rsidR="008F635F">
        <w:rPr>
          <w:rFonts w:ascii="David" w:hAnsi="David" w:cs="David" w:hint="cs"/>
          <w:sz w:val="24"/>
          <w:szCs w:val="24"/>
          <w:rtl/>
        </w:rPr>
        <w:t xml:space="preserve"> כן השימוש לא יכול להיות בהסכמת הבעלים עפ"י חוזה, כי גם אז לא יוכל לעצור את מרוץ ההתיישנות.</w:t>
      </w:r>
    </w:p>
    <w:p w14:paraId="6B77E597" w14:textId="73352A49" w:rsidR="0057276F" w:rsidRDefault="00ED13E0" w:rsidP="00F02CCA">
      <w:pPr>
        <w:pStyle w:val="ruller40"/>
        <w:numPr>
          <w:ilvl w:val="0"/>
          <w:numId w:val="33"/>
        </w:numPr>
        <w:spacing w:line="276" w:lineRule="auto"/>
        <w:rPr>
          <w:rFonts w:ascii="David" w:hAnsi="David" w:cs="David"/>
          <w:sz w:val="24"/>
          <w:szCs w:val="24"/>
        </w:rPr>
      </w:pPr>
      <w:r>
        <w:rPr>
          <w:rFonts w:ascii="David" w:hAnsi="David" w:cs="David" w:hint="cs"/>
          <w:sz w:val="24"/>
          <w:szCs w:val="24"/>
          <w:rtl/>
        </w:rPr>
        <w:t>על השימוש לשקף "זכות הראויה להוות זיקת הנאה"</w:t>
      </w:r>
      <w:r w:rsidR="0057276F">
        <w:rPr>
          <w:rFonts w:ascii="David" w:hAnsi="David" w:cs="David" w:hint="cs"/>
          <w:sz w:val="24"/>
          <w:szCs w:val="24"/>
          <w:rtl/>
        </w:rPr>
        <w:t>- בנויה משני יסודות:</w:t>
      </w:r>
    </w:p>
    <w:p w14:paraId="59A435F1" w14:textId="6ADF30D5" w:rsidR="0057276F" w:rsidRPr="0057276F" w:rsidRDefault="0057276F" w:rsidP="00F02CCA">
      <w:pPr>
        <w:pStyle w:val="ruller40"/>
        <w:numPr>
          <w:ilvl w:val="0"/>
          <w:numId w:val="34"/>
        </w:numPr>
        <w:spacing w:line="276" w:lineRule="auto"/>
        <w:rPr>
          <w:rFonts w:ascii="David" w:hAnsi="David" w:cs="David"/>
          <w:sz w:val="24"/>
          <w:szCs w:val="24"/>
        </w:rPr>
      </w:pPr>
      <w:r>
        <w:rPr>
          <w:rFonts w:ascii="David" w:hAnsi="David" w:cs="David" w:hint="cs"/>
          <w:sz w:val="24"/>
          <w:szCs w:val="24"/>
          <w:rtl/>
        </w:rPr>
        <w:t>יסוד קנייני פוזיטיבי המתבטא במונח "שעבוד.</w:t>
      </w:r>
    </w:p>
    <w:p w14:paraId="3664B210" w14:textId="3AB4708A" w:rsidR="0057276F" w:rsidRPr="00990F61" w:rsidRDefault="0057276F" w:rsidP="00F02CCA">
      <w:pPr>
        <w:pStyle w:val="ruller40"/>
        <w:numPr>
          <w:ilvl w:val="0"/>
          <w:numId w:val="34"/>
        </w:numPr>
        <w:spacing w:line="276" w:lineRule="auto"/>
        <w:rPr>
          <w:rFonts w:ascii="David" w:hAnsi="David" w:cs="David"/>
          <w:sz w:val="24"/>
          <w:szCs w:val="24"/>
        </w:rPr>
      </w:pPr>
      <w:r w:rsidRPr="0057276F">
        <w:rPr>
          <w:rFonts w:ascii="David" w:hAnsi="David" w:cs="David" w:hint="cs"/>
          <w:sz w:val="24"/>
          <w:szCs w:val="24"/>
          <w:rtl/>
        </w:rPr>
        <w:t xml:space="preserve">יסוד שלילי </w:t>
      </w:r>
      <w:r w:rsidRPr="0057276F">
        <w:rPr>
          <w:rFonts w:ascii="David" w:hAnsi="David" w:cs="David"/>
          <w:sz w:val="24"/>
          <w:szCs w:val="24"/>
          <w:rtl/>
        </w:rPr>
        <w:t>המחייב כי השעבוד המדובר לא יכלול את זכות החזקה במקרקעין.</w:t>
      </w:r>
    </w:p>
    <w:p w14:paraId="374E3B0B" w14:textId="74C21BAE" w:rsidR="00990F61" w:rsidRDefault="00990F61" w:rsidP="00F02CCA">
      <w:pPr>
        <w:pStyle w:val="ruller40"/>
        <w:spacing w:line="276" w:lineRule="auto"/>
        <w:ind w:left="1080"/>
        <w:rPr>
          <w:rFonts w:ascii="David" w:hAnsi="David" w:cs="David"/>
          <w:sz w:val="24"/>
          <w:szCs w:val="24"/>
          <w:rtl/>
        </w:rPr>
      </w:pPr>
      <w:r w:rsidRPr="00990F61">
        <w:rPr>
          <w:rFonts w:ascii="David" w:hAnsi="David" w:cs="David" w:hint="cs"/>
          <w:sz w:val="24"/>
          <w:szCs w:val="24"/>
          <w:rtl/>
        </w:rPr>
        <w:t xml:space="preserve">כדי להכריע את היסוד השני משתמשים במבחן </w:t>
      </w:r>
      <w:r w:rsidRPr="00990F61">
        <w:rPr>
          <w:rFonts w:ascii="David" w:hAnsi="David" w:cs="David" w:hint="cs"/>
          <w:b/>
          <w:bCs/>
          <w:sz w:val="24"/>
          <w:szCs w:val="24"/>
          <w:rtl/>
        </w:rPr>
        <w:t>השימוש הייחודי</w:t>
      </w:r>
      <w:r w:rsidRPr="00990F61">
        <w:rPr>
          <w:rFonts w:ascii="David" w:hAnsi="David" w:cs="David" w:hint="cs"/>
          <w:sz w:val="24"/>
          <w:szCs w:val="24"/>
          <w:rtl/>
        </w:rPr>
        <w:t xml:space="preserve">- </w:t>
      </w:r>
      <w:r w:rsidRPr="00990F61">
        <w:rPr>
          <w:rFonts w:ascii="David" w:hAnsi="David" w:cs="David"/>
          <w:sz w:val="24"/>
          <w:szCs w:val="24"/>
          <w:rtl/>
        </w:rPr>
        <w:t>לפי מבחן זה, באין לזכאי זכות לשימוש ייחודי בקטע מסוים כל שהוא מהמגרש, לא תהיה, בדרך כלל, זכות להחזיק, ותוכל לצמוח זיקת הנאה</w:t>
      </w:r>
      <w:r w:rsidR="009158DF">
        <w:rPr>
          <w:rFonts w:ascii="David" w:hAnsi="David" w:cs="David" w:hint="cs"/>
          <w:sz w:val="24"/>
          <w:szCs w:val="24"/>
          <w:rtl/>
        </w:rPr>
        <w:t>.</w:t>
      </w:r>
    </w:p>
    <w:p w14:paraId="4A7173D2" w14:textId="2A0119F2" w:rsidR="00ED13E0" w:rsidRDefault="00ED13E0" w:rsidP="00F02CCA">
      <w:pPr>
        <w:pStyle w:val="ruller40"/>
        <w:numPr>
          <w:ilvl w:val="0"/>
          <w:numId w:val="33"/>
        </w:numPr>
        <w:spacing w:line="276" w:lineRule="auto"/>
        <w:rPr>
          <w:rFonts w:ascii="David" w:hAnsi="David" w:cs="David"/>
          <w:sz w:val="24"/>
          <w:szCs w:val="24"/>
        </w:rPr>
      </w:pPr>
      <w:r>
        <w:rPr>
          <w:rFonts w:ascii="David" w:hAnsi="David" w:cs="David" w:hint="cs"/>
          <w:sz w:val="24"/>
          <w:szCs w:val="24"/>
          <w:rtl/>
        </w:rPr>
        <w:t>30 שנים רצופות.</w:t>
      </w:r>
    </w:p>
    <w:p w14:paraId="074D28DE" w14:textId="491B5BC6" w:rsidR="00A032E1" w:rsidRPr="005E51C2" w:rsidRDefault="00A032E1" w:rsidP="00F02CCA">
      <w:pPr>
        <w:pStyle w:val="ruller40"/>
        <w:numPr>
          <w:ilvl w:val="0"/>
          <w:numId w:val="35"/>
        </w:numPr>
        <w:spacing w:line="276" w:lineRule="auto"/>
        <w:rPr>
          <w:rFonts w:ascii="David" w:hAnsi="David" w:cs="David"/>
          <w:sz w:val="20"/>
          <w:szCs w:val="20"/>
        </w:rPr>
      </w:pPr>
      <w:r w:rsidRPr="00A032E1">
        <w:rPr>
          <w:rStyle w:val="default"/>
          <w:rFonts w:ascii="David" w:hAnsi="David" w:cs="David"/>
          <w:sz w:val="24"/>
          <w:szCs w:val="24"/>
          <w:rtl/>
        </w:rPr>
        <w:t>בהעדר שינויים קיצוניים לאורך השנים</w:t>
      </w:r>
      <w:r>
        <w:rPr>
          <w:rStyle w:val="default"/>
          <w:rFonts w:ascii="David" w:hAnsi="David" w:cs="David"/>
          <w:sz w:val="24"/>
          <w:szCs w:val="24"/>
          <w:rtl/>
        </w:rPr>
        <w:t xml:space="preserve"> באופיו של המטרד או במהותו, אי</w:t>
      </w:r>
      <w:r>
        <w:rPr>
          <w:rStyle w:val="default"/>
          <w:rFonts w:ascii="David" w:hAnsi="David" w:cs="David" w:hint="cs"/>
          <w:sz w:val="24"/>
          <w:szCs w:val="24"/>
          <w:rtl/>
        </w:rPr>
        <w:t>ן השופט</w:t>
      </w:r>
      <w:r w:rsidRPr="00A032E1">
        <w:rPr>
          <w:rStyle w:val="default"/>
          <w:rFonts w:ascii="David" w:hAnsi="David" w:cs="David"/>
          <w:sz w:val="24"/>
          <w:szCs w:val="24"/>
          <w:rtl/>
        </w:rPr>
        <w:t xml:space="preserve"> סבור כי שאלת קיומה של זיקת הנאה מכוח שנים תהא תלויה בעוצמת הרעש או בניחוחו של הסירחון החודרים לתחומי המקרקעין הכפופים, או בהשפעתם על ערך המקרקעין</w:t>
      </w:r>
      <w:r>
        <w:rPr>
          <w:rStyle w:val="default"/>
          <w:rFonts w:ascii="David" w:hAnsi="David" w:cs="David" w:hint="cs"/>
          <w:sz w:val="24"/>
          <w:szCs w:val="24"/>
          <w:rtl/>
        </w:rPr>
        <w:t>.</w:t>
      </w:r>
    </w:p>
    <w:p w14:paraId="399C900D" w14:textId="464F0363" w:rsidR="005E51C2" w:rsidRPr="005E51C2" w:rsidRDefault="005E51C2" w:rsidP="00F02CCA">
      <w:pPr>
        <w:pStyle w:val="ruller40"/>
        <w:numPr>
          <w:ilvl w:val="0"/>
          <w:numId w:val="35"/>
        </w:numPr>
        <w:spacing w:line="276" w:lineRule="auto"/>
        <w:rPr>
          <w:rFonts w:ascii="David" w:hAnsi="David" w:cs="David"/>
          <w:sz w:val="20"/>
          <w:szCs w:val="20"/>
          <w:rtl/>
        </w:rPr>
      </w:pPr>
      <w:r w:rsidRPr="005E51C2">
        <w:rPr>
          <w:rStyle w:val="default"/>
          <w:rFonts w:ascii="David" w:hAnsi="David" w:cs="David"/>
          <w:sz w:val="24"/>
          <w:szCs w:val="24"/>
          <w:rtl/>
        </w:rPr>
        <w:t>זיקת הנאה יכול שתהא, מעצם טיבה, כזו המתפרשת על המקרקעין הכפופים בשלמותם, כגון "זיקות שימוש" כמו רעש, זיהום וכיוצא באלה.</w:t>
      </w:r>
    </w:p>
    <w:p w14:paraId="7C49C2AA" w14:textId="2D67CFE5" w:rsidR="00536D17" w:rsidRPr="00ED13E0" w:rsidRDefault="00536D17" w:rsidP="00F02CCA">
      <w:pPr>
        <w:tabs>
          <w:tab w:val="left" w:pos="288"/>
          <w:tab w:val="left" w:pos="720"/>
          <w:tab w:val="left" w:pos="1296"/>
        </w:tabs>
        <w:autoSpaceDE w:val="0"/>
        <w:autoSpaceDN w:val="0"/>
        <w:adjustRightInd w:val="0"/>
        <w:spacing w:after="80" w:line="276" w:lineRule="auto"/>
        <w:jc w:val="both"/>
        <w:rPr>
          <w:sz w:val="22"/>
          <w:szCs w:val="22"/>
          <w:rtl/>
        </w:rPr>
      </w:pPr>
      <w:r w:rsidRPr="00ED13E0">
        <w:rPr>
          <w:sz w:val="22"/>
          <w:szCs w:val="22"/>
          <w:rtl/>
        </w:rPr>
        <w:br w:type="page"/>
      </w:r>
    </w:p>
    <w:p w14:paraId="106AECCA" w14:textId="77777777" w:rsidR="00637D79" w:rsidRDefault="00637D79" w:rsidP="00F02CCA">
      <w:pPr>
        <w:tabs>
          <w:tab w:val="left" w:pos="288"/>
          <w:tab w:val="left" w:pos="720"/>
          <w:tab w:val="left" w:pos="1296"/>
        </w:tabs>
        <w:autoSpaceDE w:val="0"/>
        <w:autoSpaceDN w:val="0"/>
        <w:adjustRightInd w:val="0"/>
        <w:spacing w:after="80" w:line="276" w:lineRule="auto"/>
        <w:jc w:val="both"/>
      </w:pPr>
    </w:p>
    <w:p w14:paraId="550FC0EA" w14:textId="32B4648D" w:rsidR="00CA7556" w:rsidRPr="00674F49" w:rsidRDefault="008938D3" w:rsidP="00F02CCA">
      <w:pPr>
        <w:tabs>
          <w:tab w:val="left" w:pos="288"/>
          <w:tab w:val="left" w:pos="720"/>
          <w:tab w:val="left" w:pos="1296"/>
        </w:tabs>
        <w:autoSpaceDE w:val="0"/>
        <w:autoSpaceDN w:val="0"/>
        <w:adjustRightInd w:val="0"/>
        <w:spacing w:after="80" w:line="276" w:lineRule="auto"/>
        <w:jc w:val="both"/>
        <w:rPr>
          <w:b/>
          <w:bCs/>
          <w:sz w:val="28"/>
          <w:szCs w:val="28"/>
          <w:u w:val="single"/>
          <w:rtl/>
        </w:rPr>
      </w:pPr>
      <w:r w:rsidRPr="00674F49">
        <w:rPr>
          <w:rFonts w:hint="cs"/>
          <w:b/>
          <w:bCs/>
          <w:sz w:val="28"/>
          <w:szCs w:val="28"/>
          <w:u w:val="single"/>
          <w:rtl/>
        </w:rPr>
        <w:t>פס"ד "שלב" הקואופרטיב המאוחד להובלה בע"מ נ' נווה הררי מואב בע"מ</w:t>
      </w:r>
    </w:p>
    <w:p w14:paraId="4D824C4A" w14:textId="3E36CF2B" w:rsidR="008938D3" w:rsidRDefault="00A54A46" w:rsidP="00F02CCA">
      <w:pPr>
        <w:tabs>
          <w:tab w:val="left" w:pos="288"/>
          <w:tab w:val="left" w:pos="720"/>
          <w:tab w:val="left" w:pos="1296"/>
        </w:tabs>
        <w:autoSpaceDE w:val="0"/>
        <w:autoSpaceDN w:val="0"/>
        <w:adjustRightInd w:val="0"/>
        <w:spacing w:after="80" w:line="276" w:lineRule="auto"/>
        <w:jc w:val="both"/>
        <w:rPr>
          <w:rtl/>
        </w:rPr>
      </w:pPr>
      <w:r>
        <w:rPr>
          <w:rFonts w:hint="cs"/>
          <w:rtl/>
        </w:rPr>
        <w:t>חלקת אדמה נחלקה לשלוש ואחת מחלקיה הוחכרה למערערות לשם כריית כורכר</w:t>
      </w:r>
      <w:r w:rsidR="004D07E7">
        <w:rPr>
          <w:rFonts w:hint="cs"/>
          <w:rtl/>
        </w:rPr>
        <w:t xml:space="preserve"> ע"י </w:t>
      </w:r>
      <w:proofErr w:type="spellStart"/>
      <w:r w:rsidR="004D07E7">
        <w:rPr>
          <w:rFonts w:hint="cs"/>
          <w:rtl/>
        </w:rPr>
        <w:t>מינהל</w:t>
      </w:r>
      <w:proofErr w:type="spellEnd"/>
      <w:r w:rsidR="004D07E7">
        <w:rPr>
          <w:rFonts w:hint="cs"/>
          <w:rtl/>
        </w:rPr>
        <w:t xml:space="preserve"> מקרקעי ישראל</w:t>
      </w:r>
      <w:r>
        <w:rPr>
          <w:rFonts w:hint="cs"/>
          <w:rtl/>
        </w:rPr>
        <w:t>.</w:t>
      </w:r>
    </w:p>
    <w:p w14:paraId="57B6782A" w14:textId="7DDEFE5F" w:rsidR="004D07E7" w:rsidRDefault="00C0162C" w:rsidP="00F02CCA">
      <w:pPr>
        <w:tabs>
          <w:tab w:val="left" w:pos="288"/>
          <w:tab w:val="left" w:pos="720"/>
          <w:tab w:val="left" w:pos="1296"/>
        </w:tabs>
        <w:autoSpaceDE w:val="0"/>
        <w:autoSpaceDN w:val="0"/>
        <w:adjustRightInd w:val="0"/>
        <w:spacing w:after="80" w:line="276" w:lineRule="auto"/>
        <w:jc w:val="both"/>
        <w:rPr>
          <w:rtl/>
        </w:rPr>
      </w:pPr>
      <w:r>
        <w:rPr>
          <w:rFonts w:hint="cs"/>
          <w:rtl/>
        </w:rPr>
        <w:t xml:space="preserve">המערערות ניסו לסלול כביש גישה לכביש </w:t>
      </w:r>
      <w:r w:rsidR="00F94070">
        <w:rPr>
          <w:rFonts w:hint="cs"/>
          <w:rtl/>
        </w:rPr>
        <w:t>הראשי שעובר דרך אחת החלקות הנ"ל שבבעלות המשיבים, אשר פנו לבימ"ש השלום אשר דחה תביעתם, וביהמ"ש המחוזי הפך את ההכרעה לטובתם והוציא צו מניעה נגד סלילת הכביש.</w:t>
      </w:r>
    </w:p>
    <w:p w14:paraId="6ED17CA4" w14:textId="2159E52D" w:rsidR="00585CA5" w:rsidRDefault="00585CA5" w:rsidP="00F02CCA">
      <w:pPr>
        <w:tabs>
          <w:tab w:val="left" w:pos="288"/>
          <w:tab w:val="left" w:pos="720"/>
          <w:tab w:val="left" w:pos="1296"/>
        </w:tabs>
        <w:autoSpaceDE w:val="0"/>
        <w:autoSpaceDN w:val="0"/>
        <w:adjustRightInd w:val="0"/>
        <w:spacing w:after="80" w:line="276" w:lineRule="auto"/>
        <w:jc w:val="both"/>
        <w:rPr>
          <w:rtl/>
        </w:rPr>
      </w:pPr>
      <w:r>
        <w:rPr>
          <w:rFonts w:hint="cs"/>
          <w:rtl/>
        </w:rPr>
        <w:t>המערערת טוענת</w:t>
      </w:r>
      <w:r w:rsidR="00BF5F59">
        <w:rPr>
          <w:rFonts w:hint="cs"/>
          <w:rtl/>
        </w:rPr>
        <w:t xml:space="preserve"> שהתרופה של צו מניעה הוא מתוך דיני היושר וזאת תביעה של דיני קניין, ובנוסף</w:t>
      </w:r>
      <w:r>
        <w:rPr>
          <w:rFonts w:hint="cs"/>
          <w:rtl/>
        </w:rPr>
        <w:t xml:space="preserve"> שיש להם זכות מעבר מתוך כורח.</w:t>
      </w:r>
    </w:p>
    <w:p w14:paraId="10B9ACCB" w14:textId="6E779D96" w:rsidR="00BF5F59" w:rsidRDefault="008F75D4" w:rsidP="00F02CCA">
      <w:pPr>
        <w:tabs>
          <w:tab w:val="left" w:pos="288"/>
          <w:tab w:val="left" w:pos="720"/>
          <w:tab w:val="left" w:pos="1296"/>
        </w:tabs>
        <w:autoSpaceDE w:val="0"/>
        <w:autoSpaceDN w:val="0"/>
        <w:adjustRightInd w:val="0"/>
        <w:spacing w:after="80" w:line="276" w:lineRule="auto"/>
        <w:jc w:val="both"/>
        <w:rPr>
          <w:rtl/>
        </w:rPr>
      </w:pPr>
      <w:r>
        <w:rPr>
          <w:rFonts w:hint="cs"/>
          <w:rtl/>
        </w:rPr>
        <w:t xml:space="preserve">השופט קבע כי אין כורח מוחלט כי כן יש אפשרות לסלול כביש מדרך אחרת, בנוסף </w:t>
      </w:r>
      <w:r w:rsidR="00CB13C0">
        <w:rPr>
          <w:rFonts w:hint="cs"/>
          <w:rtl/>
        </w:rPr>
        <w:t>גם אם מקבלים את טענת הכורח, יש לטענה זו סייג, לפיו אין זה צודק להתיר לאחד הצדדים זכויות מעבר בחלקה של אחר כאשר דבר זה לא נקבע בעת חלוקת הקרקע או שנזקקו לו בעת חלוקת הקרקע או כי יכלו לצפות כי צורך זה יתעורר בעתיד (המשיבים לא יכלו לצפות שהחלקה השנייה תהפוך להיות מכרה כורכר)</w:t>
      </w:r>
      <w:r w:rsidR="000679A4">
        <w:rPr>
          <w:rFonts w:hint="cs"/>
          <w:rtl/>
        </w:rPr>
        <w:t>.</w:t>
      </w:r>
    </w:p>
    <w:p w14:paraId="6F694EE9" w14:textId="26AE43D6" w:rsidR="000679A4" w:rsidRDefault="000679A4" w:rsidP="00F02CCA">
      <w:pPr>
        <w:tabs>
          <w:tab w:val="left" w:pos="288"/>
          <w:tab w:val="left" w:pos="720"/>
          <w:tab w:val="left" w:pos="1296"/>
        </w:tabs>
        <w:autoSpaceDE w:val="0"/>
        <w:autoSpaceDN w:val="0"/>
        <w:adjustRightInd w:val="0"/>
        <w:spacing w:after="80" w:line="276" w:lineRule="auto"/>
        <w:jc w:val="both"/>
        <w:rPr>
          <w:rtl/>
        </w:rPr>
      </w:pPr>
      <w:r>
        <w:rPr>
          <w:rFonts w:hint="cs"/>
          <w:rtl/>
        </w:rPr>
        <w:t>כלומר לפי הסייג- בעת חלוקת הקרקע היה צריך שתהיה יכולת לצפות מראש שיעלה צורך לזכויות מעבר בין החלקות.</w:t>
      </w:r>
    </w:p>
    <w:p w14:paraId="066D2596" w14:textId="2447B1DA" w:rsidR="0055208E" w:rsidRDefault="0055208E" w:rsidP="00F02CCA">
      <w:pPr>
        <w:pStyle w:val="a4"/>
        <w:tabs>
          <w:tab w:val="left" w:pos="288"/>
          <w:tab w:val="left" w:pos="720"/>
          <w:tab w:val="left" w:pos="1296"/>
        </w:tabs>
        <w:autoSpaceDE w:val="0"/>
        <w:autoSpaceDN w:val="0"/>
        <w:adjustRightInd w:val="0"/>
        <w:spacing w:after="80" w:line="276" w:lineRule="auto"/>
        <w:jc w:val="both"/>
        <w:rPr>
          <w:rtl/>
        </w:rPr>
      </w:pPr>
    </w:p>
    <w:p w14:paraId="6D7EC12C" w14:textId="458297A1" w:rsidR="0055208E" w:rsidRPr="00674F49" w:rsidRDefault="0055208E" w:rsidP="00F02CCA">
      <w:pPr>
        <w:tabs>
          <w:tab w:val="left" w:pos="288"/>
          <w:tab w:val="left" w:pos="720"/>
          <w:tab w:val="left" w:pos="1296"/>
        </w:tabs>
        <w:autoSpaceDE w:val="0"/>
        <w:autoSpaceDN w:val="0"/>
        <w:adjustRightInd w:val="0"/>
        <w:spacing w:after="80" w:line="276" w:lineRule="auto"/>
        <w:jc w:val="both"/>
        <w:rPr>
          <w:b/>
          <w:bCs/>
          <w:sz w:val="28"/>
          <w:szCs w:val="28"/>
          <w:u w:val="single"/>
          <w:rtl/>
        </w:rPr>
      </w:pPr>
      <w:r w:rsidRPr="00674F49">
        <w:rPr>
          <w:rFonts w:hint="cs"/>
          <w:b/>
          <w:bCs/>
          <w:sz w:val="28"/>
          <w:szCs w:val="28"/>
          <w:u w:val="single"/>
          <w:rtl/>
        </w:rPr>
        <w:t xml:space="preserve">פס"ד </w:t>
      </w:r>
      <w:proofErr w:type="spellStart"/>
      <w:r w:rsidRPr="00674F49">
        <w:rPr>
          <w:rFonts w:hint="cs"/>
          <w:b/>
          <w:bCs/>
          <w:sz w:val="28"/>
          <w:szCs w:val="28"/>
          <w:u w:val="single"/>
          <w:rtl/>
        </w:rPr>
        <w:t>רדומילסקי</w:t>
      </w:r>
      <w:proofErr w:type="spellEnd"/>
      <w:r w:rsidRPr="00674F49">
        <w:rPr>
          <w:rFonts w:hint="cs"/>
          <w:b/>
          <w:bCs/>
          <w:sz w:val="28"/>
          <w:szCs w:val="28"/>
          <w:u w:val="single"/>
          <w:rtl/>
        </w:rPr>
        <w:t xml:space="preserve"> נ' פרידמן</w:t>
      </w:r>
    </w:p>
    <w:p w14:paraId="3DFFCB10" w14:textId="78693DF6" w:rsidR="0055208E" w:rsidRPr="00674F49" w:rsidRDefault="003A5572" w:rsidP="00F02CCA">
      <w:pPr>
        <w:tabs>
          <w:tab w:val="left" w:pos="288"/>
          <w:tab w:val="left" w:pos="720"/>
          <w:tab w:val="left" w:pos="1296"/>
        </w:tabs>
        <w:autoSpaceDE w:val="0"/>
        <w:autoSpaceDN w:val="0"/>
        <w:adjustRightInd w:val="0"/>
        <w:spacing w:after="80" w:line="276" w:lineRule="auto"/>
        <w:jc w:val="both"/>
        <w:rPr>
          <w:u w:val="single"/>
          <w:rtl/>
        </w:rPr>
      </w:pPr>
      <w:r w:rsidRPr="00674F49">
        <w:rPr>
          <w:rFonts w:hint="cs"/>
          <w:u w:val="single"/>
          <w:rtl/>
        </w:rPr>
        <w:t>סיפור האירוע:</w:t>
      </w:r>
    </w:p>
    <w:p w14:paraId="787B04D8" w14:textId="686D3C24" w:rsidR="003A5572" w:rsidRDefault="003A5572" w:rsidP="00F02CCA">
      <w:pPr>
        <w:pStyle w:val="a4"/>
        <w:numPr>
          <w:ilvl w:val="0"/>
          <w:numId w:val="35"/>
        </w:numPr>
        <w:tabs>
          <w:tab w:val="left" w:pos="288"/>
          <w:tab w:val="left" w:pos="720"/>
          <w:tab w:val="left" w:pos="1296"/>
        </w:tabs>
        <w:autoSpaceDE w:val="0"/>
        <w:autoSpaceDN w:val="0"/>
        <w:adjustRightInd w:val="0"/>
        <w:spacing w:after="80" w:line="276" w:lineRule="auto"/>
        <w:jc w:val="both"/>
      </w:pPr>
      <w:r>
        <w:rPr>
          <w:rFonts w:hint="cs"/>
          <w:rtl/>
        </w:rPr>
        <w:t>המשיב גר בדירה כדייר מוגן מטעם החוק, לאחר פטירת אשתו, בתו עברה לגור איתו על מנת לטפל בו ובשל מערכת היחסים הכושלת עם בעלה.</w:t>
      </w:r>
    </w:p>
    <w:p w14:paraId="41A92152" w14:textId="7AF45816" w:rsidR="003A5572" w:rsidRDefault="003A5572" w:rsidP="00F02CCA">
      <w:pPr>
        <w:pStyle w:val="a4"/>
        <w:numPr>
          <w:ilvl w:val="0"/>
          <w:numId w:val="35"/>
        </w:numPr>
        <w:tabs>
          <w:tab w:val="left" w:pos="288"/>
          <w:tab w:val="left" w:pos="720"/>
          <w:tab w:val="left" w:pos="1296"/>
        </w:tabs>
        <w:autoSpaceDE w:val="0"/>
        <w:autoSpaceDN w:val="0"/>
        <w:adjustRightInd w:val="0"/>
        <w:spacing w:after="80" w:line="276" w:lineRule="auto"/>
        <w:jc w:val="both"/>
      </w:pPr>
      <w:r>
        <w:rPr>
          <w:rFonts w:hint="cs"/>
          <w:rtl/>
        </w:rPr>
        <w:t>המערערת אשר רכשה את הדירה 14 שנה לאחר שהמשיב החל לגור שם, תבעה את פינוי המושכר בשל העילות הבאות:</w:t>
      </w:r>
    </w:p>
    <w:p w14:paraId="0AE430B7" w14:textId="69086491" w:rsidR="003A5572" w:rsidRPr="0093137C" w:rsidRDefault="003A5572" w:rsidP="00F02CCA">
      <w:pPr>
        <w:pStyle w:val="a4"/>
        <w:numPr>
          <w:ilvl w:val="0"/>
          <w:numId w:val="36"/>
        </w:numPr>
        <w:tabs>
          <w:tab w:val="left" w:pos="288"/>
          <w:tab w:val="left" w:pos="720"/>
          <w:tab w:val="left" w:pos="1296"/>
        </w:tabs>
        <w:autoSpaceDE w:val="0"/>
        <w:autoSpaceDN w:val="0"/>
        <w:adjustRightInd w:val="0"/>
        <w:spacing w:after="80" w:line="276" w:lineRule="auto"/>
        <w:jc w:val="both"/>
      </w:pPr>
      <w:r w:rsidRPr="0093137C">
        <w:rPr>
          <w:rFonts w:eastAsia="MS Mincho"/>
          <w:rtl/>
        </w:rPr>
        <w:t>הפרת תנאי השכירות על ידי השכרת משנה או הרשאת שימוש לבת.</w:t>
      </w:r>
    </w:p>
    <w:p w14:paraId="47326414" w14:textId="69CEBCC8" w:rsidR="0093137C" w:rsidRPr="00117BD7" w:rsidRDefault="003A5572" w:rsidP="00F02CCA">
      <w:pPr>
        <w:pStyle w:val="a4"/>
        <w:numPr>
          <w:ilvl w:val="0"/>
          <w:numId w:val="36"/>
        </w:numPr>
        <w:tabs>
          <w:tab w:val="left" w:pos="288"/>
          <w:tab w:val="left" w:pos="720"/>
          <w:tab w:val="left" w:pos="1296"/>
        </w:tabs>
        <w:autoSpaceDE w:val="0"/>
        <w:autoSpaceDN w:val="0"/>
        <w:adjustRightInd w:val="0"/>
        <w:spacing w:after="80" w:line="276" w:lineRule="auto"/>
        <w:jc w:val="both"/>
      </w:pPr>
      <w:r w:rsidRPr="0093137C">
        <w:rPr>
          <w:rFonts w:eastAsia="MS Mincho"/>
          <w:rtl/>
        </w:rPr>
        <w:t>התקנת טלוויזיה במושכר שחוברה לאנטנה שעל גג הבית הסמוך; חוט האנטנה עובר מחצר הבית הסמוך לחצר הבית של המערערת ונכנס משם לדירת המשיב דרך חור שנקדח לצורך כך בקי</w:t>
      </w:r>
      <w:r w:rsidRPr="003553D8">
        <w:rPr>
          <w:rFonts w:eastAsia="MS Mincho"/>
          <w:rtl/>
        </w:rPr>
        <w:t>ר הבית</w:t>
      </w:r>
      <w:r w:rsidR="0093137C" w:rsidRPr="003553D8">
        <w:rPr>
          <w:rtl/>
        </w:rPr>
        <w:t>.</w:t>
      </w:r>
      <w:r w:rsidR="003553D8" w:rsidRPr="003553D8">
        <w:rPr>
          <w:rtl/>
        </w:rPr>
        <w:t xml:space="preserve"> (</w:t>
      </w:r>
      <w:r w:rsidR="003553D8" w:rsidRPr="003553D8">
        <w:rPr>
          <w:rFonts w:eastAsia="MS Mincho"/>
          <w:rtl/>
        </w:rPr>
        <w:t>לחלופין ביקשה המערערת לחייב את המשיב להסיר את חוט הטלוויזיה המחבר את מכשירו לאנטנה שבבי</w:t>
      </w:r>
      <w:r w:rsidR="003553D8">
        <w:rPr>
          <w:rFonts w:eastAsia="MS Mincho"/>
          <w:rtl/>
        </w:rPr>
        <w:t>ת הסמוך</w:t>
      </w:r>
      <w:r w:rsidR="003553D8">
        <w:rPr>
          <w:rFonts w:eastAsia="MS Mincho" w:hint="cs"/>
          <w:rtl/>
        </w:rPr>
        <w:t>).</w:t>
      </w:r>
    </w:p>
    <w:p w14:paraId="1D2E7859" w14:textId="47EBEF58" w:rsidR="0093137C" w:rsidRDefault="00117BD7" w:rsidP="00F02CCA">
      <w:pPr>
        <w:pStyle w:val="a4"/>
        <w:numPr>
          <w:ilvl w:val="0"/>
          <w:numId w:val="35"/>
        </w:numPr>
        <w:tabs>
          <w:tab w:val="left" w:pos="288"/>
          <w:tab w:val="left" w:pos="720"/>
          <w:tab w:val="left" w:pos="1296"/>
        </w:tabs>
        <w:autoSpaceDE w:val="0"/>
        <w:autoSpaceDN w:val="0"/>
        <w:adjustRightInd w:val="0"/>
        <w:spacing w:after="80" w:line="276" w:lineRule="auto"/>
        <w:jc w:val="both"/>
      </w:pPr>
      <w:r w:rsidRPr="00117BD7">
        <w:rPr>
          <w:rtl/>
        </w:rPr>
        <w:t>רשות</w:t>
      </w:r>
      <w:r>
        <w:rPr>
          <w:rFonts w:hint="cs"/>
          <w:rtl/>
        </w:rPr>
        <w:t xml:space="preserve"> הערעור לעליון</w:t>
      </w:r>
      <w:r>
        <w:rPr>
          <w:rtl/>
        </w:rPr>
        <w:t xml:space="preserve"> הוגבלה לשאלה אחת</w:t>
      </w:r>
      <w:r>
        <w:rPr>
          <w:rFonts w:hint="cs"/>
          <w:rtl/>
        </w:rPr>
        <w:t>-</w:t>
      </w:r>
      <w:r w:rsidRPr="00117BD7">
        <w:rPr>
          <w:rtl/>
        </w:rPr>
        <w:t xml:space="preserve"> אם מתיחת חוט הטלוויזיה מדירת המשיב לגג הבית הסמוך מהווה הסגת גבול, המזכה את המערערת בצו מניעה להס</w:t>
      </w:r>
      <w:r>
        <w:rPr>
          <w:rtl/>
        </w:rPr>
        <w:t>רת החוט.</w:t>
      </w:r>
    </w:p>
    <w:p w14:paraId="4149DB16" w14:textId="5667CD62" w:rsidR="00674F49" w:rsidRDefault="00674F49" w:rsidP="00F02CCA">
      <w:pPr>
        <w:tabs>
          <w:tab w:val="left" w:pos="288"/>
          <w:tab w:val="left" w:pos="720"/>
          <w:tab w:val="left" w:pos="1296"/>
        </w:tabs>
        <w:autoSpaceDE w:val="0"/>
        <w:autoSpaceDN w:val="0"/>
        <w:adjustRightInd w:val="0"/>
        <w:spacing w:after="80" w:line="276" w:lineRule="auto"/>
        <w:jc w:val="both"/>
        <w:rPr>
          <w:u w:val="single"/>
          <w:rtl/>
        </w:rPr>
      </w:pPr>
      <w:r>
        <w:rPr>
          <w:rFonts w:hint="cs"/>
          <w:u w:val="single"/>
          <w:rtl/>
        </w:rPr>
        <w:t>הדיון:</w:t>
      </w:r>
    </w:p>
    <w:p w14:paraId="673F0C1B" w14:textId="14E45151" w:rsidR="00674F49" w:rsidRPr="00AF4E48" w:rsidRDefault="00674F49" w:rsidP="00F02CCA">
      <w:pPr>
        <w:pStyle w:val="a9"/>
        <w:numPr>
          <w:ilvl w:val="0"/>
          <w:numId w:val="35"/>
        </w:numPr>
        <w:spacing w:line="276" w:lineRule="auto"/>
        <w:jc w:val="both"/>
        <w:rPr>
          <w:rFonts w:ascii="David" w:eastAsia="MS Mincho" w:hAnsi="David" w:cs="David"/>
          <w:szCs w:val="24"/>
          <w:lang w:eastAsia="en-US"/>
        </w:rPr>
      </w:pPr>
      <w:r w:rsidRPr="00674F49">
        <w:rPr>
          <w:rFonts w:ascii="David" w:eastAsia="MS Mincho" w:hAnsi="David" w:cs="David"/>
          <w:szCs w:val="24"/>
          <w:rtl/>
          <w:lang w:eastAsia="en-US"/>
        </w:rPr>
        <w:t>אדם השוכר נכס, או חלק הימנו, גם רוכש לעצמו ממילא בגבולות המקובל והסביר, זכות שימוש בקיר החיצוני של המושכר, אם חוזה השכירות אינו קובע אחרת. שוכר בית עסק רשאי להשתמש בקיר החיצוני לשם התקנת דברי פרסומת, והוא זכאי למנוע את המשכיר (ומי שבא מכוחו) מלהשתמש באותו שטח, למשל על ידי השכרתו לצרכי פרסום של אחר</w:t>
      </w:r>
      <w:r w:rsidRPr="00AF4E48">
        <w:rPr>
          <w:rFonts w:ascii="David" w:eastAsia="MS Mincho" w:hAnsi="David" w:cs="David"/>
          <w:szCs w:val="24"/>
          <w:rtl/>
          <w:lang w:eastAsia="en-US"/>
        </w:rPr>
        <w:t>.</w:t>
      </w:r>
    </w:p>
    <w:p w14:paraId="08C1E9D4" w14:textId="77777777" w:rsidR="00AF4E48" w:rsidRPr="00AF4E48" w:rsidRDefault="00AF4E48" w:rsidP="00F02CCA">
      <w:pPr>
        <w:pStyle w:val="a9"/>
        <w:numPr>
          <w:ilvl w:val="0"/>
          <w:numId w:val="35"/>
        </w:numPr>
        <w:spacing w:line="276" w:lineRule="auto"/>
        <w:jc w:val="both"/>
        <w:rPr>
          <w:rFonts w:ascii="David" w:eastAsia="MS Mincho" w:hAnsi="David" w:cs="David"/>
          <w:szCs w:val="24"/>
          <w:rtl/>
          <w:lang w:eastAsia="en-US"/>
        </w:rPr>
      </w:pPr>
      <w:r w:rsidRPr="00AF4E48">
        <w:rPr>
          <w:rFonts w:ascii="David" w:eastAsia="MS Mincho" w:hAnsi="David" w:cs="David"/>
          <w:szCs w:val="24"/>
          <w:rtl/>
          <w:lang w:eastAsia="en-US"/>
        </w:rPr>
        <w:t>מתיחת הקו בחלל הרום אף איננה בבחינת מעבר בלבד, כי החוט הותקן שם דרך קבע.</w:t>
      </w:r>
    </w:p>
    <w:p w14:paraId="1E3781DF" w14:textId="50B470C4" w:rsidR="006A4CE4" w:rsidRDefault="006A4CE4" w:rsidP="00F02CCA">
      <w:pPr>
        <w:pStyle w:val="a9"/>
        <w:spacing w:line="276" w:lineRule="auto"/>
        <w:jc w:val="both"/>
        <w:rPr>
          <w:rFonts w:ascii="David" w:hAnsi="David" w:cs="David"/>
          <w:rtl/>
        </w:rPr>
      </w:pPr>
    </w:p>
    <w:p w14:paraId="3556E7FE" w14:textId="4F530CEA" w:rsidR="006A4CE4" w:rsidRDefault="006A4CE4" w:rsidP="00F02CCA">
      <w:pPr>
        <w:pStyle w:val="a9"/>
        <w:spacing w:line="276" w:lineRule="auto"/>
        <w:jc w:val="both"/>
        <w:rPr>
          <w:rFonts w:ascii="David" w:hAnsi="David" w:cs="David"/>
          <w:sz w:val="28"/>
          <w:szCs w:val="28"/>
          <w:rtl/>
        </w:rPr>
      </w:pPr>
      <w:r>
        <w:rPr>
          <w:rFonts w:ascii="David" w:hAnsi="David" w:cs="David" w:hint="cs"/>
          <w:b/>
          <w:bCs/>
          <w:sz w:val="28"/>
          <w:szCs w:val="28"/>
          <w:u w:val="single"/>
          <w:rtl/>
        </w:rPr>
        <w:t>פס"ד רוקר נ' סלומון</w:t>
      </w:r>
    </w:p>
    <w:p w14:paraId="402339E2" w14:textId="1768645D" w:rsidR="006A4CE4" w:rsidRDefault="006A4CE4" w:rsidP="00F02CCA">
      <w:pPr>
        <w:pStyle w:val="a9"/>
        <w:spacing w:line="276" w:lineRule="auto"/>
        <w:jc w:val="both"/>
        <w:rPr>
          <w:rFonts w:ascii="David" w:hAnsi="David" w:cs="David"/>
          <w:sz w:val="24"/>
          <w:szCs w:val="24"/>
          <w:rtl/>
        </w:rPr>
      </w:pPr>
      <w:r>
        <w:rPr>
          <w:rFonts w:ascii="David" w:hAnsi="David" w:cs="David" w:hint="cs"/>
          <w:b/>
          <w:bCs/>
          <w:sz w:val="24"/>
          <w:szCs w:val="24"/>
          <w:rtl/>
        </w:rPr>
        <w:t xml:space="preserve">השופט </w:t>
      </w:r>
      <w:proofErr w:type="spellStart"/>
      <w:r>
        <w:rPr>
          <w:rFonts w:ascii="David" w:hAnsi="David" w:cs="David" w:hint="cs"/>
          <w:b/>
          <w:bCs/>
          <w:sz w:val="24"/>
          <w:szCs w:val="24"/>
          <w:rtl/>
        </w:rPr>
        <w:t>אנגלרד</w:t>
      </w:r>
      <w:proofErr w:type="spellEnd"/>
      <w:r>
        <w:rPr>
          <w:rFonts w:ascii="David" w:hAnsi="David" w:cs="David" w:hint="cs"/>
          <w:b/>
          <w:bCs/>
          <w:sz w:val="24"/>
          <w:szCs w:val="24"/>
          <w:rtl/>
        </w:rPr>
        <w:t>:</w:t>
      </w:r>
    </w:p>
    <w:p w14:paraId="1ADF0DBE" w14:textId="21710E43" w:rsidR="006A4CE4" w:rsidRDefault="005A5C36" w:rsidP="00F02CCA">
      <w:pPr>
        <w:pStyle w:val="a9"/>
        <w:spacing w:line="276" w:lineRule="auto"/>
        <w:jc w:val="both"/>
        <w:rPr>
          <w:rFonts w:ascii="David" w:hAnsi="David" w:cs="David"/>
          <w:sz w:val="24"/>
          <w:szCs w:val="24"/>
          <w:u w:val="single"/>
          <w:rtl/>
        </w:rPr>
      </w:pPr>
      <w:r>
        <w:rPr>
          <w:rFonts w:ascii="David" w:hAnsi="David" w:cs="David" w:hint="cs"/>
          <w:sz w:val="24"/>
          <w:szCs w:val="24"/>
          <w:u w:val="single"/>
          <w:rtl/>
        </w:rPr>
        <w:t>סיפור האירוע:</w:t>
      </w:r>
    </w:p>
    <w:p w14:paraId="024294CD" w14:textId="569BC458" w:rsidR="005A5C36" w:rsidRDefault="005A5C36" w:rsidP="00F02CCA">
      <w:pPr>
        <w:pStyle w:val="a5"/>
        <w:spacing w:line="276" w:lineRule="auto"/>
        <w:ind w:firstLine="0"/>
        <w:rPr>
          <w:rFonts w:ascii="David" w:hAnsi="David" w:cs="David"/>
          <w:rtl/>
        </w:rPr>
      </w:pPr>
      <w:r w:rsidRPr="00C10A08">
        <w:rPr>
          <w:rFonts w:ascii="David" w:hAnsi="David" w:cs="David"/>
          <w:rtl/>
        </w:rPr>
        <w:t>סיבת הסכסוך היא בנייה של בעלי דירה אחת בבית בשטחו של הרכוש המשותף. לאחר גלגולים אחדים בערכאות הוצא נגד בעלי הדירה האחת (להלן – המערערים), על</w:t>
      </w:r>
      <w:r w:rsidRPr="00C10A08">
        <w:rPr>
          <w:rFonts w:ascii="David" w:hAnsi="David" w:cs="David"/>
          <w:position w:val="4"/>
          <w:sz w:val="22"/>
          <w:rtl/>
        </w:rPr>
        <w:t>-</w:t>
      </w:r>
      <w:r w:rsidRPr="00C10A08">
        <w:rPr>
          <w:rFonts w:ascii="David" w:hAnsi="David" w:cs="David"/>
          <w:rtl/>
        </w:rPr>
        <w:t>פי בקשתם של בעלי שתי דירות אחרות (להלן – המשיבים), צו המחייב את המערערים להשיב את המצב לקדמותו ולהרוס כל בנייה שבוצעה על</w:t>
      </w:r>
      <w:r w:rsidRPr="00C10A08">
        <w:rPr>
          <w:rFonts w:ascii="David" w:hAnsi="David" w:cs="David"/>
          <w:position w:val="4"/>
          <w:sz w:val="22"/>
          <w:rtl/>
        </w:rPr>
        <w:t>-</w:t>
      </w:r>
      <w:r w:rsidRPr="00C10A08">
        <w:rPr>
          <w:rFonts w:ascii="David" w:hAnsi="David" w:cs="David"/>
          <w:rtl/>
        </w:rPr>
        <w:t>ידיהם ברכוש המשותף וכן למסור למשיבים את החזקה המשותפת בכל השטח של הרכוש המשותף שנתפס על</w:t>
      </w:r>
      <w:r w:rsidRPr="00C10A08">
        <w:rPr>
          <w:rFonts w:ascii="David" w:hAnsi="David" w:cs="David"/>
          <w:position w:val="4"/>
          <w:sz w:val="22"/>
          <w:rtl/>
        </w:rPr>
        <w:t>-</w:t>
      </w:r>
      <w:r w:rsidRPr="00C10A08">
        <w:rPr>
          <w:rFonts w:ascii="David" w:hAnsi="David" w:cs="David"/>
          <w:rtl/>
        </w:rPr>
        <w:t xml:space="preserve">ידי המערערים. כן חויבו המערערים לשלם למשיבים פיצויים בשל עוגמת נפש ושלילת ההנאה מן הרכוש המשותף בסך 10,000 ש"ח. </w:t>
      </w:r>
    </w:p>
    <w:p w14:paraId="18BEB13A" w14:textId="54BA00FC" w:rsidR="00DB2151" w:rsidRDefault="003348E6" w:rsidP="00F02CCA">
      <w:pPr>
        <w:pStyle w:val="a5"/>
        <w:spacing w:line="276" w:lineRule="auto"/>
        <w:ind w:firstLine="0"/>
        <w:rPr>
          <w:rFonts w:ascii="David" w:hAnsi="David" w:cs="David"/>
          <w:rtl/>
        </w:rPr>
      </w:pPr>
      <w:r w:rsidRPr="00C10A08">
        <w:rPr>
          <w:rFonts w:ascii="David" w:hAnsi="David" w:cs="David"/>
          <w:rtl/>
        </w:rPr>
        <w:t xml:space="preserve">בראשית שנות השמונים התברר כי קיימת אפשרות להגדיל את שטח הבנייה בבית </w:t>
      </w:r>
      <w:proofErr w:type="spellStart"/>
      <w:r w:rsidRPr="00C10A08">
        <w:rPr>
          <w:rFonts w:ascii="David" w:hAnsi="David" w:cs="David"/>
          <w:rtl/>
        </w:rPr>
        <w:t>בכ</w:t>
      </w:r>
      <w:proofErr w:type="spellEnd"/>
      <w:r w:rsidRPr="00C10A08">
        <w:rPr>
          <w:rFonts w:ascii="David" w:hAnsi="David" w:cs="David"/>
          <w:position w:val="4"/>
          <w:sz w:val="22"/>
          <w:rtl/>
        </w:rPr>
        <w:t>-</w:t>
      </w:r>
      <w:r w:rsidRPr="00C10A08">
        <w:rPr>
          <w:rFonts w:ascii="David" w:hAnsi="David" w:cs="David"/>
          <w:rtl/>
        </w:rPr>
        <w:t>40%, שהם כשישים מטר מרובע</w:t>
      </w:r>
      <w:r>
        <w:rPr>
          <w:rFonts w:ascii="David" w:hAnsi="David" w:cs="David" w:hint="cs"/>
          <w:rtl/>
        </w:rPr>
        <w:t xml:space="preserve">. המערערים היו מעוניינים להרחיב את שטח דירתם </w:t>
      </w:r>
      <w:r w:rsidR="0060566C">
        <w:rPr>
          <w:rFonts w:ascii="David" w:hAnsi="David" w:cs="David" w:hint="cs"/>
          <w:rtl/>
        </w:rPr>
        <w:t>ו</w:t>
      </w:r>
      <w:r>
        <w:rPr>
          <w:rFonts w:ascii="David" w:hAnsi="David" w:cs="David" w:hint="cs"/>
          <w:rtl/>
        </w:rPr>
        <w:t>הגישו בקשה להיתר בנייה. המשיבים הגישו התנגדות בשל הרצון של המערערים להפוך את חלקם במקלט למחסן, אך לאחר ביקור של הוועדה המקומית במקום, ההיתר התקבל עם תנאים אחדים.</w:t>
      </w:r>
      <w:r w:rsidR="00EF0075">
        <w:rPr>
          <w:rFonts w:ascii="David" w:hAnsi="David" w:cs="David" w:hint="cs"/>
          <w:rtl/>
        </w:rPr>
        <w:t xml:space="preserve"> המשיבים פנו גם </w:t>
      </w:r>
      <w:proofErr w:type="spellStart"/>
      <w:r w:rsidR="00EF0075">
        <w:rPr>
          <w:rFonts w:ascii="David" w:hAnsi="David" w:cs="David" w:hint="cs"/>
          <w:rtl/>
        </w:rPr>
        <w:t>לועדה</w:t>
      </w:r>
      <w:proofErr w:type="spellEnd"/>
      <w:r w:rsidR="00EF0075">
        <w:rPr>
          <w:rFonts w:ascii="David" w:hAnsi="David" w:cs="David" w:hint="cs"/>
          <w:rtl/>
        </w:rPr>
        <w:t xml:space="preserve"> המחוזית ולבית משפט השלום למנוע את הבנייה ובקשתם נדחתה.</w:t>
      </w:r>
      <w:r w:rsidR="004B525B">
        <w:rPr>
          <w:rFonts w:ascii="David" w:hAnsi="David" w:cs="David" w:hint="cs"/>
          <w:rtl/>
        </w:rPr>
        <w:t xml:space="preserve"> לבסוף בימה"ש המחוזי קבע כי </w:t>
      </w:r>
      <w:r w:rsidR="004B525B" w:rsidRPr="00C10A08">
        <w:rPr>
          <w:rFonts w:ascii="David" w:hAnsi="David" w:cs="David"/>
          <w:rtl/>
        </w:rPr>
        <w:t>יימנעו המערערים מהשלמת הבנייה מעבר למה שנעשה עד לאותו היום. ואמנם, בתקופת הביניים שבה לא היה צו</w:t>
      </w:r>
      <w:r w:rsidR="004B525B" w:rsidRPr="00C10A08">
        <w:rPr>
          <w:rFonts w:ascii="David" w:hAnsi="David" w:cs="David"/>
          <w:position w:val="4"/>
          <w:sz w:val="22"/>
          <w:rtl/>
        </w:rPr>
        <w:t>-</w:t>
      </w:r>
      <w:r w:rsidR="004B525B">
        <w:rPr>
          <w:rFonts w:ascii="David" w:hAnsi="David" w:cs="David"/>
          <w:rtl/>
        </w:rPr>
        <w:t xml:space="preserve">מניעה בתוקף </w:t>
      </w:r>
      <w:r w:rsidR="004B525B" w:rsidRPr="00C10A08">
        <w:rPr>
          <w:rFonts w:ascii="David" w:hAnsi="David" w:cs="David"/>
          <w:rtl/>
        </w:rPr>
        <w:t>הצליחו המערערים לבצע את הרחבת הדירה בהתאם לתכנית.</w:t>
      </w:r>
      <w:r w:rsidR="00DB2151">
        <w:rPr>
          <w:rFonts w:ascii="David" w:hAnsi="David" w:cs="David" w:hint="cs"/>
          <w:rtl/>
        </w:rPr>
        <w:t xml:space="preserve"> בעקבות בנייה זו החלו המשיבים בהליך המשפטי להשבת המצב לקדמותו ע"י הריסת הבנייה.</w:t>
      </w:r>
    </w:p>
    <w:p w14:paraId="7499609A" w14:textId="77777777" w:rsidR="00A81EC4" w:rsidRPr="00C10A08" w:rsidRDefault="00A81EC4" w:rsidP="00F02CCA">
      <w:pPr>
        <w:pStyle w:val="a5"/>
        <w:spacing w:line="276" w:lineRule="auto"/>
        <w:ind w:firstLine="0"/>
        <w:rPr>
          <w:rFonts w:ascii="David" w:hAnsi="David" w:cs="David"/>
          <w:rtl/>
        </w:rPr>
      </w:pPr>
      <w:r w:rsidRPr="00C10A08">
        <w:rPr>
          <w:rFonts w:ascii="David" w:hAnsi="David" w:cs="David"/>
          <w:rtl/>
        </w:rPr>
        <w:t xml:space="preserve">המערערים, שהם בעלי הדירה בקומה הראשונה, שחלקה היה על עמודים וחלקה על מקלט, סגרו את חלל העמודים, חיברו אליו חלק מן המקלט והוסיפו תוספת בצד הבניין בשטח הדשא. תמורת חלק המקלט הם בנו – כדרישת הוועדה המקומית – </w:t>
      </w:r>
      <w:r w:rsidRPr="00C10A08">
        <w:rPr>
          <w:rFonts w:ascii="David" w:hAnsi="David" w:cs="David"/>
          <w:rtl/>
        </w:rPr>
        <w:lastRenderedPageBreak/>
        <w:t>שני מחסנים תקניים מאחוריו, כנראה תוך כדי חפירה בשיפוע הקרקע. עלות סילוק הבנייה היא לפי הערכת מומחה משנת 1995 בסביבות 40,000 ש"ח ובנוסף לעלות שיקום הדשא והגינה כ</w:t>
      </w:r>
      <w:r w:rsidRPr="00C10A08">
        <w:rPr>
          <w:rFonts w:ascii="David" w:hAnsi="David" w:cs="David"/>
          <w:position w:val="4"/>
          <w:sz w:val="22"/>
          <w:rtl/>
        </w:rPr>
        <w:t>-</w:t>
      </w:r>
      <w:r w:rsidRPr="00C10A08">
        <w:rPr>
          <w:rFonts w:ascii="David" w:hAnsi="David" w:cs="David"/>
          <w:rtl/>
        </w:rPr>
        <w:t xml:space="preserve">50,000 ש"ח. </w:t>
      </w:r>
    </w:p>
    <w:p w14:paraId="62FF3B78" w14:textId="2BAF3436" w:rsidR="00A81EC4" w:rsidRDefault="003A4226" w:rsidP="00F02CCA">
      <w:pPr>
        <w:pStyle w:val="a5"/>
        <w:spacing w:line="276" w:lineRule="auto"/>
        <w:ind w:firstLine="0"/>
        <w:rPr>
          <w:rFonts w:ascii="David" w:hAnsi="David" w:cs="David"/>
          <w:rtl/>
        </w:rPr>
      </w:pPr>
      <w:r w:rsidRPr="00C10A08">
        <w:rPr>
          <w:rFonts w:ascii="David" w:hAnsi="David" w:cs="David"/>
          <w:rtl/>
        </w:rPr>
        <w:t>עם ביטול פסק</w:t>
      </w:r>
      <w:r w:rsidRPr="00C10A08">
        <w:rPr>
          <w:rFonts w:ascii="David" w:hAnsi="David" w:cs="David"/>
          <w:position w:val="4"/>
          <w:sz w:val="22"/>
          <w:rtl/>
        </w:rPr>
        <w:t>-</w:t>
      </w:r>
      <w:r w:rsidRPr="00C10A08">
        <w:rPr>
          <w:rFonts w:ascii="David" w:hAnsi="David" w:cs="David"/>
          <w:rtl/>
        </w:rPr>
        <w:t>הדין בערעור, בנייתם ברכוש המשותף הפכה (למפרע) שלא כדין.</w:t>
      </w:r>
    </w:p>
    <w:p w14:paraId="37E4A2A5" w14:textId="1EE38F5E" w:rsidR="00D85C14" w:rsidRDefault="00D85C14" w:rsidP="00F02CCA">
      <w:pPr>
        <w:pStyle w:val="a5"/>
        <w:spacing w:after="0" w:line="276" w:lineRule="auto"/>
        <w:ind w:firstLine="0"/>
        <w:rPr>
          <w:rFonts w:ascii="David" w:hAnsi="David" w:cs="David"/>
          <w:rtl/>
        </w:rPr>
      </w:pPr>
      <w:r>
        <w:rPr>
          <w:rFonts w:ascii="David" w:hAnsi="David" w:cs="David" w:hint="cs"/>
          <w:u w:val="single"/>
          <w:rtl/>
        </w:rPr>
        <w:t>השאלה המשפטית:</w:t>
      </w:r>
    </w:p>
    <w:p w14:paraId="3ACB6C59" w14:textId="1FF6F997" w:rsidR="00D85C14" w:rsidRDefault="00D85C14" w:rsidP="00F02CCA">
      <w:pPr>
        <w:pStyle w:val="a5"/>
        <w:spacing w:line="276" w:lineRule="auto"/>
        <w:ind w:firstLine="0"/>
        <w:rPr>
          <w:rFonts w:ascii="David" w:hAnsi="David" w:cs="David"/>
          <w:rtl/>
        </w:rPr>
      </w:pPr>
      <w:r w:rsidRPr="00C10A08">
        <w:rPr>
          <w:rFonts w:ascii="David" w:hAnsi="David" w:cs="David"/>
          <w:rtl/>
        </w:rPr>
        <w:t>האם בנסיבות אלה של בנייה שלא כדין ברכוש המשותף עומד לבית</w:t>
      </w:r>
      <w:r w:rsidRPr="00C10A08">
        <w:rPr>
          <w:rFonts w:ascii="David" w:hAnsi="David" w:cs="David"/>
          <w:position w:val="4"/>
          <w:sz w:val="22"/>
          <w:rtl/>
        </w:rPr>
        <w:t>-</w:t>
      </w:r>
      <w:r w:rsidRPr="00C10A08">
        <w:rPr>
          <w:rFonts w:ascii="David" w:hAnsi="David" w:cs="David"/>
          <w:rtl/>
        </w:rPr>
        <w:t>המשפט שיקול</w:t>
      </w:r>
      <w:r w:rsidRPr="00C10A08">
        <w:rPr>
          <w:rFonts w:ascii="David" w:hAnsi="David" w:cs="David"/>
          <w:position w:val="4"/>
          <w:sz w:val="22"/>
          <w:rtl/>
        </w:rPr>
        <w:t>-</w:t>
      </w:r>
      <w:r w:rsidRPr="00C10A08">
        <w:rPr>
          <w:rFonts w:ascii="David" w:hAnsi="David" w:cs="David"/>
          <w:rtl/>
        </w:rPr>
        <w:t xml:space="preserve">דעת בנוגע לסעד של הריסת הבנייה? </w:t>
      </w:r>
    </w:p>
    <w:p w14:paraId="60D1CD60" w14:textId="3679AB9D" w:rsidR="00D85C14" w:rsidRDefault="006522F0" w:rsidP="00F02CCA">
      <w:pPr>
        <w:pStyle w:val="a5"/>
        <w:spacing w:after="0" w:line="276" w:lineRule="auto"/>
        <w:ind w:firstLine="0"/>
        <w:rPr>
          <w:rFonts w:ascii="David" w:hAnsi="David" w:cs="David"/>
          <w:u w:val="single"/>
          <w:rtl/>
        </w:rPr>
      </w:pPr>
      <w:r>
        <w:rPr>
          <w:rFonts w:ascii="David" w:hAnsi="David" w:cs="David" w:hint="cs"/>
          <w:u w:val="single"/>
          <w:rtl/>
        </w:rPr>
        <w:t>הדיון:</w:t>
      </w:r>
    </w:p>
    <w:p w14:paraId="55A2BDD9" w14:textId="77777777" w:rsidR="00FC56C6" w:rsidRDefault="006522F0" w:rsidP="00F02CCA">
      <w:pPr>
        <w:pStyle w:val="a9"/>
        <w:numPr>
          <w:ilvl w:val="0"/>
          <w:numId w:val="35"/>
        </w:numPr>
        <w:spacing w:line="276" w:lineRule="auto"/>
        <w:jc w:val="both"/>
        <w:rPr>
          <w:rFonts w:ascii="David" w:hAnsi="David" w:cs="David"/>
          <w:sz w:val="24"/>
          <w:szCs w:val="24"/>
        </w:rPr>
      </w:pPr>
      <w:r w:rsidRPr="006522F0">
        <w:rPr>
          <w:rFonts w:ascii="David" w:hAnsi="David" w:cs="David"/>
          <w:sz w:val="24"/>
          <w:szCs w:val="24"/>
          <w:rtl/>
        </w:rPr>
        <w:t xml:space="preserve">יש להעמיד את הוראת סעיף 14 לחוק על חלופת שני המבחנים: </w:t>
      </w:r>
    </w:p>
    <w:p w14:paraId="7CEBFE07" w14:textId="77777777" w:rsidR="00FC56C6" w:rsidRDefault="00FC56C6" w:rsidP="00F02CCA">
      <w:pPr>
        <w:pStyle w:val="a9"/>
        <w:numPr>
          <w:ilvl w:val="0"/>
          <w:numId w:val="37"/>
        </w:numPr>
        <w:spacing w:line="276" w:lineRule="auto"/>
        <w:jc w:val="both"/>
        <w:rPr>
          <w:rFonts w:ascii="David" w:hAnsi="David" w:cs="David"/>
          <w:sz w:val="24"/>
          <w:szCs w:val="24"/>
        </w:rPr>
      </w:pPr>
      <w:r>
        <w:rPr>
          <w:rFonts w:ascii="David" w:hAnsi="David" w:cs="David" w:hint="cs"/>
          <w:sz w:val="24"/>
          <w:szCs w:val="24"/>
          <w:rtl/>
        </w:rPr>
        <w:t>האם קיים</w:t>
      </w:r>
      <w:r w:rsidR="006522F0" w:rsidRPr="006522F0">
        <w:rPr>
          <w:rFonts w:ascii="David" w:hAnsi="David" w:cs="David"/>
          <w:sz w:val="24"/>
          <w:szCs w:val="24"/>
          <w:rtl/>
        </w:rPr>
        <w:t xml:space="preserve"> מניע פסול עשוי למנוע את הפעלת הזכות</w:t>
      </w:r>
      <w:r>
        <w:rPr>
          <w:rFonts w:ascii="David" w:hAnsi="David" w:cs="David" w:hint="cs"/>
          <w:sz w:val="24"/>
          <w:szCs w:val="24"/>
          <w:rtl/>
        </w:rPr>
        <w:t>?</w:t>
      </w:r>
    </w:p>
    <w:p w14:paraId="74B9802C" w14:textId="0F589D48" w:rsidR="006522F0" w:rsidRDefault="00FC56C6" w:rsidP="00F02CCA">
      <w:pPr>
        <w:pStyle w:val="a9"/>
        <w:numPr>
          <w:ilvl w:val="0"/>
          <w:numId w:val="37"/>
        </w:numPr>
        <w:spacing w:line="276" w:lineRule="auto"/>
        <w:jc w:val="both"/>
        <w:rPr>
          <w:rFonts w:ascii="David" w:hAnsi="David" w:cs="David"/>
          <w:sz w:val="24"/>
          <w:szCs w:val="24"/>
        </w:rPr>
      </w:pPr>
      <w:r>
        <w:rPr>
          <w:rFonts w:ascii="David" w:hAnsi="David" w:cs="David" w:hint="cs"/>
          <w:sz w:val="24"/>
          <w:szCs w:val="24"/>
          <w:rtl/>
        </w:rPr>
        <w:t>האם קיים</w:t>
      </w:r>
      <w:r w:rsidR="006522F0" w:rsidRPr="006522F0">
        <w:rPr>
          <w:rFonts w:ascii="David" w:hAnsi="David" w:cs="David"/>
          <w:sz w:val="24"/>
          <w:szCs w:val="24"/>
          <w:rtl/>
        </w:rPr>
        <w:t xml:space="preserve"> חוסר איזון אובייקטיבי בין התועלת המופקת לבעל הזכות לבין הנזק הנגרם לזולת</w:t>
      </w:r>
      <w:r>
        <w:rPr>
          <w:rFonts w:ascii="David" w:hAnsi="David" w:cs="David" w:hint="cs"/>
          <w:sz w:val="24"/>
          <w:szCs w:val="24"/>
          <w:rtl/>
        </w:rPr>
        <w:t>?</w:t>
      </w:r>
    </w:p>
    <w:p w14:paraId="55967C11" w14:textId="354889F0" w:rsidR="0081162A" w:rsidRDefault="0081162A" w:rsidP="00F02CCA">
      <w:pPr>
        <w:pStyle w:val="a9"/>
        <w:numPr>
          <w:ilvl w:val="0"/>
          <w:numId w:val="35"/>
        </w:numPr>
        <w:spacing w:line="276" w:lineRule="auto"/>
        <w:jc w:val="both"/>
        <w:rPr>
          <w:rFonts w:ascii="David" w:hAnsi="David" w:cs="David"/>
          <w:sz w:val="32"/>
          <w:szCs w:val="32"/>
        </w:rPr>
      </w:pPr>
      <w:r w:rsidRPr="0081162A">
        <w:rPr>
          <w:rFonts w:ascii="David" w:hAnsi="David" w:cs="David"/>
          <w:sz w:val="24"/>
          <w:szCs w:val="24"/>
          <w:rtl/>
        </w:rPr>
        <w:t>נתון לבית</w:t>
      </w:r>
      <w:r w:rsidRPr="0081162A">
        <w:rPr>
          <w:rFonts w:ascii="David" w:hAnsi="David" w:cs="David"/>
          <w:position w:val="4"/>
          <w:sz w:val="28"/>
          <w:szCs w:val="24"/>
          <w:rtl/>
        </w:rPr>
        <w:t>-</w:t>
      </w:r>
      <w:r w:rsidRPr="0081162A">
        <w:rPr>
          <w:rFonts w:ascii="David" w:hAnsi="David" w:cs="David"/>
          <w:sz w:val="24"/>
          <w:szCs w:val="24"/>
          <w:rtl/>
        </w:rPr>
        <w:t>המשפט שיקול</w:t>
      </w:r>
      <w:r w:rsidRPr="0081162A">
        <w:rPr>
          <w:rFonts w:ascii="David" w:hAnsi="David" w:cs="David"/>
          <w:position w:val="4"/>
          <w:sz w:val="28"/>
          <w:szCs w:val="24"/>
          <w:rtl/>
        </w:rPr>
        <w:t>-</w:t>
      </w:r>
      <w:r w:rsidRPr="0081162A">
        <w:rPr>
          <w:rFonts w:ascii="David" w:hAnsi="David" w:cs="David"/>
          <w:sz w:val="24"/>
          <w:szCs w:val="24"/>
          <w:rtl/>
        </w:rPr>
        <w:t>דעת באשר למתן הסעד של הריסת מבנה שנבנה שלא כדין על קרקע הזולת</w:t>
      </w:r>
      <w:r w:rsidRPr="00606EB5">
        <w:rPr>
          <w:rFonts w:ascii="David" w:hAnsi="David" w:cs="David" w:hint="cs"/>
          <w:sz w:val="24"/>
          <w:szCs w:val="24"/>
          <w:rtl/>
        </w:rPr>
        <w:t>.</w:t>
      </w:r>
    </w:p>
    <w:p w14:paraId="3AE093EE" w14:textId="347FC9CC" w:rsidR="00606EB5" w:rsidRPr="00CA0CBC" w:rsidRDefault="00606EB5" w:rsidP="00F02CCA">
      <w:pPr>
        <w:pStyle w:val="a9"/>
        <w:numPr>
          <w:ilvl w:val="0"/>
          <w:numId w:val="35"/>
        </w:numPr>
        <w:spacing w:line="276" w:lineRule="auto"/>
        <w:jc w:val="both"/>
        <w:rPr>
          <w:rFonts w:ascii="David" w:hAnsi="David" w:cs="David"/>
          <w:sz w:val="32"/>
          <w:szCs w:val="32"/>
        </w:rPr>
      </w:pPr>
      <w:r>
        <w:rPr>
          <w:rFonts w:ascii="David" w:hAnsi="David" w:cs="David" w:hint="cs"/>
          <w:sz w:val="24"/>
          <w:szCs w:val="24"/>
          <w:rtl/>
        </w:rPr>
        <w:t>כאשר ביהמ"ש מפעיל את שיקול דעתו, עליו לקחת בחשבון לא רק את דוקטרינת שימוש לרעה בזכות, אלא גם את מאזן האינטרסים.</w:t>
      </w:r>
    </w:p>
    <w:p w14:paraId="256D620A" w14:textId="7056E5AF" w:rsidR="00CA0CBC" w:rsidRDefault="00CA0CBC" w:rsidP="00F02CCA">
      <w:pPr>
        <w:pStyle w:val="a9"/>
        <w:spacing w:line="276" w:lineRule="auto"/>
        <w:jc w:val="both"/>
        <w:rPr>
          <w:rFonts w:ascii="David" w:hAnsi="David" w:cs="David"/>
          <w:sz w:val="24"/>
          <w:szCs w:val="24"/>
          <w:rtl/>
        </w:rPr>
      </w:pPr>
    </w:p>
    <w:p w14:paraId="50B6526D" w14:textId="16191F57" w:rsidR="00CA0CBC" w:rsidRDefault="00CA0CBC" w:rsidP="00F02CCA">
      <w:pPr>
        <w:pStyle w:val="a9"/>
        <w:spacing w:line="276" w:lineRule="auto"/>
        <w:jc w:val="both"/>
        <w:rPr>
          <w:rFonts w:ascii="David" w:hAnsi="David" w:cs="David"/>
          <w:sz w:val="24"/>
          <w:szCs w:val="24"/>
          <w:rtl/>
        </w:rPr>
      </w:pPr>
      <w:r>
        <w:rPr>
          <w:rFonts w:ascii="David" w:hAnsi="David" w:cs="David" w:hint="cs"/>
          <w:b/>
          <w:bCs/>
          <w:sz w:val="24"/>
          <w:szCs w:val="24"/>
          <w:rtl/>
        </w:rPr>
        <w:t xml:space="preserve">השופט </w:t>
      </w:r>
      <w:proofErr w:type="spellStart"/>
      <w:r>
        <w:rPr>
          <w:rFonts w:ascii="David" w:hAnsi="David" w:cs="David" w:hint="cs"/>
          <w:b/>
          <w:bCs/>
          <w:sz w:val="24"/>
          <w:szCs w:val="24"/>
          <w:rtl/>
        </w:rPr>
        <w:t>טירקל</w:t>
      </w:r>
      <w:proofErr w:type="spellEnd"/>
      <w:r>
        <w:rPr>
          <w:rFonts w:ascii="David" w:hAnsi="David" w:cs="David" w:hint="cs"/>
          <w:b/>
          <w:bCs/>
          <w:sz w:val="24"/>
          <w:szCs w:val="24"/>
          <w:rtl/>
        </w:rPr>
        <w:t>:</w:t>
      </w:r>
    </w:p>
    <w:p w14:paraId="5CD40E04" w14:textId="30D09FCF" w:rsidR="00CA0CBC" w:rsidRPr="00220B6D" w:rsidRDefault="00220B6D" w:rsidP="00F02CCA">
      <w:pPr>
        <w:pStyle w:val="a9"/>
        <w:numPr>
          <w:ilvl w:val="0"/>
          <w:numId w:val="35"/>
        </w:numPr>
        <w:spacing w:line="276" w:lineRule="auto"/>
        <w:jc w:val="both"/>
        <w:rPr>
          <w:rFonts w:ascii="David" w:hAnsi="David" w:cs="David"/>
          <w:sz w:val="32"/>
          <w:szCs w:val="32"/>
        </w:rPr>
      </w:pPr>
      <w:r w:rsidRPr="00220B6D">
        <w:rPr>
          <w:rFonts w:ascii="David" w:hAnsi="David" w:cs="David"/>
          <w:sz w:val="24"/>
          <w:szCs w:val="24"/>
          <w:rtl/>
        </w:rPr>
        <w:t>זכות הבחירה אם לקיים את המחוברים שנבנו ברכוש המשותף, או לדרוש את סילוקם, היא זכותם המשותפת של כל בעלי הדירות בבית המשותף.</w:t>
      </w:r>
    </w:p>
    <w:p w14:paraId="4E8F9287" w14:textId="0670D9D3" w:rsidR="00220B6D" w:rsidRDefault="00220B6D" w:rsidP="00F02CCA">
      <w:pPr>
        <w:pStyle w:val="a9"/>
        <w:numPr>
          <w:ilvl w:val="0"/>
          <w:numId w:val="35"/>
        </w:numPr>
        <w:spacing w:line="276" w:lineRule="auto"/>
        <w:jc w:val="both"/>
        <w:rPr>
          <w:rFonts w:ascii="David" w:hAnsi="David" w:cs="David"/>
          <w:sz w:val="32"/>
          <w:szCs w:val="32"/>
        </w:rPr>
      </w:pPr>
      <w:r w:rsidRPr="00220B6D">
        <w:rPr>
          <w:rFonts w:ascii="David" w:hAnsi="David" w:cs="David"/>
          <w:sz w:val="24"/>
          <w:szCs w:val="24"/>
          <w:rtl/>
        </w:rPr>
        <w:t xml:space="preserve">לתביעות ה"קנייניות" מכוח </w:t>
      </w:r>
      <w:hyperlink r:id="rId15" w:history="1">
        <w:r w:rsidRPr="00220B6D">
          <w:rPr>
            <w:rStyle w:val="Hyperlink"/>
            <w:rFonts w:ascii="David" w:hAnsi="David" w:cs="David"/>
            <w:sz w:val="24"/>
            <w:szCs w:val="24"/>
            <w:rtl/>
          </w:rPr>
          <w:t>חוק המקרקעין</w:t>
        </w:r>
      </w:hyperlink>
      <w:r>
        <w:rPr>
          <w:rFonts w:ascii="David" w:hAnsi="David" w:cs="David"/>
          <w:sz w:val="24"/>
          <w:szCs w:val="24"/>
          <w:rtl/>
        </w:rPr>
        <w:t xml:space="preserve"> קיום עצמאי</w:t>
      </w:r>
      <w:r>
        <w:rPr>
          <w:rFonts w:ascii="David" w:hAnsi="David" w:cs="David" w:hint="cs"/>
          <w:sz w:val="24"/>
          <w:szCs w:val="24"/>
          <w:rtl/>
        </w:rPr>
        <w:t>.</w:t>
      </w:r>
      <w:r w:rsidR="00E17A2D">
        <w:rPr>
          <w:rFonts w:ascii="David" w:hAnsi="David" w:cs="David" w:hint="cs"/>
          <w:sz w:val="32"/>
          <w:szCs w:val="32"/>
          <w:rtl/>
        </w:rPr>
        <w:t xml:space="preserve"> </w:t>
      </w:r>
      <w:r w:rsidR="00E17A2D" w:rsidRPr="00E17A2D">
        <w:rPr>
          <w:rFonts w:ascii="David" w:hAnsi="David" w:cs="David"/>
          <w:spacing w:val="-2"/>
          <w:sz w:val="24"/>
          <w:szCs w:val="24"/>
          <w:rtl/>
        </w:rPr>
        <w:t>בדיון בתביעות "קנייניות" אין להיזקק לעקרונות שנשאבו מ</w:t>
      </w:r>
      <w:hyperlink r:id="rId16" w:history="1">
        <w:r w:rsidR="00E17A2D" w:rsidRPr="00E17A2D">
          <w:rPr>
            <w:rStyle w:val="Hyperlink"/>
            <w:rFonts w:ascii="David" w:hAnsi="David" w:cs="David"/>
            <w:spacing w:val="-2"/>
            <w:sz w:val="24"/>
            <w:szCs w:val="24"/>
            <w:rtl/>
          </w:rPr>
          <w:t>פקודת הנזיקין</w:t>
        </w:r>
      </w:hyperlink>
      <w:r w:rsidR="00E17A2D" w:rsidRPr="00E17A2D">
        <w:rPr>
          <w:rFonts w:ascii="David" w:hAnsi="David" w:cs="David"/>
          <w:spacing w:val="-2"/>
          <w:sz w:val="24"/>
          <w:szCs w:val="24"/>
          <w:rtl/>
        </w:rPr>
        <w:t xml:space="preserve"> כקווים מנחים בהפעלת שיקול</w:t>
      </w:r>
      <w:r w:rsidR="00E17A2D" w:rsidRPr="00E17A2D">
        <w:rPr>
          <w:rFonts w:ascii="David" w:hAnsi="David" w:cs="David"/>
          <w:spacing w:val="-2"/>
          <w:position w:val="4"/>
          <w:sz w:val="28"/>
          <w:szCs w:val="24"/>
          <w:rtl/>
        </w:rPr>
        <w:t>-</w:t>
      </w:r>
      <w:r w:rsidR="00E17A2D" w:rsidRPr="00E17A2D">
        <w:rPr>
          <w:rFonts w:ascii="David" w:hAnsi="David" w:cs="David"/>
          <w:spacing w:val="-2"/>
          <w:sz w:val="24"/>
          <w:szCs w:val="24"/>
          <w:rtl/>
        </w:rPr>
        <w:t>הדעת, בין על</w:t>
      </w:r>
      <w:r w:rsidR="00E17A2D" w:rsidRPr="00E17A2D">
        <w:rPr>
          <w:rFonts w:ascii="David" w:hAnsi="David" w:cs="David"/>
          <w:spacing w:val="-2"/>
          <w:position w:val="4"/>
          <w:sz w:val="28"/>
          <w:szCs w:val="24"/>
          <w:rtl/>
        </w:rPr>
        <w:t>-</w:t>
      </w:r>
      <w:r w:rsidR="00E17A2D" w:rsidRPr="00E17A2D">
        <w:rPr>
          <w:rFonts w:ascii="David" w:hAnsi="David" w:cs="David"/>
          <w:spacing w:val="-2"/>
          <w:sz w:val="24"/>
          <w:szCs w:val="24"/>
          <w:rtl/>
        </w:rPr>
        <w:t>ידי החלה ישירה שלהם על התביעה ובין בעקיפין</w:t>
      </w:r>
      <w:r w:rsidR="00E17A2D">
        <w:rPr>
          <w:rFonts w:ascii="David" w:hAnsi="David" w:cs="David" w:hint="cs"/>
          <w:spacing w:val="-2"/>
          <w:sz w:val="24"/>
          <w:szCs w:val="24"/>
          <w:rtl/>
        </w:rPr>
        <w:t>.</w:t>
      </w:r>
    </w:p>
    <w:p w14:paraId="53E4D1A2" w14:textId="53FFF850" w:rsidR="002961FB" w:rsidRDefault="002961FB" w:rsidP="00F02CCA">
      <w:pPr>
        <w:pStyle w:val="a5"/>
        <w:numPr>
          <w:ilvl w:val="0"/>
          <w:numId w:val="35"/>
        </w:numPr>
        <w:spacing w:after="0" w:line="276" w:lineRule="auto"/>
        <w:rPr>
          <w:rFonts w:ascii="David" w:hAnsi="David" w:cs="David"/>
        </w:rPr>
      </w:pPr>
      <w:r w:rsidRPr="00C10A08">
        <w:rPr>
          <w:rFonts w:ascii="David" w:hAnsi="David" w:cs="David"/>
          <w:rtl/>
        </w:rPr>
        <w:t>אין ההסדרים בדבר הגנת הבעלות וההחזקה גורעים מזכות לפיצויים או מכל תרופה אחרת או מסעד אחר על</w:t>
      </w:r>
      <w:r w:rsidRPr="00C10A08">
        <w:rPr>
          <w:rFonts w:ascii="David" w:hAnsi="David" w:cs="David"/>
          <w:position w:val="4"/>
          <w:sz w:val="22"/>
          <w:rtl/>
        </w:rPr>
        <w:t>-</w:t>
      </w:r>
      <w:r w:rsidRPr="00C10A08">
        <w:rPr>
          <w:rFonts w:ascii="David" w:hAnsi="David" w:cs="David"/>
          <w:rtl/>
        </w:rPr>
        <w:t>פי דין</w:t>
      </w:r>
      <w:r>
        <w:rPr>
          <w:rFonts w:ascii="David" w:hAnsi="David" w:cs="David" w:hint="cs"/>
          <w:rtl/>
        </w:rPr>
        <w:t xml:space="preserve"> (ס.20)</w:t>
      </w:r>
      <w:r w:rsidRPr="00C10A08">
        <w:rPr>
          <w:rFonts w:ascii="David" w:hAnsi="David" w:cs="David"/>
          <w:rtl/>
        </w:rPr>
        <w:t>.</w:t>
      </w:r>
    </w:p>
    <w:p w14:paraId="1DE5FA4B" w14:textId="4B4011B7" w:rsidR="00B56252" w:rsidRPr="00C10A08" w:rsidRDefault="00B56252" w:rsidP="00F02CCA">
      <w:pPr>
        <w:pStyle w:val="a5"/>
        <w:numPr>
          <w:ilvl w:val="0"/>
          <w:numId w:val="35"/>
        </w:numPr>
        <w:spacing w:after="0" w:line="276" w:lineRule="auto"/>
        <w:rPr>
          <w:rFonts w:ascii="David" w:hAnsi="David" w:cs="David"/>
          <w:rtl/>
        </w:rPr>
      </w:pPr>
      <w:r w:rsidRPr="00C10A08">
        <w:rPr>
          <w:rFonts w:ascii="David" w:hAnsi="David" w:cs="David"/>
          <w:rtl/>
        </w:rPr>
        <w:t xml:space="preserve">אין להתיר את השימוש בזכות הבעלות </w:t>
      </w:r>
      <w:r>
        <w:rPr>
          <w:rFonts w:ascii="David" w:hAnsi="David" w:cs="David" w:hint="cs"/>
          <w:rtl/>
        </w:rPr>
        <w:t xml:space="preserve">(ס.14) </w:t>
      </w:r>
      <w:r w:rsidRPr="00C10A08">
        <w:rPr>
          <w:rFonts w:ascii="David" w:hAnsi="David" w:cs="David"/>
          <w:rtl/>
        </w:rPr>
        <w:t>כעילה לגרום נזק או אי</w:t>
      </w:r>
      <w:r w:rsidRPr="00440A37">
        <w:rPr>
          <w:rFonts w:ascii="David" w:hAnsi="David" w:cs="David"/>
          <w:rtl/>
        </w:rPr>
        <w:t>-</w:t>
      </w:r>
      <w:r w:rsidRPr="00C10A08">
        <w:rPr>
          <w:rFonts w:ascii="David" w:hAnsi="David" w:cs="David"/>
          <w:rtl/>
        </w:rPr>
        <w:t>נוחות אפילו למסיג</w:t>
      </w:r>
      <w:r w:rsidRPr="00440A37">
        <w:rPr>
          <w:rFonts w:ascii="David" w:hAnsi="David" w:cs="David"/>
          <w:rtl/>
        </w:rPr>
        <w:t>-</w:t>
      </w:r>
      <w:r w:rsidRPr="00C10A08">
        <w:rPr>
          <w:rFonts w:ascii="David" w:hAnsi="David" w:cs="David"/>
          <w:rtl/>
        </w:rPr>
        <w:t>גבול, מקום שהשימוש בעילה זו אינו דרוש באורח סביר למימוש זכות הבעלות עצמה או למטרה חוקית אחרת</w:t>
      </w:r>
    </w:p>
    <w:p w14:paraId="32612568" w14:textId="56144E5A" w:rsidR="002961FB" w:rsidRPr="00745634" w:rsidRDefault="00440A37" w:rsidP="00F02CCA">
      <w:pPr>
        <w:pStyle w:val="a5"/>
        <w:numPr>
          <w:ilvl w:val="0"/>
          <w:numId w:val="35"/>
        </w:numPr>
        <w:spacing w:after="0" w:line="276" w:lineRule="auto"/>
        <w:rPr>
          <w:rFonts w:ascii="David" w:hAnsi="David" w:cs="David"/>
          <w:b/>
          <w:bCs/>
        </w:rPr>
      </w:pPr>
      <w:r w:rsidRPr="00745634">
        <w:rPr>
          <w:rFonts w:ascii="David" w:hAnsi="David" w:cs="David"/>
          <w:b/>
          <w:bCs/>
          <w:rtl/>
        </w:rPr>
        <w:t>שיקול-הדעת של בית-המשפט, שבגדרו רשאי הוא שלא להיעתר לתביעה שמטרתה להגן על זכות בעלות או על זכות אחרת במקרקעין, הוא מוגבל ומצומצם ביותר ויופעל רק במקרים חריגים ונדירים</w:t>
      </w:r>
      <w:r w:rsidRPr="00745634">
        <w:rPr>
          <w:rFonts w:ascii="David" w:hAnsi="David" w:cs="David" w:hint="cs"/>
          <w:b/>
          <w:bCs/>
          <w:rtl/>
        </w:rPr>
        <w:t>.</w:t>
      </w:r>
    </w:p>
    <w:p w14:paraId="4A9D8D6C" w14:textId="2448EA28" w:rsidR="007D0CAC" w:rsidRDefault="007D0CAC" w:rsidP="00F02CCA">
      <w:pPr>
        <w:pStyle w:val="a5"/>
        <w:spacing w:after="0" w:line="276" w:lineRule="auto"/>
        <w:ind w:firstLine="0"/>
        <w:rPr>
          <w:rFonts w:ascii="David" w:hAnsi="David" w:cs="David"/>
          <w:rtl/>
        </w:rPr>
      </w:pPr>
    </w:p>
    <w:p w14:paraId="1C4BD581" w14:textId="32B68F63" w:rsidR="007D0CAC" w:rsidRDefault="007D0CAC" w:rsidP="00F02CCA">
      <w:pPr>
        <w:pStyle w:val="a5"/>
        <w:spacing w:after="0" w:line="276" w:lineRule="auto"/>
        <w:ind w:firstLine="0"/>
        <w:rPr>
          <w:rFonts w:ascii="David" w:hAnsi="David" w:cs="David"/>
          <w:b/>
          <w:bCs/>
          <w:rtl/>
        </w:rPr>
      </w:pPr>
      <w:r>
        <w:rPr>
          <w:rFonts w:ascii="David" w:hAnsi="David" w:cs="David" w:hint="cs"/>
          <w:b/>
          <w:bCs/>
          <w:rtl/>
        </w:rPr>
        <w:t>השופט חשין:</w:t>
      </w:r>
    </w:p>
    <w:p w14:paraId="3069E995" w14:textId="2C804754" w:rsidR="007D0CAC" w:rsidRPr="00C10A08" w:rsidRDefault="007D0CAC" w:rsidP="00F02CCA">
      <w:pPr>
        <w:pStyle w:val="a5"/>
        <w:numPr>
          <w:ilvl w:val="0"/>
          <w:numId w:val="35"/>
        </w:numPr>
        <w:spacing w:after="0" w:line="276" w:lineRule="auto"/>
        <w:rPr>
          <w:rFonts w:ascii="David" w:hAnsi="David" w:cs="David"/>
          <w:rtl/>
        </w:rPr>
      </w:pPr>
      <w:r>
        <w:rPr>
          <w:rFonts w:ascii="David" w:hAnsi="David" w:cs="David"/>
          <w:rtl/>
        </w:rPr>
        <w:t>זכותו של בעל הדירה הנפגע נתונה לסייגים</w:t>
      </w:r>
      <w:r>
        <w:rPr>
          <w:rFonts w:ascii="David" w:hAnsi="David" w:cs="David" w:hint="cs"/>
          <w:rtl/>
        </w:rPr>
        <w:t xml:space="preserve">. </w:t>
      </w:r>
      <w:r w:rsidRPr="00C10A08">
        <w:rPr>
          <w:rFonts w:ascii="David" w:hAnsi="David" w:cs="David"/>
          <w:rtl/>
        </w:rPr>
        <w:t>אש</w:t>
      </w:r>
      <w:r>
        <w:rPr>
          <w:rFonts w:ascii="David" w:hAnsi="David" w:cs="David"/>
          <w:rtl/>
        </w:rPr>
        <w:t>ר לעוצמתם של הסייגים</w:t>
      </w:r>
      <w:r>
        <w:rPr>
          <w:rFonts w:ascii="David" w:hAnsi="David" w:cs="David" w:hint="cs"/>
          <w:rtl/>
        </w:rPr>
        <w:t xml:space="preserve">- </w:t>
      </w:r>
      <w:r w:rsidRPr="00C10A08">
        <w:rPr>
          <w:rFonts w:ascii="David" w:hAnsi="David" w:cs="David"/>
          <w:rtl/>
        </w:rPr>
        <w:t xml:space="preserve">עוצמה זו עוצמה קלושה וזניחה היא. </w:t>
      </w:r>
    </w:p>
    <w:p w14:paraId="20A790AC" w14:textId="1E1EAB8F" w:rsidR="007D0CAC" w:rsidRDefault="007D0CAC" w:rsidP="00F02CCA">
      <w:pPr>
        <w:pStyle w:val="a5"/>
        <w:numPr>
          <w:ilvl w:val="0"/>
          <w:numId w:val="35"/>
        </w:numPr>
        <w:spacing w:after="0" w:line="276" w:lineRule="auto"/>
        <w:rPr>
          <w:rFonts w:ascii="David" w:hAnsi="David" w:cs="David"/>
        </w:rPr>
      </w:pPr>
      <w:r w:rsidRPr="007D0CAC">
        <w:rPr>
          <w:rFonts w:ascii="David" w:hAnsi="David" w:cs="David"/>
          <w:rtl/>
        </w:rPr>
        <w:t xml:space="preserve">בית-המשפט קנה שיקול-דעת שלא להיעתר לבקשת </w:t>
      </w:r>
      <w:r w:rsidRPr="007D0CAC">
        <w:rPr>
          <w:rFonts w:ascii="David" w:hAnsi="David" w:cs="David" w:hint="cs"/>
          <w:rtl/>
        </w:rPr>
        <w:t>בעל הדירה הנפגע</w:t>
      </w:r>
      <w:r w:rsidRPr="007D0CAC">
        <w:rPr>
          <w:rFonts w:ascii="David" w:hAnsi="David" w:cs="David"/>
          <w:rtl/>
        </w:rPr>
        <w:t xml:space="preserve"> להרוס את הבנוי. </w:t>
      </w:r>
    </w:p>
    <w:p w14:paraId="19A857BB" w14:textId="080FDA53" w:rsidR="00A80A2B" w:rsidRDefault="00A80A2B" w:rsidP="00F02CCA">
      <w:pPr>
        <w:pStyle w:val="a5"/>
        <w:numPr>
          <w:ilvl w:val="0"/>
          <w:numId w:val="35"/>
        </w:numPr>
        <w:spacing w:after="0" w:line="276" w:lineRule="auto"/>
        <w:rPr>
          <w:rFonts w:ascii="David" w:hAnsi="David" w:cs="David"/>
          <w:rtl/>
        </w:rPr>
      </w:pPr>
      <w:r w:rsidRPr="00745634">
        <w:rPr>
          <w:rFonts w:ascii="David" w:hAnsi="David" w:cs="David" w:hint="cs"/>
          <w:b/>
          <w:bCs/>
          <w:rtl/>
        </w:rPr>
        <w:t xml:space="preserve">המבחן להכרעה צריך להיות: </w:t>
      </w:r>
      <w:r w:rsidRPr="00745634">
        <w:rPr>
          <w:rFonts w:ascii="David" w:hAnsi="David" w:cs="David"/>
          <w:b/>
          <w:bCs/>
          <w:rtl/>
        </w:rPr>
        <w:t>על יסוד הנחה שהנתבע גזל מן התובע מקצת רכושו, השאלה היא אם הוריה על החזרת הרכוש תהא כה בלתי צודקת, כה בלתי ראויה, עד שנימנע מהורות כן.</w:t>
      </w:r>
      <w:r w:rsidR="00B62E26" w:rsidRPr="00745634">
        <w:rPr>
          <w:rFonts w:ascii="David" w:hAnsi="David" w:cs="David" w:hint="cs"/>
          <w:b/>
          <w:bCs/>
          <w:rtl/>
        </w:rPr>
        <w:t xml:space="preserve"> נטל ההוכחה הוא על הנתבע</w:t>
      </w:r>
      <w:r w:rsidR="00B62E26">
        <w:rPr>
          <w:rFonts w:ascii="David" w:hAnsi="David" w:cs="David" w:hint="cs"/>
          <w:rtl/>
        </w:rPr>
        <w:t>.</w:t>
      </w:r>
    </w:p>
    <w:p w14:paraId="7649582E" w14:textId="4F0CAAC4" w:rsidR="00B7765D" w:rsidRDefault="000D3F2B" w:rsidP="00F02CCA">
      <w:pPr>
        <w:pStyle w:val="a5"/>
        <w:spacing w:after="0" w:line="276" w:lineRule="auto"/>
        <w:ind w:firstLine="0"/>
        <w:rPr>
          <w:rFonts w:ascii="David" w:hAnsi="David" w:cs="David"/>
          <w:u w:val="single"/>
          <w:rtl/>
        </w:rPr>
      </w:pPr>
      <w:r>
        <w:rPr>
          <w:rFonts w:ascii="David" w:hAnsi="David" w:cs="David" w:hint="cs"/>
          <w:b/>
          <w:bCs/>
          <w:rtl/>
        </w:rPr>
        <w:t>הנשיא ברק:</w:t>
      </w:r>
    </w:p>
    <w:p w14:paraId="7463AC36" w14:textId="77777777" w:rsidR="00B7765D" w:rsidRPr="00C10A08" w:rsidRDefault="00B7765D" w:rsidP="00F02CCA">
      <w:pPr>
        <w:pStyle w:val="a5"/>
        <w:numPr>
          <w:ilvl w:val="0"/>
          <w:numId w:val="35"/>
        </w:numPr>
        <w:spacing w:after="0" w:line="276" w:lineRule="auto"/>
        <w:rPr>
          <w:rFonts w:ascii="David" w:hAnsi="David" w:cs="David"/>
          <w:rtl/>
        </w:rPr>
      </w:pPr>
      <w:r w:rsidRPr="00C10A08">
        <w:rPr>
          <w:rFonts w:ascii="David" w:hAnsi="David" w:cs="David"/>
          <w:rtl/>
        </w:rPr>
        <w:t>זכותו של הבעלים לדרוש סילוק המבנה שנבנה על מקרקעין שלא כדין אינה מוחלטת. לבית</w:t>
      </w:r>
      <w:r w:rsidRPr="00C10A08">
        <w:rPr>
          <w:rFonts w:ascii="David" w:hAnsi="David" w:cs="David"/>
          <w:position w:val="4"/>
          <w:sz w:val="22"/>
          <w:rtl/>
        </w:rPr>
        <w:t>-</w:t>
      </w:r>
      <w:r w:rsidRPr="00C10A08">
        <w:rPr>
          <w:rFonts w:ascii="David" w:hAnsi="David" w:cs="David"/>
          <w:rtl/>
        </w:rPr>
        <w:t>המשפט נתון שיקול</w:t>
      </w:r>
      <w:r w:rsidRPr="00C10A08">
        <w:rPr>
          <w:rFonts w:ascii="David" w:hAnsi="David" w:cs="David"/>
          <w:position w:val="4"/>
          <w:sz w:val="22"/>
          <w:rtl/>
        </w:rPr>
        <w:t>-</w:t>
      </w:r>
      <w:r w:rsidRPr="00C10A08">
        <w:rPr>
          <w:rFonts w:ascii="David" w:hAnsi="David" w:cs="David"/>
          <w:rtl/>
        </w:rPr>
        <w:t>דעת, אם להעניק לבעלים את הסעד של סילוק המבנה והחזרת "המקרקעין לקדמותם". "יחסיות" הזכות ושיקול</w:t>
      </w:r>
      <w:r w:rsidRPr="00C10A08">
        <w:rPr>
          <w:rFonts w:ascii="David" w:hAnsi="David" w:cs="David"/>
          <w:position w:val="4"/>
          <w:sz w:val="22"/>
          <w:rtl/>
        </w:rPr>
        <w:t>-</w:t>
      </w:r>
      <w:r w:rsidRPr="00C10A08">
        <w:rPr>
          <w:rFonts w:ascii="David" w:hAnsi="David" w:cs="David"/>
          <w:rtl/>
        </w:rPr>
        <w:t>דעת בית</w:t>
      </w:r>
      <w:r w:rsidRPr="00C10A08">
        <w:rPr>
          <w:rFonts w:ascii="David" w:hAnsi="David" w:cs="David"/>
          <w:position w:val="4"/>
          <w:sz w:val="22"/>
          <w:rtl/>
        </w:rPr>
        <w:t>-</w:t>
      </w:r>
      <w:r w:rsidRPr="00C10A08">
        <w:rPr>
          <w:rFonts w:ascii="David" w:hAnsi="David" w:cs="David"/>
          <w:rtl/>
        </w:rPr>
        <w:t>המשפט מקורם בעקרון תום</w:t>
      </w:r>
      <w:r w:rsidRPr="00C10A08">
        <w:rPr>
          <w:rFonts w:ascii="David" w:hAnsi="David" w:cs="David"/>
          <w:position w:val="4"/>
          <w:sz w:val="22"/>
          <w:rtl/>
        </w:rPr>
        <w:t>-</w:t>
      </w:r>
      <w:r w:rsidRPr="00C10A08">
        <w:rPr>
          <w:rFonts w:ascii="David" w:hAnsi="David" w:cs="David"/>
          <w:rtl/>
        </w:rPr>
        <w:t>הלב.</w:t>
      </w:r>
    </w:p>
    <w:p w14:paraId="33FFFF3D" w14:textId="6C21064D" w:rsidR="00B7765D" w:rsidRDefault="00F944AA" w:rsidP="00F02CCA">
      <w:pPr>
        <w:pStyle w:val="a5"/>
        <w:numPr>
          <w:ilvl w:val="0"/>
          <w:numId w:val="35"/>
        </w:numPr>
        <w:spacing w:after="0" w:line="276" w:lineRule="auto"/>
        <w:rPr>
          <w:rFonts w:ascii="David" w:hAnsi="David" w:cs="David"/>
        </w:rPr>
      </w:pPr>
      <w:r w:rsidRPr="00C10A08">
        <w:rPr>
          <w:rFonts w:ascii="David" w:hAnsi="David" w:cs="David"/>
          <w:rtl/>
        </w:rPr>
        <w:t>עקרון תום</w:t>
      </w:r>
      <w:r w:rsidRPr="00C10A08">
        <w:rPr>
          <w:rFonts w:ascii="David" w:hAnsi="David" w:cs="David"/>
          <w:position w:val="4"/>
          <w:sz w:val="22"/>
          <w:rtl/>
        </w:rPr>
        <w:t>-</w:t>
      </w:r>
      <w:r w:rsidRPr="00C10A08">
        <w:rPr>
          <w:rFonts w:ascii="David" w:hAnsi="David" w:cs="David"/>
          <w:rtl/>
        </w:rPr>
        <w:t>הלב אינו מוגבל לחוזים או לחיובים. זהו עקרון יסוד החולש על כל תחומי המשפט</w:t>
      </w:r>
      <w:r>
        <w:rPr>
          <w:rFonts w:ascii="David" w:hAnsi="David" w:cs="David" w:hint="cs"/>
          <w:rtl/>
        </w:rPr>
        <w:t>.</w:t>
      </w:r>
    </w:p>
    <w:p w14:paraId="4001CCD0" w14:textId="6E6799C3" w:rsidR="00FC339B" w:rsidRDefault="00FC339B" w:rsidP="00F02CCA">
      <w:pPr>
        <w:pStyle w:val="a5"/>
        <w:spacing w:after="0" w:line="276" w:lineRule="auto"/>
        <w:ind w:firstLine="0"/>
        <w:rPr>
          <w:rFonts w:ascii="David" w:hAnsi="David" w:cs="David"/>
          <w:rtl/>
        </w:rPr>
      </w:pPr>
    </w:p>
    <w:p w14:paraId="4575AB2A" w14:textId="77777777" w:rsidR="00A41DBB" w:rsidRDefault="00A41DBB" w:rsidP="00F02CCA">
      <w:pPr>
        <w:pStyle w:val="a5"/>
        <w:spacing w:after="0" w:line="276" w:lineRule="auto"/>
        <w:ind w:firstLine="0"/>
        <w:rPr>
          <w:rFonts w:ascii="David" w:hAnsi="David" w:cs="David"/>
          <w:b/>
          <w:bCs/>
          <w:rtl/>
        </w:rPr>
      </w:pPr>
      <w:r>
        <w:rPr>
          <w:rFonts w:ascii="David" w:hAnsi="David" w:cs="David" w:hint="cs"/>
          <w:b/>
          <w:bCs/>
          <w:rtl/>
        </w:rPr>
        <w:t>השופט מצא:</w:t>
      </w:r>
    </w:p>
    <w:p w14:paraId="4E34570E" w14:textId="0C1BA9F8" w:rsidR="00A41DBB" w:rsidRDefault="00A41DBB" w:rsidP="00F02CCA">
      <w:pPr>
        <w:pStyle w:val="a5"/>
        <w:numPr>
          <w:ilvl w:val="0"/>
          <w:numId w:val="35"/>
        </w:numPr>
        <w:spacing w:after="0" w:line="276" w:lineRule="auto"/>
        <w:rPr>
          <w:rFonts w:ascii="David" w:hAnsi="David" w:cs="David"/>
        </w:rPr>
      </w:pPr>
      <w:r w:rsidRPr="00C74247">
        <w:rPr>
          <w:rFonts w:ascii="David" w:hAnsi="David" w:cs="David" w:hint="cs"/>
          <w:rtl/>
        </w:rPr>
        <w:t xml:space="preserve">מסכים עם ברק </w:t>
      </w:r>
      <w:r w:rsidRPr="00C74247">
        <w:rPr>
          <w:rFonts w:ascii="David" w:hAnsi="David" w:cs="David"/>
          <w:rtl/>
        </w:rPr>
        <w:t>שאת סמכותו של בית</w:t>
      </w:r>
      <w:r w:rsidRPr="00C74247">
        <w:rPr>
          <w:rFonts w:ascii="David" w:hAnsi="David" w:cs="David"/>
          <w:position w:val="4"/>
          <w:sz w:val="22"/>
          <w:rtl/>
        </w:rPr>
        <w:t>-</w:t>
      </w:r>
      <w:r w:rsidRPr="00C74247">
        <w:rPr>
          <w:rFonts w:ascii="David" w:hAnsi="David" w:cs="David"/>
          <w:rtl/>
        </w:rPr>
        <w:t>המשפט להעניק סעד שבשיקול</w:t>
      </w:r>
      <w:r w:rsidRPr="00C74247">
        <w:rPr>
          <w:rFonts w:ascii="David" w:hAnsi="David" w:cs="David"/>
          <w:position w:val="4"/>
          <w:sz w:val="22"/>
          <w:rtl/>
        </w:rPr>
        <w:t>-</w:t>
      </w:r>
      <w:r w:rsidRPr="00C74247">
        <w:rPr>
          <w:rFonts w:ascii="David" w:hAnsi="David" w:cs="David"/>
          <w:rtl/>
        </w:rPr>
        <w:t>דעת יש, ככלל, לגזור מזכותו המוכחת של מבקש הסעד, בעוד שסמכותו הטבועה של בית</w:t>
      </w:r>
      <w:r w:rsidRPr="00C74247">
        <w:rPr>
          <w:rFonts w:ascii="David" w:hAnsi="David" w:cs="David"/>
          <w:position w:val="4"/>
          <w:sz w:val="22"/>
          <w:rtl/>
        </w:rPr>
        <w:t>-</w:t>
      </w:r>
      <w:r w:rsidRPr="00C74247">
        <w:rPr>
          <w:rFonts w:ascii="David" w:hAnsi="David" w:cs="David"/>
          <w:rtl/>
        </w:rPr>
        <w:t xml:space="preserve">המשפט מהווה אך מקור "שיורי" לכוחו להעניק סעד כזה. </w:t>
      </w:r>
      <w:r w:rsidR="00FD0B24">
        <w:rPr>
          <w:rFonts w:ascii="David" w:hAnsi="David" w:cs="David" w:hint="cs"/>
          <w:rtl/>
        </w:rPr>
        <w:t xml:space="preserve"> </w:t>
      </w:r>
    </w:p>
    <w:p w14:paraId="48FC8409" w14:textId="77777777" w:rsidR="00A41DBB" w:rsidRPr="00745634" w:rsidRDefault="00A41DBB" w:rsidP="00F02CCA">
      <w:pPr>
        <w:pStyle w:val="a5"/>
        <w:numPr>
          <w:ilvl w:val="0"/>
          <w:numId w:val="35"/>
        </w:numPr>
        <w:spacing w:line="276" w:lineRule="auto"/>
        <w:rPr>
          <w:rFonts w:ascii="David" w:hAnsi="David" w:cs="David"/>
          <w:b/>
          <w:bCs/>
          <w:rtl/>
        </w:rPr>
      </w:pPr>
      <w:r>
        <w:rPr>
          <w:rFonts w:ascii="David" w:hAnsi="David" w:cs="David" w:hint="cs"/>
          <w:rtl/>
        </w:rPr>
        <w:t xml:space="preserve">מסכים עם חשין </w:t>
      </w:r>
      <w:r w:rsidRPr="00C10A08">
        <w:rPr>
          <w:rFonts w:ascii="David" w:hAnsi="David" w:cs="David"/>
          <w:rtl/>
        </w:rPr>
        <w:t>שככלל זכאי בעל הזכות הנפגעת להחזרת זכותו לקדמתה</w:t>
      </w:r>
      <w:r w:rsidRPr="00745634">
        <w:rPr>
          <w:rFonts w:ascii="David" w:hAnsi="David" w:cs="David"/>
          <w:b/>
          <w:bCs/>
          <w:rtl/>
        </w:rPr>
        <w:t>. שיקול</w:t>
      </w:r>
      <w:r w:rsidRPr="00745634">
        <w:rPr>
          <w:rFonts w:ascii="David" w:hAnsi="David" w:cs="David"/>
          <w:b/>
          <w:bCs/>
          <w:position w:val="4"/>
          <w:sz w:val="22"/>
          <w:rtl/>
        </w:rPr>
        <w:t>-</w:t>
      </w:r>
      <w:r w:rsidRPr="00745634">
        <w:rPr>
          <w:rFonts w:ascii="David" w:hAnsi="David" w:cs="David"/>
          <w:b/>
          <w:bCs/>
          <w:rtl/>
        </w:rPr>
        <w:t>הדעת הנתון לבית</w:t>
      </w:r>
      <w:r w:rsidRPr="00745634">
        <w:rPr>
          <w:rFonts w:ascii="David" w:hAnsi="David" w:cs="David"/>
          <w:b/>
          <w:bCs/>
          <w:position w:val="4"/>
          <w:sz w:val="22"/>
          <w:rtl/>
        </w:rPr>
        <w:t>-</w:t>
      </w:r>
      <w:r w:rsidRPr="00745634">
        <w:rPr>
          <w:rFonts w:ascii="David" w:hAnsi="David" w:cs="David"/>
          <w:b/>
          <w:bCs/>
          <w:rtl/>
        </w:rPr>
        <w:t>המשפט, למנוע ממנו סעד זה, נועד למקרים חריגים בלבד</w:t>
      </w:r>
      <w:r w:rsidRPr="00745634">
        <w:rPr>
          <w:rFonts w:ascii="David" w:hAnsi="David" w:cs="David" w:hint="cs"/>
          <w:b/>
          <w:bCs/>
          <w:rtl/>
        </w:rPr>
        <w:t>.</w:t>
      </w:r>
    </w:p>
    <w:p w14:paraId="1782BB03" w14:textId="4340FD6A" w:rsidR="00FC339B" w:rsidRDefault="00FC339B" w:rsidP="00F02CCA">
      <w:pPr>
        <w:pStyle w:val="a5"/>
        <w:spacing w:after="0" w:line="276" w:lineRule="auto"/>
        <w:ind w:firstLine="0"/>
        <w:rPr>
          <w:rFonts w:ascii="David" w:hAnsi="David" w:cs="David"/>
          <w:b/>
          <w:bCs/>
          <w:rtl/>
        </w:rPr>
      </w:pPr>
      <w:r>
        <w:rPr>
          <w:rFonts w:ascii="David" w:hAnsi="David" w:cs="David" w:hint="cs"/>
          <w:b/>
          <w:bCs/>
          <w:rtl/>
        </w:rPr>
        <w:t>המשנה לנשיא לוין:</w:t>
      </w:r>
    </w:p>
    <w:p w14:paraId="4F833954" w14:textId="1D35FA55" w:rsidR="00FC339B" w:rsidRDefault="00FC339B" w:rsidP="00F02CCA">
      <w:pPr>
        <w:pStyle w:val="a5"/>
        <w:numPr>
          <w:ilvl w:val="0"/>
          <w:numId w:val="35"/>
        </w:numPr>
        <w:spacing w:after="0" w:line="276" w:lineRule="auto"/>
        <w:rPr>
          <w:rFonts w:ascii="David" w:hAnsi="David" w:cs="David"/>
        </w:rPr>
      </w:pPr>
      <w:r>
        <w:rPr>
          <w:rFonts w:ascii="David" w:hAnsi="David" w:cs="David" w:hint="cs"/>
          <w:rtl/>
        </w:rPr>
        <w:t>מסכים שס.14 הוא מקרה מיוחד של החלת דוקטרינת תום הלב.</w:t>
      </w:r>
    </w:p>
    <w:p w14:paraId="3AD15ED4" w14:textId="3E213C2B" w:rsidR="00FC339B" w:rsidRDefault="00FC339B" w:rsidP="00F02CCA">
      <w:pPr>
        <w:pStyle w:val="a5"/>
        <w:numPr>
          <w:ilvl w:val="0"/>
          <w:numId w:val="35"/>
        </w:numPr>
        <w:spacing w:after="0" w:line="276" w:lineRule="auto"/>
        <w:rPr>
          <w:rFonts w:ascii="David" w:hAnsi="David" w:cs="David"/>
        </w:rPr>
      </w:pPr>
      <w:r>
        <w:rPr>
          <w:rFonts w:ascii="David" w:hAnsi="David" w:cs="David"/>
          <w:rtl/>
        </w:rPr>
        <w:t xml:space="preserve">מסכים </w:t>
      </w:r>
      <w:r w:rsidRPr="00C10A08">
        <w:rPr>
          <w:rFonts w:ascii="David" w:hAnsi="David" w:cs="David"/>
          <w:rtl/>
        </w:rPr>
        <w:t>שלבית</w:t>
      </w:r>
      <w:r w:rsidRPr="00C10A08">
        <w:rPr>
          <w:rFonts w:ascii="David" w:hAnsi="David" w:cs="David"/>
          <w:position w:val="4"/>
          <w:sz w:val="22"/>
          <w:rtl/>
        </w:rPr>
        <w:t>-</w:t>
      </w:r>
      <w:r w:rsidRPr="00C10A08">
        <w:rPr>
          <w:rFonts w:ascii="David" w:hAnsi="David" w:cs="David"/>
          <w:rtl/>
        </w:rPr>
        <w:t>המשפט מסור שיקול</w:t>
      </w:r>
      <w:r w:rsidRPr="00C10A08">
        <w:rPr>
          <w:rFonts w:ascii="David" w:hAnsi="David" w:cs="David"/>
          <w:position w:val="4"/>
          <w:sz w:val="22"/>
          <w:rtl/>
        </w:rPr>
        <w:t>-</w:t>
      </w:r>
      <w:r w:rsidRPr="00C10A08">
        <w:rPr>
          <w:rFonts w:ascii="David" w:hAnsi="David" w:cs="David"/>
          <w:rtl/>
        </w:rPr>
        <w:t>דעת אם להעניק סעד לאכיפתה של זכות קניינית</w:t>
      </w:r>
      <w:r>
        <w:rPr>
          <w:rFonts w:ascii="David" w:hAnsi="David" w:cs="David" w:hint="cs"/>
          <w:rtl/>
        </w:rPr>
        <w:t>.</w:t>
      </w:r>
    </w:p>
    <w:p w14:paraId="1C0E069B" w14:textId="64861BE1" w:rsidR="003C6436" w:rsidRPr="00745634" w:rsidRDefault="003C6436" w:rsidP="00F02CCA">
      <w:pPr>
        <w:pStyle w:val="a5"/>
        <w:numPr>
          <w:ilvl w:val="0"/>
          <w:numId w:val="35"/>
        </w:numPr>
        <w:spacing w:after="0" w:line="276" w:lineRule="auto"/>
        <w:rPr>
          <w:rFonts w:ascii="David" w:hAnsi="David" w:cs="David"/>
          <w:b/>
          <w:bCs/>
        </w:rPr>
      </w:pPr>
      <w:r w:rsidRPr="00745634">
        <w:rPr>
          <w:rFonts w:ascii="David" w:hAnsi="David" w:cs="David" w:hint="cs"/>
          <w:b/>
          <w:bCs/>
          <w:rtl/>
        </w:rPr>
        <w:t xml:space="preserve">מסכים להפעלת עיקרון תו"ל בדיני הקניין ושבד"כ במקרים של הפרת תו"ל </w:t>
      </w:r>
      <w:r w:rsidRPr="00745634">
        <w:rPr>
          <w:rFonts w:ascii="David" w:hAnsi="David" w:cs="David"/>
          <w:b/>
          <w:bCs/>
          <w:rtl/>
        </w:rPr>
        <w:t>שיקול</w:t>
      </w:r>
      <w:r w:rsidRPr="00745634">
        <w:rPr>
          <w:rFonts w:ascii="David" w:hAnsi="David" w:cs="David"/>
          <w:b/>
          <w:bCs/>
          <w:position w:val="4"/>
          <w:sz w:val="22"/>
          <w:rtl/>
        </w:rPr>
        <w:t>-</w:t>
      </w:r>
      <w:r w:rsidRPr="00745634">
        <w:rPr>
          <w:rFonts w:ascii="David" w:hAnsi="David" w:cs="David"/>
          <w:b/>
          <w:bCs/>
          <w:rtl/>
        </w:rPr>
        <w:t>הדעת למנוע סעד מן הנפגע במקרים אלה מוגבל למקרים חריגים.</w:t>
      </w:r>
    </w:p>
    <w:p w14:paraId="07E88525" w14:textId="7E48A053" w:rsidR="00E748A7" w:rsidRDefault="00E748A7" w:rsidP="00F02CCA">
      <w:pPr>
        <w:pStyle w:val="a5"/>
        <w:spacing w:after="0" w:line="276" w:lineRule="auto"/>
        <w:ind w:firstLine="0"/>
        <w:rPr>
          <w:rFonts w:ascii="David" w:hAnsi="David" w:cs="David"/>
          <w:rtl/>
        </w:rPr>
      </w:pPr>
    </w:p>
    <w:p w14:paraId="433B7FB9" w14:textId="1563C462" w:rsidR="00E748A7" w:rsidRDefault="00E748A7" w:rsidP="00F02CCA">
      <w:pPr>
        <w:pStyle w:val="a5"/>
        <w:spacing w:after="0" w:line="276" w:lineRule="auto"/>
        <w:ind w:firstLine="0"/>
        <w:rPr>
          <w:rFonts w:ascii="David" w:hAnsi="David" w:cs="David"/>
          <w:b/>
          <w:bCs/>
          <w:rtl/>
        </w:rPr>
      </w:pPr>
      <w:r>
        <w:rPr>
          <w:rFonts w:ascii="David" w:hAnsi="David" w:cs="David" w:hint="cs"/>
          <w:b/>
          <w:bCs/>
          <w:rtl/>
        </w:rPr>
        <w:lastRenderedPageBreak/>
        <w:t xml:space="preserve">השופטת </w:t>
      </w:r>
      <w:proofErr w:type="spellStart"/>
      <w:r>
        <w:rPr>
          <w:rFonts w:ascii="David" w:hAnsi="David" w:cs="David" w:hint="cs"/>
          <w:b/>
          <w:bCs/>
          <w:rtl/>
        </w:rPr>
        <w:t>שטרסברג</w:t>
      </w:r>
      <w:proofErr w:type="spellEnd"/>
      <w:r>
        <w:rPr>
          <w:rFonts w:ascii="David" w:hAnsi="David" w:cs="David" w:hint="cs"/>
          <w:b/>
          <w:bCs/>
          <w:rtl/>
        </w:rPr>
        <w:t>-כהן:</w:t>
      </w:r>
    </w:p>
    <w:p w14:paraId="2FD345BF" w14:textId="204350E1" w:rsidR="00E748A7" w:rsidRPr="00E748A7" w:rsidRDefault="00C637BB" w:rsidP="00F02CCA">
      <w:pPr>
        <w:pStyle w:val="a5"/>
        <w:numPr>
          <w:ilvl w:val="0"/>
          <w:numId w:val="35"/>
        </w:numPr>
        <w:spacing w:after="0" w:line="276" w:lineRule="auto"/>
        <w:rPr>
          <w:rFonts w:ascii="David" w:hAnsi="David" w:cs="David"/>
          <w:b/>
          <w:bCs/>
          <w:rtl/>
        </w:rPr>
      </w:pPr>
      <w:r w:rsidRPr="00C10A08">
        <w:rPr>
          <w:rFonts w:ascii="David" w:hAnsi="David" w:cs="David"/>
          <w:rtl/>
        </w:rPr>
        <w:t>ראוי להפעיל את עקרון תום</w:t>
      </w:r>
      <w:r w:rsidRPr="00C10A08">
        <w:rPr>
          <w:rFonts w:ascii="David" w:hAnsi="David" w:cs="David"/>
          <w:position w:val="4"/>
          <w:sz w:val="22"/>
          <w:rtl/>
        </w:rPr>
        <w:t>-</w:t>
      </w:r>
      <w:r w:rsidRPr="00C10A08">
        <w:rPr>
          <w:rFonts w:ascii="David" w:hAnsi="David" w:cs="David"/>
          <w:rtl/>
        </w:rPr>
        <w:t>הלב על השימוש בזכות קניין במקרקעין כפי שהוא מופעל באשר לזכויות קנייניות אחרות (ולא רק קנייניות).</w:t>
      </w:r>
    </w:p>
    <w:p w14:paraId="093CF2FD" w14:textId="77777777" w:rsidR="005A5C36" w:rsidRPr="005A5C36" w:rsidRDefault="005A5C36" w:rsidP="00F02CCA">
      <w:pPr>
        <w:pStyle w:val="a9"/>
        <w:spacing w:line="276" w:lineRule="auto"/>
        <w:jc w:val="both"/>
        <w:rPr>
          <w:rFonts w:ascii="David" w:hAnsi="David" w:cs="David"/>
          <w:sz w:val="24"/>
          <w:szCs w:val="24"/>
        </w:rPr>
      </w:pPr>
    </w:p>
    <w:p w14:paraId="73351E79" w14:textId="19ECD53C" w:rsidR="00674F49" w:rsidRDefault="00674F49" w:rsidP="00F02CCA">
      <w:pPr>
        <w:tabs>
          <w:tab w:val="left" w:pos="288"/>
          <w:tab w:val="left" w:pos="720"/>
          <w:tab w:val="left" w:pos="1296"/>
        </w:tabs>
        <w:autoSpaceDE w:val="0"/>
        <w:autoSpaceDN w:val="0"/>
        <w:adjustRightInd w:val="0"/>
        <w:spacing w:after="80" w:line="276" w:lineRule="auto"/>
        <w:jc w:val="both"/>
        <w:rPr>
          <w:rtl/>
        </w:rPr>
      </w:pPr>
      <w:r w:rsidRPr="00674F49">
        <w:rPr>
          <w:rtl/>
        </w:rPr>
        <w:tab/>
      </w:r>
    </w:p>
    <w:p w14:paraId="2DBD1439" w14:textId="2286425D" w:rsidR="00E171D2" w:rsidRDefault="00E171D2" w:rsidP="00F02CCA">
      <w:pPr>
        <w:tabs>
          <w:tab w:val="left" w:pos="288"/>
          <w:tab w:val="left" w:pos="720"/>
          <w:tab w:val="left" w:pos="1296"/>
        </w:tabs>
        <w:autoSpaceDE w:val="0"/>
        <w:autoSpaceDN w:val="0"/>
        <w:adjustRightInd w:val="0"/>
        <w:spacing w:after="80" w:line="276" w:lineRule="auto"/>
        <w:jc w:val="both"/>
        <w:rPr>
          <w:sz w:val="28"/>
          <w:szCs w:val="28"/>
          <w:rtl/>
        </w:rPr>
      </w:pPr>
      <w:r>
        <w:rPr>
          <w:rFonts w:hint="cs"/>
          <w:b/>
          <w:bCs/>
          <w:sz w:val="28"/>
          <w:szCs w:val="28"/>
          <w:u w:val="single"/>
          <w:rtl/>
        </w:rPr>
        <w:t>פס"ד היועמ"ש נ' גד חברה לבניין בע"מ</w:t>
      </w:r>
    </w:p>
    <w:p w14:paraId="53AA7B49" w14:textId="1886FBD5" w:rsidR="00276ED0" w:rsidRDefault="00F8533A" w:rsidP="00F02CCA">
      <w:pPr>
        <w:pStyle w:val="a4"/>
        <w:numPr>
          <w:ilvl w:val="0"/>
          <w:numId w:val="35"/>
        </w:numPr>
        <w:tabs>
          <w:tab w:val="left" w:pos="288"/>
          <w:tab w:val="left" w:pos="720"/>
          <w:tab w:val="left" w:pos="1296"/>
        </w:tabs>
        <w:autoSpaceDE w:val="0"/>
        <w:autoSpaceDN w:val="0"/>
        <w:adjustRightInd w:val="0"/>
        <w:spacing w:after="80" w:line="276" w:lineRule="auto"/>
        <w:jc w:val="both"/>
      </w:pPr>
      <w:r>
        <w:rPr>
          <w:rFonts w:hint="cs"/>
          <w:rtl/>
        </w:rPr>
        <w:t>נושא הערעור הוא חוזה אחיד שעוסק במכר דירות מגורים במבנים ושכונות המוקמים ע"י המשיבים באמצעות קבלני משנה.</w:t>
      </w:r>
    </w:p>
    <w:p w14:paraId="0D77E755" w14:textId="21023629" w:rsidR="00E51826" w:rsidRDefault="00E51826" w:rsidP="00F02CCA">
      <w:pPr>
        <w:pStyle w:val="a4"/>
        <w:numPr>
          <w:ilvl w:val="0"/>
          <w:numId w:val="35"/>
        </w:numPr>
        <w:tabs>
          <w:tab w:val="left" w:pos="288"/>
          <w:tab w:val="left" w:pos="720"/>
          <w:tab w:val="left" w:pos="1296"/>
        </w:tabs>
        <w:autoSpaceDE w:val="0"/>
        <w:autoSpaceDN w:val="0"/>
        <w:adjustRightInd w:val="0"/>
        <w:spacing w:after="80" w:line="276" w:lineRule="auto"/>
        <w:jc w:val="both"/>
      </w:pPr>
      <w:r>
        <w:rPr>
          <w:rFonts w:hint="cs"/>
          <w:rtl/>
        </w:rPr>
        <w:t xml:space="preserve">הסעיפים המפלים לטענת היועמ"ש- </w:t>
      </w:r>
    </w:p>
    <w:p w14:paraId="64151567" w14:textId="6C4FED72" w:rsidR="00E31421" w:rsidRDefault="00471191" w:rsidP="00F02CCA">
      <w:pPr>
        <w:pStyle w:val="a4"/>
        <w:numPr>
          <w:ilvl w:val="0"/>
          <w:numId w:val="38"/>
        </w:numPr>
        <w:tabs>
          <w:tab w:val="left" w:pos="288"/>
          <w:tab w:val="left" w:pos="720"/>
          <w:tab w:val="left" w:pos="1296"/>
        </w:tabs>
        <w:autoSpaceDE w:val="0"/>
        <w:autoSpaceDN w:val="0"/>
        <w:adjustRightInd w:val="0"/>
        <w:spacing w:after="80" w:line="276" w:lineRule="auto"/>
        <w:jc w:val="both"/>
      </w:pPr>
      <w:r>
        <w:rPr>
          <w:rFonts w:hint="cs"/>
          <w:b/>
          <w:bCs/>
          <w:rtl/>
        </w:rPr>
        <w:t xml:space="preserve">(ס.2.3 לחוזה) </w:t>
      </w:r>
      <w:r w:rsidRPr="00471191">
        <w:rPr>
          <w:rFonts w:hint="cs"/>
          <w:b/>
          <w:bCs/>
          <w:rtl/>
        </w:rPr>
        <w:t>לא נכתב התאריך המדויק של מסירת הדירה</w:t>
      </w:r>
      <w:r>
        <w:rPr>
          <w:rFonts w:hint="cs"/>
          <w:b/>
          <w:bCs/>
          <w:rtl/>
        </w:rPr>
        <w:t>-</w:t>
      </w:r>
      <w:r>
        <w:rPr>
          <w:rFonts w:hint="cs"/>
          <w:rtl/>
        </w:rPr>
        <w:t xml:space="preserve"> </w:t>
      </w:r>
      <w:r w:rsidR="008C4A34">
        <w:rPr>
          <w:rFonts w:hint="cs"/>
          <w:rtl/>
        </w:rPr>
        <w:t xml:space="preserve">השופט: </w:t>
      </w:r>
      <w:r w:rsidR="008C4A34" w:rsidRPr="00D1708D">
        <w:rPr>
          <w:rtl/>
        </w:rPr>
        <w:t>קביעת מועד המסירה של דירה לפרק זמן בלתי מוגבל ובלתי מתוחם וידוע מראש כופה על הצד השני אי-ודאות מכבידה ביותר, שהיא בלתי</w:t>
      </w:r>
      <w:r w:rsidR="008C4A34" w:rsidRPr="00D1708D">
        <w:t xml:space="preserve"> </w:t>
      </w:r>
      <w:r w:rsidR="008C4A34" w:rsidRPr="00D1708D">
        <w:rPr>
          <w:rtl/>
        </w:rPr>
        <w:t>מוצדקת בנסיבות העניין.</w:t>
      </w:r>
      <w:r w:rsidR="00E31421">
        <w:rPr>
          <w:rFonts w:hint="cs"/>
          <w:b/>
          <w:bCs/>
          <w:rtl/>
        </w:rPr>
        <w:t xml:space="preserve"> </w:t>
      </w:r>
      <w:r w:rsidR="00E31421" w:rsidRPr="00D1708D">
        <w:rPr>
          <w:rtl/>
        </w:rPr>
        <w:t>במצב דברים זה שרוי המתקשר השני במצב של אי-ידיעה לגבי נתון מרכזי בהתקשרות, דבר המונע ממנו בצורה מוחלטת את ההיערכות לקראת קבלת הדירה שרכש, הן מבחינת מכירתה של דירה קודמת והן מכל בחינה אחרת שהיא.</w:t>
      </w:r>
      <w:r w:rsidR="007415C5">
        <w:rPr>
          <w:rFonts w:hint="cs"/>
          <w:rtl/>
        </w:rPr>
        <w:t xml:space="preserve"> </w:t>
      </w:r>
    </w:p>
    <w:p w14:paraId="5155289F" w14:textId="4B043F7E" w:rsidR="007415C5" w:rsidRPr="00D1708D" w:rsidRDefault="007415C5" w:rsidP="00F02CCA">
      <w:pPr>
        <w:pStyle w:val="a4"/>
        <w:tabs>
          <w:tab w:val="left" w:pos="288"/>
          <w:tab w:val="left" w:pos="720"/>
          <w:tab w:val="left" w:pos="1296"/>
        </w:tabs>
        <w:autoSpaceDE w:val="0"/>
        <w:autoSpaceDN w:val="0"/>
        <w:adjustRightInd w:val="0"/>
        <w:spacing w:after="80" w:line="276" w:lineRule="auto"/>
        <w:ind w:left="1080"/>
        <w:jc w:val="both"/>
        <w:rPr>
          <w:rtl/>
        </w:rPr>
      </w:pPr>
      <w:r w:rsidRPr="00D1708D">
        <w:rPr>
          <w:rtl/>
        </w:rPr>
        <w:t>על המשיבים לכלכל צעדיהם, כך שיוכלו למסור את הדירה בנקודת זמן קבועה ומוגדרת מראש. אם דרושה להם לשם כך תקופה נוספת כ"טווח בטחון", מוטב שיקבעו בחוזה המכר מועד מסירה מאוחר, אשר ניתן יהיה להקדימו בהסכמה.</w:t>
      </w:r>
    </w:p>
    <w:p w14:paraId="35D4810D" w14:textId="3CAC817D" w:rsidR="00471191" w:rsidRDefault="00471191" w:rsidP="00F02CCA">
      <w:pPr>
        <w:pStyle w:val="a4"/>
        <w:numPr>
          <w:ilvl w:val="0"/>
          <w:numId w:val="38"/>
        </w:numPr>
        <w:tabs>
          <w:tab w:val="left" w:pos="288"/>
          <w:tab w:val="left" w:pos="720"/>
          <w:tab w:val="left" w:pos="1296"/>
        </w:tabs>
        <w:autoSpaceDE w:val="0"/>
        <w:autoSpaceDN w:val="0"/>
        <w:adjustRightInd w:val="0"/>
        <w:spacing w:after="80" w:line="276" w:lineRule="auto"/>
        <w:jc w:val="both"/>
        <w:rPr>
          <w:b/>
          <w:bCs/>
        </w:rPr>
      </w:pPr>
      <w:r>
        <w:rPr>
          <w:rFonts w:hint="cs"/>
          <w:b/>
          <w:bCs/>
          <w:rtl/>
        </w:rPr>
        <w:t xml:space="preserve">(ס.2.3 לחוזה) הכפפת מועד מסירת הדירה לנאמר בנספח א', </w:t>
      </w:r>
      <w:proofErr w:type="spellStart"/>
      <w:r>
        <w:rPr>
          <w:rFonts w:hint="cs"/>
          <w:b/>
          <w:bCs/>
          <w:rtl/>
        </w:rPr>
        <w:t>התנייה</w:t>
      </w:r>
      <w:proofErr w:type="spellEnd"/>
      <w:r>
        <w:rPr>
          <w:rFonts w:hint="cs"/>
          <w:b/>
          <w:bCs/>
          <w:rtl/>
        </w:rPr>
        <w:t xml:space="preserve"> בהפניה הינה מפלה-</w:t>
      </w:r>
      <w:r>
        <w:rPr>
          <w:rFonts w:hint="cs"/>
          <w:rtl/>
        </w:rPr>
        <w:t xml:space="preserve"> ביהמ"ש אינו מתנגד לניסוח חוזה על דרך ההפניה.</w:t>
      </w:r>
    </w:p>
    <w:p w14:paraId="5F849E86" w14:textId="77777777" w:rsidR="00F151DA" w:rsidRPr="00F151DA" w:rsidRDefault="0022516B" w:rsidP="00F02CCA">
      <w:pPr>
        <w:pStyle w:val="a4"/>
        <w:numPr>
          <w:ilvl w:val="0"/>
          <w:numId w:val="38"/>
        </w:numPr>
        <w:tabs>
          <w:tab w:val="left" w:pos="288"/>
          <w:tab w:val="left" w:pos="720"/>
          <w:tab w:val="left" w:pos="1296"/>
        </w:tabs>
        <w:autoSpaceDE w:val="0"/>
        <w:autoSpaceDN w:val="0"/>
        <w:adjustRightInd w:val="0"/>
        <w:spacing w:after="80" w:line="276" w:lineRule="auto"/>
        <w:jc w:val="both"/>
      </w:pPr>
      <w:r w:rsidRPr="00F151DA">
        <w:rPr>
          <w:rFonts w:hint="cs"/>
          <w:b/>
          <w:bCs/>
          <w:rtl/>
        </w:rPr>
        <w:t xml:space="preserve">חוזה השירותים- </w:t>
      </w:r>
      <w:r w:rsidR="008A3807" w:rsidRPr="00D1708D">
        <w:rPr>
          <w:rtl/>
        </w:rPr>
        <w:t>חוזה השירותים אושר מבלי שבית הדין התייחס לתוכנו. אשר-על-כן יש להחזיר עניין זה לבית הדין, אשר ידון אחת לאחת בהוראות חוזה השירותים ובהסתייגויות בא-כוח היועץ המשפטי לממשלה לגביהן.</w:t>
      </w:r>
      <w:r w:rsidR="00790319">
        <w:rPr>
          <w:rFonts w:hint="cs"/>
          <w:rtl/>
        </w:rPr>
        <w:t xml:space="preserve"> הסעיפים כיום לא תקינים, למשל, הכנסות החברה תלויות בהוצאותיה ולכן תרבה החברה בהוצאות.</w:t>
      </w:r>
      <w:r w:rsidR="003315A3">
        <w:rPr>
          <w:rFonts w:hint="cs"/>
          <w:rtl/>
        </w:rPr>
        <w:t xml:space="preserve"> בנוסף החברה יכולה להשתחרר מהחוזה, אבל הדיירים לא יכולים להשתחרר בעצמם.</w:t>
      </w:r>
    </w:p>
    <w:p w14:paraId="437195D7" w14:textId="31FB543A" w:rsidR="00F151DA" w:rsidRDefault="00F151DA" w:rsidP="00F02CCA">
      <w:pPr>
        <w:pStyle w:val="a4"/>
        <w:tabs>
          <w:tab w:val="left" w:pos="720"/>
          <w:tab w:val="left" w:pos="1440"/>
          <w:tab w:val="left" w:pos="4896"/>
        </w:tabs>
        <w:autoSpaceDE w:val="0"/>
        <w:autoSpaceDN w:val="0"/>
        <w:adjustRightInd w:val="0"/>
        <w:spacing w:after="80" w:line="276" w:lineRule="auto"/>
        <w:ind w:left="1069"/>
        <w:jc w:val="both"/>
        <w:rPr>
          <w:rtl/>
        </w:rPr>
      </w:pPr>
      <w:r w:rsidRPr="00F151DA">
        <w:rPr>
          <w:rFonts w:hint="cs"/>
          <w:b/>
          <w:bCs/>
          <w:rtl/>
        </w:rPr>
        <w:t xml:space="preserve">התנגדות המשיבים לשינויים בחוזה השירותים ע"י ביהמ"ש- </w:t>
      </w:r>
      <w:r w:rsidRPr="00D1708D">
        <w:rPr>
          <w:rtl/>
        </w:rPr>
        <w:t xml:space="preserve">לטענת המשיבים, רק קיום השליטה של המוכר בחברת השירותים עד להקמת "נציגות השכונה" תבטיח כי "חברת השירותים תפעל באורח שוויוני". העברת השליטה לנציגויות הבתים המשותפים שיוקמו תביא </w:t>
      </w:r>
      <w:proofErr w:type="spellStart"/>
      <w:r w:rsidRPr="00D1708D">
        <w:rPr>
          <w:rtl/>
        </w:rPr>
        <w:t>לאינטרסניות</w:t>
      </w:r>
      <w:proofErr w:type="spellEnd"/>
      <w:r w:rsidRPr="00D1708D">
        <w:rPr>
          <w:rtl/>
        </w:rPr>
        <w:t xml:space="preserve"> בדרכי הפעלת החברה, ולהעדפת בית זה או אחר על פני משנהו.</w:t>
      </w:r>
      <w:r w:rsidR="000D1E1D">
        <w:rPr>
          <w:rFonts w:hint="cs"/>
          <w:rtl/>
        </w:rPr>
        <w:t>- לפי ביהמ"ש אין יסוד לטענה זו.</w:t>
      </w:r>
    </w:p>
    <w:p w14:paraId="5B1F4E50" w14:textId="2541D065" w:rsidR="00DD01EC" w:rsidRDefault="00241EFB" w:rsidP="00F02CCA">
      <w:pPr>
        <w:pStyle w:val="a4"/>
        <w:numPr>
          <w:ilvl w:val="0"/>
          <w:numId w:val="38"/>
        </w:numPr>
        <w:tabs>
          <w:tab w:val="left" w:pos="288"/>
          <w:tab w:val="left" w:pos="720"/>
          <w:tab w:val="left" w:pos="1296"/>
        </w:tabs>
        <w:autoSpaceDE w:val="0"/>
        <w:autoSpaceDN w:val="0"/>
        <w:adjustRightInd w:val="0"/>
        <w:spacing w:after="80" w:line="276" w:lineRule="auto"/>
        <w:jc w:val="both"/>
      </w:pPr>
      <w:r w:rsidRPr="00BE31B2">
        <w:rPr>
          <w:rFonts w:hint="cs"/>
          <w:b/>
          <w:bCs/>
          <w:rtl/>
        </w:rPr>
        <w:t>(ס.9 לחוזה) מונע מהקונים לרשום הערת אזהרה על הבית-</w:t>
      </w:r>
      <w:r>
        <w:rPr>
          <w:rFonts w:hint="cs"/>
          <w:rtl/>
        </w:rPr>
        <w:t xml:space="preserve"> </w:t>
      </w:r>
      <w:r w:rsidR="000F007E" w:rsidRPr="00D1708D">
        <w:rPr>
          <w:rtl/>
        </w:rPr>
        <w:t xml:space="preserve">סעיף </w:t>
      </w:r>
      <w:hyperlink r:id="rId17" w:history="1">
        <w:r w:rsidR="000F007E" w:rsidRPr="00D1708D">
          <w:rPr>
            <w:rStyle w:val="Hyperlink"/>
          </w:rPr>
          <w:t>126</w:t>
        </w:r>
      </w:hyperlink>
      <w:r w:rsidR="000F007E" w:rsidRPr="00D1708D">
        <w:rPr>
          <w:rtl/>
        </w:rPr>
        <w:t xml:space="preserve"> ל</w:t>
      </w:r>
      <w:hyperlink r:id="rId18" w:history="1">
        <w:r w:rsidR="000F007E" w:rsidRPr="00D1708D">
          <w:rPr>
            <w:rStyle w:val="Hyperlink"/>
            <w:rtl/>
          </w:rPr>
          <w:t>חוק המקרקעין</w:t>
        </w:r>
      </w:hyperlink>
      <w:r w:rsidR="000F007E" w:rsidRPr="00D1708D">
        <w:rPr>
          <w:rtl/>
        </w:rPr>
        <w:t xml:space="preserve"> מאפשר רישומה של הערת אזהרה על</w:t>
      </w:r>
      <w:r w:rsidR="00BE31B2">
        <w:rPr>
          <w:rFonts w:hint="cs"/>
          <w:rtl/>
        </w:rPr>
        <w:t xml:space="preserve"> </w:t>
      </w:r>
      <w:r w:rsidR="000F007E" w:rsidRPr="00D1708D">
        <w:rPr>
          <w:rtl/>
        </w:rPr>
        <w:t xml:space="preserve">התחייבותו של בעל זכות במקרקעין כלפי אדם אחר לעשות בהם </w:t>
      </w:r>
      <w:proofErr w:type="spellStart"/>
      <w:r w:rsidR="000F007E" w:rsidRPr="00D1708D">
        <w:rPr>
          <w:rtl/>
        </w:rPr>
        <w:t>עיסקה</w:t>
      </w:r>
      <w:proofErr w:type="spellEnd"/>
      <w:r w:rsidR="000F007E" w:rsidRPr="00D1708D">
        <w:rPr>
          <w:rtl/>
        </w:rPr>
        <w:t>. ההערה על ההתחייבות יכולה להירשם על-פי בקשתו של המתחייב או על-פי בקשת הזכאי על-פי ההתחייבות (שאז יודיע הרשם על כך מיד למתחייב).</w:t>
      </w:r>
    </w:p>
    <w:p w14:paraId="72BD1427" w14:textId="7AD1E738" w:rsidR="00BE31B2" w:rsidRDefault="00BE31B2" w:rsidP="00F02CCA">
      <w:pPr>
        <w:pStyle w:val="a4"/>
        <w:tabs>
          <w:tab w:val="left" w:pos="720"/>
          <w:tab w:val="left" w:pos="1440"/>
          <w:tab w:val="left" w:pos="4896"/>
        </w:tabs>
        <w:autoSpaceDE w:val="0"/>
        <w:autoSpaceDN w:val="0"/>
        <w:adjustRightInd w:val="0"/>
        <w:spacing w:after="80" w:line="276" w:lineRule="auto"/>
        <w:ind w:left="1069"/>
        <w:jc w:val="both"/>
        <w:rPr>
          <w:rtl/>
        </w:rPr>
      </w:pPr>
      <w:r w:rsidRPr="00D1708D">
        <w:rPr>
          <w:rtl/>
        </w:rPr>
        <w:t>משנרשמה הערת אזהרה, לא תיפגע זכותו של הזכאי גם מחמת עיקול שהוטל על נכסי בעל המקרקעין או מחמת הכרזתו כפושט-רגל או פירוקו של תאגיד</w:t>
      </w:r>
      <w:r w:rsidR="00A90EDB">
        <w:rPr>
          <w:rFonts w:hint="cs"/>
          <w:rtl/>
        </w:rPr>
        <w:t>.</w:t>
      </w:r>
    </w:p>
    <w:p w14:paraId="61A05431" w14:textId="0415D0A5" w:rsidR="00A90EDB" w:rsidRDefault="00A90EDB" w:rsidP="00F02CCA">
      <w:pPr>
        <w:pStyle w:val="a4"/>
        <w:tabs>
          <w:tab w:val="left" w:pos="720"/>
          <w:tab w:val="left" w:pos="1440"/>
          <w:tab w:val="left" w:pos="4896"/>
        </w:tabs>
        <w:autoSpaceDE w:val="0"/>
        <w:autoSpaceDN w:val="0"/>
        <w:adjustRightInd w:val="0"/>
        <w:spacing w:after="80" w:line="276" w:lineRule="auto"/>
        <w:ind w:left="1069"/>
        <w:jc w:val="both"/>
        <w:rPr>
          <w:rtl/>
        </w:rPr>
      </w:pPr>
      <w:r w:rsidRPr="00D1708D">
        <w:rPr>
          <w:rtl/>
        </w:rPr>
        <w:t xml:space="preserve">: הוראת סעיף </w:t>
      </w:r>
      <w:hyperlink r:id="rId19" w:history="1">
        <w:r w:rsidRPr="00D1708D">
          <w:rPr>
            <w:color w:val="0000FF"/>
            <w:u w:val="single"/>
            <w:rtl/>
          </w:rPr>
          <w:t>2</w:t>
        </w:r>
      </w:hyperlink>
      <w:r w:rsidRPr="00D1708D">
        <w:rPr>
          <w:rtl/>
        </w:rPr>
        <w:t xml:space="preserve"> ל</w:t>
      </w:r>
      <w:hyperlink r:id="rId20" w:history="1">
        <w:r w:rsidRPr="00D1708D">
          <w:rPr>
            <w:rStyle w:val="Hyperlink"/>
            <w:rtl/>
          </w:rPr>
          <w:t xml:space="preserve">חוק המכר (דירות) (הבטחת השקעות של </w:t>
        </w:r>
        <w:proofErr w:type="spellStart"/>
        <w:r w:rsidRPr="00D1708D">
          <w:rPr>
            <w:rStyle w:val="Hyperlink"/>
            <w:rtl/>
          </w:rPr>
          <w:t>רוכשי</w:t>
        </w:r>
        <w:proofErr w:type="spellEnd"/>
        <w:r w:rsidRPr="00D1708D">
          <w:rPr>
            <w:rStyle w:val="Hyperlink"/>
            <w:rtl/>
          </w:rPr>
          <w:t xml:space="preserve"> דירות)</w:t>
        </w:r>
      </w:hyperlink>
      <w:r w:rsidRPr="00D1708D">
        <w:rPr>
          <w:rtl/>
        </w:rPr>
        <w:t xml:space="preserve"> הנ"ל היא הוראה </w:t>
      </w:r>
      <w:proofErr w:type="spellStart"/>
      <w:r w:rsidRPr="00D1708D">
        <w:rPr>
          <w:rtl/>
        </w:rPr>
        <w:t>קוגנטית</w:t>
      </w:r>
      <w:proofErr w:type="spellEnd"/>
      <w:r w:rsidRPr="00D1708D">
        <w:rPr>
          <w:rtl/>
        </w:rPr>
        <w:t xml:space="preserve"> שאין להתנות עליה, והתנאה כאמור מהווה עבירה פלילית כקבוע בסעיף </w:t>
      </w:r>
      <w:hyperlink r:id="rId21" w:history="1">
        <w:r w:rsidRPr="00D1708D">
          <w:rPr>
            <w:color w:val="0000FF"/>
            <w:u w:val="single"/>
            <w:rtl/>
          </w:rPr>
          <w:t>4</w:t>
        </w:r>
      </w:hyperlink>
      <w:r w:rsidRPr="00D1708D">
        <w:rPr>
          <w:rtl/>
        </w:rPr>
        <w:t xml:space="preserve"> של אותו חוק. הוראה זו ביקשה להבטיח את כספיהם של הקונים, אם המוכר יהפוך לחדל פירעון. החלופות המבטיחות כספים אלה ברישום הערת אזהרה או משכנתא אינן חובה, אלא רק</w:t>
      </w:r>
      <w:r w:rsidRPr="00D1708D">
        <w:t xml:space="preserve"> </w:t>
      </w:r>
      <w:r w:rsidRPr="00D1708D">
        <w:rPr>
          <w:rtl/>
        </w:rPr>
        <w:t xml:space="preserve">חלק </w:t>
      </w:r>
      <w:proofErr w:type="spellStart"/>
      <w:r w:rsidRPr="00D1708D">
        <w:rPr>
          <w:rtl/>
        </w:rPr>
        <w:t>ממיגוון</w:t>
      </w:r>
      <w:proofErr w:type="spellEnd"/>
      <w:r w:rsidRPr="00D1708D">
        <w:rPr>
          <w:rtl/>
        </w:rPr>
        <w:t xml:space="preserve"> האפשרויות, שעל המוכר חובה לבור אחת מהן.</w:t>
      </w:r>
      <w:r w:rsidR="00DB7913">
        <w:rPr>
          <w:rFonts w:hint="cs"/>
          <w:rtl/>
        </w:rPr>
        <w:t xml:space="preserve"> (כלומר זה לא משנה אם זה הערת אזהרה בהכרח, אבל חייבת להיות דרך להבטיח את הגנת הכסף של הקונה)</w:t>
      </w:r>
    </w:p>
    <w:p w14:paraId="2F838947" w14:textId="5FEA6374" w:rsidR="00F625BD" w:rsidRDefault="00F625BD" w:rsidP="00F02CCA">
      <w:pPr>
        <w:pStyle w:val="a4"/>
        <w:numPr>
          <w:ilvl w:val="0"/>
          <w:numId w:val="38"/>
        </w:numPr>
        <w:tabs>
          <w:tab w:val="left" w:pos="720"/>
          <w:tab w:val="left" w:pos="1440"/>
          <w:tab w:val="left" w:pos="4896"/>
        </w:tabs>
        <w:autoSpaceDE w:val="0"/>
        <w:autoSpaceDN w:val="0"/>
        <w:adjustRightInd w:val="0"/>
        <w:spacing w:after="80" w:line="276" w:lineRule="auto"/>
        <w:jc w:val="both"/>
      </w:pPr>
      <w:r>
        <w:rPr>
          <w:rFonts w:hint="cs"/>
          <w:b/>
          <w:bCs/>
          <w:rtl/>
        </w:rPr>
        <w:t xml:space="preserve">(ס.25 לחוזה) </w:t>
      </w:r>
      <w:r w:rsidRPr="00F625BD">
        <w:rPr>
          <w:rFonts w:hint="cs"/>
          <w:b/>
          <w:bCs/>
          <w:rtl/>
        </w:rPr>
        <w:t>הטילו</w:t>
      </w:r>
      <w:r w:rsidRPr="00F625BD">
        <w:rPr>
          <w:b/>
          <w:bCs/>
          <w:rtl/>
        </w:rPr>
        <w:t xml:space="preserve"> הגבלות קשות על ציבור </w:t>
      </w:r>
      <w:proofErr w:type="spellStart"/>
      <w:r w:rsidRPr="00F625BD">
        <w:rPr>
          <w:b/>
          <w:bCs/>
          <w:rtl/>
        </w:rPr>
        <w:t>רוכשי</w:t>
      </w:r>
      <w:proofErr w:type="spellEnd"/>
      <w:r w:rsidRPr="00F625BD">
        <w:rPr>
          <w:b/>
          <w:bCs/>
          <w:rtl/>
        </w:rPr>
        <w:t xml:space="preserve"> הדירות</w:t>
      </w:r>
      <w:r>
        <w:rPr>
          <w:rFonts w:hint="cs"/>
          <w:b/>
          <w:bCs/>
          <w:rtl/>
        </w:rPr>
        <w:t>-</w:t>
      </w:r>
      <w:r>
        <w:rPr>
          <w:rFonts w:hint="cs"/>
          <w:rtl/>
        </w:rPr>
        <w:t xml:space="preserve"> </w:t>
      </w:r>
      <w:r w:rsidRPr="00D1708D">
        <w:rPr>
          <w:rtl/>
        </w:rPr>
        <w:t xml:space="preserve">בית הדין פסל כמחצית מסעיפי המשנה של סעיף </w:t>
      </w:r>
      <w:r w:rsidRPr="00D1708D">
        <w:t>25</w:t>
      </w:r>
      <w:r w:rsidRPr="00D1708D">
        <w:rPr>
          <w:rtl/>
        </w:rPr>
        <w:t>לחוזה האחיד.</w:t>
      </w:r>
      <w:r w:rsidR="004B5FCF">
        <w:rPr>
          <w:rFonts w:hint="cs"/>
          <w:rtl/>
        </w:rPr>
        <w:t xml:space="preserve"> לפי היועמ"ש, </w:t>
      </w:r>
      <w:r w:rsidR="004B5FCF" w:rsidRPr="00D1708D">
        <w:rPr>
          <w:rtl/>
        </w:rPr>
        <w:t xml:space="preserve">עניין אישור השינויים במראה החיצוני של הבית איננו עניין למשיבים לענות בו כי אם למוסדות הבית המשותף (האסיפה הכללית והנציגות) הפועלים על-פי הוראות </w:t>
      </w:r>
      <w:hyperlink r:id="rId22" w:history="1">
        <w:r w:rsidR="004B5FCF" w:rsidRPr="00D1708D">
          <w:rPr>
            <w:rStyle w:val="Hyperlink"/>
            <w:rtl/>
          </w:rPr>
          <w:t>חוק המקרקעין</w:t>
        </w:r>
      </w:hyperlink>
      <w:r w:rsidR="004B5FCF" w:rsidRPr="00D1708D">
        <w:rPr>
          <w:rtl/>
        </w:rPr>
        <w:t xml:space="preserve"> והוראות התקנון</w:t>
      </w:r>
      <w:r w:rsidR="004B5FCF">
        <w:rPr>
          <w:rFonts w:hint="cs"/>
          <w:rtl/>
        </w:rPr>
        <w:t>.</w:t>
      </w:r>
      <w:r w:rsidR="00A94319">
        <w:rPr>
          <w:rFonts w:hint="cs"/>
          <w:rtl/>
        </w:rPr>
        <w:t xml:space="preserve"> </w:t>
      </w:r>
    </w:p>
    <w:p w14:paraId="3DF64E67" w14:textId="598FDE63" w:rsidR="00A94319" w:rsidRDefault="0047703C" w:rsidP="00F02CCA">
      <w:pPr>
        <w:pStyle w:val="a4"/>
        <w:tabs>
          <w:tab w:val="left" w:pos="720"/>
          <w:tab w:val="left" w:pos="1440"/>
          <w:tab w:val="left" w:pos="4896"/>
        </w:tabs>
        <w:autoSpaceDE w:val="0"/>
        <w:autoSpaceDN w:val="0"/>
        <w:adjustRightInd w:val="0"/>
        <w:spacing w:after="80" w:line="276" w:lineRule="auto"/>
        <w:ind w:left="1069"/>
        <w:jc w:val="both"/>
        <w:rPr>
          <w:rtl/>
        </w:rPr>
      </w:pPr>
      <w:hyperlink r:id="rId23" w:history="1">
        <w:r w:rsidR="00A94319" w:rsidRPr="00D1708D">
          <w:rPr>
            <w:rStyle w:val="Hyperlink"/>
            <w:rtl/>
          </w:rPr>
          <w:t>חוק המקרקעין</w:t>
        </w:r>
      </w:hyperlink>
      <w:r w:rsidR="00A94319" w:rsidRPr="00D1708D">
        <w:rPr>
          <w:rtl/>
        </w:rPr>
        <w:t xml:space="preserve"> גופו, בפרק </w:t>
      </w:r>
      <w:hyperlink r:id="rId24" w:history="1">
        <w:r w:rsidR="00A94319" w:rsidRPr="00D1708D">
          <w:rPr>
            <w:color w:val="0000FF"/>
            <w:u w:val="single"/>
            <w:rtl/>
          </w:rPr>
          <w:t>ו1</w:t>
        </w:r>
      </w:hyperlink>
      <w:r w:rsidR="00A94319" w:rsidRPr="00D1708D">
        <w:t xml:space="preserve"> </w:t>
      </w:r>
      <w:r w:rsidR="00A94319" w:rsidRPr="00D1708D">
        <w:rPr>
          <w:rtl/>
        </w:rPr>
        <w:t xml:space="preserve">שבו, מחיל את מרבית הוראות החוק לגבי בתים משותפים וכן את הוראות התקנון המצוי (סעיף </w:t>
      </w:r>
      <w:hyperlink r:id="rId25" w:history="1">
        <w:r w:rsidR="00A94319" w:rsidRPr="00D1708D">
          <w:rPr>
            <w:color w:val="0000FF"/>
            <w:u w:val="single"/>
          </w:rPr>
          <w:t>77</w:t>
        </w:r>
        <w:r w:rsidR="00A94319" w:rsidRPr="00D1708D">
          <w:rPr>
            <w:color w:val="0000FF"/>
            <w:u w:val="single"/>
            <w:rtl/>
          </w:rPr>
          <w:t>ג</w:t>
        </w:r>
      </w:hyperlink>
      <w:r w:rsidR="00A94319" w:rsidRPr="00D1708D">
        <w:rPr>
          <w:rtl/>
        </w:rPr>
        <w:t>) גם על בית שטרם נרשם כבית משותף.</w:t>
      </w:r>
      <w:r w:rsidR="00AA6B86">
        <w:rPr>
          <w:rFonts w:hint="cs"/>
          <w:rtl/>
        </w:rPr>
        <w:t xml:space="preserve"> </w:t>
      </w:r>
      <w:r w:rsidR="00AA6B86" w:rsidRPr="00D1708D">
        <w:rPr>
          <w:rtl/>
        </w:rPr>
        <w:t xml:space="preserve">על-פי הוראות סעיפים </w:t>
      </w:r>
      <w:hyperlink r:id="rId26" w:history="1">
        <w:r w:rsidR="00AA6B86" w:rsidRPr="00D1708D">
          <w:rPr>
            <w:rStyle w:val="Hyperlink"/>
          </w:rPr>
          <w:t>66</w:t>
        </w:r>
      </w:hyperlink>
      <w:r w:rsidR="00AA6B86" w:rsidRPr="00D1708D">
        <w:rPr>
          <w:rtl/>
        </w:rPr>
        <w:t xml:space="preserve"> לגבי בית רשום) ו-</w:t>
      </w:r>
      <w:hyperlink r:id="rId27" w:history="1">
        <w:r w:rsidR="00AA6B86" w:rsidRPr="00D1708D">
          <w:rPr>
            <w:color w:val="0000FF"/>
            <w:u w:val="single"/>
          </w:rPr>
          <w:t>77</w:t>
        </w:r>
        <w:r w:rsidR="00AA6B86" w:rsidRPr="00D1708D">
          <w:rPr>
            <w:color w:val="0000FF"/>
            <w:u w:val="single"/>
            <w:rtl/>
          </w:rPr>
          <w:t>ד</w:t>
        </w:r>
      </w:hyperlink>
      <w:r w:rsidR="00AA6B86" w:rsidRPr="00D1708D">
        <w:rPr>
          <w:rtl/>
        </w:rPr>
        <w:t xml:space="preserve"> ו-</w:t>
      </w:r>
      <w:hyperlink r:id="rId28" w:history="1">
        <w:r w:rsidR="00AA6B86" w:rsidRPr="00D1708D">
          <w:rPr>
            <w:color w:val="0000FF"/>
            <w:u w:val="single"/>
          </w:rPr>
          <w:t>77</w:t>
        </w:r>
        <w:r w:rsidR="00AA6B86" w:rsidRPr="00D1708D">
          <w:rPr>
            <w:color w:val="0000FF"/>
            <w:u w:val="single"/>
            <w:rtl/>
          </w:rPr>
          <w:t>ה</w:t>
        </w:r>
      </w:hyperlink>
      <w:r w:rsidR="00AA6B86" w:rsidRPr="00D1708D">
        <w:rPr>
          <w:rtl/>
        </w:rPr>
        <w:t xml:space="preserve"> (לגבי בית שטרם נרשם) ניתן לכונן נציגות לבית המשותף למן הקמתו. זו תוכל גם לאשר את השינויים והתיקונים בהם מדובר בחוזה האחיד שלפנינו.</w:t>
      </w:r>
    </w:p>
    <w:p w14:paraId="7F5370AA" w14:textId="3F16131B" w:rsidR="00667B36" w:rsidRDefault="00667B36" w:rsidP="00F02CCA">
      <w:pPr>
        <w:pStyle w:val="a4"/>
        <w:tabs>
          <w:tab w:val="left" w:pos="720"/>
          <w:tab w:val="left" w:pos="1440"/>
          <w:tab w:val="left" w:pos="4896"/>
        </w:tabs>
        <w:autoSpaceDE w:val="0"/>
        <w:autoSpaceDN w:val="0"/>
        <w:adjustRightInd w:val="0"/>
        <w:spacing w:after="80" w:line="276" w:lineRule="auto"/>
        <w:ind w:left="1069"/>
        <w:jc w:val="both"/>
        <w:rPr>
          <w:rtl/>
        </w:rPr>
      </w:pPr>
    </w:p>
    <w:p w14:paraId="4CE7DBA2" w14:textId="198A15FB" w:rsidR="00667B36" w:rsidRDefault="00667B36" w:rsidP="00F02CCA">
      <w:pPr>
        <w:tabs>
          <w:tab w:val="left" w:pos="720"/>
          <w:tab w:val="left" w:pos="1440"/>
          <w:tab w:val="left" w:pos="4896"/>
        </w:tabs>
        <w:autoSpaceDE w:val="0"/>
        <w:autoSpaceDN w:val="0"/>
        <w:adjustRightInd w:val="0"/>
        <w:spacing w:after="80" w:line="276" w:lineRule="auto"/>
        <w:jc w:val="both"/>
        <w:rPr>
          <w:b/>
          <w:bCs/>
          <w:sz w:val="28"/>
          <w:szCs w:val="28"/>
          <w:u w:val="single"/>
          <w:rtl/>
        </w:rPr>
      </w:pPr>
      <w:r w:rsidRPr="00667B36">
        <w:rPr>
          <w:rFonts w:hint="cs"/>
          <w:b/>
          <w:bCs/>
          <w:sz w:val="28"/>
          <w:szCs w:val="28"/>
          <w:u w:val="single"/>
          <w:rtl/>
        </w:rPr>
        <w:t xml:space="preserve">פס"ד </w:t>
      </w:r>
      <w:proofErr w:type="spellStart"/>
      <w:r w:rsidRPr="00667B36">
        <w:rPr>
          <w:rFonts w:hint="cs"/>
          <w:b/>
          <w:bCs/>
          <w:sz w:val="28"/>
          <w:szCs w:val="28"/>
          <w:u w:val="single"/>
          <w:rtl/>
        </w:rPr>
        <w:t>שמעונוף</w:t>
      </w:r>
      <w:proofErr w:type="spellEnd"/>
      <w:r w:rsidRPr="00667B36">
        <w:rPr>
          <w:rFonts w:hint="cs"/>
          <w:b/>
          <w:bCs/>
          <w:sz w:val="28"/>
          <w:szCs w:val="28"/>
          <w:u w:val="single"/>
          <w:rtl/>
        </w:rPr>
        <w:t xml:space="preserve"> נ' ברוכים</w:t>
      </w:r>
    </w:p>
    <w:p w14:paraId="6179EC1D" w14:textId="76AD1B96" w:rsidR="00667B36" w:rsidRDefault="00963C3E" w:rsidP="00F02CCA">
      <w:pPr>
        <w:tabs>
          <w:tab w:val="left" w:pos="720"/>
          <w:tab w:val="left" w:pos="1440"/>
          <w:tab w:val="left" w:pos="4896"/>
        </w:tabs>
        <w:autoSpaceDE w:val="0"/>
        <w:autoSpaceDN w:val="0"/>
        <w:adjustRightInd w:val="0"/>
        <w:spacing w:after="80" w:line="276" w:lineRule="auto"/>
        <w:jc w:val="both"/>
        <w:rPr>
          <w:rtl/>
        </w:rPr>
      </w:pPr>
      <w:r>
        <w:rPr>
          <w:rFonts w:hint="cs"/>
          <w:u w:val="single"/>
          <w:rtl/>
        </w:rPr>
        <w:t>הסיפור העובדתי:</w:t>
      </w:r>
    </w:p>
    <w:p w14:paraId="6A08329D" w14:textId="602AFC3B" w:rsidR="00963C3E" w:rsidRDefault="00144FC7"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0669E1">
        <w:rPr>
          <w:rtl/>
        </w:rPr>
        <w:t>הקונים</w:t>
      </w:r>
      <w:r w:rsidRPr="000669E1">
        <w:t xml:space="preserve"> </w:t>
      </w:r>
      <w:r w:rsidRPr="000669E1">
        <w:rPr>
          <w:rtl/>
        </w:rPr>
        <w:t>רכשו מאת המערער דירות בבית, האמור להירשם כבית משותף, ואשר נבנה על</w:t>
      </w:r>
      <w:r w:rsidRPr="000669E1">
        <w:softHyphen/>
      </w:r>
      <w:r w:rsidRPr="000669E1">
        <w:rPr>
          <w:rtl/>
        </w:rPr>
        <w:t>ידי המוכר</w:t>
      </w:r>
      <w:r>
        <w:rPr>
          <w:rFonts w:hint="cs"/>
          <w:rtl/>
        </w:rPr>
        <w:t>.</w:t>
      </w:r>
    </w:p>
    <w:p w14:paraId="6C1B5D0A" w14:textId="52CF422B" w:rsidR="00E805BD" w:rsidRDefault="00E805BD"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0669E1">
        <w:rPr>
          <w:rtl/>
        </w:rPr>
        <w:t xml:space="preserve">לפי תכנית </w:t>
      </w:r>
      <w:proofErr w:type="spellStart"/>
      <w:r w:rsidRPr="000669E1">
        <w:rPr>
          <w:rtl/>
        </w:rPr>
        <w:t>המיתאר</w:t>
      </w:r>
      <w:proofErr w:type="spellEnd"/>
      <w:r w:rsidRPr="000669E1">
        <w:rPr>
          <w:rtl/>
        </w:rPr>
        <w:t xml:space="preserve"> והתכנית המאושרת ולפי ההיתר לבנייה</w:t>
      </w:r>
      <w:r>
        <w:rPr>
          <w:rFonts w:hint="cs"/>
          <w:rtl/>
        </w:rPr>
        <w:t xml:space="preserve">, </w:t>
      </w:r>
      <w:r w:rsidRPr="000669E1">
        <w:rPr>
          <w:rtl/>
        </w:rPr>
        <w:t xml:space="preserve">מכיל הבית: א. קומת מקלט וחניה; ב. קומה מפולשת; ג. קומת חנויות; ד. </w:t>
      </w:r>
      <w:r w:rsidRPr="000669E1">
        <w:t>4</w:t>
      </w:r>
      <w:r w:rsidRPr="000669E1">
        <w:rPr>
          <w:rtl/>
        </w:rPr>
        <w:t xml:space="preserve">קומות ובהן </w:t>
      </w:r>
      <w:r w:rsidRPr="000669E1">
        <w:t>16</w:t>
      </w:r>
      <w:r w:rsidRPr="000669E1">
        <w:rPr>
          <w:rtl/>
        </w:rPr>
        <w:t>דירות; ה. חדרי מדרגות ומעלית.</w:t>
      </w:r>
    </w:p>
    <w:p w14:paraId="742A477B" w14:textId="50101760" w:rsidR="00E805BD" w:rsidRDefault="009513C6"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0669E1">
        <w:rPr>
          <w:rtl/>
        </w:rPr>
        <w:lastRenderedPageBreak/>
        <w:t>עובר למסירת</w:t>
      </w:r>
      <w:r w:rsidRPr="000669E1">
        <w:t xml:space="preserve"> </w:t>
      </w:r>
      <w:r w:rsidRPr="000669E1">
        <w:rPr>
          <w:rtl/>
        </w:rPr>
        <w:t>הדירה לכל אחד מתשעת הקונים</w:t>
      </w:r>
      <w:r>
        <w:rPr>
          <w:rFonts w:hint="cs"/>
          <w:rtl/>
        </w:rPr>
        <w:t xml:space="preserve"> הראשונים</w:t>
      </w:r>
      <w:r w:rsidRPr="000669E1">
        <w:rPr>
          <w:rtl/>
        </w:rPr>
        <w:t xml:space="preserve"> החתים המוכר, או פרקליטו, את הקונה על מסמך, המכונה "פרוטוקול בדיקת דירה"</w:t>
      </w:r>
      <w:r w:rsidR="00C54BDC">
        <w:rPr>
          <w:rFonts w:hint="cs"/>
          <w:rtl/>
        </w:rPr>
        <w:t xml:space="preserve"> שלפיו הקונים הצהירו שאין בעיות בבית.</w:t>
      </w:r>
      <w:r w:rsidR="004E54A0">
        <w:rPr>
          <w:rFonts w:hint="cs"/>
          <w:rtl/>
        </w:rPr>
        <w:t xml:space="preserve"> </w:t>
      </w:r>
      <w:r w:rsidR="004E54A0" w:rsidRPr="000669E1">
        <w:rPr>
          <w:rtl/>
        </w:rPr>
        <w:t>הקונה העשירי, שצורף בבית המשפט המחוזי לאחר הגשת התביעה, לא חתם על פרוטוקול כאמור.</w:t>
      </w:r>
    </w:p>
    <w:p w14:paraId="145DA9DA" w14:textId="7EDB96EA" w:rsidR="0001208E" w:rsidRDefault="0001208E"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 xml:space="preserve">חילוקי הדעות העיקריים בין הקונים למוכר הם באשר </w:t>
      </w:r>
      <w:proofErr w:type="spellStart"/>
      <w:r>
        <w:rPr>
          <w:rFonts w:hint="cs"/>
          <w:rtl/>
        </w:rPr>
        <w:t>להאם</w:t>
      </w:r>
      <w:proofErr w:type="spellEnd"/>
      <w:r>
        <w:rPr>
          <w:rFonts w:hint="cs"/>
          <w:rtl/>
        </w:rPr>
        <w:t xml:space="preserve"> הקומה המפולשת והגג הם רכוש משותף.</w:t>
      </w:r>
    </w:p>
    <w:p w14:paraId="49398CF7" w14:textId="30B2B30E" w:rsidR="00E22102" w:rsidRDefault="00E22102" w:rsidP="00F02CCA">
      <w:pPr>
        <w:tabs>
          <w:tab w:val="left" w:pos="720"/>
          <w:tab w:val="left" w:pos="1440"/>
          <w:tab w:val="left" w:pos="4896"/>
        </w:tabs>
        <w:autoSpaceDE w:val="0"/>
        <w:autoSpaceDN w:val="0"/>
        <w:adjustRightInd w:val="0"/>
        <w:spacing w:after="80" w:line="276" w:lineRule="auto"/>
        <w:jc w:val="both"/>
        <w:rPr>
          <w:u w:val="single"/>
          <w:rtl/>
        </w:rPr>
      </w:pPr>
      <w:r>
        <w:rPr>
          <w:rFonts w:hint="cs"/>
          <w:u w:val="single"/>
          <w:rtl/>
        </w:rPr>
        <w:t>הדיון:</w:t>
      </w:r>
    </w:p>
    <w:p w14:paraId="528BF8CD" w14:textId="5CF88B84" w:rsidR="004F0BFA" w:rsidRDefault="004F0BFA"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0669E1">
        <w:rPr>
          <w:rtl/>
        </w:rPr>
        <w:t xml:space="preserve">משנקבע ביחסים שבין המוכר-הקבלן לבין אחד הקונים-הדיירים, כי רכוש מסוים שבבית רכוש משותף הוא, חלה קביעה זו מאליה ובאופן </w:t>
      </w:r>
      <w:proofErr w:type="spellStart"/>
      <w:r w:rsidRPr="000669E1">
        <w:rPr>
          <w:rtl/>
        </w:rPr>
        <w:t>אוטומאטי</w:t>
      </w:r>
      <w:proofErr w:type="spellEnd"/>
      <w:r w:rsidRPr="000669E1">
        <w:rPr>
          <w:rtl/>
        </w:rPr>
        <w:t xml:space="preserve"> לעניין רכוש מסוים זה גם לגבי היחסים שבין יתר הקונים-הדיירים שבאותו בניין לבין הקבלן-המוכר</w:t>
      </w:r>
      <w:r>
        <w:rPr>
          <w:rFonts w:hint="cs"/>
          <w:rtl/>
        </w:rPr>
        <w:t>.</w:t>
      </w:r>
    </w:p>
    <w:p w14:paraId="460D3758" w14:textId="4D75D0C9" w:rsidR="004F0BFA" w:rsidRDefault="00186B3A"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0669E1">
        <w:rPr>
          <w:rtl/>
        </w:rPr>
        <w:t>כדי להבטיח שאכן הובאו הדברים לידיעת הקונה והובנו על-ידיו</w:t>
      </w:r>
      <w:r w:rsidRPr="000669E1">
        <w:t xml:space="preserve">, </w:t>
      </w:r>
      <w:r w:rsidRPr="000669E1">
        <w:rPr>
          <w:rtl/>
        </w:rPr>
        <w:t xml:space="preserve">חובה היא על המוכר לצרף לחוזה </w:t>
      </w:r>
      <w:proofErr w:type="spellStart"/>
      <w:r w:rsidRPr="000669E1">
        <w:rPr>
          <w:rtl/>
        </w:rPr>
        <w:t>מיפרט</w:t>
      </w:r>
      <w:proofErr w:type="spellEnd"/>
      <w:r w:rsidRPr="000669E1">
        <w:rPr>
          <w:rtl/>
        </w:rPr>
        <w:t>, ובו תיאור הדירה וכל הכלול בה</w:t>
      </w:r>
      <w:r>
        <w:rPr>
          <w:rFonts w:hint="cs"/>
          <w:rtl/>
        </w:rPr>
        <w:t xml:space="preserve">. </w:t>
      </w:r>
      <w:r w:rsidRPr="000669E1">
        <w:rPr>
          <w:rtl/>
        </w:rPr>
        <w:t xml:space="preserve">ואם מבקש המוכר לשנות מן התקנון המצוי בקשר לזכויות שבבית המשותף, חייב שינוי זה להופיע במפורש </w:t>
      </w:r>
      <w:proofErr w:type="spellStart"/>
      <w:r w:rsidRPr="000669E1">
        <w:rPr>
          <w:rtl/>
        </w:rPr>
        <w:t>במיפרט</w:t>
      </w:r>
      <w:proofErr w:type="spellEnd"/>
      <w:r w:rsidRPr="000669E1">
        <w:rPr>
          <w:rtl/>
        </w:rPr>
        <w:t xml:space="preserve"> הנ"ל או במסמך המצורף לחוזה ובו פרטים בקשר לשינוי זה</w:t>
      </w:r>
      <w:r>
        <w:rPr>
          <w:rFonts w:hint="cs"/>
          <w:rtl/>
        </w:rPr>
        <w:t>.</w:t>
      </w:r>
      <w:r w:rsidR="00151BE4" w:rsidRPr="00151BE4">
        <w:rPr>
          <w:rtl/>
        </w:rPr>
        <w:t xml:space="preserve"> </w:t>
      </w:r>
      <w:proofErr w:type="spellStart"/>
      <w:r w:rsidR="00151BE4" w:rsidRPr="000669E1">
        <w:rPr>
          <w:rtl/>
        </w:rPr>
        <w:t>המיפרט</w:t>
      </w:r>
      <w:proofErr w:type="spellEnd"/>
      <w:r w:rsidR="00151BE4" w:rsidRPr="000669E1">
        <w:rPr>
          <w:rtl/>
        </w:rPr>
        <w:t xml:space="preserve"> או המסמך המיוחד, ובהם ציון השינויים האמורים, צריך שיצורפו לחוזה בעת עריכתו של החוזה ולא במועד מאוחר לכך, ובוודאי לא אחר שעבר זמן ניכר מעריכת החוזה, והמסמך מוגש לחתימת הקונה בסמוך לכניסתו לדירה</w:t>
      </w:r>
      <w:r w:rsidR="00D87B8A">
        <w:rPr>
          <w:rFonts w:hint="cs"/>
          <w:rtl/>
        </w:rPr>
        <w:t>.</w:t>
      </w:r>
    </w:p>
    <w:p w14:paraId="3BD796B9" w14:textId="07B7B45B" w:rsidR="00D87B8A" w:rsidRDefault="00D87B8A"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קיים היעדר תו"ל בניסוח החוזה.</w:t>
      </w:r>
    </w:p>
    <w:p w14:paraId="5A6E1A44" w14:textId="77777777" w:rsidR="0089548E" w:rsidRDefault="0089548E" w:rsidP="00F02CCA">
      <w:pPr>
        <w:tabs>
          <w:tab w:val="left" w:pos="720"/>
          <w:tab w:val="left" w:pos="1440"/>
          <w:tab w:val="left" w:pos="4896"/>
        </w:tabs>
        <w:autoSpaceDE w:val="0"/>
        <w:autoSpaceDN w:val="0"/>
        <w:adjustRightInd w:val="0"/>
        <w:spacing w:after="80" w:line="276" w:lineRule="auto"/>
        <w:jc w:val="both"/>
        <w:rPr>
          <w:b/>
          <w:bCs/>
          <w:sz w:val="28"/>
          <w:szCs w:val="28"/>
          <w:u w:val="single"/>
          <w:rtl/>
        </w:rPr>
      </w:pPr>
    </w:p>
    <w:p w14:paraId="2D8EAB2D" w14:textId="4CF29A23" w:rsidR="0089548E" w:rsidRDefault="0089548E" w:rsidP="00F02CCA">
      <w:pPr>
        <w:tabs>
          <w:tab w:val="left" w:pos="720"/>
          <w:tab w:val="left" w:pos="1440"/>
          <w:tab w:val="left" w:pos="4896"/>
        </w:tabs>
        <w:autoSpaceDE w:val="0"/>
        <w:autoSpaceDN w:val="0"/>
        <w:adjustRightInd w:val="0"/>
        <w:spacing w:after="80" w:line="276" w:lineRule="auto"/>
        <w:jc w:val="both"/>
        <w:rPr>
          <w:b/>
          <w:bCs/>
          <w:sz w:val="28"/>
          <w:szCs w:val="28"/>
          <w:u w:val="single"/>
          <w:rtl/>
        </w:rPr>
      </w:pPr>
      <w:r w:rsidRPr="0089548E">
        <w:rPr>
          <w:rFonts w:hint="cs"/>
          <w:b/>
          <w:bCs/>
          <w:sz w:val="28"/>
          <w:szCs w:val="28"/>
          <w:u w:val="single"/>
          <w:rtl/>
        </w:rPr>
        <w:t xml:space="preserve">פס"ד צדוק קטן נ' דיצה ברכה </w:t>
      </w:r>
      <w:proofErr w:type="spellStart"/>
      <w:r w:rsidRPr="0089548E">
        <w:rPr>
          <w:rFonts w:hint="cs"/>
          <w:b/>
          <w:bCs/>
          <w:sz w:val="28"/>
          <w:szCs w:val="28"/>
          <w:u w:val="single"/>
          <w:rtl/>
        </w:rPr>
        <w:t>הורנשטיין</w:t>
      </w:r>
      <w:proofErr w:type="spellEnd"/>
    </w:p>
    <w:p w14:paraId="12101F16" w14:textId="109E2514" w:rsidR="0089548E" w:rsidRDefault="00113A81" w:rsidP="00F02CCA">
      <w:pPr>
        <w:tabs>
          <w:tab w:val="left" w:pos="720"/>
          <w:tab w:val="left" w:pos="1440"/>
          <w:tab w:val="left" w:pos="4896"/>
        </w:tabs>
        <w:autoSpaceDE w:val="0"/>
        <w:autoSpaceDN w:val="0"/>
        <w:adjustRightInd w:val="0"/>
        <w:spacing w:after="80" w:line="276" w:lineRule="auto"/>
        <w:jc w:val="both"/>
        <w:rPr>
          <w:u w:val="single"/>
          <w:rtl/>
        </w:rPr>
      </w:pPr>
      <w:r>
        <w:rPr>
          <w:rFonts w:hint="cs"/>
          <w:u w:val="single"/>
          <w:rtl/>
        </w:rPr>
        <w:t>הסיפור עובדתי:</w:t>
      </w:r>
    </w:p>
    <w:p w14:paraId="1E011FD9" w14:textId="0726F3C2" w:rsidR="00113A81" w:rsidRDefault="00955269"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קטן</w:t>
      </w:r>
      <w:r w:rsidR="003962B7">
        <w:rPr>
          <w:rFonts w:hint="cs"/>
          <w:rtl/>
        </w:rPr>
        <w:t xml:space="preserve"> </w:t>
      </w:r>
      <w:r w:rsidR="003962B7" w:rsidRPr="003962B7">
        <w:rPr>
          <w:rtl/>
        </w:rPr>
        <w:t>הוא הקבלן שבנה את הבניין בו נמצאת דירתה של המשיבה.</w:t>
      </w:r>
      <w:r w:rsidR="00FC3F7B">
        <w:rPr>
          <w:rFonts w:hint="cs"/>
          <w:rtl/>
        </w:rPr>
        <w:t xml:space="preserve"> טסה (ז"ל) היה שותפו.</w:t>
      </w:r>
      <w:r w:rsidR="00D76109">
        <w:rPr>
          <w:rFonts w:hint="cs"/>
          <w:rtl/>
        </w:rPr>
        <w:t xml:space="preserve"> </w:t>
      </w:r>
      <w:r w:rsidR="00D76109" w:rsidRPr="00D76109">
        <w:rPr>
          <w:rtl/>
        </w:rPr>
        <w:t xml:space="preserve">הם גם הבעלים של החלקה עליה נבנה הבניין, שקודם לכן </w:t>
      </w:r>
      <w:proofErr w:type="spellStart"/>
      <w:r w:rsidR="00D76109" w:rsidRPr="00D76109">
        <w:rPr>
          <w:rtl/>
        </w:rPr>
        <w:t>היתה</w:t>
      </w:r>
      <w:proofErr w:type="spellEnd"/>
      <w:r w:rsidR="00D76109" w:rsidRPr="00D76109">
        <w:rPr>
          <w:rtl/>
        </w:rPr>
        <w:t xml:space="preserve"> בבעלות חברת צמרת חן בע"מ שהמערערים היו בעלי מניותיה.</w:t>
      </w:r>
    </w:p>
    <w:p w14:paraId="7C61FE90" w14:textId="28CE3E5F" w:rsidR="00D76109" w:rsidRDefault="001B7C01"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1B7C01">
        <w:rPr>
          <w:rtl/>
        </w:rPr>
        <w:t>הבניין כולל ארבע דירות - שתי דירות בכל קומה - ואינו רשום כבית משותף. בקומה העליונה מתגוררים המערערים, ואילו דירת המשיבה נמצאת בקומה הראשונה</w:t>
      </w:r>
      <w:r>
        <w:rPr>
          <w:rFonts w:hint="cs"/>
          <w:rtl/>
        </w:rPr>
        <w:t>.</w:t>
      </w:r>
    </w:p>
    <w:p w14:paraId="0B3B9DDA" w14:textId="74B7FD8D" w:rsidR="00A45B88" w:rsidRPr="00A45B88" w:rsidRDefault="00A45B88"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BB25D7">
        <w:rPr>
          <w:sz w:val="20"/>
          <w:rtl/>
        </w:rPr>
        <w:t>הליך רישום הבית המשותף לא צלח, זאת נוכח מחלוקת שנתגלעה בין המערערים לבין המשיבה בנוגע לרכוש המשותף, שהיא גם נשוא המחלוקת שבפנינו</w:t>
      </w:r>
      <w:r>
        <w:rPr>
          <w:rFonts w:hint="cs"/>
          <w:sz w:val="20"/>
          <w:rtl/>
        </w:rPr>
        <w:t>:</w:t>
      </w:r>
    </w:p>
    <w:p w14:paraId="51870687" w14:textId="66F94FCD" w:rsidR="00A45B88" w:rsidRDefault="00325166" w:rsidP="00F02CCA">
      <w:pPr>
        <w:pStyle w:val="a4"/>
        <w:numPr>
          <w:ilvl w:val="0"/>
          <w:numId w:val="40"/>
        </w:numPr>
        <w:tabs>
          <w:tab w:val="left" w:pos="720"/>
          <w:tab w:val="left" w:pos="1440"/>
          <w:tab w:val="left" w:pos="4896"/>
        </w:tabs>
        <w:autoSpaceDE w:val="0"/>
        <w:autoSpaceDN w:val="0"/>
        <w:adjustRightInd w:val="0"/>
        <w:spacing w:after="80" w:line="276" w:lineRule="auto"/>
        <w:jc w:val="both"/>
      </w:pPr>
      <w:r w:rsidRPr="00325166">
        <w:rPr>
          <w:b/>
          <w:bCs/>
          <w:sz w:val="20"/>
          <w:rtl/>
        </w:rPr>
        <w:t>לטענת המשיבה,</w:t>
      </w:r>
      <w:r>
        <w:rPr>
          <w:rFonts w:hint="cs"/>
          <w:sz w:val="20"/>
          <w:rtl/>
        </w:rPr>
        <w:t xml:space="preserve"> </w:t>
      </w:r>
      <w:r w:rsidRPr="00BB25D7">
        <w:rPr>
          <w:sz w:val="20"/>
          <w:rtl/>
        </w:rPr>
        <w:t>יש לה חלק ברכוש המשותף, ובכלל זה גם בקומה המפולשת התחתונה, בגג הבניין ובמדרגות היציאה לגג.</w:t>
      </w:r>
    </w:p>
    <w:p w14:paraId="05776862" w14:textId="1230F344" w:rsidR="00325166" w:rsidRDefault="001A03A0" w:rsidP="00F02CCA">
      <w:pPr>
        <w:pStyle w:val="a4"/>
        <w:numPr>
          <w:ilvl w:val="0"/>
          <w:numId w:val="40"/>
        </w:numPr>
        <w:tabs>
          <w:tab w:val="left" w:pos="720"/>
          <w:tab w:val="left" w:pos="1440"/>
          <w:tab w:val="left" w:pos="4896"/>
        </w:tabs>
        <w:autoSpaceDE w:val="0"/>
        <w:autoSpaceDN w:val="0"/>
        <w:adjustRightInd w:val="0"/>
        <w:spacing w:after="80" w:line="276" w:lineRule="auto"/>
        <w:jc w:val="both"/>
      </w:pPr>
      <w:r w:rsidRPr="001A03A0">
        <w:rPr>
          <w:rFonts w:hint="cs"/>
          <w:b/>
          <w:bCs/>
          <w:sz w:val="20"/>
          <w:rtl/>
        </w:rPr>
        <w:t>לטענת</w:t>
      </w:r>
      <w:r w:rsidRPr="001A03A0">
        <w:rPr>
          <w:b/>
          <w:bCs/>
          <w:sz w:val="20"/>
          <w:rtl/>
        </w:rPr>
        <w:t xml:space="preserve"> המערערים</w:t>
      </w:r>
      <w:r w:rsidRPr="001A03A0">
        <w:rPr>
          <w:rFonts w:hint="cs"/>
          <w:b/>
          <w:bCs/>
          <w:sz w:val="20"/>
          <w:rtl/>
        </w:rPr>
        <w:t>,</w:t>
      </w:r>
      <w:r w:rsidRPr="00BB25D7">
        <w:rPr>
          <w:sz w:val="20"/>
          <w:rtl/>
        </w:rPr>
        <w:t xml:space="preserve"> הגג הוצמד לדירותיהם, למעט שטח של 10 מ"ר הנמצא מעל חדר המדרגות, שבו הותקנו מתקנים משותפים (דודי שמש ואנטנות).</w:t>
      </w:r>
      <w:r>
        <w:rPr>
          <w:rFonts w:hint="cs"/>
          <w:rtl/>
        </w:rPr>
        <w:t xml:space="preserve"> </w:t>
      </w:r>
      <w:r w:rsidRPr="00BB25D7">
        <w:rPr>
          <w:sz w:val="20"/>
          <w:rtl/>
        </w:rPr>
        <w:t>בפועל אין גישה לגג אלא דרך דירתו של קטן, אשר סיפח לדירתו, שלא כדין, את האזור הרלבנטי בחדר המדרגות.</w:t>
      </w:r>
      <w:r>
        <w:rPr>
          <w:rFonts w:hint="cs"/>
          <w:rtl/>
        </w:rPr>
        <w:t xml:space="preserve"> עוד הם טוענים </w:t>
      </w:r>
      <w:r w:rsidRPr="00BB25D7">
        <w:rPr>
          <w:sz w:val="20"/>
          <w:rtl/>
        </w:rPr>
        <w:t>כי גם הקומה המפולשת התחתונה, שיועדה על-ידם לבניית מרתף, הוצמדה לדירותיהם.</w:t>
      </w:r>
    </w:p>
    <w:p w14:paraId="76303B56" w14:textId="048830CF" w:rsidR="00131A16" w:rsidRDefault="00131A16" w:rsidP="00F02CCA">
      <w:pPr>
        <w:tabs>
          <w:tab w:val="left" w:pos="720"/>
          <w:tab w:val="left" w:pos="1440"/>
          <w:tab w:val="left" w:pos="4896"/>
        </w:tabs>
        <w:autoSpaceDE w:val="0"/>
        <w:autoSpaceDN w:val="0"/>
        <w:adjustRightInd w:val="0"/>
        <w:spacing w:after="80" w:line="276" w:lineRule="auto"/>
        <w:jc w:val="both"/>
        <w:rPr>
          <w:u w:val="single"/>
          <w:rtl/>
        </w:rPr>
      </w:pPr>
      <w:r>
        <w:rPr>
          <w:rFonts w:hint="cs"/>
          <w:u w:val="single"/>
          <w:rtl/>
        </w:rPr>
        <w:t>השאלה המשפטית:</w:t>
      </w:r>
    </w:p>
    <w:p w14:paraId="77C52094" w14:textId="2D850F25" w:rsidR="00131A16" w:rsidRDefault="00131A16" w:rsidP="00F02CCA">
      <w:pPr>
        <w:tabs>
          <w:tab w:val="left" w:pos="720"/>
          <w:tab w:val="left" w:pos="1440"/>
          <w:tab w:val="left" w:pos="4896"/>
        </w:tabs>
        <w:autoSpaceDE w:val="0"/>
        <w:autoSpaceDN w:val="0"/>
        <w:adjustRightInd w:val="0"/>
        <w:spacing w:after="80" w:line="276" w:lineRule="auto"/>
        <w:jc w:val="both"/>
        <w:rPr>
          <w:rtl/>
        </w:rPr>
      </w:pPr>
      <w:r w:rsidRPr="00BB25D7">
        <w:rPr>
          <w:rtl/>
        </w:rPr>
        <w:t>האם המערערים אכן פעלו להוציא את החלקים שבמחלוקת מן הרכוש המשותף בדרך שנקבעה בחוק</w:t>
      </w:r>
      <w:r>
        <w:rPr>
          <w:rFonts w:hint="cs"/>
          <w:rtl/>
        </w:rPr>
        <w:t>?</w:t>
      </w:r>
    </w:p>
    <w:p w14:paraId="64A2C279" w14:textId="77777777" w:rsidR="00131A16" w:rsidRPr="00131A16" w:rsidRDefault="00131A16" w:rsidP="00F02CCA">
      <w:pPr>
        <w:tabs>
          <w:tab w:val="left" w:pos="720"/>
          <w:tab w:val="left" w:pos="1440"/>
          <w:tab w:val="left" w:pos="4896"/>
        </w:tabs>
        <w:autoSpaceDE w:val="0"/>
        <w:autoSpaceDN w:val="0"/>
        <w:adjustRightInd w:val="0"/>
        <w:spacing w:after="80" w:line="276" w:lineRule="auto"/>
        <w:jc w:val="both"/>
        <w:rPr>
          <w:rtl/>
        </w:rPr>
      </w:pPr>
    </w:p>
    <w:p w14:paraId="7AF13D29" w14:textId="010349BB" w:rsidR="00B87B97" w:rsidRDefault="00B87B97" w:rsidP="00F02CCA">
      <w:pPr>
        <w:tabs>
          <w:tab w:val="left" w:pos="720"/>
          <w:tab w:val="left" w:pos="1440"/>
          <w:tab w:val="left" w:pos="4896"/>
        </w:tabs>
        <w:autoSpaceDE w:val="0"/>
        <w:autoSpaceDN w:val="0"/>
        <w:adjustRightInd w:val="0"/>
        <w:spacing w:after="80" w:line="276" w:lineRule="auto"/>
        <w:jc w:val="both"/>
        <w:rPr>
          <w:u w:val="single"/>
          <w:rtl/>
        </w:rPr>
      </w:pPr>
      <w:r>
        <w:rPr>
          <w:rFonts w:hint="cs"/>
          <w:u w:val="single"/>
          <w:rtl/>
        </w:rPr>
        <w:t>הדיון:</w:t>
      </w:r>
    </w:p>
    <w:p w14:paraId="461D75F8" w14:textId="128CA439" w:rsidR="006A74B9" w:rsidRDefault="00131A16"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BB25D7">
        <w:rPr>
          <w:rtl/>
        </w:rPr>
        <w:t>חלקי הבניין שבמחלוקת נחשבים מעצם טיבם לחלק מן הרכוש המשותף על-פי הגדרתו בחוק</w:t>
      </w:r>
      <w:r>
        <w:rPr>
          <w:rFonts w:hint="cs"/>
          <w:rtl/>
        </w:rPr>
        <w:t>.</w:t>
      </w:r>
    </w:p>
    <w:p w14:paraId="3884E2E4" w14:textId="0FB11995" w:rsidR="00131A16" w:rsidRPr="006A74B9" w:rsidRDefault="003040CF" w:rsidP="00F02CCA">
      <w:pPr>
        <w:pStyle w:val="a4"/>
        <w:numPr>
          <w:ilvl w:val="0"/>
          <w:numId w:val="35"/>
        </w:numPr>
        <w:tabs>
          <w:tab w:val="left" w:pos="720"/>
          <w:tab w:val="left" w:pos="1440"/>
          <w:tab w:val="left" w:pos="4896"/>
        </w:tabs>
        <w:autoSpaceDE w:val="0"/>
        <w:autoSpaceDN w:val="0"/>
        <w:adjustRightInd w:val="0"/>
        <w:spacing w:after="80" w:line="276" w:lineRule="auto"/>
        <w:jc w:val="both"/>
        <w:rPr>
          <w:rtl/>
        </w:rPr>
      </w:pPr>
      <w:r>
        <w:rPr>
          <w:rFonts w:hint="cs"/>
          <w:rtl/>
        </w:rPr>
        <w:t>הוראות ס.6(א) לחוק המכר חל גם על בתים שמיועדים להירשם כבית משותף וטרם נרשמו כך.</w:t>
      </w:r>
      <w:r w:rsidR="00B54A95">
        <w:rPr>
          <w:rFonts w:hint="cs"/>
          <w:rtl/>
        </w:rPr>
        <w:t xml:space="preserve"> </w:t>
      </w:r>
      <w:r w:rsidR="00B54A95" w:rsidRPr="00B54A95">
        <w:rPr>
          <w:rtl/>
        </w:rPr>
        <w:t xml:space="preserve">לפי ההסדר הקבוע </w:t>
      </w:r>
      <w:hyperlink r:id="rId29" w:history="1">
        <w:r w:rsidR="00B54A95" w:rsidRPr="00B54A95">
          <w:rPr>
            <w:rFonts w:hint="eastAsia"/>
            <w:rtl/>
          </w:rPr>
          <w:t>בסעיף</w:t>
        </w:r>
        <w:r w:rsidR="00B54A95" w:rsidRPr="00B54A95">
          <w:rPr>
            <w:rtl/>
          </w:rPr>
          <w:t xml:space="preserve"> 6</w:t>
        </w:r>
      </w:hyperlink>
      <w:r w:rsidR="00B54A95" w:rsidRPr="00B54A95">
        <w:rPr>
          <w:rtl/>
        </w:rPr>
        <w:t xml:space="preserve">, על מוכר דירה, כהגדרתו </w:t>
      </w:r>
      <w:hyperlink r:id="rId30" w:history="1">
        <w:r w:rsidR="00B54A95" w:rsidRPr="00B54A95">
          <w:rPr>
            <w:rFonts w:hint="eastAsia"/>
            <w:rtl/>
          </w:rPr>
          <w:t>בסעיף</w:t>
        </w:r>
        <w:r w:rsidR="00B54A95" w:rsidRPr="00B54A95">
          <w:rPr>
            <w:rtl/>
          </w:rPr>
          <w:t xml:space="preserve"> 1</w:t>
        </w:r>
      </w:hyperlink>
      <w:r w:rsidR="00B54A95" w:rsidRPr="00B54A95">
        <w:rPr>
          <w:rtl/>
        </w:rPr>
        <w:t xml:space="preserve"> לחוק המכר (ובענייננו - קטן), המבקש להוציא חלקים מן הרכוש המשותף, </w:t>
      </w:r>
      <w:proofErr w:type="spellStart"/>
      <w:r w:rsidR="00B54A95" w:rsidRPr="00B54A95">
        <w:rPr>
          <w:rtl/>
        </w:rPr>
        <w:t>ליתן</w:t>
      </w:r>
      <w:proofErr w:type="spellEnd"/>
      <w:r w:rsidR="00B54A95" w:rsidRPr="00B54A95">
        <w:rPr>
          <w:rtl/>
        </w:rPr>
        <w:t xml:space="preserve"> לכך ביטוי מפורש וברור במפרט המצורף להסכם המכר או במסמך הנלווה לחוזה המכר.</w:t>
      </w:r>
    </w:p>
    <w:p w14:paraId="40F0734C" w14:textId="44D23E14" w:rsidR="008A3807" w:rsidRPr="00F667B1" w:rsidRDefault="00A5554C"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F667B1">
        <w:rPr>
          <w:rtl/>
        </w:rPr>
        <w:t>כאשר עניין הרכוש המשותף "מובלע" בתוך הסכם המכר ולא ניתן לו מקום ייחודי ובולט באמצעות מסמך חיצוני להסכם - יש לעמוד על קיומו של אזכור ברור ומפורש בהסכם המכר.</w:t>
      </w:r>
    </w:p>
    <w:p w14:paraId="28F1D702" w14:textId="77777777" w:rsidR="00F667B1" w:rsidRPr="00F667B1" w:rsidRDefault="00F667B1" w:rsidP="00F02CCA">
      <w:pPr>
        <w:pStyle w:val="a4"/>
        <w:numPr>
          <w:ilvl w:val="0"/>
          <w:numId w:val="35"/>
        </w:numPr>
        <w:tabs>
          <w:tab w:val="left" w:pos="720"/>
          <w:tab w:val="left" w:pos="1440"/>
          <w:tab w:val="left" w:pos="4896"/>
        </w:tabs>
        <w:autoSpaceDE w:val="0"/>
        <w:autoSpaceDN w:val="0"/>
        <w:adjustRightInd w:val="0"/>
        <w:spacing w:after="80" w:line="276" w:lineRule="auto"/>
        <w:jc w:val="both"/>
        <w:rPr>
          <w:rtl/>
        </w:rPr>
      </w:pPr>
      <w:r w:rsidRPr="00F667B1">
        <w:rPr>
          <w:rtl/>
        </w:rPr>
        <w:t xml:space="preserve">אף שלכאורה נכתב בהסכם המכר שהמערערים מעוניינים להוציא חלקים בקומות התחתונות מן הרכוש המשותף - נוכח אופן בנייתו של הבניין היה מקום לציין באופן מפורש מהו החלק </w:t>
      </w:r>
      <w:proofErr w:type="spellStart"/>
      <w:r w:rsidRPr="00F667B1">
        <w:rPr>
          <w:rtl/>
        </w:rPr>
        <w:t>המסויים</w:t>
      </w:r>
      <w:proofErr w:type="spellEnd"/>
      <w:r w:rsidRPr="00F667B1">
        <w:rPr>
          <w:rtl/>
        </w:rPr>
        <w:t xml:space="preserve"> בקומות התחתונות אותו הם מבקשים להצמיד. משלא עשו כן, ומשאין בפנינו מפרט שעשוי היה לשפוך אור על הדברים</w:t>
      </w:r>
      <w:r w:rsidRPr="00F667B1">
        <w:rPr>
          <w:rFonts w:hint="cs"/>
          <w:rtl/>
        </w:rPr>
        <w:t xml:space="preserve">, </w:t>
      </w:r>
      <w:r w:rsidRPr="00F667B1">
        <w:rPr>
          <w:rtl/>
        </w:rPr>
        <w:t>) לא נותר אלא לקבוע שהמערערים לא עמדו בדרישות החוק והפסיקה.</w:t>
      </w:r>
    </w:p>
    <w:p w14:paraId="50A4639A" w14:textId="781C4C9C" w:rsidR="00F667B1" w:rsidRDefault="000877B4"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0877B4">
        <w:rPr>
          <w:rtl/>
        </w:rPr>
        <w:t>לעיתים די באמירה כללית על הוצאת הגג מגדר הרכוש המשותף</w:t>
      </w:r>
      <w:r w:rsidRPr="000877B4">
        <w:rPr>
          <w:rFonts w:hint="cs"/>
          <w:rtl/>
        </w:rPr>
        <w:t xml:space="preserve"> (</w:t>
      </w:r>
      <w:r w:rsidRPr="000877B4">
        <w:rPr>
          <w:rtl/>
        </w:rPr>
        <w:t xml:space="preserve">במקרים בהם, פשוטו כמשמעו, הגג הוצא בשלמותו מן הרכוש המשותף, או במקרים בהם מצורף מפרט, </w:t>
      </w:r>
      <w:proofErr w:type="spellStart"/>
      <w:r w:rsidRPr="000877B4">
        <w:rPr>
          <w:rtl/>
        </w:rPr>
        <w:t>תשריט</w:t>
      </w:r>
      <w:proofErr w:type="spellEnd"/>
      <w:r w:rsidRPr="000877B4">
        <w:rPr>
          <w:rtl/>
        </w:rPr>
        <w:t xml:space="preserve"> או מסמך אחר המבליט את העניין ומפרטו ככל הניתן</w:t>
      </w:r>
      <w:r>
        <w:rPr>
          <w:rFonts w:hint="cs"/>
          <w:rtl/>
        </w:rPr>
        <w:t>).</w:t>
      </w:r>
      <w:r w:rsidR="00B35FCC" w:rsidRPr="00B35FCC">
        <w:rPr>
          <w:spacing w:val="10"/>
          <w:rtl/>
        </w:rPr>
        <w:t xml:space="preserve"> </w:t>
      </w:r>
      <w:r w:rsidR="00B35FCC" w:rsidRPr="00BB25D7">
        <w:rPr>
          <w:spacing w:val="10"/>
          <w:rtl/>
        </w:rPr>
        <w:t xml:space="preserve">ככל שכוונת המערערים </w:t>
      </w:r>
      <w:proofErr w:type="spellStart"/>
      <w:r w:rsidR="00B35FCC" w:rsidRPr="00BB25D7">
        <w:rPr>
          <w:spacing w:val="10"/>
          <w:rtl/>
        </w:rPr>
        <w:t>היתה</w:t>
      </w:r>
      <w:proofErr w:type="spellEnd"/>
      <w:r w:rsidR="00B35FCC" w:rsidRPr="00BB25D7">
        <w:rPr>
          <w:spacing w:val="10"/>
          <w:rtl/>
        </w:rPr>
        <w:t xml:space="preserve"> להוציא רק </w:t>
      </w:r>
      <w:r w:rsidR="00B35FCC" w:rsidRPr="00BB25D7">
        <w:rPr>
          <w:spacing w:val="10"/>
          <w:sz w:val="22"/>
          <w:szCs w:val="22"/>
          <w:rtl/>
        </w:rPr>
        <w:t>חלק</w:t>
      </w:r>
      <w:r w:rsidR="00B35FCC" w:rsidRPr="00BB25D7">
        <w:rPr>
          <w:spacing w:val="10"/>
          <w:rtl/>
        </w:rPr>
        <w:t xml:space="preserve"> מן הגג מכלל הרכוש המשותף ולהותיר חלק אחר בידי </w:t>
      </w:r>
      <w:r w:rsidR="00B35FCC" w:rsidRPr="0047450C">
        <w:rPr>
          <w:rtl/>
        </w:rPr>
        <w:t>הדיירים - היה עליהם לציין זאת מפורשות ולציין איזה חלק בכוונתם להותיר כרכוש משותף</w:t>
      </w:r>
      <w:r w:rsidR="00B35FCC">
        <w:rPr>
          <w:rFonts w:hint="cs"/>
          <w:rtl/>
        </w:rPr>
        <w:t>.</w:t>
      </w:r>
    </w:p>
    <w:p w14:paraId="70B40470" w14:textId="1CFC4D59" w:rsidR="0047450C" w:rsidRDefault="00346A8C"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BB25D7">
        <w:rPr>
          <w:spacing w:val="10"/>
          <w:rtl/>
        </w:rPr>
        <w:t>על מנת שתתקבל טענת ההסכמה, על המערערים היה לבסס טענתם שהמשיבה ידעה על זכויותיה ברכוש המשותף, ואף על פי כן ויתרה עליהן.</w:t>
      </w:r>
      <w:r w:rsidR="00ED70FE">
        <w:rPr>
          <w:rFonts w:hint="cs"/>
          <w:rtl/>
        </w:rPr>
        <w:t xml:space="preserve"> </w:t>
      </w:r>
    </w:p>
    <w:p w14:paraId="16300EF3" w14:textId="55EFD4BE" w:rsidR="00ED70FE" w:rsidRDefault="00ED70FE"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BB25D7">
        <w:rPr>
          <w:spacing w:val="10"/>
          <w:rtl/>
        </w:rPr>
        <w:lastRenderedPageBreak/>
        <w:t>ספק אם ניתן לטעון שלשם הצמדת רכוש משותף די בהסכמה על דרך של התנהגות או מחדל.</w:t>
      </w:r>
      <w:r w:rsidR="00770B29" w:rsidRPr="00770B29">
        <w:rPr>
          <w:spacing w:val="10"/>
          <w:rtl/>
        </w:rPr>
        <w:t xml:space="preserve"> </w:t>
      </w:r>
      <w:r w:rsidR="000558B7">
        <w:rPr>
          <w:rFonts w:hint="cs"/>
          <w:spacing w:val="10"/>
          <w:rtl/>
        </w:rPr>
        <w:t>עם זאת,</w:t>
      </w:r>
      <w:r w:rsidR="000315A5" w:rsidRPr="00BB25D7">
        <w:rPr>
          <w:spacing w:val="10"/>
          <w:rtl/>
        </w:rPr>
        <w:t xml:space="preserve"> </w:t>
      </w:r>
      <w:r w:rsidR="00770B29" w:rsidRPr="00BB25D7">
        <w:rPr>
          <w:spacing w:val="10"/>
          <w:rtl/>
        </w:rPr>
        <w:t>ייתכן שבמקרים חריגים ביותר, בהם לא עמד דייר בתנאי החוק או התקנון ולא קיבל הסכמה לעשות שימוש ברכוש המשותף, לא תשמע טענתם של דיירים אחרים הטוענים נגד השימוש ברכוש המשותף, למשל, כאשר התנהגותם מלווה בחוסר תום לב, או אם הדייר, אשר עשה שימוש ברכוש המשותף, יוכיח הסתמכות של ממש על התנהגות הדיירים, שכבר יצרה שינוי נסיבות משמעותי</w:t>
      </w:r>
      <w:r w:rsidR="00CB30A2">
        <w:rPr>
          <w:rFonts w:hint="cs"/>
          <w:rtl/>
        </w:rPr>
        <w:t>.</w:t>
      </w:r>
    </w:p>
    <w:p w14:paraId="7D0ED110" w14:textId="77777777" w:rsidR="00CB30A2" w:rsidRDefault="00CB30A2" w:rsidP="00F02CCA">
      <w:pPr>
        <w:tabs>
          <w:tab w:val="left" w:pos="720"/>
          <w:tab w:val="left" w:pos="1440"/>
          <w:tab w:val="left" w:pos="4896"/>
        </w:tabs>
        <w:autoSpaceDE w:val="0"/>
        <w:autoSpaceDN w:val="0"/>
        <w:adjustRightInd w:val="0"/>
        <w:spacing w:after="80" w:line="276" w:lineRule="auto"/>
        <w:jc w:val="both"/>
        <w:rPr>
          <w:rtl/>
        </w:rPr>
      </w:pPr>
    </w:p>
    <w:p w14:paraId="49370C82" w14:textId="61B716F5" w:rsidR="00CB30A2" w:rsidRDefault="00CB30A2" w:rsidP="00F02CCA">
      <w:pPr>
        <w:tabs>
          <w:tab w:val="left" w:pos="720"/>
          <w:tab w:val="left" w:pos="1440"/>
          <w:tab w:val="left" w:pos="4896"/>
        </w:tabs>
        <w:autoSpaceDE w:val="0"/>
        <w:autoSpaceDN w:val="0"/>
        <w:adjustRightInd w:val="0"/>
        <w:spacing w:after="80" w:line="276" w:lineRule="auto"/>
        <w:jc w:val="both"/>
        <w:rPr>
          <w:rtl/>
        </w:rPr>
      </w:pPr>
      <w:r w:rsidRPr="00CB30A2">
        <w:rPr>
          <w:rFonts w:hint="cs"/>
          <w:b/>
          <w:bCs/>
          <w:sz w:val="28"/>
          <w:szCs w:val="28"/>
          <w:u w:val="single"/>
          <w:rtl/>
        </w:rPr>
        <w:t xml:space="preserve">חב' </w:t>
      </w:r>
      <w:proofErr w:type="spellStart"/>
      <w:r w:rsidRPr="00CB30A2">
        <w:rPr>
          <w:rFonts w:hint="cs"/>
          <w:b/>
          <w:bCs/>
          <w:sz w:val="28"/>
          <w:szCs w:val="28"/>
          <w:u w:val="single"/>
          <w:rtl/>
        </w:rPr>
        <w:t>פליצ'ה</w:t>
      </w:r>
      <w:proofErr w:type="spellEnd"/>
      <w:r w:rsidRPr="00CB30A2">
        <w:rPr>
          <w:rFonts w:hint="cs"/>
          <w:b/>
          <w:bCs/>
          <w:sz w:val="28"/>
          <w:szCs w:val="28"/>
          <w:u w:val="single"/>
          <w:rtl/>
        </w:rPr>
        <w:t xml:space="preserve"> ראובן בע"מ נ' </w:t>
      </w:r>
      <w:proofErr w:type="spellStart"/>
      <w:r w:rsidRPr="00CB30A2">
        <w:rPr>
          <w:rFonts w:hint="cs"/>
          <w:b/>
          <w:bCs/>
          <w:sz w:val="28"/>
          <w:szCs w:val="28"/>
          <w:u w:val="single"/>
          <w:rtl/>
        </w:rPr>
        <w:t>סופיוב</w:t>
      </w:r>
      <w:proofErr w:type="spellEnd"/>
      <w:r w:rsidRPr="00CB30A2">
        <w:rPr>
          <w:rFonts w:hint="cs"/>
          <w:b/>
          <w:bCs/>
          <w:sz w:val="28"/>
          <w:szCs w:val="28"/>
          <w:u w:val="single"/>
          <w:rtl/>
        </w:rPr>
        <w:t xml:space="preserve"> </w:t>
      </w:r>
    </w:p>
    <w:p w14:paraId="47F8AD57" w14:textId="62AE6005" w:rsidR="00CB30A2" w:rsidRDefault="00FC746F" w:rsidP="00F02CCA">
      <w:pPr>
        <w:tabs>
          <w:tab w:val="left" w:pos="720"/>
          <w:tab w:val="left" w:pos="1440"/>
          <w:tab w:val="left" w:pos="4896"/>
        </w:tabs>
        <w:autoSpaceDE w:val="0"/>
        <w:autoSpaceDN w:val="0"/>
        <w:adjustRightInd w:val="0"/>
        <w:spacing w:after="80" w:line="276" w:lineRule="auto"/>
        <w:jc w:val="both"/>
        <w:rPr>
          <w:rtl/>
        </w:rPr>
      </w:pPr>
      <w:r>
        <w:rPr>
          <w:rFonts w:hint="cs"/>
          <w:u w:val="single"/>
          <w:rtl/>
        </w:rPr>
        <w:t>הסיפור העובדתי:</w:t>
      </w:r>
    </w:p>
    <w:p w14:paraId="19A0060E" w14:textId="77777777" w:rsidR="00FC746F" w:rsidRPr="008C17B2" w:rsidRDefault="00FC746F" w:rsidP="00F02CCA">
      <w:pPr>
        <w:pStyle w:val="a4"/>
        <w:numPr>
          <w:ilvl w:val="0"/>
          <w:numId w:val="35"/>
        </w:numPr>
        <w:tabs>
          <w:tab w:val="left" w:pos="720"/>
          <w:tab w:val="left" w:pos="1440"/>
          <w:tab w:val="left" w:pos="4896"/>
        </w:tabs>
        <w:autoSpaceDE w:val="0"/>
        <w:autoSpaceDN w:val="0"/>
        <w:adjustRightInd w:val="0"/>
        <w:spacing w:after="80" w:line="276" w:lineRule="auto"/>
        <w:jc w:val="both"/>
        <w:rPr>
          <w:rtl/>
        </w:rPr>
      </w:pPr>
      <w:r w:rsidRPr="008C17B2">
        <w:rPr>
          <w:rtl/>
        </w:rPr>
        <w:t>בין המערערים לקבלן נחתם הסכם קומבינציה</w:t>
      </w:r>
      <w:r>
        <w:rPr>
          <w:rFonts w:hint="cs"/>
          <w:rtl/>
        </w:rPr>
        <w:t xml:space="preserve"> שעל פיו </w:t>
      </w:r>
      <w:r w:rsidRPr="008C17B2">
        <w:rPr>
          <w:rtl/>
        </w:rPr>
        <w:t>הקבלן התחייב לבנות על הקרקע מבנה אשר חלקו דירות מגורים וחלקו שטח מסחרי.</w:t>
      </w:r>
      <w:r>
        <w:rPr>
          <w:rFonts w:hint="cs"/>
          <w:rtl/>
        </w:rPr>
        <w:t xml:space="preserve"> </w:t>
      </w:r>
      <w:r w:rsidRPr="008C17B2">
        <w:rPr>
          <w:rtl/>
        </w:rPr>
        <w:t>המערערים והקבלן היו אמורים לחלוק ביניהם בשיעורים מסוימים חלקים בשטח המגורים ובשטח המסחרי עם גמר הבנייה. הקבלן רשאי, על</w:t>
      </w:r>
      <w:r w:rsidRPr="008C17B2">
        <w:rPr>
          <w:position w:val="4"/>
          <w:sz w:val="22"/>
          <w:rtl/>
        </w:rPr>
        <w:t>-</w:t>
      </w:r>
      <w:r w:rsidRPr="008C17B2">
        <w:rPr>
          <w:rtl/>
        </w:rPr>
        <w:t>פי החוזה, למכור מחלקו דירות וחלקים בשטח המסחרי שהוקצו לו. הסכם הקומבינציה אינו מגדיר מהו הרכוש המשותף במבנה.</w:t>
      </w:r>
    </w:p>
    <w:p w14:paraId="56A69C1F" w14:textId="26729447" w:rsidR="00FC746F" w:rsidRDefault="00FC746F"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לאחר ארבעה חודשים נחתם הסכם המכר בין הקבלן למשיבים בטרם נבנה הבניין.</w:t>
      </w:r>
      <w:r w:rsidR="00F41165">
        <w:rPr>
          <w:rFonts w:hint="cs"/>
          <w:rtl/>
        </w:rPr>
        <w:t xml:space="preserve"> </w:t>
      </w:r>
      <w:r w:rsidR="00F41165" w:rsidRPr="008C17B2">
        <w:rPr>
          <w:rtl/>
        </w:rPr>
        <w:t>להסכם המכר צורף מפרט טכני מנוסח בהתאם</w:t>
      </w:r>
      <w:r w:rsidR="00F41165">
        <w:rPr>
          <w:rFonts w:hint="cs"/>
          <w:rtl/>
        </w:rPr>
        <w:t xml:space="preserve"> לחוק המכר.</w:t>
      </w:r>
    </w:p>
    <w:p w14:paraId="14AF1DF8" w14:textId="232324A9" w:rsidR="00776373" w:rsidRDefault="00776373"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8C17B2">
        <w:rPr>
          <w:rtl/>
        </w:rPr>
        <w:t>כשנתיים לאחר הסכם המכר בין הקבלן למשיבים, התקשרו המערערים עם הקבלן בהסכם שבו מכר להם הקבלן את החנות.</w:t>
      </w:r>
      <w:r w:rsidR="00FF57C5">
        <w:rPr>
          <w:rFonts w:hint="cs"/>
          <w:rtl/>
        </w:rPr>
        <w:t xml:space="preserve"> לאחר חודש נחתם </w:t>
      </w:r>
      <w:proofErr w:type="spellStart"/>
      <w:r w:rsidR="00FF57C5">
        <w:rPr>
          <w:rFonts w:hint="cs"/>
          <w:rtl/>
        </w:rPr>
        <w:t>בינהם</w:t>
      </w:r>
      <w:proofErr w:type="spellEnd"/>
      <w:r w:rsidR="00FF57C5">
        <w:rPr>
          <w:rFonts w:hint="cs"/>
          <w:rtl/>
        </w:rPr>
        <w:t xml:space="preserve"> הסכם נוסף כדי להצמיד חלקים מהרכוש המשותף לחנות, שממנו ניתן להסיק כי:</w:t>
      </w:r>
    </w:p>
    <w:p w14:paraId="7359F2C8" w14:textId="02FDB031" w:rsidR="00FF57C5" w:rsidRDefault="00FF57C5" w:rsidP="00F02CCA">
      <w:pPr>
        <w:pStyle w:val="a4"/>
        <w:numPr>
          <w:ilvl w:val="0"/>
          <w:numId w:val="41"/>
        </w:numPr>
        <w:tabs>
          <w:tab w:val="left" w:pos="720"/>
          <w:tab w:val="left" w:pos="1440"/>
          <w:tab w:val="left" w:pos="4896"/>
        </w:tabs>
        <w:autoSpaceDE w:val="0"/>
        <w:autoSpaceDN w:val="0"/>
        <w:adjustRightInd w:val="0"/>
        <w:spacing w:after="80" w:line="276" w:lineRule="auto"/>
        <w:jc w:val="both"/>
      </w:pPr>
      <w:r w:rsidRPr="008C17B2">
        <w:rPr>
          <w:rtl/>
        </w:rPr>
        <w:t xml:space="preserve">הקבלן והמערערים ראו את </w:t>
      </w:r>
      <w:proofErr w:type="spellStart"/>
      <w:r w:rsidRPr="008C17B2">
        <w:rPr>
          <w:rtl/>
        </w:rPr>
        <w:t>הקולונדה</w:t>
      </w:r>
      <w:proofErr w:type="spellEnd"/>
      <w:r w:rsidRPr="008C17B2">
        <w:rPr>
          <w:rtl/>
        </w:rPr>
        <w:t xml:space="preserve"> כרכוש משותף עד השלב שבו הסכימו על הצמדתו לחנות בהסכם מ</w:t>
      </w:r>
      <w:r w:rsidRPr="008C17B2">
        <w:rPr>
          <w:position w:val="4"/>
          <w:szCs w:val="19"/>
          <w:rtl/>
        </w:rPr>
        <w:t>-</w:t>
      </w:r>
      <w:r w:rsidRPr="008C17B2">
        <w:rPr>
          <w:rtl/>
        </w:rPr>
        <w:t>1980</w:t>
      </w:r>
      <w:r>
        <w:rPr>
          <w:rFonts w:hint="cs"/>
          <w:rtl/>
        </w:rPr>
        <w:t>.</w:t>
      </w:r>
    </w:p>
    <w:p w14:paraId="595CFF65" w14:textId="5DB64664" w:rsidR="00FF57C5" w:rsidRDefault="00FF57C5" w:rsidP="00F02CCA">
      <w:pPr>
        <w:pStyle w:val="a4"/>
        <w:numPr>
          <w:ilvl w:val="0"/>
          <w:numId w:val="41"/>
        </w:numPr>
        <w:tabs>
          <w:tab w:val="left" w:pos="720"/>
          <w:tab w:val="left" w:pos="1440"/>
          <w:tab w:val="left" w:pos="4896"/>
        </w:tabs>
        <w:autoSpaceDE w:val="0"/>
        <w:autoSpaceDN w:val="0"/>
        <w:adjustRightInd w:val="0"/>
        <w:spacing w:after="80" w:line="276" w:lineRule="auto"/>
        <w:jc w:val="both"/>
      </w:pPr>
      <w:r w:rsidRPr="008C17B2">
        <w:rPr>
          <w:rtl/>
        </w:rPr>
        <w:t xml:space="preserve">בעת התקשרות הקבלן עם המשיבים בחוזה מכר הדירה שררה ביניהם ההבנה כי שטח </w:t>
      </w:r>
      <w:proofErr w:type="spellStart"/>
      <w:r w:rsidRPr="008C17B2">
        <w:rPr>
          <w:rtl/>
        </w:rPr>
        <w:t>הקולונדה</w:t>
      </w:r>
      <w:proofErr w:type="spellEnd"/>
      <w:r w:rsidRPr="008C17B2">
        <w:rPr>
          <w:rtl/>
        </w:rPr>
        <w:t xml:space="preserve"> נכלל ברכוש המשותף ולא הוצא ממנו, והראיה כי לא אוזכר כדבר הזה בהסכם המכר או במפרט הטכני שצורף לו.</w:t>
      </w:r>
    </w:p>
    <w:p w14:paraId="2A8AA543" w14:textId="33A2938C" w:rsidR="00FC746F" w:rsidRDefault="00871C05" w:rsidP="00F02CCA">
      <w:pPr>
        <w:tabs>
          <w:tab w:val="left" w:pos="720"/>
          <w:tab w:val="left" w:pos="1440"/>
          <w:tab w:val="left" w:pos="4896"/>
        </w:tabs>
        <w:autoSpaceDE w:val="0"/>
        <w:autoSpaceDN w:val="0"/>
        <w:adjustRightInd w:val="0"/>
        <w:spacing w:after="80" w:line="276" w:lineRule="auto"/>
        <w:jc w:val="both"/>
        <w:rPr>
          <w:rtl/>
        </w:rPr>
      </w:pPr>
      <w:r>
        <w:rPr>
          <w:rFonts w:hint="cs"/>
          <w:u w:val="single"/>
          <w:rtl/>
        </w:rPr>
        <w:t>הדיון:</w:t>
      </w:r>
    </w:p>
    <w:p w14:paraId="7F033D6B" w14:textId="600F8286" w:rsidR="00871C05" w:rsidRDefault="00473D96" w:rsidP="00F02CCA">
      <w:pPr>
        <w:pStyle w:val="a5"/>
        <w:numPr>
          <w:ilvl w:val="0"/>
          <w:numId w:val="35"/>
        </w:numPr>
        <w:spacing w:after="0" w:line="276" w:lineRule="auto"/>
      </w:pPr>
      <w:r w:rsidRPr="008C17B2">
        <w:rPr>
          <w:rFonts w:ascii="David" w:hAnsi="David" w:cs="David"/>
          <w:rtl/>
        </w:rPr>
        <w:t>מוכר דירה בבית משותף או בבית המיועד להירשם כבית משותף חייב לכלול במפרט או לצרף לחוזה המכר פרטים הנוגעים להוצאת חלק מהרכוש המשותף והצמדתו לדירה ולציין את שיעורו של חלק זה.</w:t>
      </w:r>
    </w:p>
    <w:p w14:paraId="4E0F3BA0" w14:textId="25FE416A" w:rsidR="00FF57C5" w:rsidRDefault="00FF57C5"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30356B">
        <w:rPr>
          <w:rtl/>
        </w:rPr>
        <w:t xml:space="preserve">בטרם רישום </w:t>
      </w:r>
      <w:r w:rsidRPr="0030356B">
        <w:rPr>
          <w:rFonts w:hint="cs"/>
          <w:rtl/>
        </w:rPr>
        <w:t xml:space="preserve">כבית משותף </w:t>
      </w:r>
      <w:r w:rsidRPr="0030356B">
        <w:rPr>
          <w:rtl/>
        </w:rPr>
        <w:t xml:space="preserve">נחשבים </w:t>
      </w:r>
      <w:proofErr w:type="spellStart"/>
      <w:r w:rsidRPr="0030356B">
        <w:rPr>
          <w:rtl/>
        </w:rPr>
        <w:t>רוכשי</w:t>
      </w:r>
      <w:proofErr w:type="spellEnd"/>
      <w:r w:rsidRPr="0030356B">
        <w:rPr>
          <w:rtl/>
        </w:rPr>
        <w:t xml:space="preserve"> הדירות בבניין כבעלי זכויות משותפות בנכס המקרקעין כולו – דירות ורכוש משותף כאחד – ואין בכוחם לרשום זכות בעלות נפרדת בדירה ובחלק היחסי ברכוש המשותף</w:t>
      </w:r>
      <w:r w:rsidRPr="0030356B">
        <w:rPr>
          <w:rFonts w:hint="cs"/>
          <w:rtl/>
        </w:rPr>
        <w:t>.</w:t>
      </w:r>
      <w:r w:rsidR="00A01B12" w:rsidRPr="0030356B">
        <w:rPr>
          <w:rFonts w:hint="cs"/>
          <w:rtl/>
        </w:rPr>
        <w:t xml:space="preserve"> </w:t>
      </w:r>
      <w:r w:rsidR="00A01B12" w:rsidRPr="0030356B">
        <w:rPr>
          <w:rtl/>
        </w:rPr>
        <w:t>בשלב זה גם אין תוצאות קנייניות ישירות להוצאת שטחים מהרכוש המשותף והצמדתם לדירות מסוימות, שכן גם בהינתן פעולה כזו נותרת בעלות משותפת של כל הדיירים בכל המבנה כולו עד לרישום הבית המשותף</w:t>
      </w:r>
      <w:r w:rsidR="00A01B12" w:rsidRPr="0030356B">
        <w:rPr>
          <w:rFonts w:hint="cs"/>
          <w:rtl/>
        </w:rPr>
        <w:t>.</w:t>
      </w:r>
      <w:r w:rsidR="0030356B" w:rsidRPr="0030356B">
        <w:rPr>
          <w:rFonts w:hint="cs"/>
          <w:rtl/>
        </w:rPr>
        <w:t xml:space="preserve"> על מנת לייעד חלק מהרכוש המשותף להצמדה לאחת הדירות יש צורך בהסכמה של שאר הדיירים.</w:t>
      </w:r>
    </w:p>
    <w:p w14:paraId="2620480A" w14:textId="305F0461" w:rsidR="006005A5" w:rsidRDefault="006005A5"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8C17B2">
        <w:rPr>
          <w:rtl/>
        </w:rPr>
        <w:t>גריעה מן הרכוש המשותף, בין בבניין רשום ובין בבניין שטרם נרשם, תהיה ידועה לקונה ומוסכמת עליו עובר להתקשרותו בהסכם המכר, ותקפותה המשפטית של גריעה זו מותנית בהסכמתו המלאה והמפורשת</w:t>
      </w:r>
      <w:r w:rsidR="002C6A22">
        <w:rPr>
          <w:rFonts w:hint="cs"/>
          <w:rtl/>
        </w:rPr>
        <w:t>.</w:t>
      </w:r>
    </w:p>
    <w:p w14:paraId="4837BFD9" w14:textId="3A4A9951" w:rsidR="00705BB6" w:rsidRDefault="00705BB6" w:rsidP="00F02CCA">
      <w:pPr>
        <w:tabs>
          <w:tab w:val="left" w:pos="720"/>
          <w:tab w:val="left" w:pos="1440"/>
          <w:tab w:val="left" w:pos="4896"/>
        </w:tabs>
        <w:autoSpaceDE w:val="0"/>
        <w:autoSpaceDN w:val="0"/>
        <w:adjustRightInd w:val="0"/>
        <w:spacing w:after="80" w:line="276" w:lineRule="auto"/>
        <w:jc w:val="both"/>
        <w:rPr>
          <w:rtl/>
        </w:rPr>
      </w:pPr>
    </w:p>
    <w:p w14:paraId="5AE897E2" w14:textId="7B567F72" w:rsidR="00705BB6" w:rsidRDefault="00705BB6" w:rsidP="00F02CCA">
      <w:pPr>
        <w:tabs>
          <w:tab w:val="left" w:pos="720"/>
          <w:tab w:val="left" w:pos="1440"/>
          <w:tab w:val="left" w:pos="4896"/>
        </w:tabs>
        <w:autoSpaceDE w:val="0"/>
        <w:autoSpaceDN w:val="0"/>
        <w:adjustRightInd w:val="0"/>
        <w:spacing w:after="80" w:line="276" w:lineRule="auto"/>
        <w:jc w:val="both"/>
        <w:rPr>
          <w:b/>
          <w:bCs/>
          <w:sz w:val="28"/>
          <w:szCs w:val="28"/>
          <w:u w:val="single"/>
          <w:rtl/>
        </w:rPr>
      </w:pPr>
      <w:r w:rsidRPr="00705BB6">
        <w:rPr>
          <w:rFonts w:hint="cs"/>
          <w:b/>
          <w:bCs/>
          <w:sz w:val="28"/>
          <w:szCs w:val="28"/>
          <w:u w:val="single"/>
          <w:rtl/>
        </w:rPr>
        <w:t>פס"ד רונן מטרי נ' יצחק מולכו, המנהל המיוחד</w:t>
      </w:r>
    </w:p>
    <w:p w14:paraId="40641FE4" w14:textId="252368C1" w:rsidR="00705BB6" w:rsidRDefault="00AB62DC" w:rsidP="00F02CCA">
      <w:pPr>
        <w:tabs>
          <w:tab w:val="left" w:pos="720"/>
          <w:tab w:val="left" w:pos="1440"/>
          <w:tab w:val="left" w:pos="4896"/>
        </w:tabs>
        <w:autoSpaceDE w:val="0"/>
        <w:autoSpaceDN w:val="0"/>
        <w:adjustRightInd w:val="0"/>
        <w:spacing w:after="80" w:line="276" w:lineRule="auto"/>
        <w:jc w:val="both"/>
        <w:rPr>
          <w:rtl/>
        </w:rPr>
      </w:pPr>
      <w:r>
        <w:rPr>
          <w:rFonts w:hint="cs"/>
          <w:u w:val="single"/>
          <w:rtl/>
        </w:rPr>
        <w:t>הסיפור העובדתי:</w:t>
      </w:r>
    </w:p>
    <w:p w14:paraId="5A767659" w14:textId="1BACDC0D" w:rsidR="00AB62DC" w:rsidRDefault="00991ED2"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D92B8C">
        <w:rPr>
          <w:rtl/>
        </w:rPr>
        <w:t>בחודש אוגוסט 2007 קרסה קבוצת חברות חפציבה שבנתה ברחבי הארץ כ-4500 דירות ב-40 פרויקטים.</w:t>
      </w:r>
      <w:r>
        <w:rPr>
          <w:rFonts w:hint="cs"/>
          <w:rtl/>
        </w:rPr>
        <w:t xml:space="preserve"> </w:t>
      </w:r>
      <w:r w:rsidRPr="00D92B8C">
        <w:rPr>
          <w:rtl/>
        </w:rPr>
        <w:t>עם הקריסה הוגשו בקשות רבות למימוש שעבודים ולמינוי כונסי נכסים.</w:t>
      </w:r>
    </w:p>
    <w:p w14:paraId="240A470B" w14:textId="12A79274" w:rsidR="00991ED2" w:rsidRDefault="00D51204"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המנהל המיוחד הגיש דו"ח שמחולק לשלושה מקטעים:</w:t>
      </w:r>
    </w:p>
    <w:p w14:paraId="41AA1D98" w14:textId="078B621D" w:rsidR="00D51204" w:rsidRDefault="00D51204" w:rsidP="00F02CCA">
      <w:pPr>
        <w:pStyle w:val="a4"/>
        <w:numPr>
          <w:ilvl w:val="0"/>
          <w:numId w:val="42"/>
        </w:numPr>
        <w:tabs>
          <w:tab w:val="left" w:pos="720"/>
          <w:tab w:val="left" w:pos="1440"/>
          <w:tab w:val="left" w:pos="4896"/>
        </w:tabs>
        <w:autoSpaceDE w:val="0"/>
        <w:autoSpaceDN w:val="0"/>
        <w:adjustRightInd w:val="0"/>
        <w:spacing w:after="80" w:line="276" w:lineRule="auto"/>
        <w:jc w:val="both"/>
      </w:pPr>
      <w:r w:rsidRPr="00D92B8C">
        <w:rPr>
          <w:rtl/>
        </w:rPr>
        <w:t xml:space="preserve">רוכשים שהפקידו כספים לחשבונות הליווי בבנקים וקיבלו ערבויות </w:t>
      </w:r>
      <w:hyperlink r:id="rId31" w:history="1">
        <w:r w:rsidRPr="00D92B8C">
          <w:rPr>
            <w:color w:val="0000FF"/>
            <w:u w:val="single"/>
            <w:rtl/>
          </w:rPr>
          <w:t>חוק מכר</w:t>
        </w:r>
      </w:hyperlink>
      <w:r w:rsidRPr="00D92B8C">
        <w:rPr>
          <w:rtl/>
        </w:rPr>
        <w:t>.</w:t>
      </w:r>
    </w:p>
    <w:p w14:paraId="093FB740" w14:textId="477A6AE3" w:rsidR="00D51204" w:rsidRDefault="00D51204" w:rsidP="00F02CCA">
      <w:pPr>
        <w:pStyle w:val="a4"/>
        <w:numPr>
          <w:ilvl w:val="0"/>
          <w:numId w:val="42"/>
        </w:numPr>
        <w:tabs>
          <w:tab w:val="left" w:pos="720"/>
          <w:tab w:val="left" w:pos="1440"/>
          <w:tab w:val="left" w:pos="4896"/>
        </w:tabs>
        <w:autoSpaceDE w:val="0"/>
        <w:autoSpaceDN w:val="0"/>
        <w:adjustRightInd w:val="0"/>
        <w:spacing w:after="80" w:line="276" w:lineRule="auto"/>
        <w:jc w:val="both"/>
      </w:pPr>
      <w:r w:rsidRPr="00D92B8C">
        <w:rPr>
          <w:rtl/>
        </w:rPr>
        <w:t>רוכשים ששילמו כספים אך טרם קיבלו את מלוא הערבות.</w:t>
      </w:r>
    </w:p>
    <w:p w14:paraId="3E636028" w14:textId="403059E2" w:rsidR="00D51204" w:rsidRDefault="00D51204" w:rsidP="00F02CCA">
      <w:pPr>
        <w:pStyle w:val="a4"/>
        <w:numPr>
          <w:ilvl w:val="0"/>
          <w:numId w:val="42"/>
        </w:numPr>
        <w:tabs>
          <w:tab w:val="left" w:pos="720"/>
          <w:tab w:val="left" w:pos="1440"/>
          <w:tab w:val="left" w:pos="4896"/>
        </w:tabs>
        <w:autoSpaceDE w:val="0"/>
        <w:autoSpaceDN w:val="0"/>
        <w:adjustRightInd w:val="0"/>
        <w:spacing w:after="80" w:line="276" w:lineRule="auto"/>
        <w:jc w:val="both"/>
      </w:pPr>
      <w:r w:rsidRPr="00D92B8C">
        <w:rPr>
          <w:rtl/>
        </w:rPr>
        <w:t>רוכשים אשר שילמו כספים שלא הופקדו בחשבונות הליווי ולא הוצאו להם ערבויות.</w:t>
      </w:r>
    </w:p>
    <w:p w14:paraId="19F511D0" w14:textId="2977C1D9" w:rsidR="002231AF" w:rsidRDefault="002231AF"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sidRPr="00D92B8C">
        <w:rPr>
          <w:rtl/>
        </w:rPr>
        <w:t xml:space="preserve">המנהל המיוחד הציע מתווה שנועד לאפשר השלמת בניית הפרויקטים והשתתפות </w:t>
      </w:r>
      <w:proofErr w:type="spellStart"/>
      <w:r w:rsidRPr="00D92B8C">
        <w:rPr>
          <w:rtl/>
        </w:rPr>
        <w:t>רוכשי</w:t>
      </w:r>
      <w:proofErr w:type="spellEnd"/>
      <w:r w:rsidRPr="00D92B8C">
        <w:rPr>
          <w:rtl/>
        </w:rPr>
        <w:t xml:space="preserve"> דירות ובנקים בהוצאות הכספיות הדרושות לשם כך. המתווה מבוסס, בין השאר, על תוספת כספית של דיירים בין 2-30 אחוז מסכום רכישת הדירה ותוספת תשלום של הבנקים.</w:t>
      </w:r>
    </w:p>
    <w:p w14:paraId="2BDD40E5" w14:textId="77777777" w:rsidR="00F02CCA" w:rsidRPr="00D92B8C" w:rsidRDefault="00F02CCA" w:rsidP="00F02CCA">
      <w:pPr>
        <w:pStyle w:val="a4"/>
        <w:numPr>
          <w:ilvl w:val="0"/>
          <w:numId w:val="35"/>
        </w:numPr>
        <w:spacing w:after="0" w:line="276" w:lineRule="auto"/>
        <w:rPr>
          <w:rtl/>
        </w:rPr>
      </w:pPr>
      <w:r w:rsidRPr="00D92B8C">
        <w:rPr>
          <w:rtl/>
        </w:rPr>
        <w:t xml:space="preserve">בחודשים האחרונים קיים המנהל המיוחד </w:t>
      </w:r>
      <w:proofErr w:type="spellStart"/>
      <w:r w:rsidRPr="00D92B8C">
        <w:rPr>
          <w:rtl/>
        </w:rPr>
        <w:t>משאים</w:t>
      </w:r>
      <w:proofErr w:type="spellEnd"/>
      <w:r w:rsidRPr="00D92B8C">
        <w:rPr>
          <w:rtl/>
        </w:rPr>
        <w:t xml:space="preserve"> ומתנים מורכבים וארוכים הנוגעים לבנקים ולפרויקטים רבים והושגו מספר הסדרים חשובים, שנועדו לתת פתרון לפרויקטים בהם אלפי דירות. </w:t>
      </w:r>
    </w:p>
    <w:p w14:paraId="72546CC2" w14:textId="38F073FF" w:rsidR="00F02CCA" w:rsidRDefault="00BF7A74" w:rsidP="00F02CCA">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 xml:space="preserve">האחים </w:t>
      </w:r>
      <w:proofErr w:type="spellStart"/>
      <w:r>
        <w:rPr>
          <w:rFonts w:hint="cs"/>
          <w:rtl/>
        </w:rPr>
        <w:t>אליושוב</w:t>
      </w:r>
      <w:proofErr w:type="spellEnd"/>
      <w:r>
        <w:rPr>
          <w:rFonts w:hint="cs"/>
          <w:rtl/>
        </w:rPr>
        <w:t xml:space="preserve"> רכשו כל אחד בנפרד סה"כ 82 יחידות דיור בפרויקט מחסיה.</w:t>
      </w:r>
      <w:r w:rsidR="0054169C">
        <w:rPr>
          <w:rFonts w:hint="cs"/>
          <w:rtl/>
        </w:rPr>
        <w:t xml:space="preserve"> מימון הרכישה נעשה ברובו ע"י </w:t>
      </w:r>
      <w:r w:rsidR="004440A2">
        <w:rPr>
          <w:rFonts w:hint="cs"/>
          <w:rtl/>
        </w:rPr>
        <w:t>הלוואות מ</w:t>
      </w:r>
      <w:r w:rsidR="0054169C">
        <w:rPr>
          <w:rFonts w:hint="cs"/>
          <w:rtl/>
        </w:rPr>
        <w:t>בנקים.</w:t>
      </w:r>
      <w:r w:rsidR="00C13860">
        <w:rPr>
          <w:rFonts w:hint="cs"/>
          <w:rtl/>
        </w:rPr>
        <w:t xml:space="preserve"> </w:t>
      </w:r>
      <w:r w:rsidR="00C13860" w:rsidRPr="00D92B8C">
        <w:rPr>
          <w:rtl/>
        </w:rPr>
        <w:t xml:space="preserve">ההסכם בין בנק </w:t>
      </w:r>
      <w:proofErr w:type="spellStart"/>
      <w:r w:rsidR="00C13860" w:rsidRPr="00D92B8C">
        <w:rPr>
          <w:rtl/>
        </w:rPr>
        <w:t>מרכנתיל</w:t>
      </w:r>
      <w:proofErr w:type="spellEnd"/>
      <w:r w:rsidR="00C13860" w:rsidRPr="00D92B8C">
        <w:rPr>
          <w:rtl/>
        </w:rPr>
        <w:t xml:space="preserve"> והמנהל המיוחד קובע כי פרויקט מחסיה יושלם על-ידי כונס הנכסים או יימכר לצד שלישי, למעט זכויות </w:t>
      </w:r>
      <w:proofErr w:type="spellStart"/>
      <w:r w:rsidR="00C13860" w:rsidRPr="00D92B8C">
        <w:rPr>
          <w:rtl/>
        </w:rPr>
        <w:t>אלישיוב</w:t>
      </w:r>
      <w:proofErr w:type="spellEnd"/>
      <w:r w:rsidR="00C13860" w:rsidRPr="00D92B8C">
        <w:rPr>
          <w:rtl/>
        </w:rPr>
        <w:t xml:space="preserve">, עליהן יחול הדין והצדדים יפעלו כדלקמן: כונס הנכסים יגיש בקשה מיוחדת לבית המשפט להכריז על בטלות המכירות לאחים </w:t>
      </w:r>
      <w:proofErr w:type="spellStart"/>
      <w:r w:rsidR="00C13860" w:rsidRPr="00D92B8C">
        <w:rPr>
          <w:rtl/>
        </w:rPr>
        <w:t>אלישיוב</w:t>
      </w:r>
      <w:proofErr w:type="spellEnd"/>
      <w:r w:rsidR="00C13860" w:rsidRPr="00D92B8C">
        <w:rPr>
          <w:rtl/>
        </w:rPr>
        <w:t xml:space="preserve"> ולהורות כי הבנק רשאי למכור את הזכויות בפרויקט מחסיה בהתעלם מרכישות אלה, כאשר </w:t>
      </w:r>
      <w:proofErr w:type="spellStart"/>
      <w:r w:rsidR="00C13860" w:rsidRPr="00D92B8C">
        <w:rPr>
          <w:rtl/>
        </w:rPr>
        <w:t>אלישיוב</w:t>
      </w:r>
      <w:proofErr w:type="spellEnd"/>
      <w:r w:rsidR="00C13860" w:rsidRPr="00D92B8C">
        <w:rPr>
          <w:rtl/>
        </w:rPr>
        <w:t xml:space="preserve"> יהיו זכאים לקבלת כספים ששולמו על ידם לחשבון הליווי ו/או שיוחזרו לחשבון הליווי בהתאם להוראות המפקח על הבנקים ובכפוף לכל דין</w:t>
      </w:r>
      <w:r w:rsidR="005B3566">
        <w:rPr>
          <w:rFonts w:hint="cs"/>
          <w:rtl/>
        </w:rPr>
        <w:t>.</w:t>
      </w:r>
    </w:p>
    <w:p w14:paraId="7B9EC929" w14:textId="331AAC12" w:rsidR="005B3566" w:rsidRDefault="005B3566" w:rsidP="005B3566">
      <w:pPr>
        <w:tabs>
          <w:tab w:val="left" w:pos="720"/>
          <w:tab w:val="left" w:pos="1440"/>
          <w:tab w:val="left" w:pos="4896"/>
        </w:tabs>
        <w:autoSpaceDE w:val="0"/>
        <w:autoSpaceDN w:val="0"/>
        <w:adjustRightInd w:val="0"/>
        <w:spacing w:after="80" w:line="276" w:lineRule="auto"/>
        <w:jc w:val="both"/>
        <w:rPr>
          <w:u w:val="single"/>
          <w:rtl/>
        </w:rPr>
      </w:pPr>
      <w:r w:rsidRPr="005B3566">
        <w:rPr>
          <w:rFonts w:hint="cs"/>
          <w:u w:val="single"/>
          <w:rtl/>
        </w:rPr>
        <w:lastRenderedPageBreak/>
        <w:t>הדיון:</w:t>
      </w:r>
    </w:p>
    <w:p w14:paraId="214801F0" w14:textId="243ED416" w:rsidR="005B3566" w:rsidRDefault="0047703C" w:rsidP="00716219">
      <w:pPr>
        <w:pStyle w:val="a4"/>
        <w:numPr>
          <w:ilvl w:val="0"/>
          <w:numId w:val="35"/>
        </w:numPr>
        <w:tabs>
          <w:tab w:val="left" w:pos="720"/>
          <w:tab w:val="left" w:pos="1440"/>
          <w:tab w:val="left" w:pos="4896"/>
        </w:tabs>
        <w:autoSpaceDE w:val="0"/>
        <w:autoSpaceDN w:val="0"/>
        <w:adjustRightInd w:val="0"/>
        <w:spacing w:after="80" w:line="276" w:lineRule="auto"/>
        <w:jc w:val="both"/>
      </w:pPr>
      <w:hyperlink r:id="rId32" w:history="1">
        <w:r w:rsidR="00716219" w:rsidRPr="00D92B8C">
          <w:rPr>
            <w:color w:val="0000FF"/>
            <w:u w:val="single"/>
            <w:rtl/>
          </w:rPr>
          <w:t>חוק המכר (דירות)</w:t>
        </w:r>
      </w:hyperlink>
      <w:r w:rsidR="00716219" w:rsidRPr="00D92B8C">
        <w:rPr>
          <w:rtl/>
        </w:rPr>
        <w:t>, התשל"ג-1973 ו</w:t>
      </w:r>
      <w:hyperlink r:id="rId33" w:history="1">
        <w:r w:rsidR="00716219" w:rsidRPr="00D92B8C">
          <w:rPr>
            <w:color w:val="0000FF"/>
            <w:u w:val="single"/>
            <w:rtl/>
          </w:rPr>
          <w:t xml:space="preserve">חוק המכר (דירות) הבטחת השקעות של </w:t>
        </w:r>
        <w:proofErr w:type="spellStart"/>
        <w:r w:rsidR="00716219" w:rsidRPr="00D92B8C">
          <w:rPr>
            <w:color w:val="0000FF"/>
            <w:u w:val="single"/>
            <w:rtl/>
          </w:rPr>
          <w:t>רוכשי</w:t>
        </w:r>
        <w:proofErr w:type="spellEnd"/>
        <w:r w:rsidR="00716219" w:rsidRPr="00D92B8C">
          <w:rPr>
            <w:color w:val="0000FF"/>
            <w:u w:val="single"/>
            <w:rtl/>
          </w:rPr>
          <w:t xml:space="preserve"> דירות)</w:t>
        </w:r>
      </w:hyperlink>
      <w:r w:rsidR="00716219" w:rsidRPr="00D92B8C">
        <w:rPr>
          <w:rtl/>
        </w:rPr>
        <w:t>, התשל"ה-1974, הם חוקים צרכניים, שנועדו לתת הגנה לרוכש הפרטי המחפש קורת גג ולאו דווקא לרוכש הקונה מספר דירות כחלק מעסקה מסחרית. הדין מייחס חשיבות להיותו של צד לעסקה צרכן, מתוך ההנחה שהמערכת החוזית אינה שוויונית וישנם פערי כוחות משמעותיים</w:t>
      </w:r>
      <w:r w:rsidR="00716219">
        <w:rPr>
          <w:rFonts w:hint="cs"/>
          <w:rtl/>
        </w:rPr>
        <w:t>.</w:t>
      </w:r>
    </w:p>
    <w:p w14:paraId="195B1707" w14:textId="0DA02395" w:rsidR="00084EF7" w:rsidRDefault="00084EF7" w:rsidP="00716219">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b/>
          <w:bCs/>
          <w:rtl/>
        </w:rPr>
        <w:t>מבחן ייעוד הרכישה-</w:t>
      </w:r>
      <w:r>
        <w:rPr>
          <w:rFonts w:hint="cs"/>
          <w:rtl/>
        </w:rPr>
        <w:t xml:space="preserve"> </w:t>
      </w:r>
      <w:r w:rsidR="006876B8">
        <w:rPr>
          <w:rFonts w:hint="cs"/>
          <w:rtl/>
        </w:rPr>
        <w:t xml:space="preserve">יש </w:t>
      </w:r>
      <w:r w:rsidR="006876B8" w:rsidRPr="00D92B8C">
        <w:rPr>
          <w:sz w:val="26"/>
          <w:rtl/>
        </w:rPr>
        <w:t>לבדוק נסיבות הרכישה ומעמדה הצרכני של העסקה</w:t>
      </w:r>
      <w:r w:rsidR="00D37FB2">
        <w:rPr>
          <w:rFonts w:hint="cs"/>
          <w:sz w:val="26"/>
          <w:rtl/>
        </w:rPr>
        <w:t xml:space="preserve"> (ככל שהייעוד יותר עסקי כך תינתן פחוות הגנה צרכנית)</w:t>
      </w:r>
      <w:r w:rsidR="006876B8" w:rsidRPr="00D92B8C">
        <w:rPr>
          <w:sz w:val="26"/>
          <w:rtl/>
        </w:rPr>
        <w:t>.</w:t>
      </w:r>
    </w:p>
    <w:p w14:paraId="07D11262" w14:textId="77777777" w:rsidR="007A6D36" w:rsidRDefault="007A6D36" w:rsidP="007A6D36">
      <w:pPr>
        <w:tabs>
          <w:tab w:val="left" w:pos="720"/>
          <w:tab w:val="left" w:pos="1440"/>
          <w:tab w:val="left" w:pos="4896"/>
        </w:tabs>
        <w:autoSpaceDE w:val="0"/>
        <w:autoSpaceDN w:val="0"/>
        <w:adjustRightInd w:val="0"/>
        <w:spacing w:after="80" w:line="276" w:lineRule="auto"/>
        <w:jc w:val="both"/>
        <w:rPr>
          <w:rtl/>
        </w:rPr>
      </w:pPr>
    </w:p>
    <w:p w14:paraId="5381D17C" w14:textId="2AB3002D" w:rsidR="007A6D36" w:rsidRDefault="007A6D36" w:rsidP="007A6D36">
      <w:pPr>
        <w:tabs>
          <w:tab w:val="left" w:pos="720"/>
          <w:tab w:val="left" w:pos="1440"/>
          <w:tab w:val="left" w:pos="4896"/>
        </w:tabs>
        <w:autoSpaceDE w:val="0"/>
        <w:autoSpaceDN w:val="0"/>
        <w:adjustRightInd w:val="0"/>
        <w:spacing w:after="80" w:line="276" w:lineRule="auto"/>
        <w:jc w:val="both"/>
        <w:rPr>
          <w:b/>
          <w:bCs/>
          <w:sz w:val="28"/>
          <w:szCs w:val="28"/>
          <w:u w:val="single"/>
          <w:rtl/>
        </w:rPr>
      </w:pPr>
      <w:r w:rsidRPr="007A6D36">
        <w:rPr>
          <w:rFonts w:hint="cs"/>
          <w:b/>
          <w:bCs/>
          <w:sz w:val="28"/>
          <w:szCs w:val="28"/>
          <w:u w:val="single"/>
          <w:rtl/>
        </w:rPr>
        <w:t xml:space="preserve">פס"ד </w:t>
      </w:r>
      <w:proofErr w:type="spellStart"/>
      <w:r w:rsidRPr="007A6D36">
        <w:rPr>
          <w:rFonts w:hint="cs"/>
          <w:b/>
          <w:bCs/>
          <w:sz w:val="28"/>
          <w:szCs w:val="28"/>
          <w:u w:val="single"/>
          <w:rtl/>
        </w:rPr>
        <w:t>ג'הנשה</w:t>
      </w:r>
      <w:proofErr w:type="spellEnd"/>
      <w:r w:rsidRPr="007A6D36">
        <w:rPr>
          <w:rFonts w:hint="cs"/>
          <w:b/>
          <w:bCs/>
          <w:sz w:val="28"/>
          <w:szCs w:val="28"/>
          <w:u w:val="single"/>
          <w:rtl/>
        </w:rPr>
        <w:t xml:space="preserve"> </w:t>
      </w:r>
      <w:proofErr w:type="spellStart"/>
      <w:r w:rsidRPr="007A6D36">
        <w:rPr>
          <w:rFonts w:hint="cs"/>
          <w:b/>
          <w:bCs/>
          <w:sz w:val="28"/>
          <w:szCs w:val="28"/>
          <w:u w:val="single"/>
          <w:rtl/>
        </w:rPr>
        <w:t>להיגי</w:t>
      </w:r>
      <w:proofErr w:type="spellEnd"/>
      <w:r w:rsidRPr="007A6D36">
        <w:rPr>
          <w:rFonts w:hint="cs"/>
          <w:b/>
          <w:bCs/>
          <w:sz w:val="28"/>
          <w:szCs w:val="28"/>
          <w:u w:val="single"/>
          <w:rtl/>
        </w:rPr>
        <w:t xml:space="preserve"> נ' יצחק עוזרי </w:t>
      </w:r>
    </w:p>
    <w:p w14:paraId="301A8E39" w14:textId="671BAE9F" w:rsidR="007A6D36" w:rsidRDefault="008145B5" w:rsidP="007A6D36">
      <w:pPr>
        <w:tabs>
          <w:tab w:val="left" w:pos="720"/>
          <w:tab w:val="left" w:pos="1440"/>
          <w:tab w:val="left" w:pos="4896"/>
        </w:tabs>
        <w:autoSpaceDE w:val="0"/>
        <w:autoSpaceDN w:val="0"/>
        <w:adjustRightInd w:val="0"/>
        <w:spacing w:after="80" w:line="276" w:lineRule="auto"/>
        <w:jc w:val="both"/>
        <w:rPr>
          <w:rtl/>
        </w:rPr>
      </w:pPr>
      <w:r>
        <w:rPr>
          <w:rFonts w:hint="cs"/>
          <w:u w:val="single"/>
          <w:rtl/>
        </w:rPr>
        <w:t>הרקע העובדתי:</w:t>
      </w:r>
    </w:p>
    <w:p w14:paraId="2C06F955" w14:textId="15623C85" w:rsidR="008145B5" w:rsidRDefault="00234A8B" w:rsidP="008145B5">
      <w:pPr>
        <w:pStyle w:val="a4"/>
        <w:numPr>
          <w:ilvl w:val="0"/>
          <w:numId w:val="35"/>
        </w:numPr>
        <w:tabs>
          <w:tab w:val="left" w:pos="720"/>
          <w:tab w:val="left" w:pos="1440"/>
          <w:tab w:val="left" w:pos="4896"/>
        </w:tabs>
        <w:autoSpaceDE w:val="0"/>
        <w:autoSpaceDN w:val="0"/>
        <w:adjustRightInd w:val="0"/>
        <w:spacing w:after="80" w:line="276" w:lineRule="auto"/>
        <w:jc w:val="both"/>
      </w:pPr>
      <w:proofErr w:type="spellStart"/>
      <w:r w:rsidRPr="003F4780">
        <w:rPr>
          <w:sz w:val="20"/>
          <w:rtl/>
        </w:rPr>
        <w:t>להיגי</w:t>
      </w:r>
      <w:proofErr w:type="spellEnd"/>
      <w:r w:rsidRPr="003F4780">
        <w:rPr>
          <w:sz w:val="20"/>
          <w:rtl/>
        </w:rPr>
        <w:t xml:space="preserve"> בלשכת רישום המקרקעין כבעל הנכס ולטענתו עזב את ישראל בסמוך לאחר מכן.</w:t>
      </w:r>
    </w:p>
    <w:p w14:paraId="74B86A1E" w14:textId="06CF9D91" w:rsidR="00234A8B" w:rsidRDefault="00234A8B" w:rsidP="008145B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 xml:space="preserve">24 שנים לאחר מכן, נרשם </w:t>
      </w:r>
      <w:r w:rsidRPr="003F4780">
        <w:rPr>
          <w:sz w:val="20"/>
          <w:rtl/>
        </w:rPr>
        <w:t xml:space="preserve">אלבז כבעלים של הנכס, וזאת מתוקף עסקת מכר שביצע, כביכול, עם </w:t>
      </w:r>
      <w:proofErr w:type="spellStart"/>
      <w:r w:rsidRPr="003F4780">
        <w:rPr>
          <w:sz w:val="20"/>
          <w:rtl/>
        </w:rPr>
        <w:t>להיגי</w:t>
      </w:r>
      <w:proofErr w:type="spellEnd"/>
      <w:r>
        <w:rPr>
          <w:rFonts w:hint="cs"/>
          <w:rtl/>
        </w:rPr>
        <w:t xml:space="preserve"> שנה קודם לכן.</w:t>
      </w:r>
      <w:r w:rsidR="00C409F3" w:rsidRPr="00C409F3">
        <w:rPr>
          <w:sz w:val="20"/>
          <w:rtl/>
        </w:rPr>
        <w:t xml:space="preserve"> </w:t>
      </w:r>
      <w:r w:rsidR="00C409F3" w:rsidRPr="003F4780">
        <w:rPr>
          <w:sz w:val="20"/>
          <w:rtl/>
        </w:rPr>
        <w:t xml:space="preserve">בית המשפט המחוזי </w:t>
      </w:r>
      <w:r w:rsidR="00C409F3">
        <w:rPr>
          <w:rFonts w:hint="cs"/>
          <w:sz w:val="20"/>
          <w:rtl/>
        </w:rPr>
        <w:t xml:space="preserve">פסק </w:t>
      </w:r>
      <w:r w:rsidR="00C409F3" w:rsidRPr="003F4780">
        <w:rPr>
          <w:sz w:val="20"/>
          <w:rtl/>
        </w:rPr>
        <w:t>כי בפועל עסקה כזו לא נקשרה מעולם וקבע כי רישום זכויות הבעלות על שמו של אלבז בנכס נגוע בתרמית.</w:t>
      </w:r>
    </w:p>
    <w:p w14:paraId="7D141303" w14:textId="0E1D07B5" w:rsidR="00C409F3" w:rsidRPr="00E44413" w:rsidRDefault="00BE2199" w:rsidP="008145B5">
      <w:pPr>
        <w:pStyle w:val="a4"/>
        <w:numPr>
          <w:ilvl w:val="0"/>
          <w:numId w:val="35"/>
        </w:numPr>
        <w:tabs>
          <w:tab w:val="left" w:pos="720"/>
          <w:tab w:val="left" w:pos="1440"/>
          <w:tab w:val="left" w:pos="4896"/>
        </w:tabs>
        <w:autoSpaceDE w:val="0"/>
        <w:autoSpaceDN w:val="0"/>
        <w:adjustRightInd w:val="0"/>
        <w:spacing w:after="80" w:line="276" w:lineRule="auto"/>
        <w:jc w:val="both"/>
      </w:pPr>
      <w:r w:rsidRPr="003F4780">
        <w:rPr>
          <w:sz w:val="20"/>
          <w:rtl/>
        </w:rPr>
        <w:t xml:space="preserve">כחצי שנה לפני רישום זכויות הבעלות על שמו של אלבז במרשם המקרקעין, התקשר אלבז עם </w:t>
      </w:r>
      <w:proofErr w:type="spellStart"/>
      <w:r w:rsidRPr="003F4780">
        <w:rPr>
          <w:sz w:val="20"/>
          <w:rtl/>
        </w:rPr>
        <w:t>מואטי</w:t>
      </w:r>
      <w:proofErr w:type="spellEnd"/>
      <w:r w:rsidRPr="003F4780">
        <w:rPr>
          <w:sz w:val="20"/>
          <w:rtl/>
        </w:rPr>
        <w:t xml:space="preserve"> בהסכם לפיו רכש </w:t>
      </w:r>
      <w:proofErr w:type="spellStart"/>
      <w:r w:rsidRPr="003F4780">
        <w:rPr>
          <w:sz w:val="20"/>
          <w:rtl/>
        </w:rPr>
        <w:t>מואטי</w:t>
      </w:r>
      <w:proofErr w:type="spellEnd"/>
      <w:r w:rsidRPr="003F4780">
        <w:rPr>
          <w:sz w:val="20"/>
          <w:rtl/>
        </w:rPr>
        <w:t xml:space="preserve"> מידיו את הזכויות בנכס</w:t>
      </w:r>
      <w:r>
        <w:rPr>
          <w:rFonts w:hint="cs"/>
          <w:sz w:val="20"/>
          <w:rtl/>
        </w:rPr>
        <w:t>.</w:t>
      </w:r>
      <w:r w:rsidR="00E44413">
        <w:rPr>
          <w:rFonts w:hint="cs"/>
          <w:rtl/>
        </w:rPr>
        <w:t xml:space="preserve"> </w:t>
      </w:r>
      <w:r w:rsidR="00E44413" w:rsidRPr="003F4780">
        <w:rPr>
          <w:sz w:val="20"/>
          <w:rtl/>
        </w:rPr>
        <w:t xml:space="preserve">חלק מאותן זכויות נרכשו על-ידי </w:t>
      </w:r>
      <w:proofErr w:type="spellStart"/>
      <w:r w:rsidR="00E44413" w:rsidRPr="003F4780">
        <w:rPr>
          <w:sz w:val="20"/>
          <w:rtl/>
        </w:rPr>
        <w:t>מואטי</w:t>
      </w:r>
      <w:proofErr w:type="spellEnd"/>
      <w:r w:rsidR="00E44413" w:rsidRPr="003F4780">
        <w:rPr>
          <w:sz w:val="20"/>
          <w:rtl/>
        </w:rPr>
        <w:t xml:space="preserve"> בנאמנות עבור אחרים וחלק אחר נמכר על-ידי </w:t>
      </w:r>
      <w:proofErr w:type="spellStart"/>
      <w:r w:rsidR="00E44413" w:rsidRPr="003F4780">
        <w:rPr>
          <w:sz w:val="20"/>
          <w:rtl/>
        </w:rPr>
        <w:t>מואטי</w:t>
      </w:r>
      <w:proofErr w:type="spellEnd"/>
      <w:r w:rsidR="00E44413" w:rsidRPr="003F4780">
        <w:rPr>
          <w:sz w:val="20"/>
          <w:rtl/>
        </w:rPr>
        <w:t xml:space="preserve"> במהלך השנים לאנשים שונים. </w:t>
      </w:r>
      <w:proofErr w:type="spellStart"/>
      <w:r w:rsidR="00E44413" w:rsidRPr="003F4780">
        <w:rPr>
          <w:sz w:val="20"/>
          <w:rtl/>
        </w:rPr>
        <w:t>מואטי</w:t>
      </w:r>
      <w:proofErr w:type="spellEnd"/>
      <w:r w:rsidR="00E44413" w:rsidRPr="003F4780">
        <w:rPr>
          <w:sz w:val="20"/>
          <w:rtl/>
        </w:rPr>
        <w:t xml:space="preserve"> נרשם אף הוא בשלב כלשהו כבעל זכויות בעלות בנכס ובהתאם להסכמי הנאמנות והמכר שבהם התקשר, הועברו זכויות אלה במרשם על שמם של הנהנים והרוכשים.</w:t>
      </w:r>
    </w:p>
    <w:p w14:paraId="0ABD626E" w14:textId="21D2ECE7" w:rsidR="00E44413" w:rsidRDefault="00E44413" w:rsidP="008145B5">
      <w:pPr>
        <w:pStyle w:val="a4"/>
        <w:numPr>
          <w:ilvl w:val="0"/>
          <w:numId w:val="35"/>
        </w:numPr>
        <w:tabs>
          <w:tab w:val="left" w:pos="720"/>
          <w:tab w:val="left" w:pos="1440"/>
          <w:tab w:val="left" w:pos="4896"/>
        </w:tabs>
        <w:autoSpaceDE w:val="0"/>
        <w:autoSpaceDN w:val="0"/>
        <w:adjustRightInd w:val="0"/>
        <w:spacing w:after="80" w:line="276" w:lineRule="auto"/>
        <w:jc w:val="both"/>
      </w:pPr>
      <w:r w:rsidRPr="003F4780">
        <w:rPr>
          <w:sz w:val="20"/>
          <w:rtl/>
        </w:rPr>
        <w:t xml:space="preserve">כפי המשתקף מנסח הרישום מאותו היום (מוצג 2 למוצגי </w:t>
      </w:r>
      <w:proofErr w:type="spellStart"/>
      <w:r w:rsidRPr="003F4780">
        <w:rPr>
          <w:sz w:val="20"/>
          <w:rtl/>
        </w:rPr>
        <w:t>להיגי</w:t>
      </w:r>
      <w:proofErr w:type="spellEnd"/>
      <w:r w:rsidRPr="003F4780">
        <w:rPr>
          <w:sz w:val="20"/>
          <w:rtl/>
        </w:rPr>
        <w:t xml:space="preserve">) - היו זכויות הבעלות בנכס רשומות על שמם של חמישה עשר אנשים שונים, וכן נרשמו משכנתאות לטובת בנק דיסקונט (על חלקיהם של בני הזוג פדר ועל חלקו של שלמה בכור) ולטובת בנק איגוד (על חלקיהם של שלמה ויצחק </w:t>
      </w:r>
      <w:proofErr w:type="spellStart"/>
      <w:r w:rsidRPr="003F4780">
        <w:rPr>
          <w:sz w:val="20"/>
          <w:rtl/>
        </w:rPr>
        <w:t>עזורי</w:t>
      </w:r>
      <w:proofErr w:type="spellEnd"/>
      <w:r w:rsidRPr="003F4780">
        <w:rPr>
          <w:sz w:val="20"/>
          <w:rtl/>
        </w:rPr>
        <w:t>).</w:t>
      </w:r>
    </w:p>
    <w:p w14:paraId="33D712DD" w14:textId="01193263" w:rsidR="00112780" w:rsidRPr="00462E18" w:rsidRDefault="00112780" w:rsidP="008145B5">
      <w:pPr>
        <w:pStyle w:val="a4"/>
        <w:numPr>
          <w:ilvl w:val="0"/>
          <w:numId w:val="35"/>
        </w:numPr>
        <w:tabs>
          <w:tab w:val="left" w:pos="720"/>
          <w:tab w:val="left" w:pos="1440"/>
          <w:tab w:val="left" w:pos="4896"/>
        </w:tabs>
        <w:autoSpaceDE w:val="0"/>
        <w:autoSpaceDN w:val="0"/>
        <w:adjustRightInd w:val="0"/>
        <w:spacing w:after="80" w:line="276" w:lineRule="auto"/>
        <w:jc w:val="both"/>
      </w:pPr>
      <w:r w:rsidRPr="003F4780">
        <w:rPr>
          <w:sz w:val="20"/>
          <w:rtl/>
        </w:rPr>
        <w:t xml:space="preserve">לטענת </w:t>
      </w:r>
      <w:proofErr w:type="spellStart"/>
      <w:r w:rsidRPr="003F4780">
        <w:rPr>
          <w:sz w:val="20"/>
          <w:rtl/>
        </w:rPr>
        <w:t>להיגי</w:t>
      </w:r>
      <w:proofErr w:type="spellEnd"/>
      <w:r w:rsidRPr="003F4780">
        <w:rPr>
          <w:sz w:val="20"/>
          <w:rtl/>
        </w:rPr>
        <w:t>, בשנת 2005 נודע לו לראשונה כי הנכס רשום על שם אנשים אחרים, אף שהוא מעולם לא מכר את הנכס לאיש ועל כן, הגיש תביעה נגד בעלי הזכויות הרשומות בנכס בדרישה לסעד הצהרתי כי כל הזכויות בנכס שייכות לו.</w:t>
      </w:r>
    </w:p>
    <w:p w14:paraId="3EAEC114" w14:textId="1A6F929F" w:rsidR="00462E18" w:rsidRDefault="00462E18" w:rsidP="00462E18">
      <w:pPr>
        <w:tabs>
          <w:tab w:val="left" w:pos="720"/>
          <w:tab w:val="left" w:pos="1440"/>
          <w:tab w:val="left" w:pos="4896"/>
        </w:tabs>
        <w:autoSpaceDE w:val="0"/>
        <w:autoSpaceDN w:val="0"/>
        <w:adjustRightInd w:val="0"/>
        <w:spacing w:after="80" w:line="276" w:lineRule="auto"/>
        <w:jc w:val="both"/>
        <w:rPr>
          <w:rtl/>
        </w:rPr>
      </w:pPr>
      <w:r>
        <w:rPr>
          <w:rFonts w:hint="cs"/>
          <w:u w:val="single"/>
          <w:rtl/>
        </w:rPr>
        <w:t>הדיון:</w:t>
      </w:r>
    </w:p>
    <w:p w14:paraId="4558A073" w14:textId="5FED1B36" w:rsidR="00462E18" w:rsidRDefault="002A1FBC" w:rsidP="002A1FBC">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 xml:space="preserve">התנאים לתקנת שוק </w:t>
      </w:r>
      <w:r w:rsidR="00CB3240">
        <w:rPr>
          <w:rFonts w:hint="cs"/>
          <w:rtl/>
        </w:rPr>
        <w:t>(</w:t>
      </w:r>
      <w:r>
        <w:rPr>
          <w:rFonts w:hint="cs"/>
          <w:rtl/>
        </w:rPr>
        <w:t>ס.10 לחוק המקרקעין</w:t>
      </w:r>
      <w:r w:rsidR="00CB3240">
        <w:rPr>
          <w:rFonts w:hint="cs"/>
          <w:rtl/>
        </w:rPr>
        <w:t>)</w:t>
      </w:r>
      <w:r>
        <w:rPr>
          <w:rFonts w:hint="cs"/>
          <w:rtl/>
        </w:rPr>
        <w:t>:</w:t>
      </w:r>
    </w:p>
    <w:p w14:paraId="37AFF9EC" w14:textId="6100774D" w:rsidR="002A1FBC" w:rsidRDefault="002A1FBC" w:rsidP="002A1FBC">
      <w:pPr>
        <w:pStyle w:val="a4"/>
        <w:numPr>
          <w:ilvl w:val="0"/>
          <w:numId w:val="43"/>
        </w:numPr>
        <w:tabs>
          <w:tab w:val="left" w:pos="720"/>
          <w:tab w:val="left" w:pos="1440"/>
          <w:tab w:val="left" w:pos="4896"/>
        </w:tabs>
        <w:autoSpaceDE w:val="0"/>
        <w:autoSpaceDN w:val="0"/>
        <w:adjustRightInd w:val="0"/>
        <w:spacing w:after="80" w:line="276" w:lineRule="auto"/>
        <w:jc w:val="both"/>
      </w:pPr>
      <w:r>
        <w:rPr>
          <w:rFonts w:hint="cs"/>
          <w:rtl/>
        </w:rPr>
        <w:t>תשלום תמורה</w:t>
      </w:r>
    </w:p>
    <w:p w14:paraId="69EDA8DA" w14:textId="0A7ED56D" w:rsidR="002A1FBC" w:rsidRDefault="002A1FBC" w:rsidP="002A1FBC">
      <w:pPr>
        <w:pStyle w:val="a4"/>
        <w:numPr>
          <w:ilvl w:val="0"/>
          <w:numId w:val="43"/>
        </w:numPr>
        <w:tabs>
          <w:tab w:val="left" w:pos="720"/>
          <w:tab w:val="left" w:pos="1440"/>
          <w:tab w:val="left" w:pos="4896"/>
        </w:tabs>
        <w:autoSpaceDE w:val="0"/>
        <w:autoSpaceDN w:val="0"/>
        <w:adjustRightInd w:val="0"/>
        <w:spacing w:after="80" w:line="276" w:lineRule="auto"/>
        <w:jc w:val="both"/>
      </w:pPr>
      <w:r>
        <w:rPr>
          <w:rFonts w:hint="cs"/>
          <w:rtl/>
        </w:rPr>
        <w:t>הסתמכות בתום לב על הרישום</w:t>
      </w:r>
    </w:p>
    <w:p w14:paraId="3ECE5EAF" w14:textId="6EA79155" w:rsidR="005B7004" w:rsidRDefault="005B7004" w:rsidP="002A1FBC">
      <w:pPr>
        <w:pStyle w:val="a4"/>
        <w:numPr>
          <w:ilvl w:val="0"/>
          <w:numId w:val="43"/>
        </w:numPr>
        <w:tabs>
          <w:tab w:val="left" w:pos="720"/>
          <w:tab w:val="left" w:pos="1440"/>
          <w:tab w:val="left" w:pos="4896"/>
        </w:tabs>
        <w:autoSpaceDE w:val="0"/>
        <w:autoSpaceDN w:val="0"/>
        <w:adjustRightInd w:val="0"/>
        <w:spacing w:after="80" w:line="276" w:lineRule="auto"/>
        <w:jc w:val="both"/>
      </w:pPr>
      <w:r>
        <w:rPr>
          <w:rFonts w:hint="cs"/>
          <w:rtl/>
        </w:rPr>
        <w:t>רישום הזכות הנרכשת על שם הקונה</w:t>
      </w:r>
    </w:p>
    <w:p w14:paraId="0AAC62B0" w14:textId="0F37DCA2" w:rsidR="002A1FBC" w:rsidRDefault="002A1FBC" w:rsidP="002A1FBC">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 xml:space="preserve">בהתקיים התנאים לתקנת שוק, </w:t>
      </w:r>
      <w:r w:rsidRPr="003F4780">
        <w:rPr>
          <w:sz w:val="20"/>
          <w:rtl/>
        </w:rPr>
        <w:t>יש בידיו של רוכש זכות במקרקעין לשמר בידיו את הזכות שרכש למרות שהרישום שעליו הסתמך לא היה נכון.</w:t>
      </w:r>
    </w:p>
    <w:p w14:paraId="6D17E760" w14:textId="71317BE4" w:rsidR="002A1FBC" w:rsidRPr="00A96084" w:rsidRDefault="00FE7FCD" w:rsidP="002A1FBC">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 xml:space="preserve">הפסיקה מחילה את הסעיף רק על מקרים מובהקים </w:t>
      </w:r>
      <w:r w:rsidRPr="003F4780">
        <w:rPr>
          <w:sz w:val="20"/>
          <w:rtl/>
        </w:rPr>
        <w:t>של הסתמכות על הרישום, דהיינו כאשר מי שרשום כבעל הזכות שנרכשה איננו בעליה לאמיתו של דבר בשל רישום שאינו נכון.</w:t>
      </w:r>
      <w:r w:rsidR="00A96084">
        <w:rPr>
          <w:rFonts w:hint="cs"/>
          <w:sz w:val="20"/>
          <w:rtl/>
        </w:rPr>
        <w:t xml:space="preserve"> (</w:t>
      </w:r>
      <w:r w:rsidR="00A96084" w:rsidRPr="003F4780">
        <w:rPr>
          <w:sz w:val="20"/>
          <w:rtl/>
        </w:rPr>
        <w:t>לעומת זאת, לא הכירה הפסיקה בתחולתה של תקנת השוק במקרקעין במקרים אחרים, אשר בהם התחזה המוכר לבעל הזכות הרשומה, למשל באמצעות ייפוי כוח מזויף, שכן במקרה כזה ההסתמכות היא על ייפוי הכוח ולא על הרישום</w:t>
      </w:r>
      <w:r w:rsidR="00A96084">
        <w:rPr>
          <w:rFonts w:hint="cs"/>
          <w:sz w:val="20"/>
          <w:rtl/>
        </w:rPr>
        <w:t>)</w:t>
      </w:r>
    </w:p>
    <w:p w14:paraId="126ABDC9" w14:textId="6B74B2AB" w:rsidR="00A96084" w:rsidRPr="00F74982" w:rsidRDefault="00E64330" w:rsidP="002A1FBC">
      <w:pPr>
        <w:pStyle w:val="a4"/>
        <w:numPr>
          <w:ilvl w:val="0"/>
          <w:numId w:val="35"/>
        </w:numPr>
        <w:tabs>
          <w:tab w:val="left" w:pos="720"/>
          <w:tab w:val="left" w:pos="1440"/>
          <w:tab w:val="left" w:pos="4896"/>
        </w:tabs>
        <w:autoSpaceDE w:val="0"/>
        <w:autoSpaceDN w:val="0"/>
        <w:adjustRightInd w:val="0"/>
        <w:spacing w:after="80" w:line="276" w:lineRule="auto"/>
        <w:jc w:val="both"/>
        <w:rPr>
          <w:sz w:val="20"/>
        </w:rPr>
      </w:pPr>
      <w:r w:rsidRPr="003F4780">
        <w:rPr>
          <w:sz w:val="20"/>
          <w:rtl/>
        </w:rPr>
        <w:t>ההגנה האמורה תוקנה לרוכש הזכות בכל מקרה שבו הסיכון שהתממש הוא טעות במרשם, אשר גרמה להתנגשות בין זכותו של הבעלים המקורי לזכותו של הרוכש.</w:t>
      </w:r>
      <w:r w:rsidR="006847CE">
        <w:rPr>
          <w:rFonts w:hint="cs"/>
          <w:rtl/>
        </w:rPr>
        <w:t xml:space="preserve"> </w:t>
      </w:r>
      <w:r w:rsidR="006847CE" w:rsidRPr="003F4780">
        <w:rPr>
          <w:sz w:val="20"/>
          <w:rtl/>
        </w:rPr>
        <w:t>די לו לרוכש הזכות להראות כי הסתמך בתום לב על הרישום ואין עליו חובה לבחון את העסקאות שהובילו לאותו הרישום</w:t>
      </w:r>
      <w:r w:rsidR="006847CE">
        <w:rPr>
          <w:rFonts w:hint="cs"/>
          <w:sz w:val="20"/>
          <w:rtl/>
        </w:rPr>
        <w:t>.</w:t>
      </w:r>
    </w:p>
    <w:p w14:paraId="4DFF3566" w14:textId="77777777" w:rsidR="00060529" w:rsidRPr="00F74982" w:rsidRDefault="00060529" w:rsidP="00F74982">
      <w:pPr>
        <w:pStyle w:val="Ruller42"/>
        <w:numPr>
          <w:ilvl w:val="0"/>
          <w:numId w:val="35"/>
        </w:numPr>
        <w:spacing w:line="276" w:lineRule="auto"/>
        <w:rPr>
          <w:rFonts w:ascii="David" w:hAnsi="David" w:cs="David"/>
          <w:spacing w:val="0"/>
          <w:sz w:val="20"/>
          <w:szCs w:val="24"/>
          <w:rtl/>
        </w:rPr>
      </w:pPr>
      <w:r w:rsidRPr="00F74982">
        <w:rPr>
          <w:rFonts w:ascii="David" w:hAnsi="David" w:cs="David"/>
          <w:spacing w:val="0"/>
          <w:sz w:val="20"/>
          <w:szCs w:val="24"/>
          <w:rtl/>
        </w:rPr>
        <w:t xml:space="preserve">ניתן לקיים את דרישת ההסתמכות הקבועה בתקנת השוק גם כאשר המוכר אינו הבעלים הרשום ובתנאי שהתנגשות הזכויות נגרמת בשל פגם במרשם שעניינו זכות הבעלים הרשום, והרוכש הסתמך על זכות הבעלות הרשומה האחרונה ובדק את העסקאות המאוחרות לאותו רישום. </w:t>
      </w:r>
    </w:p>
    <w:p w14:paraId="3FE65DEA" w14:textId="10E2ACD2" w:rsidR="006847CE" w:rsidRDefault="00D962A5" w:rsidP="002A1FBC">
      <w:pPr>
        <w:pStyle w:val="a4"/>
        <w:numPr>
          <w:ilvl w:val="0"/>
          <w:numId w:val="35"/>
        </w:numPr>
        <w:tabs>
          <w:tab w:val="left" w:pos="720"/>
          <w:tab w:val="left" w:pos="1440"/>
          <w:tab w:val="left" w:pos="4896"/>
        </w:tabs>
        <w:autoSpaceDE w:val="0"/>
        <w:autoSpaceDN w:val="0"/>
        <w:adjustRightInd w:val="0"/>
        <w:spacing w:after="80" w:line="276" w:lineRule="auto"/>
        <w:jc w:val="both"/>
      </w:pPr>
      <w:r w:rsidRPr="003F4780">
        <w:rPr>
          <w:sz w:val="20"/>
          <w:rtl/>
        </w:rPr>
        <w:t>ניתן לקיים את דרישת ההסתמכות שעל הרוכש לקיים באמצעות שלוח</w:t>
      </w:r>
      <w:r>
        <w:rPr>
          <w:rFonts w:hint="cs"/>
          <w:rtl/>
        </w:rPr>
        <w:t>.</w:t>
      </w:r>
      <w:r w:rsidR="00302C02" w:rsidRPr="003F4780">
        <w:rPr>
          <w:sz w:val="20"/>
          <w:rtl/>
        </w:rPr>
        <w:t xml:space="preserve"> במקרה כזה על הרוכש הטוען לתקנת השוק להוכיח כי השלוח הסתמך על המרשם בתום לב</w:t>
      </w:r>
      <w:r w:rsidR="00302C02">
        <w:rPr>
          <w:rFonts w:hint="cs"/>
          <w:sz w:val="20"/>
          <w:rtl/>
        </w:rPr>
        <w:t>.</w:t>
      </w:r>
      <w:r w:rsidR="00302C02" w:rsidRPr="003F4780">
        <w:rPr>
          <w:sz w:val="20"/>
          <w:rtl/>
        </w:rPr>
        <w:t xml:space="preserve"> ידיעה שבאה לשלוח לפני הענקת ההרשאה או לאחר סיומה או בשליחות שונה, אינה מחייבת ומזכה את השולח</w:t>
      </w:r>
      <w:r w:rsidR="00893C49">
        <w:rPr>
          <w:rFonts w:hint="cs"/>
          <w:rtl/>
        </w:rPr>
        <w:t xml:space="preserve"> (אם הוא נחשף למידע לפני שנהיה שלוח זה לא רלוונטי)</w:t>
      </w:r>
      <w:r w:rsidR="00302C02">
        <w:rPr>
          <w:rFonts w:hint="cs"/>
          <w:rtl/>
        </w:rPr>
        <w:t>.</w:t>
      </w:r>
    </w:p>
    <w:p w14:paraId="46624834" w14:textId="1A388678" w:rsidR="00D962A5" w:rsidRDefault="00286D97" w:rsidP="002A1FBC">
      <w:pPr>
        <w:pStyle w:val="a4"/>
        <w:numPr>
          <w:ilvl w:val="0"/>
          <w:numId w:val="35"/>
        </w:numPr>
        <w:tabs>
          <w:tab w:val="left" w:pos="720"/>
          <w:tab w:val="left" w:pos="1440"/>
          <w:tab w:val="left" w:pos="4896"/>
        </w:tabs>
        <w:autoSpaceDE w:val="0"/>
        <w:autoSpaceDN w:val="0"/>
        <w:adjustRightInd w:val="0"/>
        <w:spacing w:after="80" w:line="276" w:lineRule="auto"/>
        <w:jc w:val="both"/>
      </w:pPr>
      <w:r w:rsidRPr="003F4780">
        <w:rPr>
          <w:sz w:val="20"/>
          <w:rtl/>
        </w:rPr>
        <w:t xml:space="preserve">גם </w:t>
      </w:r>
      <w:r>
        <w:rPr>
          <w:rFonts w:hint="cs"/>
          <w:sz w:val="20"/>
          <w:rtl/>
        </w:rPr>
        <w:t>אם ניתנה</w:t>
      </w:r>
      <w:r w:rsidRPr="003F4780">
        <w:rPr>
          <w:sz w:val="20"/>
          <w:rtl/>
        </w:rPr>
        <w:t xml:space="preserve"> תמורה נמוכה במידת מה משווי השוק באותה התקופה, </w:t>
      </w:r>
      <w:r>
        <w:rPr>
          <w:rFonts w:hint="cs"/>
          <w:sz w:val="20"/>
          <w:rtl/>
        </w:rPr>
        <w:t xml:space="preserve">כל עוד </w:t>
      </w:r>
      <w:r w:rsidRPr="003F4780">
        <w:rPr>
          <w:sz w:val="20"/>
          <w:rtl/>
        </w:rPr>
        <w:t>מדובר בתמורה שאיננה בלתי סבירה והינה בעלת ערך ממשי אובייקטיבי שאינו נופל משווי השוק במידה שיש בה כדי לפגום בהתקיימותה של דרישת התמורה או בתום לבם של לצורך תנאי תקנת השוק</w:t>
      </w:r>
      <w:r>
        <w:rPr>
          <w:rFonts w:hint="cs"/>
          <w:rtl/>
        </w:rPr>
        <w:t>, היא תיחשב כתמורה מספקת</w:t>
      </w:r>
      <w:r w:rsidR="00A5304B">
        <w:rPr>
          <w:rFonts w:hint="cs"/>
          <w:rtl/>
        </w:rPr>
        <w:t xml:space="preserve"> לקיום התנאי.</w:t>
      </w:r>
      <w:r w:rsidR="00875756">
        <w:rPr>
          <w:rFonts w:hint="cs"/>
          <w:rtl/>
        </w:rPr>
        <w:t xml:space="preserve"> (אינדיקציה נוספת </w:t>
      </w:r>
      <w:r w:rsidR="004015CC">
        <w:rPr>
          <w:rFonts w:hint="cs"/>
          <w:rtl/>
        </w:rPr>
        <w:t xml:space="preserve">לקיום </w:t>
      </w:r>
      <w:r w:rsidR="00875756">
        <w:rPr>
          <w:rFonts w:hint="cs"/>
          <w:rtl/>
        </w:rPr>
        <w:t>היא אישור התמורה ע"י רשויות המס)</w:t>
      </w:r>
      <w:r w:rsidR="004015CC">
        <w:rPr>
          <w:rFonts w:hint="cs"/>
          <w:rtl/>
        </w:rPr>
        <w:t>.</w:t>
      </w:r>
    </w:p>
    <w:p w14:paraId="058B6192" w14:textId="705C8B27" w:rsidR="004015CC" w:rsidRDefault="004015CC" w:rsidP="0054227F">
      <w:pPr>
        <w:pStyle w:val="a4"/>
        <w:tabs>
          <w:tab w:val="left" w:pos="720"/>
          <w:tab w:val="left" w:pos="1440"/>
          <w:tab w:val="left" w:pos="4896"/>
        </w:tabs>
        <w:autoSpaceDE w:val="0"/>
        <w:autoSpaceDN w:val="0"/>
        <w:adjustRightInd w:val="0"/>
        <w:spacing w:after="80" w:line="276" w:lineRule="auto"/>
        <w:jc w:val="both"/>
        <w:rPr>
          <w:rtl/>
        </w:rPr>
      </w:pPr>
    </w:p>
    <w:p w14:paraId="29535B91" w14:textId="77777777" w:rsidR="0047703C" w:rsidRDefault="0047703C" w:rsidP="0054227F">
      <w:pPr>
        <w:pStyle w:val="a4"/>
        <w:tabs>
          <w:tab w:val="left" w:pos="720"/>
          <w:tab w:val="left" w:pos="1440"/>
          <w:tab w:val="left" w:pos="4896"/>
        </w:tabs>
        <w:autoSpaceDE w:val="0"/>
        <w:autoSpaceDN w:val="0"/>
        <w:adjustRightInd w:val="0"/>
        <w:spacing w:after="80" w:line="276" w:lineRule="auto"/>
        <w:jc w:val="both"/>
        <w:rPr>
          <w:rtl/>
        </w:rPr>
      </w:pPr>
      <w:bookmarkStart w:id="0" w:name="_GoBack"/>
      <w:bookmarkEnd w:id="0"/>
    </w:p>
    <w:p w14:paraId="389AD800" w14:textId="77777777" w:rsidR="00480CAB" w:rsidRDefault="00480CAB" w:rsidP="0054227F">
      <w:pPr>
        <w:tabs>
          <w:tab w:val="left" w:pos="720"/>
          <w:tab w:val="left" w:pos="1440"/>
          <w:tab w:val="left" w:pos="4896"/>
        </w:tabs>
        <w:autoSpaceDE w:val="0"/>
        <w:autoSpaceDN w:val="0"/>
        <w:adjustRightInd w:val="0"/>
        <w:spacing w:after="80" w:line="276" w:lineRule="auto"/>
        <w:jc w:val="both"/>
        <w:rPr>
          <w:b/>
          <w:bCs/>
          <w:u w:val="single"/>
          <w:rtl/>
        </w:rPr>
      </w:pPr>
    </w:p>
    <w:p w14:paraId="4565BD5D" w14:textId="3B54A06A" w:rsidR="00B35D74" w:rsidRPr="00480CAB" w:rsidRDefault="00B35D74" w:rsidP="0054227F">
      <w:pPr>
        <w:tabs>
          <w:tab w:val="left" w:pos="720"/>
          <w:tab w:val="left" w:pos="1440"/>
          <w:tab w:val="left" w:pos="4896"/>
        </w:tabs>
        <w:autoSpaceDE w:val="0"/>
        <w:autoSpaceDN w:val="0"/>
        <w:adjustRightInd w:val="0"/>
        <w:spacing w:after="80" w:line="276" w:lineRule="auto"/>
        <w:jc w:val="both"/>
        <w:rPr>
          <w:sz w:val="28"/>
          <w:szCs w:val="28"/>
          <w:rtl/>
        </w:rPr>
      </w:pPr>
      <w:r w:rsidRPr="00480CAB">
        <w:rPr>
          <w:rFonts w:hint="cs"/>
          <w:b/>
          <w:bCs/>
          <w:sz w:val="28"/>
          <w:szCs w:val="28"/>
          <w:u w:val="single"/>
          <w:rtl/>
        </w:rPr>
        <w:lastRenderedPageBreak/>
        <w:t xml:space="preserve">פס"ד אסתר </w:t>
      </w:r>
      <w:proofErr w:type="spellStart"/>
      <w:r w:rsidRPr="00480CAB">
        <w:rPr>
          <w:rFonts w:hint="cs"/>
          <w:b/>
          <w:bCs/>
          <w:sz w:val="28"/>
          <w:szCs w:val="28"/>
          <w:u w:val="single"/>
          <w:rtl/>
        </w:rPr>
        <w:t>מורדכיוב</w:t>
      </w:r>
      <w:proofErr w:type="spellEnd"/>
      <w:r w:rsidRPr="00480CAB">
        <w:rPr>
          <w:rFonts w:hint="cs"/>
          <w:b/>
          <w:bCs/>
          <w:sz w:val="28"/>
          <w:szCs w:val="28"/>
          <w:u w:val="single"/>
          <w:rtl/>
        </w:rPr>
        <w:t xml:space="preserve"> נ' שלמה מינץ:</w:t>
      </w:r>
    </w:p>
    <w:p w14:paraId="781B27B9" w14:textId="5D4AC965" w:rsidR="00B35D74" w:rsidRDefault="00683498" w:rsidP="0054227F">
      <w:pPr>
        <w:tabs>
          <w:tab w:val="left" w:pos="720"/>
          <w:tab w:val="left" w:pos="1440"/>
          <w:tab w:val="left" w:pos="4896"/>
        </w:tabs>
        <w:autoSpaceDE w:val="0"/>
        <w:autoSpaceDN w:val="0"/>
        <w:adjustRightInd w:val="0"/>
        <w:spacing w:after="80" w:line="276" w:lineRule="auto"/>
        <w:jc w:val="both"/>
        <w:rPr>
          <w:rtl/>
        </w:rPr>
      </w:pPr>
      <w:r>
        <w:rPr>
          <w:rFonts w:hint="cs"/>
          <w:u w:val="single"/>
          <w:rtl/>
        </w:rPr>
        <w:t>הסיפור העובדתי:</w:t>
      </w:r>
    </w:p>
    <w:p w14:paraId="191D07C1" w14:textId="5A2E04E8" w:rsidR="00683498" w:rsidRDefault="001E6A81" w:rsidP="00C627C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sz w:val="20"/>
          <w:rtl/>
        </w:rPr>
        <w:t>מינץ</w:t>
      </w:r>
      <w:r w:rsidR="00C627C5" w:rsidRPr="00C1252B">
        <w:rPr>
          <w:sz w:val="20"/>
          <w:rtl/>
        </w:rPr>
        <w:t xml:space="preserve"> </w:t>
      </w:r>
      <w:r w:rsidR="00C627C5">
        <w:rPr>
          <w:rFonts w:hint="cs"/>
          <w:sz w:val="20"/>
          <w:rtl/>
        </w:rPr>
        <w:t xml:space="preserve">נרשם </w:t>
      </w:r>
      <w:r w:rsidR="00C627C5" w:rsidRPr="00C1252B">
        <w:rPr>
          <w:sz w:val="20"/>
          <w:rtl/>
        </w:rPr>
        <w:t xml:space="preserve">בלשכת רישום המקרקעין בעיר חולון כבעל הדירה לאחר שזכויותיה של אמו בדירה הועברו לו על-ידיה ללא תמורה. </w:t>
      </w:r>
      <w:r>
        <w:rPr>
          <w:rFonts w:hint="cs"/>
          <w:sz w:val="20"/>
          <w:rtl/>
        </w:rPr>
        <w:t>מינץ</w:t>
      </w:r>
      <w:r w:rsidR="00C627C5" w:rsidRPr="00C1252B">
        <w:rPr>
          <w:sz w:val="20"/>
          <w:rtl/>
        </w:rPr>
        <w:t xml:space="preserve"> נעדר רוב ימי השנה מדירתו עקב עיסוקיו, אך לאורך השנים נמנע מהשכרתה לאחרים, בשל ערכה הרגשי בעבורו כדירת הוריו.</w:t>
      </w:r>
    </w:p>
    <w:p w14:paraId="3A91AAF4" w14:textId="6169853D" w:rsidR="00C627C5" w:rsidRDefault="004607F4" w:rsidP="00C627C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 xml:space="preserve">חמש שנים לאחר מכן הגיע למשרדו של עו"ד </w:t>
      </w:r>
      <w:proofErr w:type="spellStart"/>
      <w:r>
        <w:rPr>
          <w:rFonts w:hint="cs"/>
          <w:rtl/>
        </w:rPr>
        <w:t>סלטון</w:t>
      </w:r>
      <w:proofErr w:type="spellEnd"/>
      <w:r>
        <w:rPr>
          <w:rFonts w:hint="cs"/>
          <w:rtl/>
        </w:rPr>
        <w:t xml:space="preserve"> אדם שהתחזה למ</w:t>
      </w:r>
      <w:r w:rsidR="001E6A81">
        <w:rPr>
          <w:rFonts w:hint="cs"/>
          <w:rtl/>
        </w:rPr>
        <w:t xml:space="preserve">ינץ יחד עם בוהדנה </w:t>
      </w:r>
      <w:r w:rsidR="001E6A81" w:rsidRPr="00C1252B">
        <w:rPr>
          <w:sz w:val="20"/>
          <w:rtl/>
        </w:rPr>
        <w:t>בבקשה שיערוך ביניהם חוזה, אשר עניינו מכירת הדירה לבוהדנה בתמורה</w:t>
      </w:r>
      <w:r w:rsidR="001E6A81">
        <w:rPr>
          <w:rFonts w:hint="cs"/>
          <w:sz w:val="20"/>
          <w:rtl/>
        </w:rPr>
        <w:t xml:space="preserve">. המתחזה הציג ת"ז בלויה </w:t>
      </w:r>
      <w:proofErr w:type="spellStart"/>
      <w:r w:rsidR="001E6A81">
        <w:rPr>
          <w:rFonts w:hint="cs"/>
          <w:sz w:val="20"/>
          <w:rtl/>
        </w:rPr>
        <w:t>והעו"ד</w:t>
      </w:r>
      <w:proofErr w:type="spellEnd"/>
      <w:r w:rsidR="001E6A81">
        <w:rPr>
          <w:rFonts w:hint="cs"/>
          <w:sz w:val="20"/>
          <w:rtl/>
        </w:rPr>
        <w:t xml:space="preserve"> ביקש שיציג תעודה </w:t>
      </w:r>
      <w:proofErr w:type="spellStart"/>
      <w:r w:rsidR="001E6A81">
        <w:rPr>
          <w:rFonts w:hint="cs"/>
          <w:sz w:val="20"/>
          <w:rtl/>
        </w:rPr>
        <w:t>חדשב</w:t>
      </w:r>
      <w:proofErr w:type="spellEnd"/>
      <w:r w:rsidR="001E6A81">
        <w:rPr>
          <w:rFonts w:hint="cs"/>
          <w:sz w:val="20"/>
          <w:rtl/>
        </w:rPr>
        <w:t xml:space="preserve"> טרם השלמת העסקה. </w:t>
      </w:r>
      <w:r w:rsidR="001E6A81" w:rsidRPr="00C1252B">
        <w:rPr>
          <w:sz w:val="20"/>
          <w:rtl/>
        </w:rPr>
        <w:t xml:space="preserve">המתחזה יצא מן המשרד וחזר כעבור מספר שעות ובידו </w:t>
      </w:r>
      <w:proofErr w:type="spellStart"/>
      <w:r w:rsidR="001E6A81" w:rsidRPr="00C1252B">
        <w:rPr>
          <w:sz w:val="20"/>
          <w:rtl/>
        </w:rPr>
        <w:t>רשיון</w:t>
      </w:r>
      <w:proofErr w:type="spellEnd"/>
      <w:r w:rsidR="001E6A81" w:rsidRPr="00C1252B">
        <w:rPr>
          <w:sz w:val="20"/>
          <w:rtl/>
        </w:rPr>
        <w:t xml:space="preserve"> נהיגה. עו"ד </w:t>
      </w:r>
      <w:proofErr w:type="spellStart"/>
      <w:r w:rsidR="001E6A81" w:rsidRPr="00C1252B">
        <w:rPr>
          <w:sz w:val="20"/>
          <w:rtl/>
        </w:rPr>
        <w:t>סלטון</w:t>
      </w:r>
      <w:proofErr w:type="spellEnd"/>
      <w:r w:rsidR="001E6A81" w:rsidRPr="00C1252B">
        <w:rPr>
          <w:sz w:val="20"/>
          <w:rtl/>
        </w:rPr>
        <w:t xml:space="preserve"> מילא עוד באותו יום בקשה לרישום הערת אזהרה</w:t>
      </w:r>
      <w:r w:rsidR="001E6A81">
        <w:rPr>
          <w:rFonts w:hint="cs"/>
          <w:sz w:val="20"/>
          <w:rtl/>
        </w:rPr>
        <w:t xml:space="preserve"> וכמה ימים לאחר מכן</w:t>
      </w:r>
      <w:r w:rsidR="001E6A81" w:rsidRPr="00C1252B">
        <w:rPr>
          <w:sz w:val="20"/>
          <w:rtl/>
        </w:rPr>
        <w:t xml:space="preserve"> נרשמה הערת אזהרה לטובת בוהדנה במרשם המקרקעין</w:t>
      </w:r>
      <w:r w:rsidR="001E6A81">
        <w:rPr>
          <w:rFonts w:hint="cs"/>
          <w:rtl/>
        </w:rPr>
        <w:t>.</w:t>
      </w:r>
    </w:p>
    <w:p w14:paraId="0245B87A" w14:textId="77777777" w:rsidR="00AD38F5" w:rsidRDefault="00AD38F5" w:rsidP="00C627C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עו"ד שלח מכתב להסדרת שכ"ט לבוהדנה ולמתחזה (כמינץ). ומשלא נענה ע"י מינץ ביקש ממשרד הפנים את כתובתו העדכנית של שלמה מינץ.</w:t>
      </w:r>
    </w:p>
    <w:p w14:paraId="5F42D41A" w14:textId="77777777" w:rsidR="00AD38F5" w:rsidRDefault="00AD38F5" w:rsidP="00C627C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חודש לאחר רישום הערת האזהרה נחתם הסכם תיווך בין בוהדנה למתווך אשר הציג את הדירה לרוכשים שכבר באותו יום חתמו על זכרון דברים.</w:t>
      </w:r>
    </w:p>
    <w:p w14:paraId="357C88B0" w14:textId="29B5BEDF" w:rsidR="00AD38F5" w:rsidRPr="00AD38F5" w:rsidRDefault="00AD38F5" w:rsidP="00AD38F5">
      <w:pPr>
        <w:pStyle w:val="Ruller4"/>
        <w:numPr>
          <w:ilvl w:val="0"/>
          <w:numId w:val="35"/>
        </w:numPr>
        <w:rPr>
          <w:rFonts w:ascii="David" w:hAnsi="David" w:cs="David"/>
          <w:spacing w:val="0"/>
          <w:sz w:val="24"/>
          <w:szCs w:val="24"/>
          <w:rtl/>
        </w:rPr>
      </w:pPr>
      <w:r w:rsidRPr="00AD38F5">
        <w:rPr>
          <w:rFonts w:ascii="David" w:hAnsi="David" w:cs="David" w:hint="cs"/>
          <w:spacing w:val="0"/>
          <w:sz w:val="24"/>
          <w:szCs w:val="24"/>
          <w:rtl/>
        </w:rPr>
        <w:t>מכיוון שלבוהדנה הייתה רשומה הערת אזהרה בלבד, המליץ עורך דינם של הרוכשים</w:t>
      </w:r>
      <w:r>
        <w:rPr>
          <w:rFonts w:ascii="David" w:hAnsi="David" w:cs="David" w:hint="cs"/>
          <w:spacing w:val="0"/>
          <w:sz w:val="24"/>
          <w:szCs w:val="24"/>
          <w:rtl/>
        </w:rPr>
        <w:t xml:space="preserve"> (בן חיל)</w:t>
      </w:r>
      <w:r w:rsidRPr="00AD38F5">
        <w:rPr>
          <w:rFonts w:ascii="David" w:hAnsi="David" w:cs="David" w:hint="cs"/>
          <w:spacing w:val="0"/>
          <w:sz w:val="24"/>
          <w:szCs w:val="24"/>
          <w:rtl/>
        </w:rPr>
        <w:t xml:space="preserve"> לפרוס את תשלומי הדירה. </w:t>
      </w:r>
      <w:r w:rsidRPr="00AD38F5">
        <w:rPr>
          <w:rFonts w:ascii="David" w:hAnsi="David" w:cs="David"/>
          <w:spacing w:val="0"/>
          <w:sz w:val="24"/>
          <w:szCs w:val="24"/>
          <w:rtl/>
        </w:rPr>
        <w:t xml:space="preserve">במעמד הצדדים התקשר עו"ד בן חיל לעו"ד </w:t>
      </w:r>
      <w:proofErr w:type="spellStart"/>
      <w:r w:rsidRPr="00AD38F5">
        <w:rPr>
          <w:rFonts w:ascii="David" w:hAnsi="David" w:cs="David"/>
          <w:spacing w:val="0"/>
          <w:sz w:val="24"/>
          <w:szCs w:val="24"/>
          <w:rtl/>
        </w:rPr>
        <w:t>סלטון</w:t>
      </w:r>
      <w:proofErr w:type="spellEnd"/>
      <w:r w:rsidRPr="00AD38F5">
        <w:rPr>
          <w:rFonts w:ascii="David" w:hAnsi="David" w:cs="David"/>
          <w:spacing w:val="0"/>
          <w:sz w:val="24"/>
          <w:szCs w:val="24"/>
          <w:rtl/>
        </w:rPr>
        <w:t>, וזה הבטיח לו כי רישום הבעלות יושלם בשבועות הקרובים.</w:t>
      </w:r>
    </w:p>
    <w:p w14:paraId="6F7C279E" w14:textId="514B257B" w:rsidR="00E2340D" w:rsidRPr="00E2340D" w:rsidRDefault="00AD38F5" w:rsidP="00E2340D">
      <w:pPr>
        <w:pStyle w:val="a4"/>
        <w:numPr>
          <w:ilvl w:val="0"/>
          <w:numId w:val="35"/>
        </w:numPr>
        <w:tabs>
          <w:tab w:val="left" w:pos="720"/>
          <w:tab w:val="left" w:pos="1440"/>
          <w:tab w:val="left" w:pos="4896"/>
        </w:tabs>
        <w:autoSpaceDE w:val="0"/>
        <w:autoSpaceDN w:val="0"/>
        <w:adjustRightInd w:val="0"/>
        <w:spacing w:after="80" w:line="276" w:lineRule="auto"/>
        <w:jc w:val="both"/>
        <w:rPr>
          <w:rtl/>
        </w:rPr>
      </w:pPr>
      <w:r>
        <w:rPr>
          <w:rFonts w:hint="cs"/>
          <w:rtl/>
        </w:rPr>
        <w:t xml:space="preserve"> </w:t>
      </w:r>
      <w:r w:rsidR="00595A43">
        <w:rPr>
          <w:rFonts w:hint="cs"/>
          <w:rtl/>
        </w:rPr>
        <w:t xml:space="preserve">בשלב זה, </w:t>
      </w:r>
      <w:r w:rsidR="00595A43" w:rsidRPr="00E2340D">
        <w:rPr>
          <w:rtl/>
        </w:rPr>
        <w:t xml:space="preserve">שלח עו"ד </w:t>
      </w:r>
      <w:proofErr w:type="spellStart"/>
      <w:r w:rsidR="00595A43" w:rsidRPr="00E2340D">
        <w:rPr>
          <w:rtl/>
        </w:rPr>
        <w:t>סלטון</w:t>
      </w:r>
      <w:proofErr w:type="spellEnd"/>
      <w:r w:rsidR="00595A43" w:rsidRPr="00E2340D">
        <w:rPr>
          <w:rtl/>
        </w:rPr>
        <w:t xml:space="preserve"> מכתב שלישי לבוהדנה בבקשה לזמן את המוכר עם תעודה זהות תקפה, וזאת כדי לקדם את העברת רישום הבעלות בדירה על שם בוהדנה.</w:t>
      </w:r>
      <w:r w:rsidR="00E2340D">
        <w:rPr>
          <w:rFonts w:hint="cs"/>
          <w:rtl/>
        </w:rPr>
        <w:t xml:space="preserve"> שבועיים לאחר מכן </w:t>
      </w:r>
      <w:r w:rsidR="00E2340D" w:rsidRPr="00E2340D">
        <w:rPr>
          <w:rtl/>
        </w:rPr>
        <w:t xml:space="preserve">הגיעו בוהדנה והמתחזה למשרדו של עו"ד </w:t>
      </w:r>
      <w:proofErr w:type="spellStart"/>
      <w:r w:rsidR="00E2340D" w:rsidRPr="00E2340D">
        <w:rPr>
          <w:rtl/>
        </w:rPr>
        <w:t>סלטון</w:t>
      </w:r>
      <w:proofErr w:type="spellEnd"/>
      <w:r w:rsidR="00E2340D" w:rsidRPr="00E2340D">
        <w:rPr>
          <w:rtl/>
        </w:rPr>
        <w:t xml:space="preserve">, המתחזה הציג תעודת זהות חדשה שהוצאה יום קודם לכן, ועו"ד </w:t>
      </w:r>
      <w:proofErr w:type="spellStart"/>
      <w:r w:rsidR="00E2340D" w:rsidRPr="00E2340D">
        <w:rPr>
          <w:rtl/>
        </w:rPr>
        <w:t>סלטון</w:t>
      </w:r>
      <w:proofErr w:type="spellEnd"/>
      <w:r w:rsidR="00E2340D" w:rsidRPr="00E2340D">
        <w:rPr>
          <w:rtl/>
        </w:rPr>
        <w:t xml:space="preserve"> חתם על שטר המכר של העסקה הראשונ</w:t>
      </w:r>
      <w:r w:rsidR="00E2340D">
        <w:rPr>
          <w:rFonts w:hint="cs"/>
          <w:rtl/>
        </w:rPr>
        <w:t>ה, שלושה ימים לאחר מכן</w:t>
      </w:r>
      <w:r w:rsidR="00E2340D" w:rsidRPr="00E2340D">
        <w:rPr>
          <w:rtl/>
        </w:rPr>
        <w:t xml:space="preserve"> הושלם רישומו של בוהדנה כבעל הדירה במרשם המקרקעין.</w:t>
      </w:r>
    </w:p>
    <w:p w14:paraId="68DF9B15" w14:textId="77777777" w:rsidR="006537F0" w:rsidRDefault="006537F0" w:rsidP="00C627C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הרוכשים העבירו לבוהדנה את התשלום ונרשמו כבעלי הדירה. (המערערת היא ביתו של הרוכש שנפטר)</w:t>
      </w:r>
    </w:p>
    <w:p w14:paraId="6E97BD59" w14:textId="77777777" w:rsidR="000866A2" w:rsidRDefault="00CC7834" w:rsidP="00C627C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 xml:space="preserve">חמישה חודשים לאחר העסקה, חבר של מינץ הגיע לדירה וגילה שגרים בדירה. בעקבות כך המשיב הגיש תלונה למשטרה על פלישה ותביעה </w:t>
      </w:r>
      <w:r w:rsidRPr="00C1252B">
        <w:rPr>
          <w:sz w:val="20"/>
          <w:rtl/>
        </w:rPr>
        <w:t>לסעד הצהרתי, לסילוק יד ולפיצוי כספי</w:t>
      </w:r>
      <w:r>
        <w:rPr>
          <w:rFonts w:hint="cs"/>
          <w:rtl/>
        </w:rPr>
        <w:t xml:space="preserve"> כנגד </w:t>
      </w:r>
      <w:r w:rsidRPr="00C1252B">
        <w:rPr>
          <w:sz w:val="20"/>
          <w:rtl/>
        </w:rPr>
        <w:t>בוהדנה והמערערות</w:t>
      </w:r>
      <w:r w:rsidR="000866A2">
        <w:rPr>
          <w:rFonts w:hint="cs"/>
          <w:rtl/>
        </w:rPr>
        <w:t>.</w:t>
      </w:r>
    </w:p>
    <w:p w14:paraId="6C62917C" w14:textId="77777777" w:rsidR="00054455" w:rsidRDefault="00054455" w:rsidP="00EE620F">
      <w:pPr>
        <w:tabs>
          <w:tab w:val="left" w:pos="720"/>
          <w:tab w:val="left" w:pos="1440"/>
          <w:tab w:val="left" w:pos="4896"/>
        </w:tabs>
        <w:autoSpaceDE w:val="0"/>
        <w:autoSpaceDN w:val="0"/>
        <w:adjustRightInd w:val="0"/>
        <w:spacing w:after="80" w:line="276" w:lineRule="auto"/>
        <w:jc w:val="both"/>
        <w:rPr>
          <w:rtl/>
        </w:rPr>
      </w:pPr>
      <w:r>
        <w:rPr>
          <w:rFonts w:hint="cs"/>
          <w:u w:val="single"/>
          <w:rtl/>
        </w:rPr>
        <w:t>הדיון:</w:t>
      </w:r>
    </w:p>
    <w:p w14:paraId="6ADBD468" w14:textId="77777777" w:rsidR="00054455" w:rsidRDefault="00054455" w:rsidP="0005445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תנאים להחלת תקנות השוק:</w:t>
      </w:r>
    </w:p>
    <w:p w14:paraId="60C857C6" w14:textId="77777777" w:rsidR="00054455" w:rsidRDefault="00054455" w:rsidP="00054455">
      <w:pPr>
        <w:pStyle w:val="a4"/>
        <w:numPr>
          <w:ilvl w:val="0"/>
          <w:numId w:val="45"/>
        </w:numPr>
        <w:tabs>
          <w:tab w:val="left" w:pos="720"/>
          <w:tab w:val="left" w:pos="1440"/>
          <w:tab w:val="left" w:pos="4896"/>
        </w:tabs>
        <w:autoSpaceDE w:val="0"/>
        <w:autoSpaceDN w:val="0"/>
        <w:adjustRightInd w:val="0"/>
        <w:spacing w:after="80" w:line="276" w:lineRule="auto"/>
        <w:jc w:val="both"/>
      </w:pPr>
      <w:r>
        <w:rPr>
          <w:rFonts w:hint="cs"/>
          <w:rtl/>
        </w:rPr>
        <w:t>הסתמכות בתו"ל על הרישום הלא נכון בפנקס</w:t>
      </w:r>
    </w:p>
    <w:p w14:paraId="03E6AE99" w14:textId="77777777" w:rsidR="00054455" w:rsidRDefault="00054455" w:rsidP="00054455">
      <w:pPr>
        <w:pStyle w:val="a4"/>
        <w:numPr>
          <w:ilvl w:val="0"/>
          <w:numId w:val="45"/>
        </w:numPr>
        <w:tabs>
          <w:tab w:val="left" w:pos="720"/>
          <w:tab w:val="left" w:pos="1440"/>
          <w:tab w:val="left" w:pos="4896"/>
        </w:tabs>
        <w:autoSpaceDE w:val="0"/>
        <w:autoSpaceDN w:val="0"/>
        <w:adjustRightInd w:val="0"/>
        <w:spacing w:after="80" w:line="276" w:lineRule="auto"/>
        <w:jc w:val="both"/>
      </w:pPr>
      <w:r>
        <w:rPr>
          <w:rFonts w:hint="cs"/>
          <w:rtl/>
        </w:rPr>
        <w:t>תמורה</w:t>
      </w:r>
    </w:p>
    <w:p w14:paraId="2B8C7618" w14:textId="77777777" w:rsidR="00054455" w:rsidRDefault="00054455" w:rsidP="00054455">
      <w:pPr>
        <w:pStyle w:val="a4"/>
        <w:numPr>
          <w:ilvl w:val="0"/>
          <w:numId w:val="45"/>
        </w:numPr>
        <w:tabs>
          <w:tab w:val="left" w:pos="720"/>
          <w:tab w:val="left" w:pos="1440"/>
          <w:tab w:val="left" w:pos="4896"/>
        </w:tabs>
        <w:autoSpaceDE w:val="0"/>
        <w:autoSpaceDN w:val="0"/>
        <w:adjustRightInd w:val="0"/>
        <w:spacing w:after="80" w:line="276" w:lineRule="auto"/>
        <w:jc w:val="both"/>
      </w:pPr>
      <w:r>
        <w:rPr>
          <w:rFonts w:hint="cs"/>
          <w:rtl/>
        </w:rPr>
        <w:t>השלמת העסקה (בתו"ל) ע"י רישום</w:t>
      </w:r>
    </w:p>
    <w:p w14:paraId="5024BF14" w14:textId="77777777" w:rsidR="00E52701" w:rsidRPr="00E52701" w:rsidRDefault="00DB2D11" w:rsidP="00054455">
      <w:pPr>
        <w:pStyle w:val="a4"/>
        <w:numPr>
          <w:ilvl w:val="0"/>
          <w:numId w:val="35"/>
        </w:numPr>
        <w:tabs>
          <w:tab w:val="left" w:pos="720"/>
          <w:tab w:val="left" w:pos="1440"/>
          <w:tab w:val="left" w:pos="4896"/>
        </w:tabs>
        <w:autoSpaceDE w:val="0"/>
        <w:autoSpaceDN w:val="0"/>
        <w:adjustRightInd w:val="0"/>
        <w:spacing w:after="80" w:line="276" w:lineRule="auto"/>
        <w:jc w:val="both"/>
      </w:pPr>
      <w:r w:rsidRPr="00C1252B">
        <w:rPr>
          <w:sz w:val="20"/>
          <w:rtl/>
        </w:rPr>
        <w:t>קונה יכול לקיים את תנאי ההסתמכות על הרישום גם מקום שלא הוא עצמו עיין בפנקסי המקרקעין</w:t>
      </w:r>
      <w:r>
        <w:rPr>
          <w:rFonts w:hint="cs"/>
          <w:sz w:val="20"/>
          <w:rtl/>
        </w:rPr>
        <w:t xml:space="preserve"> אלא ה</w:t>
      </w:r>
      <w:r w:rsidR="00166994">
        <w:rPr>
          <w:rFonts w:hint="cs"/>
          <w:sz w:val="20"/>
          <w:rtl/>
        </w:rPr>
        <w:t>שתמש בשליח.</w:t>
      </w:r>
    </w:p>
    <w:p w14:paraId="28296B66" w14:textId="17DB0A7C" w:rsidR="001E6A81" w:rsidRDefault="00E52701" w:rsidP="00054455">
      <w:pPr>
        <w:pStyle w:val="a4"/>
        <w:numPr>
          <w:ilvl w:val="0"/>
          <w:numId w:val="35"/>
        </w:numPr>
        <w:tabs>
          <w:tab w:val="left" w:pos="720"/>
          <w:tab w:val="left" w:pos="1440"/>
          <w:tab w:val="left" w:pos="4896"/>
        </w:tabs>
        <w:autoSpaceDE w:val="0"/>
        <w:autoSpaceDN w:val="0"/>
        <w:adjustRightInd w:val="0"/>
        <w:spacing w:after="80" w:line="276" w:lineRule="auto"/>
        <w:jc w:val="both"/>
      </w:pPr>
      <w:r w:rsidRPr="00C1252B">
        <w:rPr>
          <w:sz w:val="20"/>
          <w:rtl/>
        </w:rPr>
        <w:t>אין בכוחה</w:t>
      </w:r>
      <w:r>
        <w:rPr>
          <w:rFonts w:hint="cs"/>
          <w:sz w:val="20"/>
          <w:rtl/>
        </w:rPr>
        <w:t xml:space="preserve"> של תקנת השוק</w:t>
      </w:r>
      <w:r w:rsidRPr="00C1252B">
        <w:rPr>
          <w:sz w:val="20"/>
          <w:rtl/>
        </w:rPr>
        <w:t xml:space="preserve"> להעניק מזור לקונה אשר הסתמך על פגמים חיצוניים למרשם</w:t>
      </w:r>
      <w:r w:rsidR="00FA3FD4">
        <w:rPr>
          <w:rFonts w:hint="cs"/>
          <w:sz w:val="20"/>
          <w:rtl/>
        </w:rPr>
        <w:t xml:space="preserve"> (למשל, </w:t>
      </w:r>
      <w:r w:rsidR="00FA3FD4" w:rsidRPr="00C1252B">
        <w:rPr>
          <w:sz w:val="20"/>
          <w:rtl/>
        </w:rPr>
        <w:t xml:space="preserve">קונה הרוכש זכות במקרקעין על בסיס מסמכים – דרכונים; תעודות זהות; </w:t>
      </w:r>
      <w:proofErr w:type="spellStart"/>
      <w:r w:rsidR="00FA3FD4" w:rsidRPr="00C1252B">
        <w:rPr>
          <w:sz w:val="20"/>
          <w:rtl/>
        </w:rPr>
        <w:t>יפויי</w:t>
      </w:r>
      <w:proofErr w:type="spellEnd"/>
      <w:r w:rsidR="00FA3FD4" w:rsidRPr="00C1252B">
        <w:rPr>
          <w:sz w:val="20"/>
          <w:rtl/>
        </w:rPr>
        <w:t xml:space="preserve"> כוח – שהם מזויפים</w:t>
      </w:r>
      <w:r w:rsidR="00FA3FD4">
        <w:rPr>
          <w:rFonts w:hint="cs"/>
          <w:sz w:val="20"/>
          <w:rtl/>
        </w:rPr>
        <w:t>)</w:t>
      </w:r>
      <w:r>
        <w:rPr>
          <w:rFonts w:hint="cs"/>
          <w:rtl/>
        </w:rPr>
        <w:t>.</w:t>
      </w:r>
    </w:p>
    <w:p w14:paraId="7648E54D" w14:textId="2FB51C73" w:rsidR="00E52701" w:rsidRDefault="001A48DA" w:rsidP="0005445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 xml:space="preserve">תו"ל בהקשר של ס.10 מדבר על </w:t>
      </w:r>
      <w:r w:rsidRPr="00C1252B">
        <w:rPr>
          <w:rStyle w:val="default"/>
          <w:rFonts w:ascii="David" w:hAnsi="David" w:cs="David"/>
          <w:sz w:val="20"/>
          <w:szCs w:val="24"/>
          <w:rtl/>
        </w:rPr>
        <w:t>אמונה, הלכה למעשה, של הקונה כי המוכר הוא בעל זכות במקרקעין כאמור במרשם, וכי הוא רשאי להעביר את זכותו זו נקייה מכל זכות של אדם אחר</w:t>
      </w:r>
      <w:r w:rsidR="00C80C3D">
        <w:rPr>
          <w:rFonts w:hint="cs"/>
          <w:rtl/>
        </w:rPr>
        <w:t xml:space="preserve">. </w:t>
      </w:r>
      <w:r w:rsidR="00C80C3D" w:rsidRPr="00C1252B">
        <w:rPr>
          <w:sz w:val="20"/>
          <w:rtl/>
        </w:rPr>
        <w:t xml:space="preserve">מקום בו מתעורר ספק </w:t>
      </w:r>
      <w:r w:rsidR="00C80C3D" w:rsidRPr="00C1252B">
        <w:rPr>
          <w:b/>
          <w:sz w:val="20"/>
          <w:szCs w:val="22"/>
          <w:rtl/>
        </w:rPr>
        <w:t>כלשהו</w:t>
      </w:r>
      <w:r w:rsidR="00C80C3D" w:rsidRPr="00C1252B">
        <w:rPr>
          <w:sz w:val="20"/>
          <w:rtl/>
        </w:rPr>
        <w:t>, יערוך הקונה בדיקה ראויה של מצב הזכויות בטרם יקדם את העסקה</w:t>
      </w:r>
      <w:r w:rsidR="00C80C3D">
        <w:rPr>
          <w:rFonts w:hint="cs"/>
          <w:sz w:val="20"/>
          <w:rtl/>
        </w:rPr>
        <w:t>.</w:t>
      </w:r>
    </w:p>
    <w:p w14:paraId="329C9075" w14:textId="3CCFA683" w:rsidR="00A510BF" w:rsidRDefault="00095FD9" w:rsidP="00054455">
      <w:pPr>
        <w:pStyle w:val="a4"/>
        <w:numPr>
          <w:ilvl w:val="0"/>
          <w:numId w:val="35"/>
        </w:numPr>
        <w:tabs>
          <w:tab w:val="left" w:pos="720"/>
          <w:tab w:val="left" w:pos="1440"/>
          <w:tab w:val="left" w:pos="4896"/>
        </w:tabs>
        <w:autoSpaceDE w:val="0"/>
        <w:autoSpaceDN w:val="0"/>
        <w:adjustRightInd w:val="0"/>
        <w:spacing w:after="80" w:line="276" w:lineRule="auto"/>
        <w:jc w:val="both"/>
      </w:pPr>
      <w:r w:rsidRPr="00C1252B">
        <w:rPr>
          <w:sz w:val="20"/>
          <w:rtl/>
        </w:rPr>
        <w:t>הערת אזהרה כשלעצמה אינה שוללת יסוד להסתמכות, אולם אין די בה</w:t>
      </w:r>
      <w:r w:rsidR="00ED4DFA">
        <w:rPr>
          <w:rFonts w:hint="cs"/>
          <w:rtl/>
        </w:rPr>
        <w:t>.</w:t>
      </w:r>
    </w:p>
    <w:p w14:paraId="0533C529" w14:textId="33F4C413" w:rsidR="00ED4DFA" w:rsidRDefault="00ED4DFA" w:rsidP="0005445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rtl/>
        </w:rPr>
        <w:t>הקונה הוא "מונע הנזק" הזול ולכן חלה עליו חובה לבצע "בדיקה ראויה" בטרם השלמת העסקה.</w:t>
      </w:r>
    </w:p>
    <w:p w14:paraId="5012CBFE" w14:textId="715CD07D" w:rsidR="00ED4DFA" w:rsidRDefault="00FE630C" w:rsidP="00054455">
      <w:pPr>
        <w:pStyle w:val="a4"/>
        <w:numPr>
          <w:ilvl w:val="0"/>
          <w:numId w:val="35"/>
        </w:numPr>
        <w:tabs>
          <w:tab w:val="left" w:pos="720"/>
          <w:tab w:val="left" w:pos="1440"/>
          <w:tab w:val="left" w:pos="4896"/>
        </w:tabs>
        <w:autoSpaceDE w:val="0"/>
        <w:autoSpaceDN w:val="0"/>
        <w:adjustRightInd w:val="0"/>
        <w:spacing w:after="80" w:line="276" w:lineRule="auto"/>
        <w:jc w:val="both"/>
      </w:pPr>
      <w:r w:rsidRPr="00C1252B">
        <w:rPr>
          <w:sz w:val="20"/>
          <w:rtl/>
        </w:rPr>
        <w:t xml:space="preserve">רכישה ממוכר אשר לטובתו הערת אזהרה מתוקף עסקה במקרקעין שנערכה למול בעל זכות קניינית שברישומה נפלה שגגה, עשויה לזכות את הקונה בהגנת </w:t>
      </w:r>
      <w:hyperlink r:id="rId34" w:history="1">
        <w:r w:rsidRPr="00C1252B">
          <w:rPr>
            <w:color w:val="0000FF"/>
            <w:sz w:val="20"/>
            <w:u w:val="single"/>
            <w:rtl/>
          </w:rPr>
          <w:t>תקנת השוק</w:t>
        </w:r>
      </w:hyperlink>
      <w:r w:rsidRPr="00C1252B">
        <w:rPr>
          <w:sz w:val="20"/>
          <w:rtl/>
        </w:rPr>
        <w:t xml:space="preserve"> בהתקיים שאר תנאי התקנה</w:t>
      </w:r>
      <w:r>
        <w:rPr>
          <w:rFonts w:hint="cs"/>
          <w:rtl/>
        </w:rPr>
        <w:t>.</w:t>
      </w:r>
    </w:p>
    <w:p w14:paraId="467CC4E9" w14:textId="77777777" w:rsidR="00FE630C" w:rsidRPr="00FE630C" w:rsidRDefault="00FE630C" w:rsidP="00054455">
      <w:pPr>
        <w:pStyle w:val="a4"/>
        <w:numPr>
          <w:ilvl w:val="0"/>
          <w:numId w:val="35"/>
        </w:numPr>
        <w:tabs>
          <w:tab w:val="left" w:pos="720"/>
          <w:tab w:val="left" w:pos="1440"/>
          <w:tab w:val="left" w:pos="4896"/>
        </w:tabs>
        <w:autoSpaceDE w:val="0"/>
        <w:autoSpaceDN w:val="0"/>
        <w:adjustRightInd w:val="0"/>
        <w:spacing w:after="80" w:line="276" w:lineRule="auto"/>
        <w:jc w:val="both"/>
      </w:pPr>
      <w:r>
        <w:rPr>
          <w:rFonts w:hint="cs"/>
          <w:sz w:val="20"/>
          <w:rtl/>
        </w:rPr>
        <w:t>כדי שתקנת השוק תעמוד בידי אדם שהתקשר מול עסקה עם מוכר שבידו הערת אזהרה בלבד יש לקיים תנאים מצטברים:</w:t>
      </w:r>
      <w:r>
        <w:rPr>
          <w:rFonts w:hint="cs"/>
          <w:sz w:val="20"/>
        </w:rPr>
        <w:t xml:space="preserve"> </w:t>
      </w:r>
    </w:p>
    <w:p w14:paraId="10B73F2D" w14:textId="021E942B" w:rsidR="00FE630C" w:rsidRDefault="00FE630C" w:rsidP="00FE630C">
      <w:pPr>
        <w:pStyle w:val="a4"/>
        <w:numPr>
          <w:ilvl w:val="0"/>
          <w:numId w:val="46"/>
        </w:numPr>
        <w:tabs>
          <w:tab w:val="left" w:pos="720"/>
          <w:tab w:val="left" w:pos="1440"/>
          <w:tab w:val="left" w:pos="4896"/>
        </w:tabs>
        <w:autoSpaceDE w:val="0"/>
        <w:autoSpaceDN w:val="0"/>
        <w:adjustRightInd w:val="0"/>
        <w:spacing w:after="80" w:line="276" w:lineRule="auto"/>
        <w:jc w:val="both"/>
      </w:pPr>
      <w:r w:rsidRPr="00C1252B">
        <w:rPr>
          <w:sz w:val="20"/>
          <w:rtl/>
        </w:rPr>
        <w:t>התאמתם של תשלומי התמורה להתקדמות רישומה של זכות הבעלות על-שם המוכר בפנקסי המקרקעין</w:t>
      </w:r>
      <w:r w:rsidR="005E6646">
        <w:rPr>
          <w:rFonts w:hint="cs"/>
          <w:rtl/>
        </w:rPr>
        <w:t>.</w:t>
      </w:r>
    </w:p>
    <w:p w14:paraId="6A26E93F" w14:textId="7EB1C739" w:rsidR="005E6646" w:rsidRPr="00683498" w:rsidRDefault="00B14539" w:rsidP="00FE630C">
      <w:pPr>
        <w:pStyle w:val="a4"/>
        <w:numPr>
          <w:ilvl w:val="0"/>
          <w:numId w:val="46"/>
        </w:numPr>
        <w:tabs>
          <w:tab w:val="left" w:pos="720"/>
          <w:tab w:val="left" w:pos="1440"/>
          <w:tab w:val="left" w:pos="4896"/>
        </w:tabs>
        <w:autoSpaceDE w:val="0"/>
        <w:autoSpaceDN w:val="0"/>
        <w:adjustRightInd w:val="0"/>
        <w:spacing w:after="80" w:line="276" w:lineRule="auto"/>
        <w:jc w:val="both"/>
      </w:pPr>
      <w:r w:rsidRPr="00C1252B">
        <w:rPr>
          <w:sz w:val="20"/>
          <w:rtl/>
        </w:rPr>
        <w:t>"בדיקה ראויה"</w:t>
      </w:r>
      <w:r w:rsidR="00E347C6">
        <w:rPr>
          <w:rFonts w:hint="cs"/>
          <w:sz w:val="20"/>
          <w:rtl/>
        </w:rPr>
        <w:t xml:space="preserve"> (סטנדרט אובייקטיבי)</w:t>
      </w:r>
      <w:r w:rsidRPr="00C1252B">
        <w:rPr>
          <w:sz w:val="20"/>
          <w:rtl/>
        </w:rPr>
        <w:t xml:space="preserve"> של עסקת היסוד מטעם הקונה</w:t>
      </w:r>
      <w:r w:rsidR="00766D94">
        <w:rPr>
          <w:rFonts w:hint="cs"/>
          <w:rtl/>
        </w:rPr>
        <w:t xml:space="preserve"> (</w:t>
      </w:r>
      <w:r w:rsidR="00766D94" w:rsidRPr="00C1252B">
        <w:rPr>
          <w:sz w:val="20"/>
          <w:rtl/>
        </w:rPr>
        <w:t>תוכן הבדיקות הנחוצות נקבע על פי הנסיבות המשתנות בין מקרה למקרה, בין עסקה לעסקה</w:t>
      </w:r>
      <w:r w:rsidR="00766D94">
        <w:rPr>
          <w:rFonts w:hint="cs"/>
          <w:sz w:val="20"/>
          <w:rtl/>
        </w:rPr>
        <w:t>)</w:t>
      </w:r>
      <w:r w:rsidR="00766D94" w:rsidRPr="00C1252B">
        <w:rPr>
          <w:sz w:val="20"/>
          <w:rtl/>
        </w:rPr>
        <w:t>.</w:t>
      </w:r>
    </w:p>
    <w:p w14:paraId="326AAF24" w14:textId="627327F8" w:rsidR="002A1FBC" w:rsidRDefault="008C2BA4" w:rsidP="008C2BA4">
      <w:pPr>
        <w:tabs>
          <w:tab w:val="left" w:pos="720"/>
          <w:tab w:val="left" w:pos="1440"/>
          <w:tab w:val="left" w:pos="4896"/>
        </w:tabs>
        <w:autoSpaceDE w:val="0"/>
        <w:autoSpaceDN w:val="0"/>
        <w:adjustRightInd w:val="0"/>
        <w:spacing w:after="80" w:line="276" w:lineRule="auto"/>
        <w:ind w:left="720"/>
        <w:jc w:val="both"/>
        <w:rPr>
          <w:rtl/>
        </w:rPr>
      </w:pPr>
      <w:r>
        <w:rPr>
          <w:rFonts w:hint="cs"/>
          <w:rtl/>
        </w:rPr>
        <w:t xml:space="preserve">כלומר, </w:t>
      </w:r>
      <w:r w:rsidRPr="00C1252B">
        <w:rPr>
          <w:sz w:val="20"/>
          <w:rtl/>
        </w:rPr>
        <w:t xml:space="preserve">קונה אשר לא הפעיל </w:t>
      </w:r>
      <w:r w:rsidRPr="00C1252B">
        <w:rPr>
          <w:b/>
          <w:sz w:val="20"/>
          <w:szCs w:val="22"/>
          <w:rtl/>
        </w:rPr>
        <w:t xml:space="preserve">אמצעים סבירים וזמינים </w:t>
      </w:r>
      <w:r w:rsidRPr="00C1252B">
        <w:rPr>
          <w:sz w:val="20"/>
          <w:rtl/>
        </w:rPr>
        <w:t>לאיתור המידע, והסתפק בהערת אזהרה, גם אם פרס חלק מן התשלומים לא יוכל לטעון כי הסתמך בתום לב על המרשם</w:t>
      </w:r>
      <w:r>
        <w:rPr>
          <w:rFonts w:hint="cs"/>
          <w:sz w:val="20"/>
          <w:rtl/>
        </w:rPr>
        <w:t>.</w:t>
      </w:r>
    </w:p>
    <w:p w14:paraId="76D12EB4" w14:textId="2B582258" w:rsidR="005213B9" w:rsidRDefault="00E80B9F" w:rsidP="005213B9">
      <w:pPr>
        <w:pStyle w:val="a4"/>
        <w:numPr>
          <w:ilvl w:val="0"/>
          <w:numId w:val="35"/>
        </w:numPr>
        <w:tabs>
          <w:tab w:val="left" w:pos="720"/>
          <w:tab w:val="left" w:pos="1440"/>
          <w:tab w:val="left" w:pos="4896"/>
        </w:tabs>
        <w:autoSpaceDE w:val="0"/>
        <w:autoSpaceDN w:val="0"/>
        <w:adjustRightInd w:val="0"/>
        <w:spacing w:after="80" w:line="276" w:lineRule="auto"/>
        <w:jc w:val="both"/>
      </w:pPr>
      <w:r w:rsidRPr="00C1252B">
        <w:rPr>
          <w:sz w:val="20"/>
          <w:rtl/>
        </w:rPr>
        <w:t>במקרים של התקשרות עם מוכר בעל זכות בעלות רשומה כהלכתה, נדרשת בדיקה רק אם מתעורר בפועל חשד סובייקטיבי אצל הקונה, כדי שלא ייחשב כמי שעצם עיניו ועל כן פגם בתום לב</w:t>
      </w:r>
      <w:r>
        <w:rPr>
          <w:rFonts w:hint="cs"/>
          <w:rtl/>
        </w:rPr>
        <w:t>.</w:t>
      </w:r>
    </w:p>
    <w:p w14:paraId="6F2A5F9C" w14:textId="1EDED225" w:rsidR="00E80B9F" w:rsidRPr="00897494" w:rsidRDefault="00E80B9F" w:rsidP="005213B9">
      <w:pPr>
        <w:pStyle w:val="a4"/>
        <w:numPr>
          <w:ilvl w:val="0"/>
          <w:numId w:val="35"/>
        </w:numPr>
        <w:tabs>
          <w:tab w:val="left" w:pos="720"/>
          <w:tab w:val="left" w:pos="1440"/>
          <w:tab w:val="left" w:pos="4896"/>
        </w:tabs>
        <w:autoSpaceDE w:val="0"/>
        <w:autoSpaceDN w:val="0"/>
        <w:adjustRightInd w:val="0"/>
        <w:spacing w:after="80" w:line="276" w:lineRule="auto"/>
        <w:jc w:val="both"/>
      </w:pPr>
      <w:r w:rsidRPr="00C1252B">
        <w:rPr>
          <w:sz w:val="20"/>
          <w:rtl/>
        </w:rPr>
        <w:t xml:space="preserve">ההתקשרות עם מוכר שזכותו טרם נרשמה במרשם מהוה </w:t>
      </w:r>
      <w:r w:rsidRPr="00C1252B">
        <w:rPr>
          <w:b/>
          <w:sz w:val="20"/>
          <w:szCs w:val="22"/>
          <w:rtl/>
        </w:rPr>
        <w:t>כשלעצמה</w:t>
      </w:r>
      <w:r w:rsidRPr="00C1252B">
        <w:rPr>
          <w:sz w:val="20"/>
          <w:rtl/>
        </w:rPr>
        <w:t xml:space="preserve"> "נורת אזהרה"</w:t>
      </w:r>
      <w:r>
        <w:rPr>
          <w:rFonts w:hint="cs"/>
          <w:sz w:val="20"/>
          <w:rtl/>
        </w:rPr>
        <w:t>.</w:t>
      </w:r>
    </w:p>
    <w:p w14:paraId="6530925B" w14:textId="422584C6" w:rsidR="00897494" w:rsidRPr="00E80B9F" w:rsidRDefault="00897494" w:rsidP="005213B9">
      <w:pPr>
        <w:pStyle w:val="a4"/>
        <w:numPr>
          <w:ilvl w:val="0"/>
          <w:numId w:val="35"/>
        </w:numPr>
        <w:tabs>
          <w:tab w:val="left" w:pos="720"/>
          <w:tab w:val="left" w:pos="1440"/>
          <w:tab w:val="left" w:pos="4896"/>
        </w:tabs>
        <w:autoSpaceDE w:val="0"/>
        <w:autoSpaceDN w:val="0"/>
        <w:adjustRightInd w:val="0"/>
        <w:spacing w:after="80" w:line="276" w:lineRule="auto"/>
        <w:jc w:val="both"/>
      </w:pPr>
      <w:r w:rsidRPr="00C1252B">
        <w:rPr>
          <w:sz w:val="20"/>
          <w:rtl/>
        </w:rPr>
        <w:lastRenderedPageBreak/>
        <w:t xml:space="preserve">בעריכת הבדיקות מתבקש לעתים הצורך ליצור מטעם הקונה </w:t>
      </w:r>
      <w:r w:rsidRPr="00C1252B">
        <w:rPr>
          <w:b/>
          <w:sz w:val="20"/>
          <w:szCs w:val="22"/>
          <w:rtl/>
        </w:rPr>
        <w:t>קשר ישיר</w:t>
      </w:r>
      <w:r w:rsidRPr="00C1252B">
        <w:rPr>
          <w:sz w:val="20"/>
          <w:rtl/>
        </w:rPr>
        <w:t xml:space="preserve"> עם בעל הזכות הרשומה</w:t>
      </w:r>
      <w:r>
        <w:rPr>
          <w:rFonts w:hint="cs"/>
          <w:rtl/>
        </w:rPr>
        <w:t xml:space="preserve">, </w:t>
      </w:r>
      <w:r w:rsidRPr="00C1252B">
        <w:rPr>
          <w:sz w:val="20"/>
          <w:rtl/>
        </w:rPr>
        <w:t>משנוצר קשר עם הבעלים הרשום, על הקונה לבקש מן הבעלים פרטים אשר במהות עשויים להיות חיוניים לגביו</w:t>
      </w:r>
      <w:r w:rsidR="00A95FDC">
        <w:rPr>
          <w:rFonts w:hint="cs"/>
          <w:rtl/>
        </w:rPr>
        <w:t>.</w:t>
      </w:r>
    </w:p>
    <w:p w14:paraId="4115F095" w14:textId="414F0B4D" w:rsidR="00E80B9F" w:rsidRPr="00462E18" w:rsidRDefault="00AC6787" w:rsidP="005213B9">
      <w:pPr>
        <w:pStyle w:val="a4"/>
        <w:numPr>
          <w:ilvl w:val="0"/>
          <w:numId w:val="35"/>
        </w:numPr>
        <w:tabs>
          <w:tab w:val="left" w:pos="720"/>
          <w:tab w:val="left" w:pos="1440"/>
          <w:tab w:val="left" w:pos="4896"/>
        </w:tabs>
        <w:autoSpaceDE w:val="0"/>
        <w:autoSpaceDN w:val="0"/>
        <w:adjustRightInd w:val="0"/>
        <w:spacing w:after="80" w:line="276" w:lineRule="auto"/>
        <w:jc w:val="both"/>
        <w:rPr>
          <w:rtl/>
        </w:rPr>
      </w:pPr>
      <w:r w:rsidRPr="00C1252B">
        <w:rPr>
          <w:sz w:val="20"/>
          <w:rtl/>
        </w:rPr>
        <w:t>מכר תכוף מהוה נורת אזהרה "קלאסית" בעסקאות מקרקעין</w:t>
      </w:r>
      <w:r>
        <w:rPr>
          <w:rFonts w:hint="cs"/>
          <w:rtl/>
        </w:rPr>
        <w:t>.</w:t>
      </w:r>
    </w:p>
    <w:sectPr w:rsidR="00E80B9F" w:rsidRPr="00462E18" w:rsidSect="006961A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TUR">
    <w:altName w:val="Arial"/>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5BE"/>
    <w:multiLevelType w:val="hybridMultilevel"/>
    <w:tmpl w:val="27A2B71A"/>
    <w:lvl w:ilvl="0" w:tplc="229899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E731D"/>
    <w:multiLevelType w:val="hybridMultilevel"/>
    <w:tmpl w:val="D4066CA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524559C"/>
    <w:multiLevelType w:val="hybridMultilevel"/>
    <w:tmpl w:val="D64A838C"/>
    <w:lvl w:ilvl="0" w:tplc="D2767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E2905"/>
    <w:multiLevelType w:val="hybridMultilevel"/>
    <w:tmpl w:val="3FDA0AE8"/>
    <w:lvl w:ilvl="0" w:tplc="7220B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04031"/>
    <w:multiLevelType w:val="hybridMultilevel"/>
    <w:tmpl w:val="4AA616F4"/>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4744F09"/>
    <w:multiLevelType w:val="hybridMultilevel"/>
    <w:tmpl w:val="9A6C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E47BD"/>
    <w:multiLevelType w:val="hybridMultilevel"/>
    <w:tmpl w:val="F8C66E7A"/>
    <w:lvl w:ilvl="0" w:tplc="B44C64D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6B54B0"/>
    <w:multiLevelType w:val="hybridMultilevel"/>
    <w:tmpl w:val="8F0C2368"/>
    <w:lvl w:ilvl="0" w:tplc="B0EE3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533B9"/>
    <w:multiLevelType w:val="hybridMultilevel"/>
    <w:tmpl w:val="57745408"/>
    <w:lvl w:ilvl="0" w:tplc="216CAD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503D2"/>
    <w:multiLevelType w:val="hybridMultilevel"/>
    <w:tmpl w:val="6148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E7BAE"/>
    <w:multiLevelType w:val="hybridMultilevel"/>
    <w:tmpl w:val="4CB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836E0"/>
    <w:multiLevelType w:val="hybridMultilevel"/>
    <w:tmpl w:val="F728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A3C73"/>
    <w:multiLevelType w:val="hybridMultilevel"/>
    <w:tmpl w:val="F1A8675C"/>
    <w:lvl w:ilvl="0" w:tplc="0E22914E">
      <w:start w:val="1"/>
      <w:numFmt w:val="hebrew1"/>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2FF57DD7"/>
    <w:multiLevelType w:val="hybridMultilevel"/>
    <w:tmpl w:val="4D947E74"/>
    <w:lvl w:ilvl="0" w:tplc="14160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40D9F"/>
    <w:multiLevelType w:val="hybridMultilevel"/>
    <w:tmpl w:val="6A0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00B70"/>
    <w:multiLevelType w:val="hybridMultilevel"/>
    <w:tmpl w:val="E926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A4C72"/>
    <w:multiLevelType w:val="hybridMultilevel"/>
    <w:tmpl w:val="352645D8"/>
    <w:lvl w:ilvl="0" w:tplc="D4902BEE">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255699"/>
    <w:multiLevelType w:val="hybridMultilevel"/>
    <w:tmpl w:val="D6C8761A"/>
    <w:lvl w:ilvl="0" w:tplc="FCD297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B0A7D"/>
    <w:multiLevelType w:val="hybridMultilevel"/>
    <w:tmpl w:val="07F8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72F36"/>
    <w:multiLevelType w:val="hybridMultilevel"/>
    <w:tmpl w:val="98F0C7B2"/>
    <w:lvl w:ilvl="0" w:tplc="910298C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83BBF"/>
    <w:multiLevelType w:val="hybridMultilevel"/>
    <w:tmpl w:val="FB080FC0"/>
    <w:lvl w:ilvl="0" w:tplc="7902D65A">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425F72C4"/>
    <w:multiLevelType w:val="hybridMultilevel"/>
    <w:tmpl w:val="CC0EF108"/>
    <w:lvl w:ilvl="0" w:tplc="C11A8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2E6D14"/>
    <w:multiLevelType w:val="hybridMultilevel"/>
    <w:tmpl w:val="CF300D8E"/>
    <w:lvl w:ilvl="0" w:tplc="FF889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3C716A"/>
    <w:multiLevelType w:val="hybridMultilevel"/>
    <w:tmpl w:val="5D54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B7E71"/>
    <w:multiLevelType w:val="hybridMultilevel"/>
    <w:tmpl w:val="AF9A11F8"/>
    <w:lvl w:ilvl="0" w:tplc="DF3220D2">
      <w:start w:val="1"/>
      <w:numFmt w:val="bullet"/>
      <w:lvlText w:val=""/>
      <w:lvlJc w:val="left"/>
      <w:pPr>
        <w:ind w:left="785" w:hanging="360"/>
      </w:pPr>
      <w:rPr>
        <w:rFonts w:ascii="Symbol" w:hAnsi="Symbol" w:hint="default"/>
        <w:lang w:bidi="he-IL"/>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15:restartNumberingAfterBreak="0">
    <w:nsid w:val="456628C0"/>
    <w:multiLevelType w:val="hybridMultilevel"/>
    <w:tmpl w:val="1F42720C"/>
    <w:lvl w:ilvl="0" w:tplc="99EED97C">
      <w:start w:val="1"/>
      <w:numFmt w:val="decimal"/>
      <w:pStyle w:val="Ruller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4869B3"/>
    <w:multiLevelType w:val="hybridMultilevel"/>
    <w:tmpl w:val="B17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54E0A"/>
    <w:multiLevelType w:val="hybridMultilevel"/>
    <w:tmpl w:val="7D862166"/>
    <w:lvl w:ilvl="0" w:tplc="A2A06CA6">
      <w:start w:val="1"/>
      <w:numFmt w:val="hebrew1"/>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8" w15:restartNumberingAfterBreak="0">
    <w:nsid w:val="4F1F16FB"/>
    <w:multiLevelType w:val="hybridMultilevel"/>
    <w:tmpl w:val="352645D8"/>
    <w:lvl w:ilvl="0" w:tplc="D4902BEE">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E70B62"/>
    <w:multiLevelType w:val="hybridMultilevel"/>
    <w:tmpl w:val="0BBA5F90"/>
    <w:lvl w:ilvl="0" w:tplc="9A6EDCC4">
      <w:start w:val="1"/>
      <w:numFmt w:val="hebrew1"/>
      <w:pStyle w:val="a"/>
      <w:lvlText w:val="%1."/>
      <w:lvlJc w:val="left"/>
      <w:pPr>
        <w:tabs>
          <w:tab w:val="num" w:pos="907"/>
        </w:tabs>
        <w:ind w:left="0" w:firstLine="0"/>
      </w:pPr>
      <w:rPr>
        <w:rFonts w:ascii="Century" w:hAnsi="Century" w:cs="FrankRuehl" w:hint="default"/>
        <w:b w:val="0"/>
        <w:bCs w:val="0"/>
        <w:i w:val="0"/>
        <w:iCs w:val="0"/>
        <w:caps w:val="0"/>
        <w:smallCaps w:val="0"/>
        <w:strike w:val="0"/>
        <w:dstrike w:val="0"/>
        <w:outline w:val="0"/>
        <w:shadow w:val="0"/>
        <w:emboss w:val="0"/>
        <w:imprint w:val="0"/>
        <w:vanish w:val="0"/>
        <w:webHidden w:val="0"/>
        <w:color w:val="auto"/>
        <w:spacing w:val="10"/>
        <w:w w:val="100"/>
        <w:kern w:val="0"/>
        <w:position w:val="0"/>
        <w:sz w:val="22"/>
        <w:szCs w:val="28"/>
        <w:u w:val="none" w:color="000000"/>
        <w:effect w:val="none"/>
        <w:vertAlign w:val="baseline"/>
        <w:specVanish w:val="0"/>
      </w:rPr>
    </w:lvl>
    <w:lvl w:ilvl="1" w:tplc="A42813C8">
      <w:start w:val="1"/>
      <w:numFmt w:val="decimal"/>
      <w:lvlText w:val="(%2)"/>
      <w:lvlJc w:val="left"/>
      <w:pPr>
        <w:tabs>
          <w:tab w:val="num" w:pos="1875"/>
        </w:tabs>
        <w:ind w:left="1875" w:hanging="79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1C7110C"/>
    <w:multiLevelType w:val="hybridMultilevel"/>
    <w:tmpl w:val="0158CB80"/>
    <w:lvl w:ilvl="0" w:tplc="C71E8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532D52"/>
    <w:multiLevelType w:val="hybridMultilevel"/>
    <w:tmpl w:val="B030D4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C007CB"/>
    <w:multiLevelType w:val="hybridMultilevel"/>
    <w:tmpl w:val="236C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2D559F"/>
    <w:multiLevelType w:val="hybridMultilevel"/>
    <w:tmpl w:val="137E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F3F34"/>
    <w:multiLevelType w:val="hybridMultilevel"/>
    <w:tmpl w:val="3BDE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12B55"/>
    <w:multiLevelType w:val="hybridMultilevel"/>
    <w:tmpl w:val="DBDAB896"/>
    <w:lvl w:ilvl="0" w:tplc="C75EF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F26350"/>
    <w:multiLevelType w:val="hybridMultilevel"/>
    <w:tmpl w:val="C3EA8528"/>
    <w:lvl w:ilvl="0" w:tplc="DF8A6A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66552"/>
    <w:multiLevelType w:val="hybridMultilevel"/>
    <w:tmpl w:val="D33E83F4"/>
    <w:lvl w:ilvl="0" w:tplc="7BFAB0F2">
      <w:start w:val="1"/>
      <w:numFmt w:val="hebrew1"/>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8" w15:restartNumberingAfterBreak="0">
    <w:nsid w:val="70E97AF0"/>
    <w:multiLevelType w:val="hybridMultilevel"/>
    <w:tmpl w:val="57360720"/>
    <w:lvl w:ilvl="0" w:tplc="D47AED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340429"/>
    <w:multiLevelType w:val="hybridMultilevel"/>
    <w:tmpl w:val="D2B863EA"/>
    <w:lvl w:ilvl="0" w:tplc="26DC20E2">
      <w:start w:val="1"/>
      <w:numFmt w:val="hebrew1"/>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40" w15:restartNumberingAfterBreak="0">
    <w:nsid w:val="7BEE2A0B"/>
    <w:multiLevelType w:val="hybridMultilevel"/>
    <w:tmpl w:val="F1B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0476B"/>
    <w:multiLevelType w:val="hybridMultilevel"/>
    <w:tmpl w:val="D7EAA91E"/>
    <w:lvl w:ilvl="0" w:tplc="A52860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8C486F"/>
    <w:multiLevelType w:val="hybridMultilevel"/>
    <w:tmpl w:val="FEE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6216A"/>
    <w:multiLevelType w:val="hybridMultilevel"/>
    <w:tmpl w:val="28746AE2"/>
    <w:lvl w:ilvl="0" w:tplc="A8E005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D80CB1"/>
    <w:multiLevelType w:val="hybridMultilevel"/>
    <w:tmpl w:val="2B1676F8"/>
    <w:lvl w:ilvl="0" w:tplc="BD8E9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E53B1E"/>
    <w:multiLevelType w:val="hybridMultilevel"/>
    <w:tmpl w:val="59F2035A"/>
    <w:lvl w:ilvl="0" w:tplc="032877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44"/>
  </w:num>
  <w:num w:numId="3">
    <w:abstractNumId w:val="15"/>
  </w:num>
  <w:num w:numId="4">
    <w:abstractNumId w:val="25"/>
  </w:num>
  <w:num w:numId="5">
    <w:abstractNumId w:val="45"/>
  </w:num>
  <w:num w:numId="6">
    <w:abstractNumId w:val="23"/>
  </w:num>
  <w:num w:numId="7">
    <w:abstractNumId w:val="22"/>
  </w:num>
  <w:num w:numId="8">
    <w:abstractNumId w:val="14"/>
  </w:num>
  <w:num w:numId="9">
    <w:abstractNumId w:val="1"/>
  </w:num>
  <w:num w:numId="10">
    <w:abstractNumId w:val="24"/>
  </w:num>
  <w:num w:numId="11">
    <w:abstractNumId w:val="27"/>
  </w:num>
  <w:num w:numId="12">
    <w:abstractNumId w:val="12"/>
  </w:num>
  <w:num w:numId="13">
    <w:abstractNumId w:val="11"/>
  </w:num>
  <w:num w:numId="14">
    <w:abstractNumId w:val="40"/>
  </w:num>
  <w:num w:numId="15">
    <w:abstractNumId w:val="2"/>
  </w:num>
  <w:num w:numId="16">
    <w:abstractNumId w:val="42"/>
  </w:num>
  <w:num w:numId="17">
    <w:abstractNumId w:val="20"/>
  </w:num>
  <w:num w:numId="18">
    <w:abstractNumId w:val="32"/>
  </w:num>
  <w:num w:numId="19">
    <w:abstractNumId w:val="36"/>
  </w:num>
  <w:num w:numId="20">
    <w:abstractNumId w:val="4"/>
  </w:num>
  <w:num w:numId="21">
    <w:abstractNumId w:val="37"/>
  </w:num>
  <w:num w:numId="22">
    <w:abstractNumId w:val="39"/>
  </w:num>
  <w:num w:numId="23">
    <w:abstractNumId w:val="26"/>
  </w:num>
  <w:num w:numId="24">
    <w:abstractNumId w:val="9"/>
  </w:num>
  <w:num w:numId="25">
    <w:abstractNumId w:val="30"/>
  </w:num>
  <w:num w:numId="26">
    <w:abstractNumId w:val="5"/>
  </w:num>
  <w:num w:numId="27">
    <w:abstractNumId w:val="7"/>
  </w:num>
  <w:num w:numId="28">
    <w:abstractNumId w:val="10"/>
  </w:num>
  <w:num w:numId="29">
    <w:abstractNumId w:val="35"/>
  </w:num>
  <w:num w:numId="30">
    <w:abstractNumId w:val="18"/>
  </w:num>
  <w:num w:numId="31">
    <w:abstractNumId w:val="19"/>
  </w:num>
  <w:num w:numId="32">
    <w:abstractNumId w:val="34"/>
  </w:num>
  <w:num w:numId="33">
    <w:abstractNumId w:val="21"/>
  </w:num>
  <w:num w:numId="34">
    <w:abstractNumId w:val="6"/>
  </w:num>
  <w:num w:numId="35">
    <w:abstractNumId w:val="17"/>
  </w:num>
  <w:num w:numId="36">
    <w:abstractNumId w:val="41"/>
  </w:num>
  <w:num w:numId="37">
    <w:abstractNumId w:val="43"/>
  </w:num>
  <w:num w:numId="38">
    <w:abstractNumId w:val="16"/>
  </w:num>
  <w:num w:numId="39">
    <w:abstractNumId w:val="28"/>
  </w:num>
  <w:num w:numId="40">
    <w:abstractNumId w:val="31"/>
  </w:num>
  <w:num w:numId="41">
    <w:abstractNumId w:val="13"/>
  </w:num>
  <w:num w:numId="42">
    <w:abstractNumId w:val="3"/>
  </w:num>
  <w:num w:numId="43">
    <w:abstractNumId w:val="38"/>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AA"/>
    <w:rsid w:val="0000747A"/>
    <w:rsid w:val="0001208E"/>
    <w:rsid w:val="000315A5"/>
    <w:rsid w:val="000420F6"/>
    <w:rsid w:val="00042DB0"/>
    <w:rsid w:val="0004596F"/>
    <w:rsid w:val="00054455"/>
    <w:rsid w:val="000558B7"/>
    <w:rsid w:val="00056144"/>
    <w:rsid w:val="00060529"/>
    <w:rsid w:val="00060732"/>
    <w:rsid w:val="00063992"/>
    <w:rsid w:val="000679A4"/>
    <w:rsid w:val="00072E01"/>
    <w:rsid w:val="00073D8B"/>
    <w:rsid w:val="00084EF7"/>
    <w:rsid w:val="000866A2"/>
    <w:rsid w:val="000877B4"/>
    <w:rsid w:val="00095FD9"/>
    <w:rsid w:val="000A1BE3"/>
    <w:rsid w:val="000B2600"/>
    <w:rsid w:val="000B46F8"/>
    <w:rsid w:val="000C091F"/>
    <w:rsid w:val="000C0C55"/>
    <w:rsid w:val="000C5830"/>
    <w:rsid w:val="000D1E1D"/>
    <w:rsid w:val="000D3F2B"/>
    <w:rsid w:val="000D4DC7"/>
    <w:rsid w:val="000E088E"/>
    <w:rsid w:val="000F007E"/>
    <w:rsid w:val="0010495F"/>
    <w:rsid w:val="0010522F"/>
    <w:rsid w:val="00112780"/>
    <w:rsid w:val="00113A81"/>
    <w:rsid w:val="00117BD7"/>
    <w:rsid w:val="0012787B"/>
    <w:rsid w:val="00131A16"/>
    <w:rsid w:val="001408B1"/>
    <w:rsid w:val="00142146"/>
    <w:rsid w:val="00144FC7"/>
    <w:rsid w:val="00151BE4"/>
    <w:rsid w:val="001640AC"/>
    <w:rsid w:val="0016693A"/>
    <w:rsid w:val="00166994"/>
    <w:rsid w:val="00172677"/>
    <w:rsid w:val="00186B3A"/>
    <w:rsid w:val="001965C0"/>
    <w:rsid w:val="001A03A0"/>
    <w:rsid w:val="001A48DA"/>
    <w:rsid w:val="001A70E7"/>
    <w:rsid w:val="001B7C01"/>
    <w:rsid w:val="001C5154"/>
    <w:rsid w:val="001D68E0"/>
    <w:rsid w:val="001E6A81"/>
    <w:rsid w:val="001E7D5E"/>
    <w:rsid w:val="00213AD8"/>
    <w:rsid w:val="00215571"/>
    <w:rsid w:val="00220B6D"/>
    <w:rsid w:val="00221676"/>
    <w:rsid w:val="002231AF"/>
    <w:rsid w:val="0022516B"/>
    <w:rsid w:val="00234A8B"/>
    <w:rsid w:val="002414A5"/>
    <w:rsid w:val="00241EFB"/>
    <w:rsid w:val="00246A69"/>
    <w:rsid w:val="002618F3"/>
    <w:rsid w:val="0026394E"/>
    <w:rsid w:val="002721BA"/>
    <w:rsid w:val="00276ED0"/>
    <w:rsid w:val="00277A0E"/>
    <w:rsid w:val="00286D97"/>
    <w:rsid w:val="00287334"/>
    <w:rsid w:val="00287EC2"/>
    <w:rsid w:val="002943FA"/>
    <w:rsid w:val="00294AE9"/>
    <w:rsid w:val="002961FB"/>
    <w:rsid w:val="00296598"/>
    <w:rsid w:val="002A1FBC"/>
    <w:rsid w:val="002A38A6"/>
    <w:rsid w:val="002B69BC"/>
    <w:rsid w:val="002B723B"/>
    <w:rsid w:val="002C6A22"/>
    <w:rsid w:val="002E4C97"/>
    <w:rsid w:val="002E753D"/>
    <w:rsid w:val="002F19DE"/>
    <w:rsid w:val="00302476"/>
    <w:rsid w:val="00302C02"/>
    <w:rsid w:val="0030356B"/>
    <w:rsid w:val="003040CF"/>
    <w:rsid w:val="00305497"/>
    <w:rsid w:val="00315061"/>
    <w:rsid w:val="00315DA0"/>
    <w:rsid w:val="00325166"/>
    <w:rsid w:val="003315A3"/>
    <w:rsid w:val="003348E6"/>
    <w:rsid w:val="00334DA0"/>
    <w:rsid w:val="00342E9A"/>
    <w:rsid w:val="00343363"/>
    <w:rsid w:val="00346795"/>
    <w:rsid w:val="00346A8C"/>
    <w:rsid w:val="0035107C"/>
    <w:rsid w:val="00351E3E"/>
    <w:rsid w:val="003553D8"/>
    <w:rsid w:val="00361345"/>
    <w:rsid w:val="00373318"/>
    <w:rsid w:val="003778F3"/>
    <w:rsid w:val="00391F28"/>
    <w:rsid w:val="003962B7"/>
    <w:rsid w:val="003A2390"/>
    <w:rsid w:val="003A4226"/>
    <w:rsid w:val="003A5572"/>
    <w:rsid w:val="003B42B1"/>
    <w:rsid w:val="003C02C3"/>
    <w:rsid w:val="003C6436"/>
    <w:rsid w:val="003E175B"/>
    <w:rsid w:val="003E2387"/>
    <w:rsid w:val="003E2FD3"/>
    <w:rsid w:val="003E5254"/>
    <w:rsid w:val="003E7402"/>
    <w:rsid w:val="003F1C20"/>
    <w:rsid w:val="003F59A1"/>
    <w:rsid w:val="004015CC"/>
    <w:rsid w:val="00405D7E"/>
    <w:rsid w:val="00415221"/>
    <w:rsid w:val="00440A37"/>
    <w:rsid w:val="004418F6"/>
    <w:rsid w:val="004440A2"/>
    <w:rsid w:val="004574E3"/>
    <w:rsid w:val="004607F4"/>
    <w:rsid w:val="00462E18"/>
    <w:rsid w:val="0046496C"/>
    <w:rsid w:val="00471191"/>
    <w:rsid w:val="00473D96"/>
    <w:rsid w:val="0047450C"/>
    <w:rsid w:val="0047703C"/>
    <w:rsid w:val="00480808"/>
    <w:rsid w:val="00480CAB"/>
    <w:rsid w:val="004A0716"/>
    <w:rsid w:val="004A3768"/>
    <w:rsid w:val="004B525B"/>
    <w:rsid w:val="004B5FCF"/>
    <w:rsid w:val="004B75C9"/>
    <w:rsid w:val="004C4CEB"/>
    <w:rsid w:val="004D07E7"/>
    <w:rsid w:val="004D2296"/>
    <w:rsid w:val="004E29AE"/>
    <w:rsid w:val="004E54A0"/>
    <w:rsid w:val="004F0BFA"/>
    <w:rsid w:val="004F529D"/>
    <w:rsid w:val="00502AA9"/>
    <w:rsid w:val="00503A51"/>
    <w:rsid w:val="005040D6"/>
    <w:rsid w:val="00504CD0"/>
    <w:rsid w:val="00517787"/>
    <w:rsid w:val="005213B9"/>
    <w:rsid w:val="005273D9"/>
    <w:rsid w:val="00536D17"/>
    <w:rsid w:val="0054169C"/>
    <w:rsid w:val="0054227F"/>
    <w:rsid w:val="0055208E"/>
    <w:rsid w:val="0057276F"/>
    <w:rsid w:val="00575B8C"/>
    <w:rsid w:val="00585A2C"/>
    <w:rsid w:val="00585CA5"/>
    <w:rsid w:val="005903E2"/>
    <w:rsid w:val="00594AED"/>
    <w:rsid w:val="00595A43"/>
    <w:rsid w:val="005A480C"/>
    <w:rsid w:val="005A5C36"/>
    <w:rsid w:val="005B3566"/>
    <w:rsid w:val="005B40BC"/>
    <w:rsid w:val="005B7004"/>
    <w:rsid w:val="005C02F0"/>
    <w:rsid w:val="005C5413"/>
    <w:rsid w:val="005D6865"/>
    <w:rsid w:val="005E0348"/>
    <w:rsid w:val="005E51C2"/>
    <w:rsid w:val="005E6646"/>
    <w:rsid w:val="005F1A03"/>
    <w:rsid w:val="005F2B0F"/>
    <w:rsid w:val="005F7AF4"/>
    <w:rsid w:val="006005A5"/>
    <w:rsid w:val="0060566C"/>
    <w:rsid w:val="00606EB5"/>
    <w:rsid w:val="00613E6A"/>
    <w:rsid w:val="006148FE"/>
    <w:rsid w:val="00614CE3"/>
    <w:rsid w:val="00622F22"/>
    <w:rsid w:val="00624DB9"/>
    <w:rsid w:val="0063169A"/>
    <w:rsid w:val="00637D79"/>
    <w:rsid w:val="006406BD"/>
    <w:rsid w:val="00643FDB"/>
    <w:rsid w:val="006522F0"/>
    <w:rsid w:val="006537F0"/>
    <w:rsid w:val="00667B36"/>
    <w:rsid w:val="00673FC4"/>
    <w:rsid w:val="00674F49"/>
    <w:rsid w:val="00683498"/>
    <w:rsid w:val="006847CE"/>
    <w:rsid w:val="006876B8"/>
    <w:rsid w:val="00687C50"/>
    <w:rsid w:val="006961AA"/>
    <w:rsid w:val="006A4CE4"/>
    <w:rsid w:val="006A74B9"/>
    <w:rsid w:val="006B0AFF"/>
    <w:rsid w:val="006B2720"/>
    <w:rsid w:val="006B6E09"/>
    <w:rsid w:val="006C40AA"/>
    <w:rsid w:val="006D2F9C"/>
    <w:rsid w:val="006D7465"/>
    <w:rsid w:val="006E6FA2"/>
    <w:rsid w:val="006F2A51"/>
    <w:rsid w:val="006F2C5C"/>
    <w:rsid w:val="00705BB6"/>
    <w:rsid w:val="007079FD"/>
    <w:rsid w:val="00716219"/>
    <w:rsid w:val="007239F7"/>
    <w:rsid w:val="0073009E"/>
    <w:rsid w:val="0073337B"/>
    <w:rsid w:val="007338BB"/>
    <w:rsid w:val="007357F7"/>
    <w:rsid w:val="0074149B"/>
    <w:rsid w:val="007415C5"/>
    <w:rsid w:val="00745634"/>
    <w:rsid w:val="00755FBE"/>
    <w:rsid w:val="0076068C"/>
    <w:rsid w:val="007621D8"/>
    <w:rsid w:val="00766D94"/>
    <w:rsid w:val="00770B29"/>
    <w:rsid w:val="00776373"/>
    <w:rsid w:val="007825CD"/>
    <w:rsid w:val="00782EA9"/>
    <w:rsid w:val="00790319"/>
    <w:rsid w:val="007A6D36"/>
    <w:rsid w:val="007A7C66"/>
    <w:rsid w:val="007D0CAC"/>
    <w:rsid w:val="007E097D"/>
    <w:rsid w:val="007E190B"/>
    <w:rsid w:val="007E6B7C"/>
    <w:rsid w:val="007F73EE"/>
    <w:rsid w:val="00807D75"/>
    <w:rsid w:val="0081162A"/>
    <w:rsid w:val="008145B5"/>
    <w:rsid w:val="00833C43"/>
    <w:rsid w:val="008427BA"/>
    <w:rsid w:val="00843FF7"/>
    <w:rsid w:val="008450C1"/>
    <w:rsid w:val="00847AA5"/>
    <w:rsid w:val="008528CD"/>
    <w:rsid w:val="00855BD3"/>
    <w:rsid w:val="00870133"/>
    <w:rsid w:val="00871C05"/>
    <w:rsid w:val="00875756"/>
    <w:rsid w:val="00883DE9"/>
    <w:rsid w:val="00883E00"/>
    <w:rsid w:val="00890B84"/>
    <w:rsid w:val="008938D3"/>
    <w:rsid w:val="00893C49"/>
    <w:rsid w:val="0089548E"/>
    <w:rsid w:val="00897125"/>
    <w:rsid w:val="00897494"/>
    <w:rsid w:val="008977D5"/>
    <w:rsid w:val="00897C0B"/>
    <w:rsid w:val="008A2376"/>
    <w:rsid w:val="008A3807"/>
    <w:rsid w:val="008C19A1"/>
    <w:rsid w:val="008C2BA4"/>
    <w:rsid w:val="008C3B2D"/>
    <w:rsid w:val="008C4A34"/>
    <w:rsid w:val="008D2044"/>
    <w:rsid w:val="008D5B33"/>
    <w:rsid w:val="008E20E0"/>
    <w:rsid w:val="008E3657"/>
    <w:rsid w:val="008E56A1"/>
    <w:rsid w:val="008E7735"/>
    <w:rsid w:val="008F352D"/>
    <w:rsid w:val="008F635F"/>
    <w:rsid w:val="008F75D4"/>
    <w:rsid w:val="00900637"/>
    <w:rsid w:val="009158DF"/>
    <w:rsid w:val="00916B85"/>
    <w:rsid w:val="0093137C"/>
    <w:rsid w:val="00947D04"/>
    <w:rsid w:val="009513C6"/>
    <w:rsid w:val="00955269"/>
    <w:rsid w:val="00963C3E"/>
    <w:rsid w:val="00964742"/>
    <w:rsid w:val="0097595B"/>
    <w:rsid w:val="0098784C"/>
    <w:rsid w:val="00990F61"/>
    <w:rsid w:val="00991ED2"/>
    <w:rsid w:val="00992D85"/>
    <w:rsid w:val="00995BA1"/>
    <w:rsid w:val="009A2001"/>
    <w:rsid w:val="009A28E1"/>
    <w:rsid w:val="009C5054"/>
    <w:rsid w:val="009F3E6E"/>
    <w:rsid w:val="00A01B12"/>
    <w:rsid w:val="00A032E1"/>
    <w:rsid w:val="00A160E0"/>
    <w:rsid w:val="00A2496C"/>
    <w:rsid w:val="00A32B6C"/>
    <w:rsid w:val="00A406B5"/>
    <w:rsid w:val="00A41DBB"/>
    <w:rsid w:val="00A45B88"/>
    <w:rsid w:val="00A510BF"/>
    <w:rsid w:val="00A5304B"/>
    <w:rsid w:val="00A54A46"/>
    <w:rsid w:val="00A5554C"/>
    <w:rsid w:val="00A61224"/>
    <w:rsid w:val="00A709DE"/>
    <w:rsid w:val="00A727B2"/>
    <w:rsid w:val="00A75132"/>
    <w:rsid w:val="00A80A2B"/>
    <w:rsid w:val="00A812BD"/>
    <w:rsid w:val="00A81EC4"/>
    <w:rsid w:val="00A824F3"/>
    <w:rsid w:val="00A90EDB"/>
    <w:rsid w:val="00A94319"/>
    <w:rsid w:val="00A95FDC"/>
    <w:rsid w:val="00A96084"/>
    <w:rsid w:val="00AA6B86"/>
    <w:rsid w:val="00AB1644"/>
    <w:rsid w:val="00AB49A2"/>
    <w:rsid w:val="00AB62DC"/>
    <w:rsid w:val="00AC6787"/>
    <w:rsid w:val="00AC78AE"/>
    <w:rsid w:val="00AD38F5"/>
    <w:rsid w:val="00AE2494"/>
    <w:rsid w:val="00AE7F74"/>
    <w:rsid w:val="00AF2585"/>
    <w:rsid w:val="00AF2753"/>
    <w:rsid w:val="00AF4E48"/>
    <w:rsid w:val="00B06CC2"/>
    <w:rsid w:val="00B14539"/>
    <w:rsid w:val="00B35D74"/>
    <w:rsid w:val="00B35FCC"/>
    <w:rsid w:val="00B54A95"/>
    <w:rsid w:val="00B56252"/>
    <w:rsid w:val="00B616A2"/>
    <w:rsid w:val="00B62E26"/>
    <w:rsid w:val="00B746AA"/>
    <w:rsid w:val="00B7765D"/>
    <w:rsid w:val="00B80FE8"/>
    <w:rsid w:val="00B81299"/>
    <w:rsid w:val="00B87B97"/>
    <w:rsid w:val="00B91DA5"/>
    <w:rsid w:val="00BB3E9F"/>
    <w:rsid w:val="00BB40D7"/>
    <w:rsid w:val="00BC5245"/>
    <w:rsid w:val="00BD2478"/>
    <w:rsid w:val="00BE2199"/>
    <w:rsid w:val="00BE31B2"/>
    <w:rsid w:val="00BF3780"/>
    <w:rsid w:val="00BF5D23"/>
    <w:rsid w:val="00BF5F59"/>
    <w:rsid w:val="00BF7A74"/>
    <w:rsid w:val="00C00DC2"/>
    <w:rsid w:val="00C0162C"/>
    <w:rsid w:val="00C043E7"/>
    <w:rsid w:val="00C115CE"/>
    <w:rsid w:val="00C11ABD"/>
    <w:rsid w:val="00C13860"/>
    <w:rsid w:val="00C409F3"/>
    <w:rsid w:val="00C519BA"/>
    <w:rsid w:val="00C54BDC"/>
    <w:rsid w:val="00C627C5"/>
    <w:rsid w:val="00C637BB"/>
    <w:rsid w:val="00C66431"/>
    <w:rsid w:val="00C67517"/>
    <w:rsid w:val="00C74247"/>
    <w:rsid w:val="00C80C3D"/>
    <w:rsid w:val="00C812FB"/>
    <w:rsid w:val="00C823AF"/>
    <w:rsid w:val="00C9283D"/>
    <w:rsid w:val="00CA0CBC"/>
    <w:rsid w:val="00CA5593"/>
    <w:rsid w:val="00CA7556"/>
    <w:rsid w:val="00CB13C0"/>
    <w:rsid w:val="00CB30A2"/>
    <w:rsid w:val="00CB3240"/>
    <w:rsid w:val="00CC283D"/>
    <w:rsid w:val="00CC7834"/>
    <w:rsid w:val="00CD02A8"/>
    <w:rsid w:val="00CD5AA3"/>
    <w:rsid w:val="00CD5B3A"/>
    <w:rsid w:val="00CD63F4"/>
    <w:rsid w:val="00CE7503"/>
    <w:rsid w:val="00CF34EA"/>
    <w:rsid w:val="00D00441"/>
    <w:rsid w:val="00D0692E"/>
    <w:rsid w:val="00D34B85"/>
    <w:rsid w:val="00D37FB2"/>
    <w:rsid w:val="00D4039C"/>
    <w:rsid w:val="00D42052"/>
    <w:rsid w:val="00D45ED5"/>
    <w:rsid w:val="00D47946"/>
    <w:rsid w:val="00D51204"/>
    <w:rsid w:val="00D618AC"/>
    <w:rsid w:val="00D66E0B"/>
    <w:rsid w:val="00D70315"/>
    <w:rsid w:val="00D76109"/>
    <w:rsid w:val="00D85C14"/>
    <w:rsid w:val="00D87B8A"/>
    <w:rsid w:val="00D9403C"/>
    <w:rsid w:val="00D962A5"/>
    <w:rsid w:val="00DA174F"/>
    <w:rsid w:val="00DB2151"/>
    <w:rsid w:val="00DB2D11"/>
    <w:rsid w:val="00DB2F9F"/>
    <w:rsid w:val="00DB3FA4"/>
    <w:rsid w:val="00DB7913"/>
    <w:rsid w:val="00DC2847"/>
    <w:rsid w:val="00DC3447"/>
    <w:rsid w:val="00DC5B06"/>
    <w:rsid w:val="00DC7D02"/>
    <w:rsid w:val="00DD01EC"/>
    <w:rsid w:val="00E171D2"/>
    <w:rsid w:val="00E17A2D"/>
    <w:rsid w:val="00E20512"/>
    <w:rsid w:val="00E22102"/>
    <w:rsid w:val="00E2340D"/>
    <w:rsid w:val="00E31421"/>
    <w:rsid w:val="00E347C6"/>
    <w:rsid w:val="00E44413"/>
    <w:rsid w:val="00E51826"/>
    <w:rsid w:val="00E52701"/>
    <w:rsid w:val="00E63321"/>
    <w:rsid w:val="00E64330"/>
    <w:rsid w:val="00E71232"/>
    <w:rsid w:val="00E748A7"/>
    <w:rsid w:val="00E805BD"/>
    <w:rsid w:val="00E80B9F"/>
    <w:rsid w:val="00E82FA1"/>
    <w:rsid w:val="00E87895"/>
    <w:rsid w:val="00E87E6E"/>
    <w:rsid w:val="00EB0102"/>
    <w:rsid w:val="00ED13E0"/>
    <w:rsid w:val="00ED3405"/>
    <w:rsid w:val="00ED4DFA"/>
    <w:rsid w:val="00ED70FE"/>
    <w:rsid w:val="00EE620F"/>
    <w:rsid w:val="00EE75AF"/>
    <w:rsid w:val="00EF0075"/>
    <w:rsid w:val="00F011EC"/>
    <w:rsid w:val="00F02CCA"/>
    <w:rsid w:val="00F05B07"/>
    <w:rsid w:val="00F07A5E"/>
    <w:rsid w:val="00F14436"/>
    <w:rsid w:val="00F151DA"/>
    <w:rsid w:val="00F31C77"/>
    <w:rsid w:val="00F41165"/>
    <w:rsid w:val="00F50249"/>
    <w:rsid w:val="00F51287"/>
    <w:rsid w:val="00F5240D"/>
    <w:rsid w:val="00F61E91"/>
    <w:rsid w:val="00F625BD"/>
    <w:rsid w:val="00F667B1"/>
    <w:rsid w:val="00F74982"/>
    <w:rsid w:val="00F8533A"/>
    <w:rsid w:val="00F90A17"/>
    <w:rsid w:val="00F94070"/>
    <w:rsid w:val="00F944AA"/>
    <w:rsid w:val="00FA2C4E"/>
    <w:rsid w:val="00FA3FD4"/>
    <w:rsid w:val="00FC339B"/>
    <w:rsid w:val="00FC3F7B"/>
    <w:rsid w:val="00FC56C6"/>
    <w:rsid w:val="00FC746F"/>
    <w:rsid w:val="00FD0B24"/>
    <w:rsid w:val="00FD2D62"/>
    <w:rsid w:val="00FE630C"/>
    <w:rsid w:val="00FE7DDE"/>
    <w:rsid w:val="00FE7FCD"/>
    <w:rsid w:val="00FF5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7E24"/>
  <w15:chartTrackingRefBased/>
  <w15:docId w15:val="{D14BDC4A-AB65-4961-A9E1-A29AF336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D68E0"/>
    <w:pPr>
      <w:ind w:left="720"/>
      <w:contextualSpacing/>
    </w:pPr>
  </w:style>
  <w:style w:type="paragraph" w:customStyle="1" w:styleId="a5">
    <w:name w:val="כללי"/>
    <w:basedOn w:val="a0"/>
    <w:rsid w:val="004574E3"/>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lang w:eastAsia="he-IL"/>
    </w:rPr>
  </w:style>
  <w:style w:type="character" w:styleId="Hyperlink">
    <w:name w:val="Hyperlink"/>
    <w:basedOn w:val="a1"/>
    <w:rsid w:val="003F1C20"/>
    <w:rPr>
      <w:color w:val="0000FF"/>
      <w:u w:val="single"/>
    </w:rPr>
  </w:style>
  <w:style w:type="paragraph" w:customStyle="1" w:styleId="a6">
    <w:name w:val="תקציר"/>
    <w:basedOn w:val="a0"/>
    <w:rsid w:val="002E753D"/>
    <w:pPr>
      <w:tabs>
        <w:tab w:val="left" w:pos="340"/>
        <w:tab w:val="left" w:pos="680"/>
      </w:tabs>
      <w:overflowPunct w:val="0"/>
      <w:autoSpaceDE w:val="0"/>
      <w:autoSpaceDN w:val="0"/>
      <w:adjustRightInd w:val="0"/>
      <w:spacing w:after="0" w:line="250" w:lineRule="exact"/>
      <w:ind w:firstLine="284"/>
      <w:jc w:val="both"/>
      <w:textAlignment w:val="baseline"/>
    </w:pPr>
    <w:rPr>
      <w:rFonts w:ascii="Times New Roman" w:eastAsia="Times New Roman" w:hAnsi="Times New Roman" w:cs="FrankRuehl"/>
      <w:sz w:val="18"/>
      <w:szCs w:val="22"/>
      <w:lang w:eastAsia="he-IL"/>
    </w:rPr>
  </w:style>
  <w:style w:type="paragraph" w:styleId="a7">
    <w:name w:val="header"/>
    <w:basedOn w:val="a0"/>
    <w:link w:val="a8"/>
    <w:rsid w:val="008977D5"/>
    <w:pPr>
      <w:tabs>
        <w:tab w:val="center" w:pos="4153"/>
        <w:tab w:val="right" w:pos="8306"/>
      </w:tabs>
      <w:bidi w:val="0"/>
      <w:spacing w:after="0" w:line="240" w:lineRule="auto"/>
    </w:pPr>
    <w:rPr>
      <w:rFonts w:ascii="Times New Roman" w:eastAsia="Times New Roman" w:hAnsi="Times New Roman" w:cs="Times New Roman"/>
      <w:lang w:eastAsia="he-IL"/>
    </w:rPr>
  </w:style>
  <w:style w:type="character" w:customStyle="1" w:styleId="a8">
    <w:name w:val="כותרת עליונה תו"/>
    <w:basedOn w:val="a1"/>
    <w:link w:val="a7"/>
    <w:rsid w:val="008977D5"/>
    <w:rPr>
      <w:rFonts w:ascii="Times New Roman" w:eastAsia="Times New Roman" w:hAnsi="Times New Roman" w:cs="Times New Roman"/>
      <w:lang w:eastAsia="he-IL"/>
    </w:rPr>
  </w:style>
  <w:style w:type="paragraph" w:customStyle="1" w:styleId="ruller40">
    <w:name w:val="ruller4"/>
    <w:basedOn w:val="a0"/>
    <w:rsid w:val="00890B84"/>
    <w:pPr>
      <w:overflowPunct w:val="0"/>
      <w:autoSpaceDE w:val="0"/>
      <w:autoSpaceDN w:val="0"/>
      <w:spacing w:after="0" w:line="360" w:lineRule="auto"/>
      <w:jc w:val="both"/>
    </w:pPr>
    <w:rPr>
      <w:rFonts w:ascii="Arial TUR" w:eastAsia="Times New Roman" w:hAnsi="Arial TUR" w:cs="Arial TUR"/>
      <w:spacing w:val="10"/>
      <w:sz w:val="22"/>
      <w:szCs w:val="22"/>
      <w:lang w:eastAsia="he-IL"/>
    </w:rPr>
  </w:style>
  <w:style w:type="character" w:customStyle="1" w:styleId="default">
    <w:name w:val="default"/>
    <w:basedOn w:val="a1"/>
    <w:rsid w:val="00947D04"/>
    <w:rPr>
      <w:rFonts w:ascii="Times New Roman" w:hAnsi="Times New Roman" w:cs="Times New Roman" w:hint="default"/>
      <w:sz w:val="26"/>
      <w:szCs w:val="26"/>
    </w:rPr>
  </w:style>
  <w:style w:type="paragraph" w:styleId="a9">
    <w:name w:val="Plain Text"/>
    <w:basedOn w:val="a0"/>
    <w:link w:val="aa"/>
    <w:rsid w:val="00674F49"/>
    <w:pPr>
      <w:spacing w:after="0" w:line="240" w:lineRule="auto"/>
    </w:pPr>
    <w:rPr>
      <w:rFonts w:ascii="Courier New" w:eastAsia="Times New Roman" w:hAnsi="Courier New" w:cs="Courier New"/>
      <w:sz w:val="20"/>
      <w:szCs w:val="20"/>
      <w:lang w:eastAsia="he-IL"/>
    </w:rPr>
  </w:style>
  <w:style w:type="character" w:customStyle="1" w:styleId="aa">
    <w:name w:val="טקסט רגיל תו"/>
    <w:basedOn w:val="a1"/>
    <w:link w:val="a9"/>
    <w:rsid w:val="00674F49"/>
    <w:rPr>
      <w:rFonts w:ascii="Courier New" w:eastAsia="Times New Roman" w:hAnsi="Courier New" w:cs="Courier New"/>
      <w:sz w:val="20"/>
      <w:szCs w:val="20"/>
      <w:lang w:eastAsia="he-IL"/>
    </w:rPr>
  </w:style>
  <w:style w:type="paragraph" w:styleId="ab">
    <w:name w:val="footer"/>
    <w:basedOn w:val="a0"/>
    <w:link w:val="ac"/>
    <w:semiHidden/>
    <w:rsid w:val="00A80A2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FrankRuehl"/>
      <w:sz w:val="20"/>
      <w:lang w:eastAsia="he-IL"/>
    </w:rPr>
  </w:style>
  <w:style w:type="character" w:customStyle="1" w:styleId="ac">
    <w:name w:val="כותרת תחתונה תו"/>
    <w:basedOn w:val="a1"/>
    <w:link w:val="ab"/>
    <w:semiHidden/>
    <w:rsid w:val="00A80A2B"/>
    <w:rPr>
      <w:rFonts w:ascii="Times New Roman" w:eastAsia="Times New Roman" w:hAnsi="Times New Roman" w:cs="FrankRuehl"/>
      <w:sz w:val="20"/>
      <w:lang w:eastAsia="he-IL"/>
    </w:rPr>
  </w:style>
  <w:style w:type="paragraph" w:customStyle="1" w:styleId="a0cxspmiddle">
    <w:name w:val="a0cxspmiddle"/>
    <w:basedOn w:val="a0"/>
    <w:rsid w:val="00F667B1"/>
    <w:pPr>
      <w:bidi w:val="0"/>
      <w:spacing w:before="100" w:beforeAutospacing="1" w:after="100" w:afterAutospacing="1" w:line="240" w:lineRule="auto"/>
    </w:pPr>
    <w:rPr>
      <w:rFonts w:ascii="Times New Roman" w:eastAsia="Times New Roman" w:hAnsi="Times New Roman" w:cs="Times New Roman"/>
    </w:rPr>
  </w:style>
  <w:style w:type="character" w:customStyle="1" w:styleId="Ruller41">
    <w:name w:val="Ruller4 תו"/>
    <w:link w:val="Ruller42"/>
    <w:locked/>
    <w:rsid w:val="00060529"/>
    <w:rPr>
      <w:rFonts w:ascii="Arial TUR" w:hAnsi="Arial TUR" w:cs="FrankRuehl"/>
      <w:spacing w:val="10"/>
      <w:sz w:val="22"/>
      <w:szCs w:val="28"/>
    </w:rPr>
  </w:style>
  <w:style w:type="paragraph" w:customStyle="1" w:styleId="Ruller42">
    <w:name w:val="Ruller4"/>
    <w:basedOn w:val="a0"/>
    <w:link w:val="Ruller41"/>
    <w:rsid w:val="00060529"/>
    <w:pPr>
      <w:tabs>
        <w:tab w:val="left" w:pos="800"/>
      </w:tabs>
      <w:overflowPunct w:val="0"/>
      <w:autoSpaceDE w:val="0"/>
      <w:autoSpaceDN w:val="0"/>
      <w:adjustRightInd w:val="0"/>
      <w:spacing w:after="0" w:line="360" w:lineRule="auto"/>
      <w:jc w:val="both"/>
    </w:pPr>
    <w:rPr>
      <w:rFonts w:ascii="Arial TUR" w:hAnsi="Arial TUR" w:cs="FrankRuehl"/>
      <w:spacing w:val="10"/>
      <w:sz w:val="22"/>
      <w:szCs w:val="28"/>
    </w:rPr>
  </w:style>
  <w:style w:type="character" w:customStyle="1" w:styleId="Ruller43">
    <w:name w:val="Ruller4 אלפביתי תו"/>
    <w:basedOn w:val="Ruller41"/>
    <w:link w:val="Ruller4"/>
    <w:locked/>
    <w:rsid w:val="00AD38F5"/>
    <w:rPr>
      <w:rFonts w:ascii="Arial TUR" w:hAnsi="Arial TUR" w:cs="FrankRuehl"/>
      <w:spacing w:val="10"/>
      <w:sz w:val="22"/>
      <w:szCs w:val="28"/>
    </w:rPr>
  </w:style>
  <w:style w:type="paragraph" w:customStyle="1" w:styleId="Ruller4">
    <w:name w:val="Ruller4 אלפביתי"/>
    <w:basedOn w:val="Ruller42"/>
    <w:next w:val="Ruller42"/>
    <w:link w:val="Ruller43"/>
    <w:rsid w:val="00AD38F5"/>
    <w:pPr>
      <w:numPr>
        <w:numId w:val="4"/>
      </w:numPr>
    </w:pPr>
  </w:style>
  <w:style w:type="table" w:customStyle="1" w:styleId="a">
    <w:name w:val="טבלת רשת"/>
    <w:basedOn w:val="a2"/>
    <w:rsid w:val="00AD38F5"/>
    <w:pPr>
      <w:numPr>
        <w:numId w:val="44"/>
      </w:numPr>
      <w:tabs>
        <w:tab w:val="clear" w:pos="907"/>
      </w:tabs>
      <w:overflowPunct w:val="0"/>
      <w:autoSpaceDE w:val="0"/>
      <w:autoSpaceDN w:val="0"/>
      <w:adjustRightInd w:val="0"/>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2897" TargetMode="External"/><Relationship Id="rId13" Type="http://schemas.openxmlformats.org/officeDocument/2006/relationships/hyperlink" Target="http://www.nevo.co.il/law/72897/94" TargetMode="External"/><Relationship Id="rId18" Type="http://schemas.openxmlformats.org/officeDocument/2006/relationships/hyperlink" Target="http://www.nevo.co.il/law/72897" TargetMode="External"/><Relationship Id="rId26" Type="http://schemas.openxmlformats.org/officeDocument/2006/relationships/hyperlink" Target="http://www.nevo.co.il/law/72897/66" TargetMode="External"/><Relationship Id="rId3" Type="http://schemas.openxmlformats.org/officeDocument/2006/relationships/settings" Target="settings.xml"/><Relationship Id="rId21" Type="http://schemas.openxmlformats.org/officeDocument/2006/relationships/hyperlink" Target="http://www.nevo.co.il/law/70330/4" TargetMode="External"/><Relationship Id="rId34" Type="http://schemas.openxmlformats.org/officeDocument/2006/relationships/hyperlink" Target="http://www.nevo.co.il/law/72897/10" TargetMode="External"/><Relationship Id="rId7" Type="http://schemas.openxmlformats.org/officeDocument/2006/relationships/hyperlink" Target="http://www.nevo.co.il/law/72897/13" TargetMode="External"/><Relationship Id="rId12" Type="http://schemas.openxmlformats.org/officeDocument/2006/relationships/hyperlink" Target="http://www.nevo.co.il/law/72897/94" TargetMode="External"/><Relationship Id="rId17" Type="http://schemas.openxmlformats.org/officeDocument/2006/relationships/hyperlink" Target="http://www.nevo.co.il/law/72897/126" TargetMode="External"/><Relationship Id="rId25" Type="http://schemas.openxmlformats.org/officeDocument/2006/relationships/hyperlink" Target="http://www.nevo.co.il/law/72897/77c" TargetMode="External"/><Relationship Id="rId33" Type="http://schemas.openxmlformats.org/officeDocument/2006/relationships/hyperlink" Target="http://www.nevo.co.il/law_html/law01/240_006.htm" TargetMode="External"/><Relationship Id="rId2" Type="http://schemas.openxmlformats.org/officeDocument/2006/relationships/styles" Target="styles.xml"/><Relationship Id="rId16" Type="http://schemas.openxmlformats.org/officeDocument/2006/relationships/hyperlink" Target="http://www.nevo.co.il/law/73015" TargetMode="External"/><Relationship Id="rId20" Type="http://schemas.openxmlformats.org/officeDocument/2006/relationships/hyperlink" Target="http://www.nevo.co.il/law/70330" TargetMode="External"/><Relationship Id="rId29" Type="http://schemas.openxmlformats.org/officeDocument/2006/relationships/hyperlink" Target="http://www.nevo.co.il/law/72490/6" TargetMode="External"/><Relationship Id="rId1" Type="http://schemas.openxmlformats.org/officeDocument/2006/relationships/numbering" Target="numbering.xml"/><Relationship Id="rId6" Type="http://schemas.openxmlformats.org/officeDocument/2006/relationships/hyperlink" Target="http://www.nevo.co.il/law/72897" TargetMode="External"/><Relationship Id="rId11" Type="http://schemas.openxmlformats.org/officeDocument/2006/relationships/hyperlink" Target="http://www.nevo.co.il/law/72897/96" TargetMode="External"/><Relationship Id="rId24" Type="http://schemas.openxmlformats.org/officeDocument/2006/relationships/hyperlink" Target="http://www.nevo.co.il/law/72897/f1" TargetMode="External"/><Relationship Id="rId32" Type="http://schemas.openxmlformats.org/officeDocument/2006/relationships/hyperlink" Target="http://www.nevo.co.il/law_html/law01/240_004.htm" TargetMode="External"/><Relationship Id="rId5" Type="http://schemas.openxmlformats.org/officeDocument/2006/relationships/hyperlink" Target="http://www.nevo.co.il/law/70320" TargetMode="External"/><Relationship Id="rId15" Type="http://schemas.openxmlformats.org/officeDocument/2006/relationships/hyperlink" Target="http://www.nevo.co.il/law/72897" TargetMode="External"/><Relationship Id="rId23" Type="http://schemas.openxmlformats.org/officeDocument/2006/relationships/hyperlink" Target="http://www.nevo.co.il/law/72897" TargetMode="External"/><Relationship Id="rId28" Type="http://schemas.openxmlformats.org/officeDocument/2006/relationships/hyperlink" Target="http://www.nevo.co.il/law/72897/77e" TargetMode="External"/><Relationship Id="rId36" Type="http://schemas.openxmlformats.org/officeDocument/2006/relationships/theme" Target="theme/theme1.xml"/><Relationship Id="rId10" Type="http://schemas.openxmlformats.org/officeDocument/2006/relationships/hyperlink" Target="http://www.nevo.co.il/law/72897/96" TargetMode="External"/><Relationship Id="rId19" Type="http://schemas.openxmlformats.org/officeDocument/2006/relationships/hyperlink" Target="http://www.nevo.co.il/law/70330/2" TargetMode="External"/><Relationship Id="rId31" Type="http://schemas.openxmlformats.org/officeDocument/2006/relationships/hyperlink" Target="http://www.nevo.co.il/law_html/law01/240_001.htm" TargetMode="External"/><Relationship Id="rId4" Type="http://schemas.openxmlformats.org/officeDocument/2006/relationships/webSettings" Target="webSettings.xml"/><Relationship Id="rId9" Type="http://schemas.openxmlformats.org/officeDocument/2006/relationships/hyperlink" Target="http://www.nevo.co.il/law/72897/96" TargetMode="External"/><Relationship Id="rId14" Type="http://schemas.openxmlformats.org/officeDocument/2006/relationships/hyperlink" Target="http://www.nevo.co.il/law/72897/94.a" TargetMode="External"/><Relationship Id="rId22" Type="http://schemas.openxmlformats.org/officeDocument/2006/relationships/hyperlink" Target="http://www.nevo.co.il/law/72897" TargetMode="External"/><Relationship Id="rId27" Type="http://schemas.openxmlformats.org/officeDocument/2006/relationships/hyperlink" Target="http://www.nevo.co.il/law/72897/77d" TargetMode="External"/><Relationship Id="rId30" Type="http://schemas.openxmlformats.org/officeDocument/2006/relationships/hyperlink" Target="http://www.nevo.co.il/law/72490/1" TargetMode="External"/><Relationship Id="rId35"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9336</TotalTime>
  <Pages>16</Pages>
  <Words>8435</Words>
  <Characters>42177</Characters>
  <Application>Microsoft Office Word</Application>
  <DocSecurity>0</DocSecurity>
  <Lines>351</Lines>
  <Paragraphs>101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אידלמן</dc:creator>
  <cp:keywords/>
  <dc:description/>
  <cp:lastModifiedBy>שירה אידלמן</cp:lastModifiedBy>
  <cp:revision>430</cp:revision>
  <dcterms:created xsi:type="dcterms:W3CDTF">2017-10-18T15:17:00Z</dcterms:created>
  <dcterms:modified xsi:type="dcterms:W3CDTF">2017-12-25T11:12:00Z</dcterms:modified>
</cp:coreProperties>
</file>