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D2" w:rsidRPr="00B56BD2" w:rsidRDefault="00B56BD2" w:rsidP="00B56BD2">
      <w:pPr>
        <w:pStyle w:val="NoSpacing"/>
        <w:bidi/>
        <w:ind w:left="-720" w:right="-720"/>
        <w:jc w:val="right"/>
        <w:rPr>
          <w:rFonts w:cs="David"/>
          <w:color w:val="AEAAAA" w:themeColor="background2" w:themeShade="BF"/>
          <w:sz w:val="20"/>
          <w:szCs w:val="20"/>
          <w:rtl/>
        </w:rPr>
      </w:pPr>
      <w:bookmarkStart w:id="0" w:name="_GoBack"/>
      <w:bookmarkEnd w:id="0"/>
      <w:r w:rsidRPr="00B56BD2">
        <w:rPr>
          <w:rFonts w:cs="David" w:hint="cs"/>
          <w:color w:val="AEAAAA" w:themeColor="background2" w:themeShade="BF"/>
          <w:sz w:val="20"/>
          <w:szCs w:val="20"/>
          <w:rtl/>
        </w:rPr>
        <w:t>נעמי בינדר- תשע"ד</w:t>
      </w:r>
    </w:p>
    <w:p w:rsidR="00B56BD2" w:rsidRDefault="00B56BD2" w:rsidP="00B56BD2">
      <w:pPr>
        <w:pStyle w:val="NoSpacing"/>
        <w:bidi/>
        <w:ind w:left="-720" w:right="-720"/>
        <w:jc w:val="center"/>
        <w:rPr>
          <w:rFonts w:cs="David"/>
          <w:b/>
          <w:bCs/>
          <w:sz w:val="24"/>
          <w:szCs w:val="24"/>
          <w:u w:val="single"/>
          <w:rtl/>
        </w:rPr>
      </w:pPr>
    </w:p>
    <w:p w:rsidR="007942AD" w:rsidRDefault="00B56BD2" w:rsidP="00B56BD2">
      <w:pPr>
        <w:pStyle w:val="NoSpacing"/>
        <w:bidi/>
        <w:ind w:left="-720" w:right="-720"/>
        <w:jc w:val="center"/>
        <w:rPr>
          <w:rFonts w:cs="David"/>
          <w:b/>
          <w:bCs/>
          <w:sz w:val="24"/>
          <w:szCs w:val="24"/>
          <w:u w:val="single"/>
          <w:rtl/>
        </w:rPr>
      </w:pPr>
      <w:r w:rsidRPr="00B56BD2">
        <w:rPr>
          <w:rFonts w:cs="David" w:hint="cs"/>
          <w:b/>
          <w:bCs/>
          <w:sz w:val="24"/>
          <w:szCs w:val="24"/>
          <w:highlight w:val="cyan"/>
          <w:u w:val="single"/>
          <w:rtl/>
        </w:rPr>
        <w:t>תקציר הקורס- דין משמעתי</w:t>
      </w:r>
    </w:p>
    <w:p w:rsidR="002A1090" w:rsidRDefault="002A1090" w:rsidP="002A1090">
      <w:pPr>
        <w:pStyle w:val="NoSpacing"/>
        <w:bidi/>
        <w:ind w:left="-720" w:right="-720"/>
        <w:rPr>
          <w:rFonts w:cs="David"/>
          <w:b/>
          <w:bCs/>
          <w:sz w:val="24"/>
          <w:szCs w:val="24"/>
          <w:u w:val="single"/>
          <w:rtl/>
        </w:rPr>
      </w:pPr>
    </w:p>
    <w:p w:rsidR="00B56BD2" w:rsidRDefault="002A1090" w:rsidP="002A1090">
      <w:pPr>
        <w:pStyle w:val="NoSpacing"/>
        <w:bidi/>
        <w:ind w:left="-720" w:right="-720"/>
        <w:rPr>
          <w:rFonts w:cs="David"/>
          <w:b/>
          <w:bCs/>
          <w:sz w:val="24"/>
          <w:szCs w:val="24"/>
          <w:u w:val="single"/>
          <w:rtl/>
        </w:rPr>
      </w:pPr>
      <w:r>
        <w:rPr>
          <w:rFonts w:cs="David" w:hint="cs"/>
          <w:b/>
          <w:bCs/>
          <w:sz w:val="24"/>
          <w:szCs w:val="24"/>
          <w:u w:val="single"/>
          <w:rtl/>
        </w:rPr>
        <w:t>מבוא</w:t>
      </w:r>
    </w:p>
    <w:p w:rsidR="00B56BD2" w:rsidRDefault="0047139F" w:rsidP="002A1090">
      <w:pPr>
        <w:pStyle w:val="NoSpacing"/>
        <w:numPr>
          <w:ilvl w:val="0"/>
          <w:numId w:val="1"/>
        </w:numPr>
        <w:bidi/>
        <w:ind w:left="-360" w:right="-720"/>
        <w:rPr>
          <w:rFonts w:cs="David"/>
        </w:rPr>
      </w:pPr>
      <w:r>
        <w:rPr>
          <w:rFonts w:cs="David" w:hint="cs"/>
          <w:rtl/>
        </w:rPr>
        <w:t>ביה"ד המשמעתי מנותק מהמערכת השיפוטית.</w:t>
      </w:r>
    </w:p>
    <w:p w:rsidR="0047139F" w:rsidRDefault="0047139F" w:rsidP="002A1090">
      <w:pPr>
        <w:pStyle w:val="NoSpacing"/>
        <w:numPr>
          <w:ilvl w:val="0"/>
          <w:numId w:val="1"/>
        </w:numPr>
        <w:bidi/>
        <w:ind w:left="-360" w:right="-720"/>
        <w:rPr>
          <w:rFonts w:cs="David"/>
        </w:rPr>
      </w:pPr>
      <w:r>
        <w:rPr>
          <w:rFonts w:cs="David" w:hint="cs"/>
          <w:rtl/>
        </w:rPr>
        <w:t>הדין המשמעתי הוא דין ייחודי שלא חל על כלל האוכלוסייה.</w:t>
      </w:r>
    </w:p>
    <w:p w:rsidR="0047139F" w:rsidRDefault="0047139F" w:rsidP="002A1090">
      <w:pPr>
        <w:pStyle w:val="NoSpacing"/>
        <w:numPr>
          <w:ilvl w:val="0"/>
          <w:numId w:val="1"/>
        </w:numPr>
        <w:bidi/>
        <w:ind w:left="-360" w:right="-720"/>
        <w:rPr>
          <w:rFonts w:cs="David"/>
        </w:rPr>
      </w:pPr>
      <w:r>
        <w:rPr>
          <w:rFonts w:cs="David" w:hint="cs"/>
          <w:rtl/>
        </w:rPr>
        <w:t>יש קבוצות מסוימות באוכלוסייה מהן נדרוש רף התנהגות גבוה יותר.</w:t>
      </w:r>
      <w:r w:rsidR="00F00658">
        <w:rPr>
          <w:rFonts w:cs="David" w:hint="cs"/>
          <w:rtl/>
        </w:rPr>
        <w:t xml:space="preserve"> כלומר עברת משמעת חלה רק על גופים מסוימים בנושאים מסוימים.</w:t>
      </w:r>
    </w:p>
    <w:p w:rsidR="0047139F" w:rsidRDefault="0047139F" w:rsidP="002A1090">
      <w:pPr>
        <w:pStyle w:val="NoSpacing"/>
        <w:numPr>
          <w:ilvl w:val="0"/>
          <w:numId w:val="1"/>
        </w:numPr>
        <w:bidi/>
        <w:ind w:left="-360" w:right="-720"/>
        <w:rPr>
          <w:rFonts w:cs="David"/>
        </w:rPr>
      </w:pPr>
      <w:r>
        <w:rPr>
          <w:rFonts w:cs="David" w:hint="cs"/>
          <w:rtl/>
        </w:rPr>
        <w:t>בעבירות פליליות- בשלב הראשון הנאשם (נגיד רואה חשבון שכתב ביודעין דו"ח מוטעה) נשפט בהליך פלילי בבית המשפט. בשלב השני,</w:t>
      </w:r>
      <w:r w:rsidR="002A1090">
        <w:rPr>
          <w:rFonts w:cs="David" w:hint="cs"/>
          <w:rtl/>
        </w:rPr>
        <w:t xml:space="preserve"> </w:t>
      </w:r>
      <w:r>
        <w:rPr>
          <w:rFonts w:cs="David" w:hint="cs"/>
          <w:rtl/>
        </w:rPr>
        <w:t>לאחר סיום ההליך הפלילי ומתן העונש, נפתח ההליך המשמעתי וניתנו הסנקציות של ביה"ד המשמעתי</w:t>
      </w:r>
      <w:r w:rsidR="002A1090">
        <w:rPr>
          <w:rFonts w:cs="David" w:hint="cs"/>
          <w:rtl/>
        </w:rPr>
        <w:t xml:space="preserve"> </w:t>
      </w:r>
      <w:r>
        <w:rPr>
          <w:rFonts w:cs="David" w:hint="cs"/>
          <w:rtl/>
        </w:rPr>
        <w:t>(כמו שלילת רישיון).</w:t>
      </w:r>
    </w:p>
    <w:p w:rsidR="0047139F" w:rsidRDefault="002A1090" w:rsidP="002A1090">
      <w:pPr>
        <w:pStyle w:val="NoSpacing"/>
        <w:numPr>
          <w:ilvl w:val="0"/>
          <w:numId w:val="1"/>
        </w:numPr>
        <w:bidi/>
        <w:ind w:left="-360" w:right="-720"/>
        <w:rPr>
          <w:rFonts w:cs="David"/>
        </w:rPr>
      </w:pPr>
      <w:r w:rsidRPr="002A1090">
        <w:rPr>
          <w:rFonts w:cs="David" w:hint="cs"/>
          <w:rtl/>
        </w:rPr>
        <w:t xml:space="preserve">מידת ההוכחה בדין המשמעתי לא תהיה כמו במשפט הפלילי.  </w:t>
      </w:r>
    </w:p>
    <w:p w:rsidR="00533B1E" w:rsidRPr="006F2ED9" w:rsidRDefault="00533B1E" w:rsidP="00533B1E">
      <w:pPr>
        <w:pStyle w:val="NoSpacing"/>
        <w:numPr>
          <w:ilvl w:val="0"/>
          <w:numId w:val="1"/>
        </w:numPr>
        <w:bidi/>
        <w:ind w:left="-360" w:right="-720"/>
        <w:rPr>
          <w:rFonts w:cs="David"/>
        </w:rPr>
      </w:pPr>
      <w:r w:rsidRPr="00533B1E">
        <w:rPr>
          <w:rFonts w:ascii="Garamond" w:hAnsi="Garamond" w:cs="David" w:hint="cs"/>
          <w:rtl/>
        </w:rPr>
        <w:t>ערכאות המשמעת שהוקמו צריכות לטפל בסף האתי בעיקר ופחות בסף הפלילי</w:t>
      </w:r>
      <w:r>
        <w:rPr>
          <w:rFonts w:ascii="Garamond" w:hAnsi="Garamond" w:cs="David" w:hint="cs"/>
          <w:rtl/>
        </w:rPr>
        <w:t>.</w:t>
      </w:r>
    </w:p>
    <w:p w:rsidR="006F2ED9" w:rsidRDefault="006F2ED9" w:rsidP="00227554">
      <w:pPr>
        <w:pStyle w:val="NoSpacing"/>
        <w:numPr>
          <w:ilvl w:val="0"/>
          <w:numId w:val="1"/>
        </w:numPr>
        <w:bidi/>
        <w:ind w:left="-360" w:right="-720"/>
        <w:rPr>
          <w:rFonts w:ascii="Garamond" w:hAnsi="Garamond" w:cs="David"/>
        </w:rPr>
      </w:pPr>
      <w:r w:rsidRPr="006F2ED9">
        <w:rPr>
          <w:rFonts w:ascii="Garamond" w:hAnsi="Garamond" w:cs="David" w:hint="cs"/>
          <w:rtl/>
        </w:rPr>
        <w:t xml:space="preserve">בימ"ש רגיל </w:t>
      </w:r>
      <w:r w:rsidRPr="00B01610">
        <w:rPr>
          <w:rFonts w:ascii="Garamond" w:hAnsi="Garamond" w:cs="David" w:hint="cs"/>
          <w:b/>
          <w:bCs/>
          <w:rtl/>
        </w:rPr>
        <w:t>אינו</w:t>
      </w:r>
      <w:r w:rsidRPr="006F2ED9">
        <w:rPr>
          <w:rFonts w:ascii="Garamond" w:hAnsi="Garamond" w:cs="David" w:hint="cs"/>
          <w:rtl/>
        </w:rPr>
        <w:t xml:space="preserve"> מוסמך לשלול ר</w:t>
      </w:r>
      <w:r>
        <w:rPr>
          <w:rFonts w:ascii="Garamond" w:hAnsi="Garamond" w:cs="David" w:hint="cs"/>
          <w:rtl/>
        </w:rPr>
        <w:t>י</w:t>
      </w:r>
      <w:r w:rsidRPr="006F2ED9">
        <w:rPr>
          <w:rFonts w:ascii="Garamond" w:hAnsi="Garamond" w:cs="David" w:hint="cs"/>
          <w:rtl/>
        </w:rPr>
        <w:t xml:space="preserve">שיון. </w:t>
      </w:r>
      <w:r w:rsidR="00227554">
        <w:rPr>
          <w:rFonts w:ascii="Garamond" w:hAnsi="Garamond" w:cs="David" w:hint="cs"/>
          <w:rtl/>
        </w:rPr>
        <w:t xml:space="preserve"> לשם כך </w:t>
      </w:r>
      <w:r w:rsidRPr="006F2ED9">
        <w:rPr>
          <w:rFonts w:ascii="Garamond" w:hAnsi="Garamond" w:cs="David" w:hint="cs"/>
          <w:rtl/>
        </w:rPr>
        <w:t>יש צורך בהליך נוסף</w:t>
      </w:r>
      <w:r>
        <w:rPr>
          <w:rFonts w:ascii="Garamond" w:hAnsi="Garamond" w:cs="David" w:hint="cs"/>
          <w:rtl/>
        </w:rPr>
        <w:t>- ה</w:t>
      </w:r>
      <w:r w:rsidRPr="006F2ED9">
        <w:rPr>
          <w:rFonts w:ascii="Garamond" w:hAnsi="Garamond" w:cs="David" w:hint="cs"/>
          <w:rtl/>
        </w:rPr>
        <w:t xml:space="preserve">הליך </w:t>
      </w:r>
      <w:r>
        <w:rPr>
          <w:rFonts w:ascii="Garamond" w:hAnsi="Garamond" w:cs="David" w:hint="cs"/>
          <w:rtl/>
        </w:rPr>
        <w:t>ה</w:t>
      </w:r>
      <w:r w:rsidRPr="006F2ED9">
        <w:rPr>
          <w:rFonts w:ascii="Garamond" w:hAnsi="Garamond" w:cs="David" w:hint="cs"/>
          <w:rtl/>
        </w:rPr>
        <w:t>משמעתי.</w:t>
      </w:r>
    </w:p>
    <w:p w:rsidR="00227554" w:rsidRPr="006B34F7" w:rsidRDefault="00227554" w:rsidP="00227554">
      <w:pPr>
        <w:pStyle w:val="NoSpacing"/>
        <w:numPr>
          <w:ilvl w:val="0"/>
          <w:numId w:val="1"/>
        </w:numPr>
        <w:bidi/>
        <w:ind w:left="-360" w:right="-720"/>
        <w:rPr>
          <w:rFonts w:ascii="Garamond" w:hAnsi="Garamond" w:cs="David"/>
          <w:highlight w:val="yellow"/>
        </w:rPr>
      </w:pPr>
      <w:r w:rsidRPr="006B34F7">
        <w:rPr>
          <w:rFonts w:ascii="Garamond" w:hAnsi="Garamond" w:cs="David" w:hint="cs"/>
          <w:highlight w:val="yellow"/>
          <w:rtl/>
        </w:rPr>
        <w:t xml:space="preserve">בימ"ש רגיל </w:t>
      </w:r>
      <w:r w:rsidRPr="006B34F7">
        <w:rPr>
          <w:rFonts w:ascii="Garamond" w:hAnsi="Garamond" w:cs="David" w:hint="cs"/>
          <w:b/>
          <w:bCs/>
          <w:highlight w:val="yellow"/>
          <w:rtl/>
        </w:rPr>
        <w:t xml:space="preserve">מוסמך לשלול רישיון למתווכים, וטרינרים, רוקחים ומיילדות </w:t>
      </w:r>
      <w:r w:rsidRPr="006B34F7">
        <w:rPr>
          <w:rFonts w:ascii="Garamond" w:hAnsi="Garamond" w:cs="David" w:hint="cs"/>
          <w:highlight w:val="yellow"/>
          <w:rtl/>
        </w:rPr>
        <w:t>אם הוא דן בהליך פלילי שלהם.</w:t>
      </w:r>
    </w:p>
    <w:p w:rsidR="00B01610" w:rsidRPr="00B01610" w:rsidRDefault="00B01610" w:rsidP="00B01610">
      <w:pPr>
        <w:pStyle w:val="NoSpacing"/>
        <w:numPr>
          <w:ilvl w:val="0"/>
          <w:numId w:val="1"/>
        </w:numPr>
        <w:bidi/>
        <w:ind w:left="-360" w:right="-720"/>
        <w:rPr>
          <w:rFonts w:ascii="Garamond" w:hAnsi="Garamond" w:cs="David"/>
        </w:rPr>
      </w:pPr>
      <w:r w:rsidRPr="00B01610">
        <w:rPr>
          <w:rFonts w:ascii="Garamond" w:hAnsi="Garamond" w:cs="David" w:hint="cs"/>
          <w:rtl/>
        </w:rPr>
        <w:t xml:space="preserve">רק במקרים </w:t>
      </w:r>
      <w:r w:rsidRPr="00B01610">
        <w:rPr>
          <w:rFonts w:ascii="Garamond" w:hAnsi="Garamond" w:cs="David" w:hint="cs"/>
          <w:b/>
          <w:bCs/>
          <w:rtl/>
        </w:rPr>
        <w:t>נדירים,</w:t>
      </w:r>
      <w:r w:rsidRPr="00B01610">
        <w:rPr>
          <w:rFonts w:ascii="Garamond" w:hAnsi="Garamond" w:cs="David" w:hint="cs"/>
          <w:rtl/>
        </w:rPr>
        <w:t xml:space="preserve"> החקיקה מאפשרת לבתי המשפט להטיל ענישה משמעתית.</w:t>
      </w:r>
    </w:p>
    <w:p w:rsidR="004D1EC4" w:rsidRPr="006F2ED9" w:rsidRDefault="004D1EC4" w:rsidP="006F2ED9">
      <w:pPr>
        <w:pStyle w:val="NoSpacing"/>
        <w:numPr>
          <w:ilvl w:val="0"/>
          <w:numId w:val="1"/>
        </w:numPr>
        <w:bidi/>
        <w:ind w:left="-360" w:right="-720"/>
        <w:rPr>
          <w:rFonts w:ascii="Garamond" w:hAnsi="Garamond" w:cs="David"/>
          <w:rtl/>
        </w:rPr>
      </w:pPr>
      <w:r>
        <w:rPr>
          <w:rFonts w:ascii="Garamond" w:hAnsi="Garamond" w:cs="David" w:hint="cs"/>
          <w:rtl/>
        </w:rPr>
        <w:t>לרוב ערכאות משמעת מוקמות אד-הוק, והן פועלות בהתנדבות של הדיינים.</w:t>
      </w:r>
    </w:p>
    <w:p w:rsidR="006F2ED9" w:rsidRPr="006F2ED9" w:rsidRDefault="006F2ED9" w:rsidP="006F2ED9">
      <w:pPr>
        <w:pStyle w:val="NoSpacing"/>
        <w:bidi/>
        <w:ind w:left="-360" w:right="-720"/>
        <w:rPr>
          <w:rFonts w:ascii="Garamond" w:hAnsi="Garamond" w:cs="David"/>
        </w:rPr>
      </w:pPr>
    </w:p>
    <w:p w:rsidR="006F2ED9" w:rsidRDefault="006F2ED9" w:rsidP="006F2ED9">
      <w:pPr>
        <w:pStyle w:val="NoSpacing"/>
        <w:bidi/>
        <w:ind w:right="-720"/>
        <w:rPr>
          <w:rFonts w:cs="David"/>
          <w:rtl/>
        </w:rPr>
      </w:pPr>
    </w:p>
    <w:p w:rsidR="00F00658" w:rsidRDefault="00F00658" w:rsidP="00F00658">
      <w:pPr>
        <w:pStyle w:val="NoSpacing"/>
        <w:bidi/>
        <w:ind w:left="-720" w:right="-720"/>
        <w:rPr>
          <w:rFonts w:cs="David"/>
          <w:b/>
          <w:bCs/>
          <w:sz w:val="24"/>
          <w:szCs w:val="24"/>
          <w:u w:val="single"/>
          <w:rtl/>
        </w:rPr>
      </w:pPr>
      <w:r w:rsidRPr="00F00658">
        <w:rPr>
          <w:rFonts w:cs="David" w:hint="cs"/>
          <w:b/>
          <w:bCs/>
          <w:sz w:val="24"/>
          <w:szCs w:val="24"/>
          <w:u w:val="single"/>
          <w:rtl/>
        </w:rPr>
        <w:t>מבנה תחיק</w:t>
      </w:r>
      <w:r>
        <w:rPr>
          <w:rFonts w:cs="David" w:hint="cs"/>
          <w:b/>
          <w:bCs/>
          <w:sz w:val="24"/>
          <w:szCs w:val="24"/>
          <w:u w:val="single"/>
          <w:rtl/>
        </w:rPr>
        <w:t>תי והשפעה על הדין המשמעתי</w:t>
      </w:r>
    </w:p>
    <w:p w:rsidR="00F00658" w:rsidRDefault="00B546FC" w:rsidP="00F00658">
      <w:pPr>
        <w:pStyle w:val="NoSpacing"/>
        <w:numPr>
          <w:ilvl w:val="0"/>
          <w:numId w:val="2"/>
        </w:numPr>
        <w:bidi/>
        <w:ind w:left="-360" w:right="-720"/>
        <w:rPr>
          <w:rFonts w:cs="David"/>
        </w:rPr>
      </w:pPr>
      <w:r>
        <w:rPr>
          <w:rFonts w:cs="David" w:hint="cs"/>
          <w:rtl/>
        </w:rPr>
        <w:t>המבנה התחקיתי הוא לפי פירמידת קלזן (חוקי יסוד-חקיקה ראשית-חקקיה משנית).</w:t>
      </w:r>
    </w:p>
    <w:p w:rsidR="00736A6E" w:rsidRDefault="00736A6E" w:rsidP="00F00658">
      <w:pPr>
        <w:pStyle w:val="NoSpacing"/>
        <w:numPr>
          <w:ilvl w:val="0"/>
          <w:numId w:val="2"/>
        </w:numPr>
        <w:bidi/>
        <w:ind w:left="-360" w:right="-720"/>
        <w:rPr>
          <w:rFonts w:cs="David"/>
        </w:rPr>
      </w:pPr>
      <w:r>
        <w:rPr>
          <w:rFonts w:cs="David" w:hint="cs"/>
          <w:rtl/>
        </w:rPr>
        <w:t xml:space="preserve">עבירת משמעת יכולה להיות: </w:t>
      </w:r>
      <w:r w:rsidRPr="00736A6E">
        <w:rPr>
          <w:rFonts w:cs="David" w:hint="cs"/>
          <w:u w:val="single"/>
          <w:rtl/>
        </w:rPr>
        <w:t>הפרת כללי אתיקה</w:t>
      </w:r>
      <w:r>
        <w:rPr>
          <w:rFonts w:cs="David" w:hint="cs"/>
          <w:rtl/>
        </w:rPr>
        <w:t xml:space="preserve"> או </w:t>
      </w:r>
      <w:r w:rsidRPr="00736A6E">
        <w:rPr>
          <w:rFonts w:cs="David" w:hint="cs"/>
          <w:u w:val="single"/>
          <w:rtl/>
        </w:rPr>
        <w:t>התנהגות שאינה הולמת</w:t>
      </w:r>
      <w:r>
        <w:rPr>
          <w:rFonts w:cs="David" w:hint="cs"/>
          <w:rtl/>
        </w:rPr>
        <w:t>.</w:t>
      </w:r>
    </w:p>
    <w:p w:rsidR="00736A6E" w:rsidRDefault="008D3C39" w:rsidP="00F00658">
      <w:pPr>
        <w:pStyle w:val="NoSpacing"/>
        <w:numPr>
          <w:ilvl w:val="0"/>
          <w:numId w:val="2"/>
        </w:numPr>
        <w:bidi/>
        <w:ind w:left="-360" w:right="-720"/>
        <w:rPr>
          <w:rFonts w:cs="David"/>
        </w:rPr>
      </w:pPr>
      <w:r>
        <w:rPr>
          <w:rFonts w:cs="David" w:hint="cs"/>
          <w:rtl/>
        </w:rPr>
        <w:t>כללי אתיקה הם לרוב בחקיקה משנית. רק בודדים מעוגנים בחקיקה ראשית.</w:t>
      </w:r>
    </w:p>
    <w:p w:rsidR="008D3C39" w:rsidRDefault="008D3C39" w:rsidP="004666FF">
      <w:pPr>
        <w:pStyle w:val="NoSpacing"/>
        <w:numPr>
          <w:ilvl w:val="0"/>
          <w:numId w:val="2"/>
        </w:numPr>
        <w:bidi/>
        <w:ind w:left="-360" w:right="-720"/>
        <w:rPr>
          <w:rFonts w:cs="David"/>
        </w:rPr>
      </w:pPr>
      <w:r>
        <w:rPr>
          <w:rFonts w:cs="David" w:hint="cs"/>
          <w:rtl/>
        </w:rPr>
        <w:t>כלל אתיקה שמעוגן בחקיקה ראשית הוא למשל החוק האוסר על עו"ד לערוך הסכם שכ"ט לפי תוצאות ההליך הפלילי</w:t>
      </w:r>
      <w:r w:rsidR="004666FF">
        <w:rPr>
          <w:rFonts w:cs="David" w:hint="cs"/>
          <w:rtl/>
        </w:rPr>
        <w:t xml:space="preserve"> (בהליך אזרחי זה כן אפשר!).</w:t>
      </w:r>
    </w:p>
    <w:p w:rsidR="00E02543" w:rsidRDefault="00E02543" w:rsidP="00E02543">
      <w:pPr>
        <w:pStyle w:val="NoSpacing"/>
        <w:numPr>
          <w:ilvl w:val="0"/>
          <w:numId w:val="2"/>
        </w:numPr>
        <w:bidi/>
        <w:ind w:left="-360" w:right="-720"/>
        <w:rPr>
          <w:rFonts w:cs="David"/>
        </w:rPr>
      </w:pPr>
      <w:r>
        <w:rPr>
          <w:rFonts w:cs="David" w:hint="cs"/>
          <w:rtl/>
        </w:rPr>
        <w:t>התנהגות שאינה הולמת- תוכנה משתנה בהתאם למקצוע הרלוונטי.</w:t>
      </w:r>
    </w:p>
    <w:p w:rsidR="00753FE8" w:rsidRPr="001F760A" w:rsidRDefault="00753FE8" w:rsidP="00D11C7C">
      <w:pPr>
        <w:pStyle w:val="1"/>
        <w:numPr>
          <w:ilvl w:val="0"/>
          <w:numId w:val="2"/>
        </w:numPr>
        <w:ind w:left="-360"/>
        <w:rPr>
          <w:rFonts w:ascii="Garamond" w:hAnsi="Garamond" w:cs="David"/>
          <w:rtl/>
        </w:rPr>
      </w:pPr>
      <w:r>
        <w:rPr>
          <w:rFonts w:ascii="Garamond" w:hAnsi="Garamond" w:cs="David" w:hint="cs"/>
          <w:rtl/>
        </w:rPr>
        <w:t>יש ויכוח בבתי דין משמעתיים של עו"ד האם עו"ד שלא ממלא את חובותיו האזרחיים נוהג בהתנהגות שאינה הולמת את המקצוע ולכן יש לדון אותו על כך, שכן הדבר מוציא שם רע</w:t>
      </w:r>
      <w:r w:rsidR="00D11C7C">
        <w:rPr>
          <w:rFonts w:ascii="Garamond" w:hAnsi="Garamond" w:cs="David" w:hint="cs"/>
          <w:rtl/>
        </w:rPr>
        <w:t xml:space="preserve">. </w:t>
      </w:r>
      <w:r>
        <w:rPr>
          <w:rFonts w:ascii="Garamond" w:hAnsi="Garamond" w:cs="David" w:hint="cs"/>
          <w:rtl/>
        </w:rPr>
        <w:t>מנגד, נטען כי יש לנתק את החיים האישיים</w:t>
      </w:r>
      <w:r w:rsidR="00D11C7C">
        <w:rPr>
          <w:rFonts w:ascii="Garamond" w:hAnsi="Garamond" w:cs="David" w:hint="cs"/>
          <w:rtl/>
        </w:rPr>
        <w:t xml:space="preserve"> </w:t>
      </w:r>
      <w:r>
        <w:rPr>
          <w:rFonts w:ascii="Garamond" w:hAnsi="Garamond" w:cs="David" w:hint="cs"/>
          <w:rtl/>
        </w:rPr>
        <w:t xml:space="preserve">מחייו המקצועיים.  </w:t>
      </w:r>
    </w:p>
    <w:p w:rsidR="00E02543" w:rsidRPr="00B11D46" w:rsidRDefault="00B11D46" w:rsidP="007C72E7">
      <w:pPr>
        <w:pStyle w:val="NoSpacing"/>
        <w:numPr>
          <w:ilvl w:val="0"/>
          <w:numId w:val="2"/>
        </w:numPr>
        <w:bidi/>
        <w:ind w:left="-360" w:right="-720"/>
        <w:rPr>
          <w:rFonts w:cs="David"/>
        </w:rPr>
      </w:pPr>
      <w:r>
        <w:rPr>
          <w:rFonts w:ascii="Garamond" w:hAnsi="Garamond" w:cs="David" w:hint="cs"/>
          <w:rtl/>
        </w:rPr>
        <w:t xml:space="preserve">האם </w:t>
      </w:r>
      <w:r w:rsidRPr="007C72E7">
        <w:rPr>
          <w:rFonts w:ascii="Garamond" w:hAnsi="Garamond" w:cs="David" w:hint="cs"/>
          <w:u w:val="single"/>
          <w:rtl/>
        </w:rPr>
        <w:t>לבתי דין משמעתיים יש סמכות לבטל חקיקת משנה</w:t>
      </w:r>
      <w:r>
        <w:rPr>
          <w:rFonts w:ascii="Garamond" w:hAnsi="Garamond" w:cs="David" w:hint="cs"/>
          <w:rtl/>
        </w:rPr>
        <w:t xml:space="preserve"> </w:t>
      </w:r>
      <w:r w:rsidR="007C72E7">
        <w:rPr>
          <w:rFonts w:ascii="Garamond" w:hAnsi="Garamond" w:cs="David" w:hint="cs"/>
          <w:rtl/>
        </w:rPr>
        <w:t>(</w:t>
      </w:r>
      <w:r w:rsidR="007C72E7" w:rsidRPr="007C72E7">
        <w:rPr>
          <w:rFonts w:ascii="Garamond" w:hAnsi="Garamond" w:cs="David" w:hint="cs"/>
          <w:rtl/>
        </w:rPr>
        <w:t>שנוגדת</w:t>
      </w:r>
      <w:r w:rsidR="001F0A33">
        <w:rPr>
          <w:rFonts w:ascii="Garamond" w:hAnsi="Garamond" w:cs="David" w:hint="cs"/>
          <w:rtl/>
        </w:rPr>
        <w:t xml:space="preserve"> חוק יסוד או שניתנה בחוסר סמכות</w:t>
      </w:r>
      <w:r w:rsidR="007C72E7" w:rsidRPr="007C72E7">
        <w:rPr>
          <w:rFonts w:ascii="Garamond" w:hAnsi="Garamond" w:cs="David" w:hint="cs"/>
          <w:rtl/>
        </w:rPr>
        <w:t>/ סבירות</w:t>
      </w:r>
      <w:r w:rsidR="007C72E7">
        <w:rPr>
          <w:rFonts w:ascii="Garamond" w:hAnsi="Garamond" w:cs="David" w:hint="cs"/>
          <w:rtl/>
        </w:rPr>
        <w:t xml:space="preserve"> )</w:t>
      </w:r>
      <w:r>
        <w:rPr>
          <w:rFonts w:ascii="Garamond" w:hAnsi="Garamond" w:cs="David" w:hint="cs"/>
          <w:rtl/>
        </w:rPr>
        <w:t xml:space="preserve">כמו </w:t>
      </w:r>
      <w:r w:rsidR="007C72E7">
        <w:rPr>
          <w:rFonts w:ascii="Garamond" w:hAnsi="Garamond" w:cs="David" w:hint="cs"/>
          <w:rtl/>
        </w:rPr>
        <w:t>בימ"ש</w:t>
      </w:r>
      <w:r>
        <w:rPr>
          <w:rFonts w:ascii="Garamond" w:hAnsi="Garamond" w:cs="David" w:hint="cs"/>
          <w:rtl/>
        </w:rPr>
        <w:t xml:space="preserve"> רגילים? </w:t>
      </w:r>
    </w:p>
    <w:p w:rsidR="00B11D46" w:rsidRPr="0072222C" w:rsidRDefault="001F0A33" w:rsidP="001F0A33">
      <w:pPr>
        <w:pStyle w:val="NoSpacing"/>
        <w:numPr>
          <w:ilvl w:val="1"/>
          <w:numId w:val="2"/>
        </w:numPr>
        <w:bidi/>
        <w:ind w:left="0" w:right="-720"/>
        <w:rPr>
          <w:rFonts w:cs="David"/>
        </w:rPr>
      </w:pPr>
      <w:r w:rsidRPr="001F0A33">
        <w:rPr>
          <w:rFonts w:ascii="Garamond" w:hAnsi="Garamond" w:cs="David" w:hint="cs"/>
          <w:b/>
          <w:bCs/>
          <w:rtl/>
        </w:rPr>
        <w:t>ד"ר גבריאל קלינג</w:t>
      </w:r>
      <w:r w:rsidRPr="001F0A33">
        <w:rPr>
          <w:rFonts w:ascii="Garamond" w:hAnsi="Garamond" w:cs="David" w:hint="cs"/>
          <w:rtl/>
        </w:rPr>
        <w:t xml:space="preserve"> </w:t>
      </w:r>
      <w:r>
        <w:rPr>
          <w:rFonts w:ascii="Garamond" w:hAnsi="Garamond" w:cs="David" w:hint="cs"/>
          <w:rtl/>
        </w:rPr>
        <w:t>סבור כי יש סמכות- לא ניתן לדרוש משום ערכאה שיפוטית או מעין שיפוטית להרשיע אדם אם היא סבורה שהתקנה אשר הוא הואשם בגינה נוגדת חוק יסוד או חקיקה ראשית.</w:t>
      </w:r>
    </w:p>
    <w:p w:rsidR="00A15021" w:rsidRDefault="0072222C" w:rsidP="00A15021">
      <w:pPr>
        <w:pStyle w:val="1"/>
        <w:numPr>
          <w:ilvl w:val="0"/>
          <w:numId w:val="4"/>
        </w:numPr>
        <w:ind w:left="0"/>
        <w:rPr>
          <w:rFonts w:ascii="Garamond" w:hAnsi="Garamond" w:cs="David"/>
        </w:rPr>
      </w:pPr>
      <w:r>
        <w:rPr>
          <w:rFonts w:ascii="Garamond" w:hAnsi="Garamond" w:cs="David" w:hint="cs"/>
          <w:b/>
          <w:bCs/>
          <w:rtl/>
        </w:rPr>
        <w:t>המרצה</w:t>
      </w:r>
      <w:r>
        <w:rPr>
          <w:rFonts w:ascii="Garamond" w:hAnsi="Garamond" w:cs="David" w:hint="cs"/>
          <w:rtl/>
        </w:rPr>
        <w:t xml:space="preserve">- </w:t>
      </w:r>
      <w:r w:rsidR="00A15021">
        <w:rPr>
          <w:rFonts w:ascii="Garamond" w:hAnsi="Garamond" w:cs="David" w:hint="cs"/>
          <w:rtl/>
        </w:rPr>
        <w:t xml:space="preserve">אין לבית הדין סמכות - בתי דין שמוקמים אד-הוק ומתנהלים כמעט בהתנדבות, אין זו עבודתם העיקרית. הם לא מהווים ערכאה שיפוטית מקצועית, ולכן </w:t>
      </w:r>
      <w:r w:rsidR="00A15021" w:rsidRPr="00B90C06">
        <w:rPr>
          <w:rFonts w:ascii="Garamond" w:hAnsi="Garamond" w:cs="David" w:hint="cs"/>
          <w:b/>
          <w:bCs/>
          <w:rtl/>
        </w:rPr>
        <w:t>לא סביר שהם יבטלו חקיקה.</w:t>
      </w:r>
      <w:r w:rsidR="00A15021">
        <w:rPr>
          <w:rFonts w:ascii="Garamond" w:hAnsi="Garamond" w:cs="David" w:hint="cs"/>
          <w:rtl/>
        </w:rPr>
        <w:t xml:space="preserve"> </w:t>
      </w:r>
    </w:p>
    <w:p w:rsidR="0072222C" w:rsidRPr="00DB5421" w:rsidRDefault="00A15021" w:rsidP="007942AD">
      <w:pPr>
        <w:pStyle w:val="1"/>
        <w:numPr>
          <w:ilvl w:val="1"/>
          <w:numId w:val="2"/>
        </w:numPr>
        <w:ind w:left="0" w:right="-720"/>
        <w:rPr>
          <w:rFonts w:cs="David"/>
        </w:rPr>
      </w:pPr>
      <w:r w:rsidRPr="00A15021">
        <w:rPr>
          <w:rFonts w:ascii="Garamond" w:hAnsi="Garamond" w:cs="David" w:hint="cs"/>
          <w:b/>
          <w:bCs/>
          <w:rtl/>
        </w:rPr>
        <w:t>ההלכה כיום-</w:t>
      </w:r>
      <w:r w:rsidRPr="00A15021">
        <w:rPr>
          <w:rFonts w:ascii="Garamond" w:hAnsi="Garamond" w:cs="David" w:hint="cs"/>
          <w:rtl/>
        </w:rPr>
        <w:t xml:space="preserve"> </w:t>
      </w:r>
      <w:r w:rsidRPr="006B34F7">
        <w:rPr>
          <w:rFonts w:ascii="Garamond" w:hAnsi="Garamond" w:cs="David" w:hint="cs"/>
          <w:highlight w:val="yellow"/>
          <w:rtl/>
        </w:rPr>
        <w:t xml:space="preserve">בתי דין משמעתיים יכולים לבטל חקיקת משנה </w:t>
      </w:r>
      <w:r w:rsidRPr="006B34F7">
        <w:rPr>
          <w:rFonts w:ascii="Garamond" w:hAnsi="Garamond" w:cs="David" w:hint="cs"/>
          <w:highlight w:val="yellow"/>
          <w:u w:val="single"/>
          <w:rtl/>
        </w:rPr>
        <w:t>בתקיפה עקיפה</w:t>
      </w:r>
      <w:r w:rsidRPr="00A15021">
        <w:rPr>
          <w:rFonts w:ascii="Garamond" w:hAnsi="Garamond" w:cs="David" w:hint="cs"/>
          <w:rtl/>
        </w:rPr>
        <w:t xml:space="preserve">. </w:t>
      </w:r>
      <w:r>
        <w:rPr>
          <w:rFonts w:ascii="Garamond" w:hAnsi="Garamond" w:cs="David" w:hint="cs"/>
          <w:rtl/>
        </w:rPr>
        <w:t>(אך לא מרבים לעשות כן, כי מעדיפים שלא!)</w:t>
      </w:r>
    </w:p>
    <w:p w:rsidR="00DB5421" w:rsidRDefault="00DB5421" w:rsidP="00DB5421">
      <w:pPr>
        <w:pStyle w:val="1"/>
        <w:ind w:right="-720"/>
        <w:rPr>
          <w:rFonts w:ascii="Garamond" w:hAnsi="Garamond" w:cs="David"/>
          <w:rtl/>
        </w:rPr>
      </w:pPr>
      <w:r>
        <w:rPr>
          <w:rFonts w:ascii="Garamond" w:hAnsi="Garamond" w:cs="David" w:hint="cs"/>
          <w:rtl/>
        </w:rPr>
        <w:t xml:space="preserve">תקיפה עקיפה= טענת העותר שהחוק אינו חוקתי רק כאשר הוא מגיע לסכסוך לבימ"ש שנוגע אליו. </w:t>
      </w:r>
    </w:p>
    <w:p w:rsidR="00506369" w:rsidRDefault="00DB5421" w:rsidP="00506369">
      <w:pPr>
        <w:pStyle w:val="1"/>
        <w:ind w:right="-720"/>
        <w:rPr>
          <w:rFonts w:cs="David"/>
          <w:rtl/>
        </w:rPr>
      </w:pPr>
      <w:r>
        <w:rPr>
          <w:rFonts w:ascii="Garamond" w:hAnsi="Garamond" w:cs="David" w:hint="cs"/>
          <w:rtl/>
        </w:rPr>
        <w:t>תקיפה ישירה= העותר טוען לחוק שאינו חוקתי, בלי שהחוק פגע בו.</w:t>
      </w:r>
    </w:p>
    <w:p w:rsidR="00506369" w:rsidRDefault="00506369" w:rsidP="00506369">
      <w:pPr>
        <w:pStyle w:val="1"/>
        <w:ind w:right="-720"/>
        <w:rPr>
          <w:rFonts w:cs="David"/>
          <w:rtl/>
        </w:rPr>
      </w:pPr>
    </w:p>
    <w:p w:rsidR="00506369" w:rsidRPr="00506369" w:rsidRDefault="00506369" w:rsidP="00506369">
      <w:pPr>
        <w:pStyle w:val="NoSpacing"/>
        <w:bidi/>
        <w:ind w:left="-720" w:right="-720"/>
        <w:rPr>
          <w:rFonts w:cs="David"/>
          <w:b/>
          <w:bCs/>
          <w:sz w:val="24"/>
          <w:szCs w:val="24"/>
          <w:u w:val="single"/>
        </w:rPr>
      </w:pPr>
      <w:r w:rsidRPr="00506369">
        <w:rPr>
          <w:rFonts w:cs="David" w:hint="cs"/>
          <w:b/>
          <w:bCs/>
          <w:sz w:val="24"/>
          <w:szCs w:val="24"/>
          <w:u w:val="single"/>
          <w:rtl/>
        </w:rPr>
        <w:t>מאפייני השיפוט המשמעתי</w:t>
      </w:r>
    </w:p>
    <w:p w:rsidR="004D1EC4" w:rsidRDefault="00DC2D96" w:rsidP="009507A5">
      <w:pPr>
        <w:pStyle w:val="NoSpacing"/>
        <w:numPr>
          <w:ilvl w:val="0"/>
          <w:numId w:val="6"/>
        </w:numPr>
        <w:bidi/>
        <w:ind w:left="-360" w:right="-720"/>
        <w:rPr>
          <w:rFonts w:cs="David"/>
        </w:rPr>
      </w:pPr>
      <w:r>
        <w:rPr>
          <w:rFonts w:cs="David" w:hint="cs"/>
          <w:rtl/>
        </w:rPr>
        <w:t>הפרט משתייך על חברי הגוף שקיבל על עצמו או שהחוק קבע לגביו, שיישפט בשיפוט משמעתי.</w:t>
      </w:r>
    </w:p>
    <w:p w:rsidR="00DC2D96" w:rsidRDefault="00DC2D96" w:rsidP="009507A5">
      <w:pPr>
        <w:pStyle w:val="NoSpacing"/>
        <w:bidi/>
        <w:ind w:left="-360" w:right="-720"/>
        <w:rPr>
          <w:rFonts w:cs="David"/>
        </w:rPr>
      </w:pPr>
      <w:r>
        <w:rPr>
          <w:rFonts w:cs="David" w:hint="cs"/>
          <w:rtl/>
        </w:rPr>
        <w:t>אדם יכול לבקש שייקחו ממנו את הרישיון או להשהות את עצמו, וכך למנוע את ההליך השיפוטי.</w:t>
      </w:r>
    </w:p>
    <w:p w:rsidR="00DC2D96" w:rsidRPr="00DC2D96" w:rsidRDefault="00DC2D96" w:rsidP="009507A5">
      <w:pPr>
        <w:pStyle w:val="NoSpacing"/>
        <w:numPr>
          <w:ilvl w:val="0"/>
          <w:numId w:val="6"/>
        </w:numPr>
        <w:bidi/>
        <w:ind w:left="-360" w:right="-720"/>
        <w:rPr>
          <w:rFonts w:cs="David"/>
          <w:b/>
          <w:bCs/>
        </w:rPr>
      </w:pPr>
      <w:r w:rsidRPr="00DC2D96">
        <w:rPr>
          <w:rFonts w:cs="David" w:hint="cs"/>
          <w:b/>
          <w:bCs/>
          <w:rtl/>
        </w:rPr>
        <w:t>על עבירת משמעת אין התיישנות</w:t>
      </w:r>
      <w:r>
        <w:rPr>
          <w:rFonts w:cs="David" w:hint="cs"/>
          <w:b/>
          <w:bCs/>
          <w:rtl/>
        </w:rPr>
        <w:t>.</w:t>
      </w:r>
      <w:r>
        <w:rPr>
          <w:rFonts w:cs="David" w:hint="cs"/>
          <w:rtl/>
        </w:rPr>
        <w:t xml:space="preserve"> עו"ד יכול להשהות את עצמו למס' שנים, אך כאשר יחזור לעבודה הוא יועמד לדין משמעתי.</w:t>
      </w:r>
    </w:p>
    <w:p w:rsidR="00DC2D96" w:rsidRPr="00AC27A9" w:rsidRDefault="00AC27A9" w:rsidP="009507A5">
      <w:pPr>
        <w:pStyle w:val="NoSpacing"/>
        <w:numPr>
          <w:ilvl w:val="0"/>
          <w:numId w:val="6"/>
        </w:numPr>
        <w:bidi/>
        <w:ind w:left="-360" w:right="-720"/>
        <w:rPr>
          <w:rFonts w:cs="David"/>
          <w:b/>
          <w:bCs/>
        </w:rPr>
      </w:pPr>
      <w:r>
        <w:rPr>
          <w:rFonts w:cs="David" w:hint="cs"/>
          <w:rtl/>
        </w:rPr>
        <w:t>קיים דין ייחודי לכל ערכאת משמעת.</w:t>
      </w:r>
    </w:p>
    <w:p w:rsidR="00AC27A9" w:rsidRPr="00635AAB" w:rsidRDefault="00AC27A9" w:rsidP="009507A5">
      <w:pPr>
        <w:pStyle w:val="NoSpacing"/>
        <w:numPr>
          <w:ilvl w:val="0"/>
          <w:numId w:val="6"/>
        </w:numPr>
        <w:bidi/>
        <w:ind w:left="-360" w:right="-720"/>
        <w:rPr>
          <w:rFonts w:cs="David"/>
          <w:b/>
          <w:bCs/>
        </w:rPr>
      </w:pPr>
      <w:r>
        <w:rPr>
          <w:rFonts w:cs="David" w:hint="cs"/>
          <w:rtl/>
        </w:rPr>
        <w:t xml:space="preserve">הדין המשמעתי נועד רק </w:t>
      </w:r>
      <w:r>
        <w:rPr>
          <w:rFonts w:cs="David" w:hint="cs"/>
          <w:b/>
          <w:bCs/>
          <w:rtl/>
        </w:rPr>
        <w:t>להוסיף</w:t>
      </w:r>
      <w:r>
        <w:rPr>
          <w:rFonts w:cs="David" w:hint="cs"/>
          <w:rtl/>
        </w:rPr>
        <w:t xml:space="preserve"> על הדין הכללי (לא גורע ממנו).</w:t>
      </w:r>
    </w:p>
    <w:p w:rsidR="00635AAB" w:rsidRPr="009507A5" w:rsidRDefault="00635AAB" w:rsidP="009507A5">
      <w:pPr>
        <w:pStyle w:val="NoSpacing"/>
        <w:numPr>
          <w:ilvl w:val="0"/>
          <w:numId w:val="6"/>
        </w:numPr>
        <w:bidi/>
        <w:ind w:left="-360" w:right="-720"/>
        <w:rPr>
          <w:rFonts w:cs="David"/>
          <w:b/>
          <w:bCs/>
        </w:rPr>
      </w:pPr>
      <w:r>
        <w:rPr>
          <w:rFonts w:cs="David" w:hint="cs"/>
          <w:rtl/>
        </w:rPr>
        <w:t xml:space="preserve">המגמה היא </w:t>
      </w:r>
      <w:r w:rsidRPr="00F028FC">
        <w:rPr>
          <w:rFonts w:cs="David" w:hint="cs"/>
          <w:b/>
          <w:bCs/>
          <w:rtl/>
        </w:rPr>
        <w:t>להפריד</w:t>
      </w:r>
      <w:r>
        <w:rPr>
          <w:rFonts w:cs="David" w:hint="cs"/>
          <w:rtl/>
        </w:rPr>
        <w:t xml:space="preserve"> את הדין המשמעתי ממערכת השיפוט הממלכתית. </w:t>
      </w:r>
    </w:p>
    <w:p w:rsidR="00D5171F" w:rsidRPr="00D5171F" w:rsidRDefault="00D076B7" w:rsidP="00D5171F">
      <w:pPr>
        <w:pStyle w:val="NoSpacing"/>
        <w:numPr>
          <w:ilvl w:val="0"/>
          <w:numId w:val="7"/>
        </w:numPr>
        <w:bidi/>
        <w:ind w:left="-360" w:right="-720"/>
        <w:rPr>
          <w:rFonts w:cs="David"/>
          <w:b/>
          <w:bCs/>
        </w:rPr>
      </w:pPr>
      <w:r>
        <w:rPr>
          <w:rFonts w:cs="David" w:hint="cs"/>
          <w:rtl/>
        </w:rPr>
        <w:t>2 סוגים עיקריים של שיפוט משמעתי</w:t>
      </w:r>
      <w:r w:rsidR="00D5171F">
        <w:rPr>
          <w:rFonts w:cs="David" w:hint="cs"/>
          <w:rtl/>
        </w:rPr>
        <w:t>:</w:t>
      </w:r>
    </w:p>
    <w:p w:rsidR="00D5171F" w:rsidRPr="00D5171F" w:rsidRDefault="00D076B7" w:rsidP="00195F53">
      <w:pPr>
        <w:pStyle w:val="NoSpacing"/>
        <w:numPr>
          <w:ilvl w:val="0"/>
          <w:numId w:val="11"/>
        </w:numPr>
        <w:bidi/>
        <w:ind w:left="0" w:right="-720"/>
        <w:rPr>
          <w:rFonts w:cs="David"/>
          <w:b/>
          <w:bCs/>
        </w:rPr>
      </w:pPr>
      <w:r>
        <w:rPr>
          <w:rFonts w:cs="David" w:hint="cs"/>
          <w:b/>
          <w:bCs/>
          <w:rtl/>
        </w:rPr>
        <w:t>שיפוט משמעתי ע"</w:t>
      </w:r>
      <w:r w:rsidR="00D5171F">
        <w:rPr>
          <w:rFonts w:cs="David" w:hint="cs"/>
          <w:b/>
          <w:bCs/>
          <w:rtl/>
        </w:rPr>
        <w:t xml:space="preserve">פ חוק- </w:t>
      </w:r>
      <w:r w:rsidR="00D5171F" w:rsidRPr="00D5171F">
        <w:rPr>
          <w:rFonts w:ascii="Arial" w:hAnsi="Arial" w:cs="David" w:hint="cs"/>
          <w:rtl/>
        </w:rPr>
        <w:t xml:space="preserve">ערכאת המשמעת יונקת את הסמכות שלה ישירות מהחוק. </w:t>
      </w:r>
      <w:r w:rsidR="00D5171F" w:rsidRPr="00D5171F">
        <w:rPr>
          <w:rFonts w:ascii="Arial" w:hAnsi="Arial" w:cs="David"/>
          <w:rtl/>
        </w:rPr>
        <w:t>ישנה חלוקה לשתי קבוצות:</w:t>
      </w:r>
    </w:p>
    <w:p w:rsidR="00D5171F" w:rsidRPr="00B71BC3" w:rsidRDefault="00D5171F" w:rsidP="00195F53">
      <w:pPr>
        <w:numPr>
          <w:ilvl w:val="0"/>
          <w:numId w:val="8"/>
        </w:numPr>
        <w:suppressAutoHyphens/>
        <w:spacing w:after="0" w:line="240" w:lineRule="auto"/>
        <w:ind w:left="270"/>
        <w:rPr>
          <w:rFonts w:ascii="Arial" w:hAnsi="Arial" w:cs="David"/>
          <w:u w:val="single"/>
        </w:rPr>
      </w:pPr>
      <w:r w:rsidRPr="002F3A24">
        <w:rPr>
          <w:rFonts w:ascii="Arial" w:hAnsi="Arial" w:cs="David"/>
          <w:b/>
          <w:bCs/>
          <w:rtl/>
        </w:rPr>
        <w:t>עובדי ציבור</w:t>
      </w:r>
      <w:r w:rsidRPr="00B71BC3">
        <w:rPr>
          <w:rFonts w:ascii="Arial" w:hAnsi="Arial" w:cs="David"/>
          <w:rtl/>
        </w:rPr>
        <w:t xml:space="preserve"> (שופטים, סוהרים, עובדי עיריות</w:t>
      </w:r>
      <w:r>
        <w:rPr>
          <w:rFonts w:ascii="Arial" w:hAnsi="Arial" w:cs="David" w:hint="cs"/>
          <w:rtl/>
        </w:rPr>
        <w:t xml:space="preserve"> ורשויות מקומיות</w:t>
      </w:r>
      <w:r w:rsidRPr="00B71BC3">
        <w:rPr>
          <w:rFonts w:ascii="Arial" w:hAnsi="Arial" w:cs="David"/>
          <w:rtl/>
        </w:rPr>
        <w:t>, שוטרים, דיינים</w:t>
      </w:r>
      <w:r w:rsidRPr="00B71BC3">
        <w:rPr>
          <w:rFonts w:ascii="Arial" w:hAnsi="Arial" w:cs="David" w:hint="cs"/>
          <w:rtl/>
        </w:rPr>
        <w:t>, עובדי משרד הביטחון</w:t>
      </w:r>
      <w:r w:rsidRPr="00B71BC3">
        <w:rPr>
          <w:rFonts w:ascii="Arial" w:hAnsi="Arial" w:cs="David"/>
          <w:rtl/>
        </w:rPr>
        <w:t xml:space="preserve"> וכ</w:t>
      </w:r>
      <w:r w:rsidR="00195F53">
        <w:rPr>
          <w:rFonts w:ascii="Arial" w:hAnsi="Arial" w:cs="David" w:hint="cs"/>
          <w:rtl/>
        </w:rPr>
        <w:t>ו'</w:t>
      </w:r>
      <w:r w:rsidRPr="00B71BC3">
        <w:rPr>
          <w:rFonts w:ascii="Arial" w:hAnsi="Arial" w:cs="David"/>
          <w:rtl/>
        </w:rPr>
        <w:t>).</w:t>
      </w:r>
      <w:r>
        <w:rPr>
          <w:rFonts w:ascii="Arial" w:hAnsi="Arial" w:cs="David" w:hint="cs"/>
          <w:u w:val="single"/>
          <w:rtl/>
        </w:rPr>
        <w:t xml:space="preserve"> </w:t>
      </w:r>
    </w:p>
    <w:p w:rsidR="00D5171F" w:rsidRPr="00D5171F" w:rsidRDefault="00D5171F" w:rsidP="00195F53">
      <w:pPr>
        <w:numPr>
          <w:ilvl w:val="0"/>
          <w:numId w:val="8"/>
        </w:numPr>
        <w:suppressAutoHyphens/>
        <w:spacing w:after="0" w:line="240" w:lineRule="auto"/>
        <w:ind w:left="270"/>
        <w:rPr>
          <w:rFonts w:ascii="Arial" w:hAnsi="Arial" w:cs="David"/>
          <w:u w:val="single"/>
        </w:rPr>
      </w:pPr>
      <w:r w:rsidRPr="002F3A24">
        <w:rPr>
          <w:rFonts w:ascii="Arial" w:hAnsi="Arial" w:cs="David"/>
          <w:b/>
          <w:bCs/>
          <w:rtl/>
        </w:rPr>
        <w:t xml:space="preserve">מקצועות </w:t>
      </w:r>
      <w:r>
        <w:rPr>
          <w:rFonts w:ascii="Arial" w:hAnsi="Arial" w:cs="David" w:hint="cs"/>
          <w:b/>
          <w:bCs/>
          <w:rtl/>
        </w:rPr>
        <w:t>נבחרים</w:t>
      </w:r>
      <w:r w:rsidR="00195F53">
        <w:rPr>
          <w:rFonts w:ascii="Arial" w:hAnsi="Arial" w:cs="David" w:hint="cs"/>
          <w:b/>
          <w:bCs/>
          <w:rtl/>
        </w:rPr>
        <w:t xml:space="preserve">- </w:t>
      </w:r>
      <w:r w:rsidR="00195F53">
        <w:rPr>
          <w:rFonts w:ascii="Arial" w:hAnsi="Arial" w:cs="David" w:hint="cs"/>
          <w:rtl/>
        </w:rPr>
        <w:t>מקצועות שהחברה דרשה שיהיו תחת השיפוט המשמעתי</w:t>
      </w:r>
      <w:r w:rsidRPr="00B71BC3">
        <w:rPr>
          <w:rFonts w:ascii="Arial" w:hAnsi="Arial" w:cs="David"/>
          <w:rtl/>
        </w:rPr>
        <w:t xml:space="preserve"> (עו"ד, רוקח, מהנדס, רופא, </w:t>
      </w:r>
      <w:r>
        <w:rPr>
          <w:rFonts w:ascii="Arial" w:hAnsi="Arial" w:cs="David" w:hint="cs"/>
          <w:rtl/>
        </w:rPr>
        <w:t xml:space="preserve">שמאי מקרקעין, </w:t>
      </w:r>
      <w:r w:rsidRPr="00B71BC3">
        <w:rPr>
          <w:rFonts w:ascii="Arial" w:hAnsi="Arial" w:cs="David"/>
          <w:rtl/>
        </w:rPr>
        <w:t>יוע</w:t>
      </w:r>
      <w:r>
        <w:rPr>
          <w:rFonts w:ascii="Arial" w:hAnsi="Arial" w:cs="David" w:hint="cs"/>
          <w:rtl/>
        </w:rPr>
        <w:t xml:space="preserve">ץ </w:t>
      </w:r>
      <w:r>
        <w:rPr>
          <w:rFonts w:ascii="Arial" w:hAnsi="Arial" w:cs="David"/>
          <w:rtl/>
        </w:rPr>
        <w:t>מס, אדריכל, סוכ</w:t>
      </w:r>
      <w:r>
        <w:rPr>
          <w:rFonts w:ascii="Arial" w:hAnsi="Arial" w:cs="David" w:hint="cs"/>
          <w:rtl/>
        </w:rPr>
        <w:t>ן</w:t>
      </w:r>
      <w:r>
        <w:rPr>
          <w:rFonts w:ascii="Arial" w:hAnsi="Arial" w:cs="David"/>
          <w:rtl/>
        </w:rPr>
        <w:t xml:space="preserve"> מכס, רוא</w:t>
      </w:r>
      <w:r>
        <w:rPr>
          <w:rFonts w:ascii="Arial" w:hAnsi="Arial" w:cs="David" w:hint="cs"/>
          <w:rtl/>
        </w:rPr>
        <w:t>ה</w:t>
      </w:r>
      <w:r w:rsidRPr="00B71BC3">
        <w:rPr>
          <w:rFonts w:ascii="Arial" w:hAnsi="Arial" w:cs="David"/>
          <w:rtl/>
        </w:rPr>
        <w:t xml:space="preserve"> חשבון).</w:t>
      </w:r>
      <w:r w:rsidRPr="00B71BC3">
        <w:rPr>
          <w:rFonts w:ascii="Arial" w:hAnsi="Arial" w:cs="David" w:hint="cs"/>
          <w:rtl/>
        </w:rPr>
        <w:t xml:space="preserve"> </w:t>
      </w:r>
    </w:p>
    <w:p w:rsidR="00D5171F" w:rsidRPr="00D5171F" w:rsidRDefault="00D5171F" w:rsidP="00592609">
      <w:pPr>
        <w:pStyle w:val="ListParagraph"/>
        <w:numPr>
          <w:ilvl w:val="0"/>
          <w:numId w:val="11"/>
        </w:numPr>
        <w:suppressAutoHyphens/>
        <w:spacing w:after="0" w:line="240" w:lineRule="auto"/>
        <w:ind w:left="0"/>
        <w:rPr>
          <w:rFonts w:ascii="Arial" w:hAnsi="Arial" w:cs="David"/>
          <w:u w:val="single"/>
        </w:rPr>
      </w:pPr>
      <w:r w:rsidRPr="00D5171F">
        <w:rPr>
          <w:rFonts w:ascii="Arial" w:hAnsi="Arial" w:cs="David"/>
          <w:b/>
          <w:bCs/>
          <w:rtl/>
        </w:rPr>
        <w:t>שיפוט משמעתי ע"פ הסכם</w:t>
      </w:r>
      <w:r w:rsidRPr="00D5171F">
        <w:rPr>
          <w:rFonts w:ascii="Arial" w:hAnsi="Arial" w:cs="David" w:hint="cs"/>
          <w:b/>
          <w:bCs/>
          <w:rtl/>
        </w:rPr>
        <w:t xml:space="preserve"> </w:t>
      </w:r>
      <w:r w:rsidRPr="00D5171F">
        <w:rPr>
          <w:rFonts w:ascii="Arial" w:hAnsi="Arial" w:cs="David"/>
          <w:b/>
          <w:bCs/>
          <w:rtl/>
        </w:rPr>
        <w:t>–</w:t>
      </w:r>
      <w:r w:rsidRPr="00D5171F">
        <w:rPr>
          <w:rFonts w:ascii="Arial" w:hAnsi="Arial" w:cs="David" w:hint="cs"/>
          <w:b/>
          <w:bCs/>
          <w:rtl/>
        </w:rPr>
        <w:t xml:space="preserve"> </w:t>
      </w:r>
      <w:r w:rsidRPr="00D5171F">
        <w:rPr>
          <w:rFonts w:ascii="Arial" w:hAnsi="Arial" w:cs="David" w:hint="cs"/>
          <w:rtl/>
        </w:rPr>
        <w:t xml:space="preserve">החוק מכיר בו כמקור מחייב, אבל הוא </w:t>
      </w:r>
      <w:r w:rsidR="00592609">
        <w:rPr>
          <w:rFonts w:ascii="Arial" w:hAnsi="Arial" w:cs="David" w:hint="cs"/>
          <w:rtl/>
        </w:rPr>
        <w:t>הוקם מכוח הסכם (כמו שחקן כדורגל או סטודנט שצריך ראשית לחתום על הסכם כדי להתקבל לשורות המקצוע).</w:t>
      </w:r>
    </w:p>
    <w:p w:rsidR="00D5171F" w:rsidRPr="00BC3718" w:rsidRDefault="00D5171F" w:rsidP="00DD1250">
      <w:pPr>
        <w:pStyle w:val="ListParagraph"/>
        <w:numPr>
          <w:ilvl w:val="0"/>
          <w:numId w:val="11"/>
        </w:numPr>
        <w:suppressAutoHyphens/>
        <w:spacing w:after="0" w:line="240" w:lineRule="auto"/>
        <w:ind w:left="0"/>
        <w:rPr>
          <w:rFonts w:ascii="Arial" w:hAnsi="Arial" w:cs="David"/>
          <w:highlight w:val="yellow"/>
        </w:rPr>
      </w:pPr>
      <w:r w:rsidRPr="00DD1250">
        <w:rPr>
          <w:rFonts w:ascii="Arial" w:hAnsi="Arial" w:cs="David" w:hint="cs"/>
          <w:u w:val="single"/>
          <w:rtl/>
        </w:rPr>
        <w:lastRenderedPageBreak/>
        <w:t>עובדי חברת הדואר</w:t>
      </w:r>
      <w:r w:rsidRPr="00DD1250">
        <w:rPr>
          <w:rFonts w:ascii="Arial" w:hAnsi="Arial" w:cs="David" w:hint="cs"/>
          <w:rtl/>
        </w:rPr>
        <w:t xml:space="preserve"> (סוג זניח) </w:t>
      </w:r>
      <w:r w:rsidRPr="00DD1250">
        <w:rPr>
          <w:rFonts w:ascii="Arial" w:hAnsi="Arial" w:cs="David"/>
          <w:rtl/>
        </w:rPr>
        <w:t>–</w:t>
      </w:r>
      <w:r w:rsidRPr="00DD1250">
        <w:rPr>
          <w:rFonts w:ascii="Arial" w:hAnsi="Arial" w:cs="David" w:hint="cs"/>
          <w:rtl/>
        </w:rPr>
        <w:t xml:space="preserve"> פעם הם היו עובדי מדינה, אח"כ שירותי הדואר עברו הפרטה. </w:t>
      </w:r>
      <w:r w:rsidRPr="00BC3718">
        <w:rPr>
          <w:rFonts w:ascii="Arial" w:hAnsi="Arial" w:cs="David" w:hint="cs"/>
          <w:highlight w:val="yellow"/>
          <w:rtl/>
        </w:rPr>
        <w:t xml:space="preserve">כיום, עובדי חברת הדואר נתונים לשיפוט משמעתי של עובדי המדינה, מכוח הסכם קיבוצי. </w:t>
      </w:r>
    </w:p>
    <w:p w:rsidR="00A97132" w:rsidRDefault="00A97132" w:rsidP="00A97132">
      <w:pPr>
        <w:spacing w:after="0"/>
        <w:jc w:val="both"/>
        <w:rPr>
          <w:rFonts w:ascii="Arial" w:hAnsi="Arial" w:cs="David"/>
          <w:b/>
          <w:bCs/>
          <w:u w:val="single"/>
          <w:rtl/>
        </w:rPr>
      </w:pPr>
    </w:p>
    <w:p w:rsidR="00A97132" w:rsidRPr="00A97132" w:rsidRDefault="00A97132" w:rsidP="00A97132">
      <w:pPr>
        <w:pStyle w:val="NoSpacing"/>
        <w:bidi/>
        <w:ind w:left="-720" w:right="-720"/>
        <w:rPr>
          <w:rFonts w:cs="David"/>
          <w:b/>
          <w:bCs/>
          <w:sz w:val="24"/>
          <w:szCs w:val="24"/>
          <w:u w:val="single"/>
          <w:rtl/>
        </w:rPr>
      </w:pPr>
      <w:r w:rsidRPr="00A97132">
        <w:rPr>
          <w:rFonts w:cs="David"/>
          <w:b/>
          <w:bCs/>
          <w:sz w:val="24"/>
          <w:szCs w:val="24"/>
          <w:u w:val="single"/>
          <w:rtl/>
        </w:rPr>
        <w:t xml:space="preserve">תכלית השיפוט המשמעתי </w:t>
      </w:r>
      <w:r w:rsidRPr="00B06DAC">
        <w:rPr>
          <w:rFonts w:cs="David" w:hint="cs"/>
          <w:b/>
          <w:bCs/>
          <w:sz w:val="24"/>
          <w:szCs w:val="24"/>
          <w:u w:val="single"/>
          <w:rtl/>
        </w:rPr>
        <w:t>הסטטוטורית</w:t>
      </w:r>
      <w:r w:rsidR="00B06DAC" w:rsidRPr="00B06DAC">
        <w:rPr>
          <w:rFonts w:cs="David" w:hint="cs"/>
          <w:b/>
          <w:bCs/>
          <w:sz w:val="24"/>
          <w:szCs w:val="24"/>
          <w:u w:val="single"/>
          <w:rtl/>
        </w:rPr>
        <w:t xml:space="preserve"> </w:t>
      </w:r>
      <w:r w:rsidR="00B06DAC" w:rsidRPr="00B06DAC">
        <w:rPr>
          <w:rFonts w:cs="David" w:hint="cs"/>
          <w:u w:val="single"/>
          <w:rtl/>
        </w:rPr>
        <w:t>(מהחוק, לא מהסכם)</w:t>
      </w:r>
    </w:p>
    <w:p w:rsidR="00A97132" w:rsidRPr="00B06DAC" w:rsidRDefault="00A97132" w:rsidP="00A97132">
      <w:pPr>
        <w:numPr>
          <w:ilvl w:val="0"/>
          <w:numId w:val="7"/>
        </w:numPr>
        <w:spacing w:after="0" w:line="240" w:lineRule="auto"/>
        <w:ind w:left="-360"/>
        <w:rPr>
          <w:rFonts w:ascii="Arial" w:hAnsi="Arial" w:cs="David"/>
          <w:b/>
          <w:bCs/>
          <w:u w:val="single"/>
        </w:rPr>
      </w:pPr>
      <w:r w:rsidRPr="00B06DAC">
        <w:rPr>
          <w:rFonts w:cs="David" w:hint="cs"/>
          <w:b/>
          <w:bCs/>
          <w:rtl/>
        </w:rPr>
        <w:t>שמירה</w:t>
      </w:r>
      <w:r w:rsidRPr="00B06DAC">
        <w:rPr>
          <w:rFonts w:cs="David"/>
          <w:b/>
          <w:bCs/>
          <w:rtl/>
        </w:rPr>
        <w:t xml:space="preserve"> על רמת התנהגות אתית גבוהה</w:t>
      </w:r>
      <w:r w:rsidRPr="00B06DAC">
        <w:rPr>
          <w:rFonts w:cs="David" w:hint="cs"/>
          <w:rtl/>
        </w:rPr>
        <w:t>, ע</w:t>
      </w:r>
      <w:r w:rsidRPr="00B06DAC">
        <w:rPr>
          <w:rFonts w:cs="David"/>
          <w:rtl/>
        </w:rPr>
        <w:t>ל פי קריטריונים קבועים מראש, תוך סיפוק הגנה לציבור מפני תוצאות שימוש לרעה בתפקיד או מפני ניצול שלילי של סמכות מיוחדת אשר הוענקה לקבוצות מסוימות.</w:t>
      </w:r>
    </w:p>
    <w:p w:rsidR="00A97132" w:rsidRPr="00B06DAC" w:rsidRDefault="00A97132" w:rsidP="0028305B">
      <w:pPr>
        <w:numPr>
          <w:ilvl w:val="0"/>
          <w:numId w:val="7"/>
        </w:numPr>
        <w:spacing w:after="0" w:line="240" w:lineRule="auto"/>
        <w:ind w:left="-360"/>
        <w:rPr>
          <w:rFonts w:ascii="Arial" w:hAnsi="Arial" w:cs="David"/>
          <w:b/>
          <w:bCs/>
          <w:u w:val="single"/>
        </w:rPr>
      </w:pPr>
      <w:r w:rsidRPr="00B06DAC">
        <w:rPr>
          <w:rFonts w:ascii="Arial" w:hAnsi="Arial" w:cs="David" w:hint="cs"/>
          <w:b/>
          <w:bCs/>
          <w:rtl/>
        </w:rPr>
        <w:t>מטרת השיפוט המשמעתי של המקצועות הנבחרים</w:t>
      </w:r>
      <w:r w:rsidR="0028305B">
        <w:rPr>
          <w:rFonts w:ascii="Arial" w:hAnsi="Arial" w:cs="David" w:hint="cs"/>
          <w:b/>
          <w:bCs/>
          <w:rtl/>
        </w:rPr>
        <w:t xml:space="preserve"> (עו"ד, רו"ח..)</w:t>
      </w:r>
      <w:r w:rsidRPr="00B06DAC">
        <w:rPr>
          <w:rFonts w:ascii="Arial" w:hAnsi="Arial" w:cs="David" w:hint="cs"/>
          <w:b/>
          <w:bCs/>
          <w:rtl/>
        </w:rPr>
        <w:t xml:space="preserve"> הוא שמירת</w:t>
      </w:r>
      <w:r w:rsidRPr="00B06DAC">
        <w:rPr>
          <w:rFonts w:ascii="Arial" w:hAnsi="Arial" w:cs="David"/>
          <w:b/>
          <w:bCs/>
          <w:rtl/>
        </w:rPr>
        <w:t xml:space="preserve"> רמתו, </w:t>
      </w:r>
      <w:r w:rsidRPr="00B06DAC">
        <w:rPr>
          <w:rFonts w:ascii="Arial" w:hAnsi="Arial" w:cs="David" w:hint="cs"/>
          <w:b/>
          <w:bCs/>
          <w:rtl/>
        </w:rPr>
        <w:t>י</w:t>
      </w:r>
      <w:r w:rsidRPr="00B06DAC">
        <w:rPr>
          <w:rFonts w:ascii="Arial" w:hAnsi="Arial" w:cs="David"/>
          <w:b/>
          <w:bCs/>
          <w:rtl/>
        </w:rPr>
        <w:t>יחודו וכבודו של המקצוע</w:t>
      </w:r>
      <w:r w:rsidRPr="00B06DAC">
        <w:rPr>
          <w:rFonts w:ascii="Arial" w:hAnsi="Arial" w:cs="David"/>
          <w:rtl/>
        </w:rPr>
        <w:t xml:space="preserve"> והגנה על הציבור מפני א</w:t>
      </w:r>
      <w:r w:rsidR="0028305B">
        <w:rPr>
          <w:rFonts w:ascii="Arial" w:hAnsi="Arial" w:cs="David"/>
          <w:rtl/>
        </w:rPr>
        <w:t>לה ש</w:t>
      </w:r>
      <w:r w:rsidRPr="00B06DAC">
        <w:rPr>
          <w:rFonts w:ascii="Arial" w:hAnsi="Arial" w:cs="David"/>
          <w:rtl/>
        </w:rPr>
        <w:t>אינם ראויים לשמש במקצוע</w:t>
      </w:r>
      <w:r w:rsidRPr="00B06DAC">
        <w:rPr>
          <w:rFonts w:ascii="Arial" w:hAnsi="Arial" w:cs="David" w:hint="cs"/>
          <w:rtl/>
        </w:rPr>
        <w:t xml:space="preserve">. </w:t>
      </w:r>
    </w:p>
    <w:p w:rsidR="00A97132" w:rsidRPr="00B06DAC" w:rsidRDefault="00A97132" w:rsidP="00A97132">
      <w:pPr>
        <w:numPr>
          <w:ilvl w:val="0"/>
          <w:numId w:val="7"/>
        </w:numPr>
        <w:spacing w:after="0" w:line="240" w:lineRule="auto"/>
        <w:ind w:left="-360"/>
        <w:rPr>
          <w:rFonts w:ascii="Arial" w:hAnsi="Arial" w:cs="David"/>
          <w:b/>
          <w:bCs/>
          <w:u w:val="single"/>
        </w:rPr>
      </w:pPr>
      <w:r w:rsidRPr="00B06DAC">
        <w:rPr>
          <w:rFonts w:ascii="Arial" w:hAnsi="Arial" w:cs="David"/>
          <w:b/>
          <w:bCs/>
          <w:rtl/>
        </w:rPr>
        <w:t>מטרתו העיקרית של השיפוט המשמעתי של עובדי הציבור ה</w:t>
      </w:r>
      <w:r w:rsidRPr="00B06DAC">
        <w:rPr>
          <w:rFonts w:ascii="Arial" w:hAnsi="Arial" w:cs="David" w:hint="cs"/>
          <w:b/>
          <w:bCs/>
          <w:rtl/>
        </w:rPr>
        <w:t>ו</w:t>
      </w:r>
      <w:r w:rsidRPr="00B06DAC">
        <w:rPr>
          <w:rFonts w:ascii="Arial" w:hAnsi="Arial" w:cs="David"/>
          <w:b/>
          <w:bCs/>
          <w:rtl/>
        </w:rPr>
        <w:t>א לשמור על מראיתה ותדמיתה של הרשות הציבורית</w:t>
      </w:r>
      <w:r w:rsidRPr="00B06DAC">
        <w:rPr>
          <w:rFonts w:ascii="Arial" w:hAnsi="Arial" w:cs="David"/>
          <w:rtl/>
        </w:rPr>
        <w:t xml:space="preserve"> ועל שמה הטוב, ולקיים את אמון הציבור בפעולתה התקינה של הרשות. </w:t>
      </w:r>
    </w:p>
    <w:p w:rsidR="00A97132" w:rsidRPr="00B06DAC" w:rsidRDefault="0028305B" w:rsidP="00A97132">
      <w:pPr>
        <w:pStyle w:val="ListParagraph"/>
        <w:numPr>
          <w:ilvl w:val="0"/>
          <w:numId w:val="7"/>
        </w:numPr>
        <w:spacing w:after="0" w:line="240" w:lineRule="auto"/>
        <w:ind w:left="-360"/>
        <w:rPr>
          <w:rFonts w:cs="David"/>
          <w:rtl/>
        </w:rPr>
      </w:pPr>
      <w:r w:rsidRPr="00094234">
        <w:rPr>
          <w:rFonts w:cs="David" w:hint="cs"/>
          <w:b/>
          <w:bCs/>
          <w:highlight w:val="yellow"/>
          <w:u w:val="single"/>
          <w:rtl/>
        </w:rPr>
        <w:t>בג"צ צימוקין-</w:t>
      </w:r>
      <w:r>
        <w:rPr>
          <w:rFonts w:cs="David" w:hint="cs"/>
          <w:b/>
          <w:bCs/>
          <w:rtl/>
        </w:rPr>
        <w:t xml:space="preserve"> </w:t>
      </w:r>
      <w:r w:rsidR="00A97132" w:rsidRPr="00B06DAC">
        <w:rPr>
          <w:rFonts w:cs="David" w:hint="cs"/>
          <w:rtl/>
        </w:rPr>
        <w:t xml:space="preserve"> עסק בפקיד מכס שיצא זכאי במשפט פלילי, בגין עבירה של הפרת אמונים. תב</w:t>
      </w:r>
      <w:r w:rsidR="007942AD">
        <w:rPr>
          <w:rFonts w:cs="David" w:hint="cs"/>
          <w:rtl/>
        </w:rPr>
        <w:t xml:space="preserve"> </w:t>
      </w:r>
      <w:r w:rsidR="00A97132" w:rsidRPr="00B06DAC">
        <w:rPr>
          <w:rFonts w:cs="David" w:hint="cs"/>
          <w:rtl/>
        </w:rPr>
        <w:t xml:space="preserve">עו אותו בבית דין משמעתי וטענתו הייתה שזה </w:t>
      </w:r>
      <w:r w:rsidR="00A97132" w:rsidRPr="00BA6922">
        <w:rPr>
          <w:rFonts w:cs="David" w:hint="cs"/>
          <w:b/>
          <w:bCs/>
          <w:rtl/>
        </w:rPr>
        <w:t>"סיכון כפול"</w:t>
      </w:r>
      <w:r w:rsidR="00A97132" w:rsidRPr="00B06DAC">
        <w:rPr>
          <w:rFonts w:cs="David" w:hint="cs"/>
          <w:rtl/>
        </w:rPr>
        <w:t xml:space="preserve"> ולכן עתר לבג"צ. עתירתו נדחתה, אף ש</w:t>
      </w:r>
      <w:r w:rsidR="00A97132" w:rsidRPr="00B06DAC">
        <w:rPr>
          <w:rFonts w:cs="David" w:hint="cs"/>
          <w:u w:val="single"/>
          <w:rtl/>
        </w:rPr>
        <w:t>הנימוקים של השופטים היו שונים</w:t>
      </w:r>
      <w:r w:rsidR="00A97132" w:rsidRPr="00B06DAC">
        <w:rPr>
          <w:rFonts w:cs="David" w:hint="cs"/>
          <w:rtl/>
        </w:rPr>
        <w:t xml:space="preserve">:  </w:t>
      </w:r>
    </w:p>
    <w:p w:rsidR="00A97132" w:rsidRPr="00B06DAC" w:rsidRDefault="00A97132" w:rsidP="00A97132">
      <w:pPr>
        <w:numPr>
          <w:ilvl w:val="0"/>
          <w:numId w:val="7"/>
        </w:numPr>
        <w:spacing w:after="0" w:line="240" w:lineRule="auto"/>
        <w:ind w:left="-360"/>
        <w:rPr>
          <w:rFonts w:ascii="Arial" w:hAnsi="Arial" w:cs="David"/>
          <w:b/>
          <w:bCs/>
          <w:u w:val="single"/>
        </w:rPr>
      </w:pPr>
      <w:r w:rsidRPr="00B06DAC">
        <w:rPr>
          <w:rFonts w:cs="David" w:hint="cs"/>
          <w:b/>
          <w:bCs/>
          <w:rtl/>
        </w:rPr>
        <w:t xml:space="preserve">השופט </w:t>
      </w:r>
      <w:r w:rsidRPr="00BC3718">
        <w:rPr>
          <w:rFonts w:cs="David" w:hint="cs"/>
          <w:b/>
          <w:bCs/>
          <w:highlight w:val="yellow"/>
          <w:rtl/>
        </w:rPr>
        <w:t>חשין</w:t>
      </w:r>
      <w:r w:rsidRPr="00B06DAC">
        <w:rPr>
          <w:rFonts w:cs="David" w:hint="cs"/>
          <w:rtl/>
        </w:rPr>
        <w:t xml:space="preserve"> קובע כי הדין המשמעתי </w:t>
      </w:r>
      <w:r w:rsidRPr="00BC3718">
        <w:rPr>
          <w:rFonts w:cs="David" w:hint="cs"/>
          <w:highlight w:val="yellow"/>
          <w:rtl/>
        </w:rPr>
        <w:t xml:space="preserve">תכליתו </w:t>
      </w:r>
      <w:r w:rsidRPr="00BC3718">
        <w:rPr>
          <w:rFonts w:cs="David" w:hint="cs"/>
          <w:highlight w:val="yellow"/>
          <w:u w:val="single"/>
          <w:rtl/>
        </w:rPr>
        <w:t>אזרחית</w:t>
      </w:r>
      <w:r w:rsidRPr="00B06DAC">
        <w:rPr>
          <w:rFonts w:cs="David" w:hint="cs"/>
          <w:rtl/>
        </w:rPr>
        <w:t xml:space="preserve"> (הגנת הציבור</w:t>
      </w:r>
      <w:r w:rsidR="00BA6922">
        <w:rPr>
          <w:rFonts w:cs="David" w:hint="cs"/>
          <w:rtl/>
        </w:rPr>
        <w:t xml:space="preserve">, והאם הוא עדיין </w:t>
      </w:r>
      <w:r w:rsidR="00BA6922">
        <w:rPr>
          <w:rFonts w:cs="David" w:hint="cs"/>
          <w:u w:val="single"/>
          <w:rtl/>
        </w:rPr>
        <w:t xml:space="preserve">ראוי </w:t>
      </w:r>
      <w:r w:rsidR="00BA6922" w:rsidRPr="00BA6922">
        <w:rPr>
          <w:rFonts w:cs="David" w:hint="cs"/>
          <w:rtl/>
        </w:rPr>
        <w:t>לשרת את הציבור</w:t>
      </w:r>
      <w:r w:rsidRPr="00B06DAC">
        <w:rPr>
          <w:rFonts w:cs="David" w:hint="cs"/>
          <w:rtl/>
        </w:rPr>
        <w:t>) ולא פלילית</w:t>
      </w:r>
      <w:r w:rsidR="00BA6922">
        <w:rPr>
          <w:rFonts w:cs="David" w:hint="cs"/>
          <w:rtl/>
        </w:rPr>
        <w:t xml:space="preserve"> (להעניש)</w:t>
      </w:r>
      <w:r w:rsidRPr="00B06DAC">
        <w:rPr>
          <w:rFonts w:cs="David" w:hint="cs"/>
          <w:rtl/>
        </w:rPr>
        <w:t xml:space="preserve">. לפיכך, לא יכול להיות סיכון כפול. </w:t>
      </w:r>
    </w:p>
    <w:p w:rsidR="00A97132" w:rsidRPr="00B06DAC" w:rsidRDefault="00A97132" w:rsidP="006B5176">
      <w:pPr>
        <w:numPr>
          <w:ilvl w:val="0"/>
          <w:numId w:val="7"/>
        </w:numPr>
        <w:spacing w:after="0" w:line="240" w:lineRule="auto"/>
        <w:ind w:left="-360"/>
        <w:rPr>
          <w:rFonts w:ascii="Arial" w:hAnsi="Arial" w:cs="David"/>
        </w:rPr>
      </w:pPr>
      <w:r w:rsidRPr="00B06DAC">
        <w:rPr>
          <w:rFonts w:cs="David" w:hint="cs"/>
          <w:b/>
          <w:bCs/>
          <w:rtl/>
        </w:rPr>
        <w:t xml:space="preserve">השופט </w:t>
      </w:r>
      <w:r w:rsidRPr="00BC3718">
        <w:rPr>
          <w:rFonts w:cs="David" w:hint="cs"/>
          <w:b/>
          <w:bCs/>
          <w:highlight w:val="yellow"/>
          <w:rtl/>
        </w:rPr>
        <w:t>זוסמן</w:t>
      </w:r>
      <w:r w:rsidRPr="00B06DAC">
        <w:rPr>
          <w:rFonts w:cs="David" w:hint="cs"/>
          <w:b/>
          <w:bCs/>
          <w:rtl/>
        </w:rPr>
        <w:t xml:space="preserve"> </w:t>
      </w:r>
      <w:r w:rsidR="006B5176">
        <w:rPr>
          <w:rFonts w:cs="David"/>
          <w:rtl/>
        </w:rPr>
        <w:t>–</w:t>
      </w:r>
      <w:r w:rsidR="006B5176">
        <w:rPr>
          <w:rFonts w:cs="David" w:hint="cs"/>
          <w:rtl/>
        </w:rPr>
        <w:t xml:space="preserve"> מדובר </w:t>
      </w:r>
      <w:r w:rsidR="006B5176" w:rsidRPr="00BC3718">
        <w:rPr>
          <w:rFonts w:cs="David" w:hint="cs"/>
          <w:highlight w:val="yellow"/>
          <w:u w:val="single"/>
          <w:rtl/>
        </w:rPr>
        <w:t>בתחום ציבורי</w:t>
      </w:r>
      <w:r w:rsidR="006B5176" w:rsidRPr="00BC3718">
        <w:rPr>
          <w:rFonts w:cs="David" w:hint="cs"/>
          <w:highlight w:val="yellow"/>
          <w:rtl/>
        </w:rPr>
        <w:t>.</w:t>
      </w:r>
      <w:r w:rsidR="006B5176">
        <w:rPr>
          <w:rFonts w:cs="David" w:hint="cs"/>
          <w:rtl/>
        </w:rPr>
        <w:t xml:space="preserve"> לא אזרחי, ולא פלילי. חולק על חשין.</w:t>
      </w:r>
    </w:p>
    <w:p w:rsidR="00A97132" w:rsidRPr="00B06DAC" w:rsidRDefault="00A97132" w:rsidP="00111441">
      <w:pPr>
        <w:numPr>
          <w:ilvl w:val="0"/>
          <w:numId w:val="7"/>
        </w:numPr>
        <w:spacing w:after="0" w:line="240" w:lineRule="auto"/>
        <w:ind w:left="-360"/>
        <w:rPr>
          <w:rFonts w:ascii="Arial" w:hAnsi="Arial" w:cs="David"/>
        </w:rPr>
      </w:pPr>
      <w:r w:rsidRPr="00B06DAC">
        <w:rPr>
          <w:rFonts w:cs="David" w:hint="cs"/>
          <w:b/>
          <w:bCs/>
          <w:rtl/>
        </w:rPr>
        <w:t xml:space="preserve">השופט </w:t>
      </w:r>
      <w:r w:rsidRPr="00BC3718">
        <w:rPr>
          <w:rFonts w:cs="David" w:hint="cs"/>
          <w:b/>
          <w:bCs/>
          <w:highlight w:val="yellow"/>
          <w:rtl/>
        </w:rPr>
        <w:t>לנדוי</w:t>
      </w:r>
      <w:r w:rsidRPr="00B06DAC">
        <w:rPr>
          <w:rFonts w:cs="David" w:hint="cs"/>
          <w:rtl/>
        </w:rPr>
        <w:t xml:space="preserve"> קובע כי הדין המשמעתי הוא מיוחד במינו, </w:t>
      </w:r>
      <w:r w:rsidRPr="00BC3718">
        <w:rPr>
          <w:rFonts w:cs="David" w:hint="cs"/>
          <w:highlight w:val="yellow"/>
          <w:u w:val="single"/>
          <w:rtl/>
        </w:rPr>
        <w:t>מעין דין מנהלי</w:t>
      </w:r>
      <w:r w:rsidRPr="00B06DAC">
        <w:rPr>
          <w:rFonts w:cs="David" w:hint="cs"/>
          <w:rtl/>
        </w:rPr>
        <w:t xml:space="preserve">.  </w:t>
      </w:r>
      <w:r w:rsidR="00450A67">
        <w:rPr>
          <w:rFonts w:cs="David" w:hint="cs"/>
          <w:rtl/>
        </w:rPr>
        <w:t>אין כפילות בדיונים כי שניהם מתנהלים לפי דיני ראיות שונים (בב"</w:t>
      </w:r>
      <w:r w:rsidR="00111441">
        <w:rPr>
          <w:rFonts w:cs="David" w:hint="cs"/>
          <w:rtl/>
        </w:rPr>
        <w:t xml:space="preserve">ד </w:t>
      </w:r>
      <w:r w:rsidR="00450A67">
        <w:rPr>
          <w:rFonts w:cs="David" w:hint="cs"/>
          <w:rtl/>
        </w:rPr>
        <w:t>משמעתי ניתן להגיש ראיה שלא היתה מתקבלת בדין הפלילי).</w:t>
      </w:r>
    </w:p>
    <w:p w:rsidR="000D3B9E" w:rsidRDefault="00A97132" w:rsidP="00A97132">
      <w:pPr>
        <w:pStyle w:val="ListParagraph"/>
        <w:numPr>
          <w:ilvl w:val="0"/>
          <w:numId w:val="7"/>
        </w:numPr>
        <w:spacing w:after="0" w:line="240" w:lineRule="auto"/>
        <w:ind w:left="-360"/>
        <w:rPr>
          <w:rFonts w:ascii="Times New Roman" w:hAnsi="Times New Roman" w:cs="David"/>
        </w:rPr>
      </w:pPr>
      <w:r w:rsidRPr="00B06DAC">
        <w:rPr>
          <w:rFonts w:ascii="Times New Roman" w:hAnsi="Times New Roman" w:cs="David" w:hint="cs"/>
          <w:rtl/>
        </w:rPr>
        <w:t>אף אחד מהשופטים לא סבר שהדין המשמעתי הינו ענף של הדין הפלילי.</w:t>
      </w:r>
      <w:r w:rsidR="000D3B9E">
        <w:rPr>
          <w:rFonts w:ascii="Times New Roman" w:hAnsi="Times New Roman" w:cs="David" w:hint="cs"/>
          <w:rtl/>
        </w:rPr>
        <w:t xml:space="preserve"> אך החל משנות ה 80' עם תהליך הפליליזציה של הדין המשמעתי, נוטים יותר לחשוב שמדובר בהליך </w:t>
      </w:r>
      <w:r w:rsidR="000D3B9E" w:rsidRPr="00FB1204">
        <w:rPr>
          <w:rFonts w:ascii="Times New Roman" w:hAnsi="Times New Roman" w:cs="David" w:hint="cs"/>
          <w:u w:val="single"/>
          <w:rtl/>
        </w:rPr>
        <w:t>מעין פלילי.</w:t>
      </w:r>
      <w:r w:rsidRPr="00B06DAC">
        <w:rPr>
          <w:rFonts w:ascii="Times New Roman" w:hAnsi="Times New Roman" w:cs="David" w:hint="cs"/>
          <w:rtl/>
        </w:rPr>
        <w:t xml:space="preserve"> </w:t>
      </w:r>
      <w:r w:rsidR="00FB1204">
        <w:rPr>
          <w:rFonts w:ascii="Times New Roman" w:hAnsi="Times New Roman" w:cs="David" w:hint="cs"/>
          <w:rtl/>
        </w:rPr>
        <w:t>לדעת המרצה, זו טעות.</w:t>
      </w:r>
    </w:p>
    <w:p w:rsidR="00B856FD" w:rsidRDefault="00B856FD" w:rsidP="00B856FD">
      <w:pPr>
        <w:spacing w:after="0" w:line="240" w:lineRule="auto"/>
        <w:rPr>
          <w:rFonts w:ascii="Times New Roman" w:hAnsi="Times New Roman" w:cs="David"/>
          <w:rtl/>
        </w:rPr>
      </w:pPr>
    </w:p>
    <w:p w:rsidR="00B856FD" w:rsidRDefault="00E749F4" w:rsidP="00E749F4">
      <w:pPr>
        <w:pStyle w:val="NoSpacing"/>
        <w:bidi/>
        <w:ind w:left="-720" w:right="-720"/>
        <w:rPr>
          <w:rFonts w:cs="David"/>
          <w:b/>
          <w:bCs/>
          <w:sz w:val="24"/>
          <w:szCs w:val="24"/>
          <w:u w:val="single"/>
          <w:rtl/>
        </w:rPr>
      </w:pPr>
      <w:r w:rsidRPr="00E749F4">
        <w:rPr>
          <w:rFonts w:cs="David"/>
          <w:b/>
          <w:bCs/>
          <w:sz w:val="24"/>
          <w:szCs w:val="24"/>
          <w:u w:val="single"/>
          <w:rtl/>
        </w:rPr>
        <w:tab/>
      </w:r>
      <w:r w:rsidRPr="00E749F4">
        <w:rPr>
          <w:rFonts w:cs="David"/>
          <w:b/>
          <w:bCs/>
          <w:sz w:val="24"/>
          <w:szCs w:val="24"/>
          <w:u w:val="single"/>
          <w:rtl/>
        </w:rPr>
        <w:tab/>
      </w:r>
      <w:r w:rsidR="00B856FD" w:rsidRPr="00E749F4">
        <w:rPr>
          <w:rFonts w:cs="David" w:hint="cs"/>
          <w:b/>
          <w:bCs/>
          <w:sz w:val="24"/>
          <w:szCs w:val="24"/>
          <w:u w:val="single"/>
          <w:rtl/>
        </w:rPr>
        <w:t>ההליך המשמעתי ל</w:t>
      </w:r>
      <w:r>
        <w:rPr>
          <w:rFonts w:cs="David" w:hint="cs"/>
          <w:b/>
          <w:bCs/>
          <w:sz w:val="24"/>
          <w:szCs w:val="24"/>
          <w:u w:val="single"/>
          <w:rtl/>
        </w:rPr>
        <w:t>עומת ההליך האזרחי והפלילי</w:t>
      </w:r>
    </w:p>
    <w:p w:rsidR="00E749F4" w:rsidRPr="007C2E1A" w:rsidRDefault="00E749F4" w:rsidP="00E749F4">
      <w:pPr>
        <w:pStyle w:val="NoSpacing"/>
        <w:bidi/>
        <w:ind w:left="-720" w:right="-720"/>
        <w:rPr>
          <w:rFonts w:ascii="Arial" w:hAnsi="Arial" w:cs="David"/>
          <w:b/>
          <w:bCs/>
          <w:u w:val="single"/>
          <w:rtl/>
        </w:rPr>
      </w:pPr>
    </w:p>
    <w:tbl>
      <w:tblPr>
        <w:bidiVisual/>
        <w:tblW w:w="10710"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344"/>
        <w:gridCol w:w="2604"/>
        <w:gridCol w:w="3232"/>
      </w:tblGrid>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color w:val="FF0000"/>
                <w:rtl/>
              </w:rPr>
            </w:pPr>
          </w:p>
        </w:tc>
        <w:tc>
          <w:tcPr>
            <w:tcW w:w="3344" w:type="dxa"/>
            <w:shd w:val="clear" w:color="auto" w:fill="D9D9D9"/>
          </w:tcPr>
          <w:p w:rsidR="00B856FD" w:rsidRPr="00E749F4" w:rsidRDefault="00B856FD" w:rsidP="007942AD">
            <w:pPr>
              <w:spacing w:after="0" w:line="240" w:lineRule="auto"/>
              <w:jc w:val="center"/>
              <w:rPr>
                <w:rFonts w:ascii="Arial" w:hAnsi="Arial" w:cs="David"/>
                <w:b/>
                <w:bCs/>
                <w:rtl/>
              </w:rPr>
            </w:pPr>
            <w:r w:rsidRPr="00E749F4">
              <w:rPr>
                <w:rFonts w:ascii="Arial" w:hAnsi="Arial" w:cs="David" w:hint="cs"/>
                <w:b/>
                <w:bCs/>
                <w:rtl/>
              </w:rPr>
              <w:t>הליך אזרחי</w:t>
            </w:r>
          </w:p>
        </w:tc>
        <w:tc>
          <w:tcPr>
            <w:tcW w:w="2604" w:type="dxa"/>
            <w:shd w:val="clear" w:color="auto" w:fill="D9D9D9"/>
          </w:tcPr>
          <w:p w:rsidR="00B856FD" w:rsidRPr="00E749F4" w:rsidRDefault="00B856FD" w:rsidP="007942AD">
            <w:pPr>
              <w:spacing w:after="0" w:line="240" w:lineRule="auto"/>
              <w:jc w:val="center"/>
              <w:rPr>
                <w:rFonts w:ascii="Arial" w:hAnsi="Arial" w:cs="David"/>
                <w:b/>
                <w:bCs/>
                <w:rtl/>
              </w:rPr>
            </w:pPr>
            <w:r w:rsidRPr="00E749F4">
              <w:rPr>
                <w:rFonts w:ascii="Arial" w:hAnsi="Arial" w:cs="David" w:hint="cs"/>
                <w:b/>
                <w:bCs/>
                <w:rtl/>
              </w:rPr>
              <w:t>הליך פלילי</w:t>
            </w:r>
          </w:p>
        </w:tc>
        <w:tc>
          <w:tcPr>
            <w:tcW w:w="3232" w:type="dxa"/>
            <w:shd w:val="clear" w:color="auto" w:fill="D9D9D9"/>
          </w:tcPr>
          <w:p w:rsidR="00B856FD" w:rsidRPr="00E749F4" w:rsidRDefault="00B856FD" w:rsidP="007942AD">
            <w:pPr>
              <w:spacing w:after="0" w:line="240" w:lineRule="auto"/>
              <w:jc w:val="center"/>
              <w:rPr>
                <w:rFonts w:ascii="Arial" w:hAnsi="Arial" w:cs="David"/>
                <w:b/>
                <w:bCs/>
                <w:rtl/>
              </w:rPr>
            </w:pPr>
            <w:r w:rsidRPr="00E749F4">
              <w:rPr>
                <w:rFonts w:ascii="Arial" w:hAnsi="Arial" w:cs="David" w:hint="cs"/>
                <w:b/>
                <w:bCs/>
                <w:rtl/>
              </w:rPr>
              <w:t>הליך משמעתי</w:t>
            </w:r>
          </w:p>
        </w:tc>
      </w:tr>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rtl/>
              </w:rPr>
            </w:pPr>
            <w:r w:rsidRPr="00DB152F">
              <w:rPr>
                <w:rFonts w:ascii="Arial" w:hAnsi="Arial" w:cs="David" w:hint="cs"/>
                <w:b/>
                <w:bCs/>
                <w:rtl/>
              </w:rPr>
              <w:t>האירוע שמצדיק פתיחת הליך</w:t>
            </w:r>
          </w:p>
        </w:tc>
        <w:tc>
          <w:tcPr>
            <w:tcW w:w="334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גרימת עוולה</w:t>
            </w:r>
          </w:p>
        </w:tc>
        <w:tc>
          <w:tcPr>
            <w:tcW w:w="260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עבירה פלילית</w:t>
            </w:r>
          </w:p>
        </w:tc>
        <w:tc>
          <w:tcPr>
            <w:tcW w:w="3232"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עבירה משמעתית </w:t>
            </w:r>
          </w:p>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(הפרת כללי אתיקה או התנהגות שאינה הולמת. כללי אתיקה מאוד ברורים לעומת התנהגות שאינה הולמת)</w:t>
            </w:r>
          </w:p>
        </w:tc>
      </w:tr>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rtl/>
              </w:rPr>
            </w:pPr>
            <w:r w:rsidRPr="00DB152F">
              <w:rPr>
                <w:rFonts w:ascii="Arial" w:hAnsi="Arial" w:cs="David" w:hint="cs"/>
                <w:b/>
                <w:bCs/>
                <w:rtl/>
              </w:rPr>
              <w:t>פעולות "טרום הליך"</w:t>
            </w:r>
          </w:p>
        </w:tc>
        <w:tc>
          <w:tcPr>
            <w:tcW w:w="334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התראה </w:t>
            </w:r>
            <w:r w:rsidRPr="00DB152F">
              <w:rPr>
                <w:rFonts w:ascii="Arial" w:hAnsi="Arial" w:cs="David"/>
                <w:rtl/>
              </w:rPr>
              <w:t>–</w:t>
            </w:r>
            <w:r w:rsidRPr="00DB152F">
              <w:rPr>
                <w:rFonts w:ascii="Arial" w:hAnsi="Arial" w:cs="David" w:hint="cs"/>
                <w:rtl/>
              </w:rPr>
              <w:t xml:space="preserve"> יש מקרים בהם חייבים להודיע לצד שכנגד שהולכים לתבוע אותו (בין בני זוג ובתביעת עו"ד). לדעת המרצה, תמיד כדאי לשלוח מכתב התראה (שכן אם בהליך המשפטי ייעתר הנתבע לפיצוי ויגיד שהיה משלם אם היה מקבל מכתב התראה,  לא ייפסקו לתובע הוצאות משפט)  </w:t>
            </w:r>
          </w:p>
        </w:tc>
        <w:tc>
          <w:tcPr>
            <w:tcW w:w="260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הגשת תלונה במשטרה </w:t>
            </w:r>
          </w:p>
        </w:tc>
        <w:tc>
          <w:tcPr>
            <w:tcW w:w="3232"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הגשת תלונה לרשות המוסמכת (לדוגמא: לשכת עורכי הדין, הרשות לניירות ערך וכדומה)  </w:t>
            </w:r>
          </w:p>
        </w:tc>
      </w:tr>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rtl/>
              </w:rPr>
            </w:pPr>
            <w:r w:rsidRPr="00DB152F">
              <w:rPr>
                <w:rFonts w:ascii="Arial" w:hAnsi="Arial" w:cs="David" w:hint="cs"/>
                <w:b/>
                <w:bCs/>
                <w:rtl/>
              </w:rPr>
              <w:t>גוף חוקר</w:t>
            </w:r>
          </w:p>
        </w:tc>
        <w:tc>
          <w:tcPr>
            <w:tcW w:w="3344" w:type="dxa"/>
          </w:tcPr>
          <w:p w:rsidR="00B856FD" w:rsidRPr="00DB152F" w:rsidRDefault="00B856FD" w:rsidP="007942AD">
            <w:pPr>
              <w:spacing w:after="0" w:line="240" w:lineRule="auto"/>
              <w:jc w:val="center"/>
              <w:rPr>
                <w:rFonts w:ascii="Arial" w:hAnsi="Arial" w:cs="David"/>
                <w:rtl/>
              </w:rPr>
            </w:pPr>
          </w:p>
          <w:p w:rsidR="00B856FD" w:rsidRPr="00DB152F" w:rsidRDefault="00B856FD" w:rsidP="007942AD">
            <w:pPr>
              <w:spacing w:after="0" w:line="240" w:lineRule="auto"/>
              <w:jc w:val="center"/>
              <w:rPr>
                <w:rFonts w:ascii="Arial" w:hAnsi="Arial" w:cs="David"/>
                <w:rtl/>
              </w:rPr>
            </w:pPr>
          </w:p>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 </w:t>
            </w:r>
          </w:p>
          <w:p w:rsidR="00B856FD" w:rsidRPr="00DB152F" w:rsidRDefault="00176A61" w:rsidP="007942AD">
            <w:pPr>
              <w:spacing w:after="0" w:line="240" w:lineRule="auto"/>
              <w:jc w:val="center"/>
              <w:rPr>
                <w:rFonts w:ascii="Arial" w:hAnsi="Arial" w:cs="David"/>
                <w:rtl/>
              </w:rPr>
            </w:pPr>
            <w:r>
              <w:rPr>
                <w:rFonts w:ascii="Arial" w:hAnsi="Arial" w:cs="David" w:hint="cs"/>
                <w:rtl/>
              </w:rPr>
              <w:t xml:space="preserve">אין, אבל </w:t>
            </w:r>
            <w:r w:rsidR="00B856FD" w:rsidRPr="00DB152F">
              <w:rPr>
                <w:rFonts w:ascii="Arial" w:hAnsi="Arial" w:cs="David" w:hint="cs"/>
                <w:rtl/>
              </w:rPr>
              <w:t xml:space="preserve">כל אחד מהצדדים רשאי לשכור חוקר פרטי </w:t>
            </w:r>
          </w:p>
        </w:tc>
        <w:tc>
          <w:tcPr>
            <w:tcW w:w="260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משטרה (למשטרה סמכויות חקירה נרחבות</w:t>
            </w:r>
            <w:r w:rsidR="00176A61">
              <w:rPr>
                <w:rFonts w:ascii="Arial" w:hAnsi="Arial" w:cs="David" w:hint="cs"/>
                <w:rtl/>
              </w:rPr>
              <w:t xml:space="preserve"> כמו האזנות סתר ומעקבים</w:t>
            </w:r>
            <w:r w:rsidRPr="00DB152F">
              <w:rPr>
                <w:rFonts w:ascii="Arial" w:hAnsi="Arial" w:cs="David" w:hint="cs"/>
                <w:rtl/>
              </w:rPr>
              <w:t xml:space="preserve">, דבר שיכול להסביר את דרגת ההוכחה הגבוהה הנדרשת במסגרת ההליך הפלילי) </w:t>
            </w:r>
          </w:p>
        </w:tc>
        <w:tc>
          <w:tcPr>
            <w:tcW w:w="3232"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הרשות המוסמכת </w:t>
            </w:r>
          </w:p>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(לרשות המוסמכת אין סמכויות חקירה כמעט)  </w:t>
            </w:r>
          </w:p>
        </w:tc>
      </w:tr>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rtl/>
              </w:rPr>
            </w:pPr>
            <w:r w:rsidRPr="00DB152F">
              <w:rPr>
                <w:rFonts w:ascii="Arial" w:hAnsi="Arial" w:cs="David" w:hint="cs"/>
                <w:b/>
                <w:bCs/>
                <w:rtl/>
              </w:rPr>
              <w:t>מי מחליט לפתוח בהליך</w:t>
            </w:r>
          </w:p>
        </w:tc>
        <w:tc>
          <w:tcPr>
            <w:tcW w:w="334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הנפגע </w:t>
            </w:r>
          </w:p>
          <w:p w:rsidR="00B856FD" w:rsidRPr="00DB152F" w:rsidRDefault="00B856FD" w:rsidP="007942AD">
            <w:pPr>
              <w:spacing w:after="0" w:line="240" w:lineRule="auto"/>
              <w:jc w:val="center"/>
              <w:rPr>
                <w:rFonts w:ascii="Arial" w:hAnsi="Arial" w:cs="David"/>
                <w:rtl/>
              </w:rPr>
            </w:pPr>
            <w:r w:rsidRPr="00DB152F">
              <w:rPr>
                <w:rFonts w:ascii="Arial" w:hAnsi="Arial" w:cs="David" w:hint="cs"/>
                <w:u w:val="single"/>
                <w:rtl/>
              </w:rPr>
              <w:t>חריג</w:t>
            </w:r>
            <w:r w:rsidRPr="00DB152F">
              <w:rPr>
                <w:rFonts w:ascii="Arial" w:hAnsi="Arial" w:cs="David" w:hint="cs"/>
                <w:rtl/>
              </w:rPr>
              <w:t xml:space="preserve">: תובענה ייצוגית </w:t>
            </w:r>
          </w:p>
        </w:tc>
        <w:tc>
          <w:tcPr>
            <w:tcW w:w="260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המדינה: הפרקליטות. </w:t>
            </w:r>
          </w:p>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הקורבן אינו צד להליך </w:t>
            </w:r>
          </w:p>
        </w:tc>
        <w:tc>
          <w:tcPr>
            <w:tcW w:w="3232"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הרשות המוסמכת (הקובל)</w:t>
            </w:r>
          </w:p>
        </w:tc>
      </w:tr>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rtl/>
              </w:rPr>
            </w:pPr>
            <w:r w:rsidRPr="00DB152F">
              <w:rPr>
                <w:rFonts w:ascii="Arial" w:hAnsi="Arial" w:cs="David" w:hint="cs"/>
                <w:b/>
                <w:bCs/>
                <w:rtl/>
              </w:rPr>
              <w:t>דרך פתיחת הליך</w:t>
            </w:r>
          </w:p>
        </w:tc>
        <w:tc>
          <w:tcPr>
            <w:tcW w:w="334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תביעה</w:t>
            </w:r>
          </w:p>
        </w:tc>
        <w:tc>
          <w:tcPr>
            <w:tcW w:w="260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כתב אישום</w:t>
            </w:r>
          </w:p>
        </w:tc>
        <w:tc>
          <w:tcPr>
            <w:tcW w:w="3232"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קובלנה </w:t>
            </w:r>
          </w:p>
        </w:tc>
      </w:tr>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rtl/>
              </w:rPr>
            </w:pPr>
            <w:r w:rsidRPr="00DB152F">
              <w:rPr>
                <w:rFonts w:ascii="Arial" w:hAnsi="Arial" w:cs="David" w:hint="cs"/>
                <w:b/>
                <w:bCs/>
                <w:rtl/>
              </w:rPr>
              <w:t>מוגש ל</w:t>
            </w:r>
          </w:p>
        </w:tc>
        <w:tc>
          <w:tcPr>
            <w:tcW w:w="334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בית משפט </w:t>
            </w:r>
          </w:p>
        </w:tc>
        <w:tc>
          <w:tcPr>
            <w:tcW w:w="260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בית משפט </w:t>
            </w:r>
          </w:p>
        </w:tc>
        <w:tc>
          <w:tcPr>
            <w:tcW w:w="3232" w:type="dxa"/>
          </w:tcPr>
          <w:p w:rsidR="00B856FD" w:rsidRPr="00DB152F" w:rsidRDefault="00B856FD" w:rsidP="00D268B6">
            <w:pPr>
              <w:spacing w:after="0" w:line="240" w:lineRule="auto"/>
              <w:jc w:val="center"/>
              <w:rPr>
                <w:rFonts w:ascii="Arial" w:hAnsi="Arial" w:cs="David"/>
                <w:rtl/>
              </w:rPr>
            </w:pPr>
            <w:r w:rsidRPr="00DB152F">
              <w:rPr>
                <w:rFonts w:ascii="Arial" w:hAnsi="Arial" w:cs="David" w:hint="cs"/>
                <w:rtl/>
              </w:rPr>
              <w:t>בית דין משמעתי / וועדת משמעת (</w:t>
            </w:r>
            <w:r w:rsidR="00D268B6">
              <w:rPr>
                <w:rFonts w:ascii="Arial" w:hAnsi="Arial" w:cs="David" w:hint="cs"/>
                <w:rtl/>
              </w:rPr>
              <w:t>אותו דבר! הבדל בכינוי בלבד!)</w:t>
            </w:r>
            <w:r w:rsidRPr="00DB152F">
              <w:rPr>
                <w:rFonts w:ascii="Arial" w:hAnsi="Arial" w:cs="David" w:hint="cs"/>
                <w:rtl/>
              </w:rPr>
              <w:t xml:space="preserve"> </w:t>
            </w:r>
          </w:p>
        </w:tc>
      </w:tr>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rtl/>
              </w:rPr>
            </w:pPr>
            <w:r w:rsidRPr="00DB152F">
              <w:rPr>
                <w:rFonts w:ascii="Arial" w:hAnsi="Arial" w:cs="David" w:hint="cs"/>
                <w:b/>
                <w:bCs/>
                <w:rtl/>
              </w:rPr>
              <w:t>הגדרת יוזם ההליך</w:t>
            </w:r>
          </w:p>
        </w:tc>
        <w:tc>
          <w:tcPr>
            <w:tcW w:w="334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תובע </w:t>
            </w:r>
          </w:p>
        </w:tc>
        <w:tc>
          <w:tcPr>
            <w:tcW w:w="260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מאשים </w:t>
            </w:r>
          </w:p>
        </w:tc>
        <w:tc>
          <w:tcPr>
            <w:tcW w:w="3232" w:type="dxa"/>
          </w:tcPr>
          <w:p w:rsidR="00B856FD" w:rsidRPr="00DB152F" w:rsidRDefault="00C304F7" w:rsidP="007942AD">
            <w:pPr>
              <w:spacing w:after="0" w:line="240" w:lineRule="auto"/>
              <w:jc w:val="center"/>
              <w:rPr>
                <w:rFonts w:ascii="Arial" w:hAnsi="Arial" w:cs="David"/>
                <w:rtl/>
              </w:rPr>
            </w:pPr>
            <w:r>
              <w:rPr>
                <w:rFonts w:ascii="Arial" w:hAnsi="Arial" w:cs="David" w:hint="cs"/>
                <w:rtl/>
              </w:rPr>
              <w:t>קובל/מאשים</w:t>
            </w:r>
            <w:r w:rsidR="00B856FD" w:rsidRPr="00DB152F">
              <w:rPr>
                <w:rFonts w:ascii="Arial" w:hAnsi="Arial" w:cs="David" w:hint="cs"/>
                <w:rtl/>
              </w:rPr>
              <w:t xml:space="preserve"> </w:t>
            </w:r>
          </w:p>
        </w:tc>
      </w:tr>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rtl/>
              </w:rPr>
            </w:pPr>
            <w:r w:rsidRPr="00DB152F">
              <w:rPr>
                <w:rFonts w:ascii="Arial" w:hAnsi="Arial" w:cs="David" w:hint="cs"/>
                <w:b/>
                <w:bCs/>
                <w:rtl/>
              </w:rPr>
              <w:t>הגדרת ה"מתגונן"</w:t>
            </w:r>
          </w:p>
        </w:tc>
        <w:tc>
          <w:tcPr>
            <w:tcW w:w="334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נתבע </w:t>
            </w:r>
          </w:p>
        </w:tc>
        <w:tc>
          <w:tcPr>
            <w:tcW w:w="260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נאשם </w:t>
            </w:r>
          </w:p>
        </w:tc>
        <w:tc>
          <w:tcPr>
            <w:tcW w:w="3232"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נקבל / נילון / נאשם</w:t>
            </w:r>
          </w:p>
        </w:tc>
      </w:tr>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rtl/>
              </w:rPr>
            </w:pPr>
            <w:r w:rsidRPr="00DB152F">
              <w:rPr>
                <w:rFonts w:ascii="Arial" w:hAnsi="Arial" w:cs="David" w:hint="cs"/>
                <w:b/>
                <w:bCs/>
                <w:rtl/>
              </w:rPr>
              <w:t>שלב ראשוני של ההליך</w:t>
            </w:r>
          </w:p>
        </w:tc>
        <w:tc>
          <w:tcPr>
            <w:tcW w:w="334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קדם משפט </w:t>
            </w:r>
          </w:p>
        </w:tc>
        <w:tc>
          <w:tcPr>
            <w:tcW w:w="2604"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הקראת כתב אישום </w:t>
            </w:r>
          </w:p>
        </w:tc>
        <w:tc>
          <w:tcPr>
            <w:tcW w:w="3232" w:type="dxa"/>
          </w:tcPr>
          <w:p w:rsidR="00B856FD" w:rsidRPr="00DB152F" w:rsidRDefault="00B856FD" w:rsidP="007942AD">
            <w:pPr>
              <w:spacing w:after="0" w:line="240" w:lineRule="auto"/>
              <w:jc w:val="center"/>
              <w:rPr>
                <w:rFonts w:ascii="Arial" w:hAnsi="Arial" w:cs="David"/>
                <w:rtl/>
              </w:rPr>
            </w:pPr>
            <w:r w:rsidRPr="00DB152F">
              <w:rPr>
                <w:rFonts w:ascii="Arial" w:hAnsi="Arial" w:cs="David" w:hint="cs"/>
                <w:rtl/>
              </w:rPr>
              <w:t xml:space="preserve">הקראת קובלנה </w:t>
            </w:r>
          </w:p>
        </w:tc>
      </w:tr>
      <w:tr w:rsidR="00B856FD" w:rsidRPr="00DB152F" w:rsidTr="00DB0C7F">
        <w:tc>
          <w:tcPr>
            <w:tcW w:w="1530" w:type="dxa"/>
            <w:shd w:val="clear" w:color="auto" w:fill="D9D9D9"/>
          </w:tcPr>
          <w:p w:rsidR="00B856FD" w:rsidRPr="00DB152F" w:rsidRDefault="00B856FD" w:rsidP="007942AD">
            <w:pPr>
              <w:spacing w:after="0" w:line="240" w:lineRule="auto"/>
              <w:jc w:val="center"/>
              <w:rPr>
                <w:rFonts w:ascii="Arial" w:hAnsi="Arial" w:cs="David"/>
                <w:b/>
                <w:bCs/>
                <w:rtl/>
              </w:rPr>
            </w:pPr>
            <w:r w:rsidRPr="00DB152F">
              <w:rPr>
                <w:rFonts w:ascii="Arial" w:hAnsi="Arial" w:cs="David" w:hint="cs"/>
                <w:b/>
                <w:bCs/>
                <w:rtl/>
              </w:rPr>
              <w:t xml:space="preserve">אופציות סיום </w:t>
            </w:r>
            <w:r w:rsidRPr="00DB152F">
              <w:rPr>
                <w:rFonts w:ascii="Arial" w:hAnsi="Arial" w:cs="David" w:hint="cs"/>
                <w:b/>
                <w:bCs/>
                <w:rtl/>
              </w:rPr>
              <w:lastRenderedPageBreak/>
              <w:t>בהליך הראשוני</w:t>
            </w:r>
          </w:p>
        </w:tc>
        <w:tc>
          <w:tcPr>
            <w:tcW w:w="3344" w:type="dxa"/>
          </w:tcPr>
          <w:p w:rsidR="00B856FD" w:rsidRPr="00DB152F" w:rsidRDefault="00B856FD" w:rsidP="00BF2E91">
            <w:pPr>
              <w:spacing w:after="0" w:line="240" w:lineRule="auto"/>
              <w:rPr>
                <w:rFonts w:ascii="Arial" w:hAnsi="Arial" w:cs="David"/>
                <w:rtl/>
              </w:rPr>
            </w:pPr>
            <w:r w:rsidRPr="00DB152F">
              <w:rPr>
                <w:rFonts w:ascii="Arial" w:hAnsi="Arial" w:cs="David" w:hint="cs"/>
                <w:rtl/>
              </w:rPr>
              <w:lastRenderedPageBreak/>
              <w:t xml:space="preserve">1) פשרה (90% מהתיקים </w:t>
            </w:r>
            <w:r w:rsidR="00535D19">
              <w:rPr>
                <w:rFonts w:ascii="Arial" w:hAnsi="Arial" w:cs="David" w:hint="cs"/>
                <w:rtl/>
              </w:rPr>
              <w:t xml:space="preserve">מסתיימים </w:t>
            </w:r>
            <w:r w:rsidR="00535D19">
              <w:rPr>
                <w:rFonts w:ascii="Arial" w:hAnsi="Arial" w:cs="David" w:hint="cs"/>
                <w:rtl/>
              </w:rPr>
              <w:lastRenderedPageBreak/>
              <w:t>בפשרה)</w:t>
            </w:r>
          </w:p>
          <w:p w:rsidR="00B856FD" w:rsidRPr="00DB152F" w:rsidRDefault="00B856FD" w:rsidP="00BF2E91">
            <w:pPr>
              <w:spacing w:after="0" w:line="240" w:lineRule="auto"/>
              <w:rPr>
                <w:rFonts w:ascii="Arial" w:hAnsi="Arial" w:cs="David"/>
                <w:rtl/>
              </w:rPr>
            </w:pPr>
            <w:r w:rsidRPr="00DB152F">
              <w:rPr>
                <w:rFonts w:ascii="Arial" w:hAnsi="Arial" w:cs="David" w:hint="cs"/>
                <w:rtl/>
              </w:rPr>
              <w:t xml:space="preserve">2) בוררות </w:t>
            </w:r>
          </w:p>
          <w:p w:rsidR="00B856FD" w:rsidRPr="00DB152F" w:rsidRDefault="00B856FD" w:rsidP="00BF2E91">
            <w:pPr>
              <w:spacing w:after="0" w:line="240" w:lineRule="auto"/>
              <w:rPr>
                <w:rFonts w:ascii="Arial" w:hAnsi="Arial" w:cs="David"/>
                <w:rtl/>
              </w:rPr>
            </w:pPr>
            <w:r w:rsidRPr="00DB152F">
              <w:rPr>
                <w:rFonts w:ascii="Arial" w:hAnsi="Arial" w:cs="David" w:hint="cs"/>
                <w:rtl/>
              </w:rPr>
              <w:t xml:space="preserve">3) גישור </w:t>
            </w:r>
          </w:p>
          <w:p w:rsidR="00B856FD" w:rsidRPr="00DB152F" w:rsidRDefault="00B856FD" w:rsidP="00BF2E91">
            <w:pPr>
              <w:spacing w:after="0" w:line="240" w:lineRule="auto"/>
              <w:rPr>
                <w:rFonts w:ascii="Arial" w:hAnsi="Arial" w:cs="David"/>
                <w:rtl/>
              </w:rPr>
            </w:pPr>
            <w:r w:rsidRPr="00DB152F">
              <w:rPr>
                <w:rFonts w:ascii="Arial" w:hAnsi="Arial" w:cs="David" w:hint="cs"/>
                <w:rtl/>
              </w:rPr>
              <w:t xml:space="preserve">4) סעיף 79א לחוק בתי המשפט (מאפשר </w:t>
            </w:r>
            <w:r w:rsidR="00BF2E91">
              <w:rPr>
                <w:rFonts w:ascii="Arial" w:hAnsi="Arial" w:cs="David" w:hint="cs"/>
                <w:rtl/>
              </w:rPr>
              <w:t xml:space="preserve">לצדדים להסמיך </w:t>
            </w:r>
            <w:r w:rsidRPr="00DB152F">
              <w:rPr>
                <w:rFonts w:ascii="Arial" w:hAnsi="Arial" w:cs="David" w:hint="cs"/>
                <w:rtl/>
              </w:rPr>
              <w:t>את בית הדין לתת פסק דין ע</w:t>
            </w:r>
            <w:r w:rsidR="00BF2E91">
              <w:rPr>
                <w:rFonts w:ascii="Arial" w:hAnsi="Arial" w:cs="David" w:hint="cs"/>
                <w:rtl/>
              </w:rPr>
              <w:t>ל דרך הפשרה).</w:t>
            </w:r>
          </w:p>
          <w:p w:rsidR="00B856FD" w:rsidRPr="00DB152F" w:rsidRDefault="00B856FD" w:rsidP="0019044D">
            <w:pPr>
              <w:spacing w:after="0" w:line="240" w:lineRule="auto"/>
              <w:rPr>
                <w:rFonts w:ascii="Arial" w:hAnsi="Arial" w:cs="David"/>
                <w:rtl/>
              </w:rPr>
            </w:pPr>
            <w:r w:rsidRPr="00DB152F">
              <w:rPr>
                <w:rFonts w:ascii="Arial" w:hAnsi="Arial" w:cs="David" w:hint="cs"/>
                <w:rtl/>
              </w:rPr>
              <w:t>5) קבלת התביעה (</w:t>
            </w:r>
            <w:r w:rsidR="0019044D">
              <w:rPr>
                <w:rFonts w:ascii="Arial" w:hAnsi="Arial" w:cs="David" w:hint="cs"/>
                <w:rtl/>
              </w:rPr>
              <w:t>כשאין טיעוני הגנה טובים).</w:t>
            </w:r>
          </w:p>
          <w:p w:rsidR="00B856FD" w:rsidRPr="00DB152F" w:rsidRDefault="00B856FD" w:rsidP="00BF2E91">
            <w:pPr>
              <w:spacing w:after="0" w:line="240" w:lineRule="auto"/>
              <w:rPr>
                <w:rFonts w:ascii="Arial" w:hAnsi="Arial" w:cs="David"/>
                <w:rtl/>
              </w:rPr>
            </w:pPr>
            <w:r w:rsidRPr="00DB152F">
              <w:rPr>
                <w:rFonts w:ascii="Arial" w:hAnsi="Arial" w:cs="David" w:hint="cs"/>
                <w:rtl/>
              </w:rPr>
              <w:t xml:space="preserve">6) דחיית התביעה (עקב טענות מקדמיות כמו התיישנות, שיהוי) </w:t>
            </w:r>
          </w:p>
        </w:tc>
        <w:tc>
          <w:tcPr>
            <w:tcW w:w="2604" w:type="dxa"/>
          </w:tcPr>
          <w:p w:rsidR="00B856FD" w:rsidRDefault="00B856FD" w:rsidP="007942AD">
            <w:pPr>
              <w:spacing w:after="0" w:line="240" w:lineRule="auto"/>
              <w:jc w:val="center"/>
              <w:rPr>
                <w:rFonts w:ascii="Arial" w:hAnsi="Arial" w:cs="David"/>
                <w:rtl/>
              </w:rPr>
            </w:pPr>
            <w:r>
              <w:rPr>
                <w:rFonts w:ascii="Arial" w:hAnsi="Arial" w:cs="David" w:hint="cs"/>
                <w:rtl/>
              </w:rPr>
              <w:lastRenderedPageBreak/>
              <w:t>1) הודאה באשמה</w:t>
            </w:r>
          </w:p>
          <w:p w:rsidR="00B856FD" w:rsidRDefault="00B856FD" w:rsidP="007942AD">
            <w:pPr>
              <w:spacing w:after="0" w:line="240" w:lineRule="auto"/>
              <w:jc w:val="center"/>
              <w:rPr>
                <w:rFonts w:ascii="Arial" w:hAnsi="Arial" w:cs="David"/>
                <w:rtl/>
              </w:rPr>
            </w:pPr>
            <w:r>
              <w:rPr>
                <w:rFonts w:ascii="Arial" w:hAnsi="Arial" w:cs="David" w:hint="cs"/>
                <w:rtl/>
              </w:rPr>
              <w:lastRenderedPageBreak/>
              <w:t xml:space="preserve"> </w:t>
            </w:r>
          </w:p>
          <w:p w:rsidR="00B856FD" w:rsidRDefault="00B856FD" w:rsidP="007942AD">
            <w:pPr>
              <w:spacing w:after="0" w:line="240" w:lineRule="auto"/>
              <w:jc w:val="center"/>
              <w:rPr>
                <w:rFonts w:ascii="Arial" w:hAnsi="Arial" w:cs="David"/>
                <w:rtl/>
              </w:rPr>
            </w:pPr>
            <w:r>
              <w:rPr>
                <w:rFonts w:ascii="Arial" w:hAnsi="Arial" w:cs="David" w:hint="cs"/>
                <w:rtl/>
              </w:rPr>
              <w:t xml:space="preserve">2) הסדר טיעון </w:t>
            </w:r>
            <w:r>
              <w:rPr>
                <w:rFonts w:ascii="Arial" w:hAnsi="Arial" w:cs="David"/>
                <w:rtl/>
              </w:rPr>
              <w:t>–</w:t>
            </w:r>
            <w:r>
              <w:rPr>
                <w:rFonts w:ascii="Arial" w:hAnsi="Arial" w:cs="David" w:hint="cs"/>
                <w:rtl/>
              </w:rPr>
              <w:t xml:space="preserve"> השיקולים יכולים להיות: חיסכון במשאבים, עד שפתאום לא יכול להעיד, קורבן שמסרב להעיד.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3) טענות מקדמיות (הגנה מן הצדק, התיישנות) </w:t>
            </w:r>
          </w:p>
          <w:p w:rsidR="00B856FD" w:rsidRDefault="00B856FD" w:rsidP="007942AD">
            <w:pPr>
              <w:spacing w:after="0" w:line="240" w:lineRule="auto"/>
              <w:jc w:val="center"/>
              <w:rPr>
                <w:rFonts w:ascii="Arial" w:hAnsi="Arial" w:cs="David"/>
                <w:rtl/>
              </w:rPr>
            </w:pPr>
          </w:p>
          <w:p w:rsidR="00B856FD" w:rsidRPr="00DB152F" w:rsidRDefault="00B856FD" w:rsidP="007942AD">
            <w:pPr>
              <w:spacing w:after="0" w:line="240" w:lineRule="auto"/>
              <w:jc w:val="center"/>
              <w:rPr>
                <w:rFonts w:ascii="Arial" w:hAnsi="Arial" w:cs="David"/>
                <w:rtl/>
              </w:rPr>
            </w:pPr>
            <w:r>
              <w:rPr>
                <w:rFonts w:ascii="Arial" w:hAnsi="Arial" w:cs="David" w:hint="cs"/>
                <w:rtl/>
              </w:rPr>
              <w:t xml:space="preserve">4) גישור (כיום זה בשלב פיילוט ונעשה רק ע"י שופט) לקראת הסדר טיעון </w:t>
            </w:r>
          </w:p>
        </w:tc>
        <w:tc>
          <w:tcPr>
            <w:tcW w:w="3232" w:type="dxa"/>
          </w:tcPr>
          <w:p w:rsidR="00B856FD" w:rsidRDefault="00B856FD" w:rsidP="007942AD">
            <w:pPr>
              <w:spacing w:after="0" w:line="240" w:lineRule="auto"/>
              <w:jc w:val="center"/>
              <w:rPr>
                <w:rFonts w:ascii="Arial" w:hAnsi="Arial" w:cs="David"/>
                <w:rtl/>
              </w:rPr>
            </w:pPr>
            <w:r>
              <w:rPr>
                <w:rFonts w:ascii="Arial" w:hAnsi="Arial" w:cs="David" w:hint="cs"/>
                <w:rtl/>
              </w:rPr>
              <w:lastRenderedPageBreak/>
              <w:t xml:space="preserve">1) הודאה באשמה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2) הסדר טיעון (מאותן הסיבות כמו בהליך הפלילי)</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3) טענות מקדמיות (הגנה מן הצדק, התיישנות)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4) בהזמנה ניתן לומר כי תהיה הקראה ואם הנקבל יכפור יהיו הוכחות באותו יום (דיני הראיות גמישים יותר)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גישור טרם נכנס לערכאות המשמעת </w:t>
            </w:r>
          </w:p>
          <w:p w:rsidR="00B856FD" w:rsidRPr="00DB152F" w:rsidRDefault="00B856FD" w:rsidP="007942AD">
            <w:pPr>
              <w:spacing w:after="0" w:line="240" w:lineRule="auto"/>
              <w:rPr>
                <w:rFonts w:ascii="Arial" w:hAnsi="Arial" w:cs="David"/>
                <w:rtl/>
              </w:rPr>
            </w:pPr>
          </w:p>
        </w:tc>
      </w:tr>
      <w:tr w:rsidR="00B856FD" w:rsidRPr="00DB152F" w:rsidTr="00DB0C7F">
        <w:tc>
          <w:tcPr>
            <w:tcW w:w="1530" w:type="dxa"/>
            <w:shd w:val="clear" w:color="auto" w:fill="D9D9D9"/>
          </w:tcPr>
          <w:p w:rsidR="00B856FD" w:rsidRPr="00DB152F" w:rsidRDefault="00B856FD" w:rsidP="009309FE">
            <w:pPr>
              <w:spacing w:after="0" w:line="240" w:lineRule="auto"/>
              <w:jc w:val="center"/>
              <w:rPr>
                <w:rFonts w:ascii="Arial" w:hAnsi="Arial" w:cs="David"/>
                <w:b/>
                <w:bCs/>
                <w:rtl/>
              </w:rPr>
            </w:pPr>
            <w:r>
              <w:rPr>
                <w:rFonts w:ascii="Arial" w:hAnsi="Arial" w:cs="David" w:hint="cs"/>
                <w:b/>
                <w:bCs/>
                <w:rtl/>
              </w:rPr>
              <w:lastRenderedPageBreak/>
              <w:t xml:space="preserve">המשך הליכים </w:t>
            </w:r>
            <w:r w:rsidR="009309FE">
              <w:rPr>
                <w:rFonts w:ascii="Arial" w:hAnsi="Arial" w:cs="David" w:hint="cs"/>
                <w:b/>
                <w:bCs/>
                <w:rtl/>
              </w:rPr>
              <w:t>(שלב ההוכחות)</w:t>
            </w:r>
          </w:p>
        </w:tc>
        <w:tc>
          <w:tcPr>
            <w:tcW w:w="3344" w:type="dxa"/>
          </w:tcPr>
          <w:p w:rsidR="00B856FD" w:rsidRDefault="00B856FD" w:rsidP="00E40C5B">
            <w:pPr>
              <w:spacing w:after="0" w:line="240" w:lineRule="auto"/>
              <w:jc w:val="center"/>
              <w:rPr>
                <w:rFonts w:ascii="Arial" w:hAnsi="Arial" w:cs="David"/>
                <w:rtl/>
              </w:rPr>
            </w:pPr>
            <w:r>
              <w:rPr>
                <w:rFonts w:ascii="Arial" w:hAnsi="Arial" w:cs="David" w:hint="cs"/>
                <w:rtl/>
              </w:rPr>
              <w:t xml:space="preserve">1) עדויות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2) מוצגים  </w:t>
            </w:r>
          </w:p>
          <w:p w:rsidR="00B856FD" w:rsidRDefault="00B856FD" w:rsidP="007942AD">
            <w:pPr>
              <w:spacing w:after="0" w:line="240" w:lineRule="auto"/>
              <w:jc w:val="center"/>
              <w:rPr>
                <w:rFonts w:ascii="Arial" w:hAnsi="Arial" w:cs="David"/>
                <w:rtl/>
              </w:rPr>
            </w:pPr>
          </w:p>
          <w:p w:rsidR="00B856FD" w:rsidRPr="00DB152F" w:rsidRDefault="00B856FD" w:rsidP="007942AD">
            <w:pPr>
              <w:spacing w:after="0" w:line="240" w:lineRule="auto"/>
              <w:jc w:val="center"/>
              <w:rPr>
                <w:rFonts w:ascii="Arial" w:hAnsi="Arial" w:cs="David"/>
                <w:rtl/>
              </w:rPr>
            </w:pPr>
            <w:r>
              <w:rPr>
                <w:rFonts w:ascii="Arial" w:hAnsi="Arial" w:cs="David" w:hint="cs"/>
                <w:rtl/>
              </w:rPr>
              <w:t xml:space="preserve">מובאים הן </w:t>
            </w:r>
            <w:r w:rsidRPr="00DD5F7D">
              <w:rPr>
                <w:rFonts w:ascii="Arial" w:hAnsi="Arial" w:cs="David" w:hint="cs"/>
                <w:u w:val="single"/>
                <w:rtl/>
              </w:rPr>
              <w:t>לעניין החבות</w:t>
            </w:r>
            <w:r>
              <w:rPr>
                <w:rFonts w:ascii="Arial" w:hAnsi="Arial" w:cs="David" w:hint="cs"/>
                <w:rtl/>
              </w:rPr>
              <w:t xml:space="preserve"> והן </w:t>
            </w:r>
            <w:r w:rsidRPr="00DD5F7D">
              <w:rPr>
                <w:rFonts w:ascii="Arial" w:hAnsi="Arial" w:cs="David" w:hint="cs"/>
                <w:u w:val="single"/>
                <w:rtl/>
              </w:rPr>
              <w:t>לעניין של גובה הנזק</w:t>
            </w:r>
            <w:r>
              <w:rPr>
                <w:rFonts w:ascii="Arial" w:hAnsi="Arial" w:cs="David" w:hint="cs"/>
                <w:rtl/>
              </w:rPr>
              <w:t xml:space="preserve"> / הפיצוי המבוקש  </w:t>
            </w:r>
          </w:p>
        </w:tc>
        <w:tc>
          <w:tcPr>
            <w:tcW w:w="2604" w:type="dxa"/>
          </w:tcPr>
          <w:p w:rsidR="00B856FD" w:rsidRDefault="00B856FD" w:rsidP="007942AD">
            <w:pPr>
              <w:spacing w:after="0" w:line="240" w:lineRule="auto"/>
              <w:jc w:val="center"/>
              <w:rPr>
                <w:rFonts w:ascii="Arial" w:hAnsi="Arial" w:cs="David"/>
                <w:rtl/>
              </w:rPr>
            </w:pPr>
            <w:r>
              <w:rPr>
                <w:rFonts w:ascii="Arial" w:hAnsi="Arial" w:cs="David" w:hint="cs"/>
                <w:rtl/>
              </w:rPr>
              <w:t xml:space="preserve">1) עדויות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2) מוצגים </w:t>
            </w:r>
          </w:p>
          <w:p w:rsidR="00B856FD" w:rsidRDefault="00B856FD" w:rsidP="007942AD">
            <w:pPr>
              <w:spacing w:after="0" w:line="240" w:lineRule="auto"/>
              <w:jc w:val="center"/>
              <w:rPr>
                <w:rFonts w:ascii="Arial" w:hAnsi="Arial" w:cs="David"/>
                <w:rtl/>
              </w:rPr>
            </w:pPr>
          </w:p>
          <w:p w:rsidR="00B856FD" w:rsidRPr="00DD5F7D" w:rsidRDefault="00B856FD" w:rsidP="007942AD">
            <w:pPr>
              <w:spacing w:after="0" w:line="240" w:lineRule="auto"/>
              <w:jc w:val="center"/>
              <w:rPr>
                <w:rFonts w:ascii="Arial" w:hAnsi="Arial" w:cs="David"/>
                <w:u w:val="single"/>
                <w:rtl/>
              </w:rPr>
            </w:pPr>
            <w:r w:rsidRPr="00DD5F7D">
              <w:rPr>
                <w:rFonts w:ascii="Arial" w:hAnsi="Arial" w:cs="David" w:hint="cs"/>
                <w:u w:val="single"/>
                <w:rtl/>
              </w:rPr>
              <w:t xml:space="preserve">מובאים לעניין האשמה </w:t>
            </w:r>
          </w:p>
        </w:tc>
        <w:tc>
          <w:tcPr>
            <w:tcW w:w="3232" w:type="dxa"/>
          </w:tcPr>
          <w:p w:rsidR="00B856FD" w:rsidRDefault="00B856FD" w:rsidP="007942AD">
            <w:pPr>
              <w:spacing w:after="0" w:line="240" w:lineRule="auto"/>
              <w:jc w:val="center"/>
              <w:rPr>
                <w:rFonts w:ascii="Arial" w:hAnsi="Arial" w:cs="David"/>
                <w:rtl/>
              </w:rPr>
            </w:pPr>
            <w:r>
              <w:rPr>
                <w:rFonts w:ascii="Arial" w:hAnsi="Arial" w:cs="David" w:hint="cs"/>
                <w:rtl/>
              </w:rPr>
              <w:t xml:space="preserve">1) עדויות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2) מוצגים </w:t>
            </w:r>
          </w:p>
          <w:p w:rsidR="00B856FD" w:rsidRDefault="00B856FD" w:rsidP="007942AD">
            <w:pPr>
              <w:spacing w:after="0" w:line="240" w:lineRule="auto"/>
              <w:jc w:val="center"/>
              <w:rPr>
                <w:rFonts w:ascii="Arial" w:hAnsi="Arial" w:cs="David"/>
                <w:rtl/>
              </w:rPr>
            </w:pPr>
          </w:p>
          <w:p w:rsidR="00B856FD" w:rsidRPr="00DD5F7D" w:rsidRDefault="00B856FD" w:rsidP="007942AD">
            <w:pPr>
              <w:spacing w:after="0" w:line="240" w:lineRule="auto"/>
              <w:jc w:val="center"/>
              <w:rPr>
                <w:rFonts w:ascii="Arial" w:hAnsi="Arial" w:cs="David"/>
                <w:u w:val="single"/>
                <w:rtl/>
              </w:rPr>
            </w:pPr>
            <w:r w:rsidRPr="00DD5F7D">
              <w:rPr>
                <w:rFonts w:ascii="Arial" w:hAnsi="Arial" w:cs="David" w:hint="cs"/>
                <w:u w:val="single"/>
                <w:rtl/>
              </w:rPr>
              <w:t xml:space="preserve">מובאים לעניין האשמה </w:t>
            </w:r>
          </w:p>
        </w:tc>
      </w:tr>
      <w:tr w:rsidR="00B856FD" w:rsidRPr="00DB152F" w:rsidTr="00DB0C7F">
        <w:tc>
          <w:tcPr>
            <w:tcW w:w="1530" w:type="dxa"/>
            <w:shd w:val="clear" w:color="auto" w:fill="D9D9D9"/>
          </w:tcPr>
          <w:p w:rsidR="00B856FD" w:rsidRDefault="00B856FD" w:rsidP="007942AD">
            <w:pPr>
              <w:spacing w:after="0" w:line="240" w:lineRule="auto"/>
              <w:jc w:val="center"/>
              <w:rPr>
                <w:rFonts w:ascii="Arial" w:hAnsi="Arial" w:cs="David"/>
                <w:b/>
                <w:bCs/>
                <w:rtl/>
              </w:rPr>
            </w:pPr>
            <w:r>
              <w:rPr>
                <w:rFonts w:ascii="Arial" w:hAnsi="Arial" w:cs="David" w:hint="cs"/>
                <w:b/>
                <w:bCs/>
                <w:rtl/>
              </w:rPr>
              <w:t>שלב סיכומים (לאחר הוכחות)</w:t>
            </w:r>
          </w:p>
        </w:tc>
        <w:tc>
          <w:tcPr>
            <w:tcW w:w="3344" w:type="dxa"/>
          </w:tcPr>
          <w:p w:rsidR="00B856FD" w:rsidRDefault="00B856FD" w:rsidP="007942AD">
            <w:pPr>
              <w:spacing w:after="0" w:line="240" w:lineRule="auto"/>
              <w:jc w:val="center"/>
              <w:rPr>
                <w:rFonts w:ascii="Arial" w:hAnsi="Arial" w:cs="David"/>
                <w:rtl/>
              </w:rPr>
            </w:pPr>
            <w:r>
              <w:rPr>
                <w:rFonts w:ascii="Arial" w:hAnsi="Arial" w:cs="David" w:hint="cs"/>
                <w:rtl/>
              </w:rPr>
              <w:t xml:space="preserve">הן לעניין החבות והן לעניין הנזק </w:t>
            </w:r>
          </w:p>
        </w:tc>
        <w:tc>
          <w:tcPr>
            <w:tcW w:w="2604" w:type="dxa"/>
          </w:tcPr>
          <w:p w:rsidR="00B856FD" w:rsidRDefault="006B68C3" w:rsidP="007942AD">
            <w:pPr>
              <w:spacing w:after="0" w:line="240" w:lineRule="auto"/>
              <w:jc w:val="center"/>
              <w:rPr>
                <w:rFonts w:ascii="Arial" w:hAnsi="Arial" w:cs="David"/>
                <w:rtl/>
              </w:rPr>
            </w:pPr>
            <w:r>
              <w:rPr>
                <w:rFonts w:ascii="Arial" w:hAnsi="Arial" w:cs="David" w:hint="cs"/>
                <w:rtl/>
              </w:rPr>
              <w:t>לעניין ה</w:t>
            </w:r>
            <w:r w:rsidR="00B856FD">
              <w:rPr>
                <w:rFonts w:ascii="Arial" w:hAnsi="Arial" w:cs="David" w:hint="cs"/>
                <w:rtl/>
              </w:rPr>
              <w:t xml:space="preserve">אשמה </w:t>
            </w:r>
          </w:p>
        </w:tc>
        <w:tc>
          <w:tcPr>
            <w:tcW w:w="3232" w:type="dxa"/>
          </w:tcPr>
          <w:p w:rsidR="00B856FD" w:rsidRDefault="006B68C3" w:rsidP="007942AD">
            <w:pPr>
              <w:spacing w:after="0" w:line="240" w:lineRule="auto"/>
              <w:jc w:val="center"/>
              <w:rPr>
                <w:rFonts w:ascii="Arial" w:hAnsi="Arial" w:cs="David"/>
                <w:rtl/>
              </w:rPr>
            </w:pPr>
            <w:r>
              <w:rPr>
                <w:rFonts w:ascii="Arial" w:hAnsi="Arial" w:cs="David" w:hint="cs"/>
                <w:rtl/>
              </w:rPr>
              <w:t>לעניין ה</w:t>
            </w:r>
            <w:r w:rsidR="00B856FD">
              <w:rPr>
                <w:rFonts w:ascii="Arial" w:hAnsi="Arial" w:cs="David" w:hint="cs"/>
                <w:rtl/>
              </w:rPr>
              <w:t xml:space="preserve">אשמה </w:t>
            </w:r>
          </w:p>
        </w:tc>
      </w:tr>
      <w:tr w:rsidR="00B856FD" w:rsidRPr="00DB152F" w:rsidTr="00DB0C7F">
        <w:tc>
          <w:tcPr>
            <w:tcW w:w="1530" w:type="dxa"/>
            <w:shd w:val="clear" w:color="auto" w:fill="D9D9D9"/>
          </w:tcPr>
          <w:p w:rsidR="00B856FD" w:rsidRDefault="00B856FD" w:rsidP="007942AD">
            <w:pPr>
              <w:spacing w:after="0" w:line="240" w:lineRule="auto"/>
              <w:jc w:val="center"/>
              <w:rPr>
                <w:rFonts w:ascii="Arial" w:hAnsi="Arial" w:cs="David"/>
                <w:b/>
                <w:bCs/>
                <w:rtl/>
              </w:rPr>
            </w:pPr>
            <w:r>
              <w:rPr>
                <w:rFonts w:ascii="Arial" w:hAnsi="Arial" w:cs="David" w:hint="cs"/>
                <w:b/>
                <w:bCs/>
                <w:rtl/>
              </w:rPr>
              <w:t>פס"ד (מורכב מהכרעת דין + גזר דין)</w:t>
            </w:r>
          </w:p>
        </w:tc>
        <w:tc>
          <w:tcPr>
            <w:tcW w:w="3344" w:type="dxa"/>
          </w:tcPr>
          <w:p w:rsidR="00B856FD" w:rsidRDefault="00B856FD" w:rsidP="007942AD">
            <w:pPr>
              <w:spacing w:after="0" w:line="240" w:lineRule="auto"/>
              <w:jc w:val="center"/>
              <w:rPr>
                <w:rFonts w:ascii="Arial" w:hAnsi="Arial" w:cs="David"/>
                <w:rtl/>
              </w:rPr>
            </w:pPr>
            <w:r>
              <w:rPr>
                <w:rFonts w:ascii="Arial" w:hAnsi="Arial" w:cs="David" w:hint="cs"/>
                <w:rtl/>
              </w:rPr>
              <w:t xml:space="preserve">קובע לגבי החבות ולגבי הנזק </w:t>
            </w:r>
            <w:r>
              <w:rPr>
                <w:rFonts w:ascii="Arial" w:hAnsi="Arial" w:cs="David"/>
                <w:rtl/>
              </w:rPr>
              <w:t>–</w:t>
            </w:r>
            <w:r>
              <w:rPr>
                <w:rFonts w:ascii="Arial" w:hAnsi="Arial" w:cs="David" w:hint="cs"/>
                <w:rtl/>
              </w:rPr>
              <w:t xml:space="preserve"> קובע גם וגם </w:t>
            </w:r>
          </w:p>
        </w:tc>
        <w:tc>
          <w:tcPr>
            <w:tcW w:w="2604" w:type="dxa"/>
          </w:tcPr>
          <w:p w:rsidR="00B856FD" w:rsidRDefault="00B856FD" w:rsidP="007942AD">
            <w:pPr>
              <w:spacing w:after="0" w:line="240" w:lineRule="auto"/>
              <w:jc w:val="center"/>
              <w:rPr>
                <w:rFonts w:ascii="Arial" w:hAnsi="Arial" w:cs="David"/>
                <w:rtl/>
              </w:rPr>
            </w:pPr>
            <w:r>
              <w:rPr>
                <w:rFonts w:ascii="Arial" w:hAnsi="Arial" w:cs="David" w:hint="cs"/>
                <w:rtl/>
              </w:rPr>
              <w:t xml:space="preserve">נקרא הכרעת דין: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זיכוי </w:t>
            </w:r>
            <w:r>
              <w:rPr>
                <w:rFonts w:ascii="Arial" w:hAnsi="Arial" w:cs="David"/>
                <w:rtl/>
              </w:rPr>
              <w:t>–</w:t>
            </w:r>
            <w:r>
              <w:rPr>
                <w:rFonts w:ascii="Arial" w:hAnsi="Arial" w:cs="David" w:hint="cs"/>
                <w:rtl/>
              </w:rPr>
              <w:t xml:space="preserve"> פה נגמר ההליך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הרשעה </w:t>
            </w:r>
            <w:r>
              <w:rPr>
                <w:rFonts w:ascii="Arial" w:hAnsi="Arial" w:cs="David"/>
                <w:rtl/>
              </w:rPr>
              <w:t>–</w:t>
            </w:r>
            <w:r>
              <w:rPr>
                <w:rFonts w:ascii="Arial" w:hAnsi="Arial" w:cs="David" w:hint="cs"/>
                <w:rtl/>
              </w:rPr>
              <w:t xml:space="preserve"> ממשיכים הלאה בטבלה </w:t>
            </w:r>
          </w:p>
        </w:tc>
        <w:tc>
          <w:tcPr>
            <w:tcW w:w="3232" w:type="dxa"/>
          </w:tcPr>
          <w:p w:rsidR="00B856FD" w:rsidRDefault="00B856FD" w:rsidP="007942AD">
            <w:pPr>
              <w:spacing w:after="0" w:line="240" w:lineRule="auto"/>
              <w:jc w:val="center"/>
              <w:rPr>
                <w:rFonts w:ascii="Arial" w:hAnsi="Arial" w:cs="David"/>
                <w:rtl/>
              </w:rPr>
            </w:pPr>
            <w:r>
              <w:rPr>
                <w:rFonts w:ascii="Arial" w:hAnsi="Arial" w:cs="David" w:hint="cs"/>
                <w:rtl/>
              </w:rPr>
              <w:t xml:space="preserve">נקרא הכרעת דין: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זיכוי </w:t>
            </w:r>
            <w:r>
              <w:rPr>
                <w:rFonts w:ascii="Arial" w:hAnsi="Arial" w:cs="David"/>
                <w:rtl/>
              </w:rPr>
              <w:t>–</w:t>
            </w:r>
            <w:r>
              <w:rPr>
                <w:rFonts w:ascii="Arial" w:hAnsi="Arial" w:cs="David" w:hint="cs"/>
                <w:rtl/>
              </w:rPr>
              <w:t xml:space="preserve"> פה נגמר ההליך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הרשעה </w:t>
            </w:r>
            <w:r>
              <w:rPr>
                <w:rFonts w:ascii="Arial" w:hAnsi="Arial" w:cs="David"/>
                <w:rtl/>
              </w:rPr>
              <w:t>–</w:t>
            </w:r>
            <w:r>
              <w:rPr>
                <w:rFonts w:ascii="Arial" w:hAnsi="Arial" w:cs="David" w:hint="cs"/>
                <w:rtl/>
              </w:rPr>
              <w:t xml:space="preserve"> ממשיכים הלאה בטבלה</w:t>
            </w:r>
          </w:p>
        </w:tc>
      </w:tr>
      <w:tr w:rsidR="00B856FD" w:rsidRPr="00DB152F" w:rsidTr="00DB0C7F">
        <w:tc>
          <w:tcPr>
            <w:tcW w:w="1530" w:type="dxa"/>
            <w:shd w:val="clear" w:color="auto" w:fill="D9D9D9"/>
          </w:tcPr>
          <w:p w:rsidR="00B856FD" w:rsidRDefault="00B856FD" w:rsidP="007942AD">
            <w:pPr>
              <w:spacing w:after="0" w:line="240" w:lineRule="auto"/>
              <w:jc w:val="center"/>
              <w:rPr>
                <w:rFonts w:ascii="Arial" w:hAnsi="Arial" w:cs="David"/>
                <w:b/>
                <w:bCs/>
                <w:rtl/>
              </w:rPr>
            </w:pPr>
            <w:r>
              <w:rPr>
                <w:rFonts w:ascii="Arial" w:hAnsi="Arial" w:cs="David" w:hint="cs"/>
                <w:b/>
                <w:bCs/>
                <w:rtl/>
              </w:rPr>
              <w:t xml:space="preserve">שלב ראיות וסיכום נוסף (=טיעונים לעונש) </w:t>
            </w:r>
          </w:p>
          <w:p w:rsidR="00B856FD" w:rsidRDefault="00B856FD" w:rsidP="007942AD">
            <w:pPr>
              <w:spacing w:after="0" w:line="240" w:lineRule="auto"/>
              <w:jc w:val="center"/>
              <w:rPr>
                <w:rFonts w:ascii="Arial" w:hAnsi="Arial" w:cs="David"/>
                <w:b/>
                <w:bCs/>
                <w:rtl/>
              </w:rPr>
            </w:pPr>
          </w:p>
          <w:p w:rsidR="00B856FD" w:rsidRPr="003E6080" w:rsidRDefault="00B856FD" w:rsidP="007942AD">
            <w:pPr>
              <w:spacing w:after="0" w:line="240" w:lineRule="auto"/>
              <w:jc w:val="center"/>
              <w:rPr>
                <w:rFonts w:ascii="Arial" w:hAnsi="Arial" w:cs="David"/>
                <w:rtl/>
              </w:rPr>
            </w:pPr>
            <w:r w:rsidRPr="003E6080">
              <w:rPr>
                <w:rFonts w:ascii="Arial" w:hAnsi="Arial" w:cs="David" w:hint="cs"/>
                <w:b/>
                <w:bCs/>
                <w:u w:val="single"/>
                <w:rtl/>
              </w:rPr>
              <w:t>למה שונה מהאזרחי?</w:t>
            </w:r>
            <w:r>
              <w:rPr>
                <w:rFonts w:ascii="Arial" w:hAnsi="Arial" w:cs="David" w:hint="cs"/>
                <w:rtl/>
              </w:rPr>
              <w:t xml:space="preserve"> ההכרעה אינה קובעת את העונש. יכול להיות שביצע העבירה, אך יש שיקול דעת לגבי העונש </w:t>
            </w:r>
          </w:p>
          <w:p w:rsidR="00B856FD" w:rsidRDefault="00B856FD" w:rsidP="007942AD">
            <w:pPr>
              <w:spacing w:after="0" w:line="240" w:lineRule="auto"/>
              <w:jc w:val="center"/>
              <w:rPr>
                <w:rFonts w:ascii="Arial" w:hAnsi="Arial" w:cs="David"/>
                <w:b/>
                <w:bCs/>
                <w:rtl/>
              </w:rPr>
            </w:pPr>
          </w:p>
        </w:tc>
        <w:tc>
          <w:tcPr>
            <w:tcW w:w="3344" w:type="dxa"/>
          </w:tcPr>
          <w:p w:rsidR="00B856FD" w:rsidRDefault="00B856FD" w:rsidP="007942AD">
            <w:pPr>
              <w:spacing w:after="0" w:line="240" w:lineRule="auto"/>
              <w:jc w:val="center"/>
              <w:rPr>
                <w:rFonts w:ascii="Arial" w:hAnsi="Arial" w:cs="David"/>
                <w:rtl/>
              </w:rPr>
            </w:pPr>
            <w:r>
              <w:rPr>
                <w:rFonts w:ascii="Arial" w:hAnsi="Arial" w:cs="David" w:hint="cs"/>
                <w:rtl/>
              </w:rPr>
              <w:t>אין</w:t>
            </w:r>
          </w:p>
        </w:tc>
        <w:tc>
          <w:tcPr>
            <w:tcW w:w="2604" w:type="dxa"/>
          </w:tcPr>
          <w:p w:rsidR="00B856FD" w:rsidRDefault="00B856FD" w:rsidP="007942AD">
            <w:pPr>
              <w:spacing w:after="0" w:line="240" w:lineRule="auto"/>
              <w:jc w:val="center"/>
              <w:rPr>
                <w:rFonts w:ascii="Arial" w:hAnsi="Arial" w:cs="David"/>
                <w:rtl/>
              </w:rPr>
            </w:pPr>
            <w:r>
              <w:rPr>
                <w:rFonts w:ascii="Arial" w:hAnsi="Arial" w:cs="David" w:hint="cs"/>
                <w:rtl/>
              </w:rPr>
              <w:t xml:space="preserve">אם הייתה הרשעה - גזר דין: מביאים עדים, ראיות ומוצגים </w:t>
            </w:r>
            <w:r>
              <w:rPr>
                <w:rFonts w:ascii="Arial" w:hAnsi="Arial" w:cs="David"/>
                <w:rtl/>
              </w:rPr>
              <w:t>–</w:t>
            </w:r>
            <w:r>
              <w:rPr>
                <w:rFonts w:ascii="Arial" w:hAnsi="Arial" w:cs="David" w:hint="cs"/>
                <w:rtl/>
              </w:rPr>
              <w:t xml:space="preserve"> איזה עונש ראוי לתת.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עדויות אופי (יכולות להיות גם בכתב). </w:t>
            </w:r>
          </w:p>
          <w:p w:rsidR="00B856FD" w:rsidRDefault="00B856FD" w:rsidP="007942AD">
            <w:pPr>
              <w:spacing w:after="0" w:line="240" w:lineRule="auto"/>
              <w:jc w:val="center"/>
              <w:rPr>
                <w:rFonts w:ascii="Arial" w:hAnsi="Arial" w:cs="David"/>
                <w:rtl/>
              </w:rPr>
            </w:pPr>
          </w:p>
          <w:p w:rsidR="00B856FD" w:rsidRDefault="00B856FD" w:rsidP="003A4549">
            <w:pPr>
              <w:spacing w:after="0" w:line="240" w:lineRule="auto"/>
              <w:jc w:val="center"/>
              <w:rPr>
                <w:rFonts w:ascii="Arial" w:hAnsi="Arial" w:cs="David"/>
                <w:rtl/>
              </w:rPr>
            </w:pPr>
            <w:r>
              <w:rPr>
                <w:rFonts w:ascii="Arial" w:hAnsi="Arial" w:cs="David" w:hint="cs"/>
                <w:rtl/>
              </w:rPr>
              <w:t xml:space="preserve">מוצגים </w:t>
            </w:r>
            <w:r>
              <w:rPr>
                <w:rFonts w:ascii="Arial" w:hAnsi="Arial" w:cs="David"/>
                <w:rtl/>
              </w:rPr>
              <w:t>–</w:t>
            </w:r>
            <w:r>
              <w:rPr>
                <w:rFonts w:ascii="Arial" w:hAnsi="Arial" w:cs="David" w:hint="cs"/>
                <w:rtl/>
              </w:rPr>
              <w:t xml:space="preserve"> לרבות, הרשעות קודמות, פסקי דין קודמים (</w:t>
            </w:r>
            <w:r w:rsidR="003A4549">
              <w:rPr>
                <w:rFonts w:ascii="Arial" w:hAnsi="Arial" w:cs="David" w:hint="cs"/>
                <w:rtl/>
              </w:rPr>
              <w:t>אם זו לא עבירה ראשונה).</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העברת מידע זה לפני הכרעת הדין- יכול להוביל לפסילת המשפט </w:t>
            </w:r>
          </w:p>
        </w:tc>
        <w:tc>
          <w:tcPr>
            <w:tcW w:w="3232" w:type="dxa"/>
          </w:tcPr>
          <w:p w:rsidR="00B856FD" w:rsidRDefault="00B856FD" w:rsidP="007942AD">
            <w:pPr>
              <w:spacing w:after="0" w:line="240" w:lineRule="auto"/>
              <w:jc w:val="center"/>
              <w:rPr>
                <w:rFonts w:ascii="Arial" w:hAnsi="Arial" w:cs="David"/>
                <w:rtl/>
              </w:rPr>
            </w:pPr>
            <w:r>
              <w:rPr>
                <w:rFonts w:ascii="Arial" w:hAnsi="Arial" w:cs="David" w:hint="cs"/>
                <w:rtl/>
              </w:rPr>
              <w:t xml:space="preserve">אם הייתה הרשעה - גזר דין: מביאים עדים, ראיות ומוצגים </w:t>
            </w:r>
            <w:r>
              <w:rPr>
                <w:rFonts w:ascii="Arial" w:hAnsi="Arial" w:cs="David"/>
                <w:rtl/>
              </w:rPr>
              <w:t>–</w:t>
            </w:r>
            <w:r>
              <w:rPr>
                <w:rFonts w:ascii="Arial" w:hAnsi="Arial" w:cs="David" w:hint="cs"/>
                <w:rtl/>
              </w:rPr>
              <w:t xml:space="preserve"> איזה עונש ראוי לתת. </w:t>
            </w:r>
          </w:p>
          <w:p w:rsidR="00B856FD" w:rsidRDefault="00B856FD"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עדויות אופי (יכולות להיות גם בכתב). </w:t>
            </w:r>
          </w:p>
          <w:p w:rsidR="00B856FD" w:rsidRDefault="00B856FD" w:rsidP="007942AD">
            <w:pPr>
              <w:spacing w:after="0" w:line="240" w:lineRule="auto"/>
              <w:jc w:val="center"/>
              <w:rPr>
                <w:rFonts w:ascii="Arial" w:hAnsi="Arial" w:cs="David"/>
                <w:rtl/>
              </w:rPr>
            </w:pPr>
          </w:p>
          <w:p w:rsidR="00B856FD" w:rsidRDefault="007F6E91" w:rsidP="007942AD">
            <w:pPr>
              <w:spacing w:after="0" w:line="240" w:lineRule="auto"/>
              <w:jc w:val="center"/>
              <w:rPr>
                <w:rFonts w:ascii="Arial" w:hAnsi="Arial" w:cs="David"/>
                <w:rtl/>
              </w:rPr>
            </w:pPr>
            <w:r>
              <w:rPr>
                <w:rFonts w:ascii="Arial" w:hAnsi="Arial" w:cs="David" w:hint="cs"/>
                <w:rtl/>
              </w:rPr>
              <w:t xml:space="preserve">מוצגים </w:t>
            </w:r>
            <w:r>
              <w:rPr>
                <w:rFonts w:ascii="Arial" w:hAnsi="Arial" w:cs="David"/>
                <w:rtl/>
              </w:rPr>
              <w:t>–</w:t>
            </w:r>
            <w:r>
              <w:rPr>
                <w:rFonts w:ascii="Arial" w:hAnsi="Arial" w:cs="David" w:hint="cs"/>
                <w:rtl/>
              </w:rPr>
              <w:t xml:space="preserve"> לרבות, הרשעות קודמות, פסקי דין קודמים (אם זו לא עבירה ראשונה).</w:t>
            </w:r>
          </w:p>
          <w:p w:rsidR="007F6E91" w:rsidRDefault="007F6E91" w:rsidP="007942AD">
            <w:pPr>
              <w:spacing w:after="0" w:line="240" w:lineRule="auto"/>
              <w:jc w:val="center"/>
              <w:rPr>
                <w:rFonts w:ascii="Arial" w:hAnsi="Arial" w:cs="David"/>
                <w:rtl/>
              </w:rPr>
            </w:pPr>
          </w:p>
          <w:p w:rsidR="00B856FD" w:rsidRDefault="00B856FD" w:rsidP="007942AD">
            <w:pPr>
              <w:spacing w:after="0" w:line="240" w:lineRule="auto"/>
              <w:jc w:val="center"/>
              <w:rPr>
                <w:rFonts w:ascii="Arial" w:hAnsi="Arial" w:cs="David"/>
                <w:rtl/>
              </w:rPr>
            </w:pPr>
            <w:r>
              <w:rPr>
                <w:rFonts w:ascii="Arial" w:hAnsi="Arial" w:cs="David" w:hint="cs"/>
                <w:rtl/>
              </w:rPr>
              <w:t xml:space="preserve">העברת מידע זה לפני הכרעת הדין- יכול להוביל לפסילת המשפט </w:t>
            </w:r>
          </w:p>
        </w:tc>
      </w:tr>
      <w:tr w:rsidR="00B856FD" w:rsidRPr="00DB152F" w:rsidTr="00DB0C7F">
        <w:tc>
          <w:tcPr>
            <w:tcW w:w="1530" w:type="dxa"/>
            <w:shd w:val="clear" w:color="auto" w:fill="D9D9D9"/>
          </w:tcPr>
          <w:p w:rsidR="00B856FD" w:rsidRDefault="00B856FD" w:rsidP="007942AD">
            <w:pPr>
              <w:spacing w:after="0" w:line="240" w:lineRule="auto"/>
              <w:jc w:val="center"/>
              <w:rPr>
                <w:rFonts w:ascii="Arial" w:hAnsi="Arial" w:cs="David"/>
                <w:b/>
                <w:bCs/>
                <w:rtl/>
              </w:rPr>
            </w:pPr>
            <w:r>
              <w:rPr>
                <w:rFonts w:ascii="Arial" w:hAnsi="Arial" w:cs="David" w:hint="cs"/>
                <w:b/>
                <w:bCs/>
                <w:rtl/>
              </w:rPr>
              <w:t xml:space="preserve">ערעור </w:t>
            </w:r>
          </w:p>
        </w:tc>
        <w:tc>
          <w:tcPr>
            <w:tcW w:w="3344" w:type="dxa"/>
          </w:tcPr>
          <w:p w:rsidR="00B856FD" w:rsidRDefault="00A43719" w:rsidP="007942AD">
            <w:pPr>
              <w:spacing w:after="0" w:line="240" w:lineRule="auto"/>
              <w:jc w:val="center"/>
              <w:rPr>
                <w:rFonts w:ascii="Arial" w:hAnsi="Arial" w:cs="David"/>
                <w:rtl/>
              </w:rPr>
            </w:pPr>
            <w:r>
              <w:rPr>
                <w:rFonts w:ascii="Arial" w:hAnsi="Arial" w:cs="David" w:hint="cs"/>
                <w:rtl/>
              </w:rPr>
              <w:t>מה</w:t>
            </w:r>
            <w:r w:rsidR="00B856FD">
              <w:rPr>
                <w:rFonts w:ascii="Arial" w:hAnsi="Arial" w:cs="David" w:hint="cs"/>
                <w:rtl/>
              </w:rPr>
              <w:t xml:space="preserve">שלום </w:t>
            </w:r>
            <w:r w:rsidR="00B856FD">
              <w:rPr>
                <w:rFonts w:ascii="Arial" w:hAnsi="Arial" w:cs="David"/>
                <w:rtl/>
              </w:rPr>
              <w:t>–</w:t>
            </w:r>
            <w:r w:rsidR="00B856FD">
              <w:rPr>
                <w:rFonts w:ascii="Arial" w:hAnsi="Arial" w:cs="David" w:hint="cs"/>
                <w:rtl/>
              </w:rPr>
              <w:t xml:space="preserve"> </w:t>
            </w:r>
            <w:r>
              <w:rPr>
                <w:rFonts w:ascii="Arial" w:hAnsi="Arial" w:cs="David" w:hint="cs"/>
                <w:rtl/>
              </w:rPr>
              <w:t>הולך ל</w:t>
            </w:r>
            <w:r w:rsidR="00B856FD">
              <w:rPr>
                <w:rFonts w:ascii="Arial" w:hAnsi="Arial" w:cs="David" w:hint="cs"/>
                <w:rtl/>
              </w:rPr>
              <w:t xml:space="preserve">מחוזי </w:t>
            </w:r>
          </w:p>
          <w:p w:rsidR="00B856FD" w:rsidRDefault="00A43719" w:rsidP="007942AD">
            <w:pPr>
              <w:spacing w:after="0" w:line="240" w:lineRule="auto"/>
              <w:jc w:val="center"/>
              <w:rPr>
                <w:rFonts w:ascii="Arial" w:hAnsi="Arial" w:cs="David"/>
                <w:rtl/>
              </w:rPr>
            </w:pPr>
            <w:r>
              <w:rPr>
                <w:rFonts w:ascii="Arial" w:hAnsi="Arial" w:cs="David" w:hint="cs"/>
                <w:rtl/>
              </w:rPr>
              <w:t>מה</w:t>
            </w:r>
            <w:r w:rsidR="00B856FD">
              <w:rPr>
                <w:rFonts w:ascii="Arial" w:hAnsi="Arial" w:cs="David" w:hint="cs"/>
                <w:rtl/>
              </w:rPr>
              <w:t xml:space="preserve">מחוזי </w:t>
            </w:r>
            <w:r w:rsidR="00B856FD">
              <w:rPr>
                <w:rFonts w:ascii="Arial" w:hAnsi="Arial" w:cs="David"/>
                <w:rtl/>
              </w:rPr>
              <w:t>–</w:t>
            </w:r>
            <w:r w:rsidR="00B856FD">
              <w:rPr>
                <w:rFonts w:ascii="Arial" w:hAnsi="Arial" w:cs="David" w:hint="cs"/>
                <w:rtl/>
              </w:rPr>
              <w:t xml:space="preserve"> </w:t>
            </w:r>
            <w:r>
              <w:rPr>
                <w:rFonts w:ascii="Arial" w:hAnsi="Arial" w:cs="David" w:hint="cs"/>
                <w:rtl/>
              </w:rPr>
              <w:t>הולך ל</w:t>
            </w:r>
            <w:r w:rsidR="00B856FD">
              <w:rPr>
                <w:rFonts w:ascii="Arial" w:hAnsi="Arial" w:cs="David" w:hint="cs"/>
                <w:rtl/>
              </w:rPr>
              <w:t xml:space="preserve">עליון </w:t>
            </w:r>
          </w:p>
        </w:tc>
        <w:tc>
          <w:tcPr>
            <w:tcW w:w="2604" w:type="dxa"/>
          </w:tcPr>
          <w:p w:rsidR="00610ADE" w:rsidRDefault="00610ADE" w:rsidP="00610ADE">
            <w:pPr>
              <w:spacing w:after="0" w:line="240" w:lineRule="auto"/>
              <w:jc w:val="center"/>
              <w:rPr>
                <w:rFonts w:ascii="Arial" w:hAnsi="Arial" w:cs="David"/>
                <w:rtl/>
              </w:rPr>
            </w:pPr>
            <w:r>
              <w:rPr>
                <w:rFonts w:ascii="Arial" w:hAnsi="Arial" w:cs="David" w:hint="cs"/>
                <w:rtl/>
              </w:rPr>
              <w:t xml:space="preserve">מהשלום </w:t>
            </w:r>
            <w:r>
              <w:rPr>
                <w:rFonts w:ascii="Arial" w:hAnsi="Arial" w:cs="David"/>
                <w:rtl/>
              </w:rPr>
              <w:t>–</w:t>
            </w:r>
            <w:r>
              <w:rPr>
                <w:rFonts w:ascii="Arial" w:hAnsi="Arial" w:cs="David" w:hint="cs"/>
                <w:rtl/>
              </w:rPr>
              <w:t xml:space="preserve"> הולך למחוזי </w:t>
            </w:r>
          </w:p>
          <w:p w:rsidR="00B856FD" w:rsidRDefault="00610ADE" w:rsidP="00610ADE">
            <w:pPr>
              <w:spacing w:after="0" w:line="240" w:lineRule="auto"/>
              <w:jc w:val="center"/>
              <w:rPr>
                <w:rFonts w:ascii="Arial" w:hAnsi="Arial" w:cs="David"/>
                <w:rtl/>
              </w:rPr>
            </w:pPr>
            <w:r>
              <w:rPr>
                <w:rFonts w:ascii="Arial" w:hAnsi="Arial" w:cs="David" w:hint="cs"/>
                <w:rtl/>
              </w:rPr>
              <w:t xml:space="preserve">מהמחוזי </w:t>
            </w:r>
            <w:r>
              <w:rPr>
                <w:rFonts w:ascii="Arial" w:hAnsi="Arial" w:cs="David"/>
                <w:rtl/>
              </w:rPr>
              <w:t>–</w:t>
            </w:r>
            <w:r>
              <w:rPr>
                <w:rFonts w:ascii="Arial" w:hAnsi="Arial" w:cs="David" w:hint="cs"/>
                <w:rtl/>
              </w:rPr>
              <w:t xml:space="preserve"> הולך לעליון</w:t>
            </w:r>
          </w:p>
        </w:tc>
        <w:tc>
          <w:tcPr>
            <w:tcW w:w="3232" w:type="dxa"/>
          </w:tcPr>
          <w:p w:rsidR="00B856FD" w:rsidRDefault="00B856FD" w:rsidP="00610ADE">
            <w:pPr>
              <w:spacing w:after="0" w:line="240" w:lineRule="auto"/>
              <w:jc w:val="center"/>
              <w:rPr>
                <w:rFonts w:ascii="Arial" w:hAnsi="Arial" w:cs="David"/>
                <w:rtl/>
              </w:rPr>
            </w:pPr>
            <w:r>
              <w:rPr>
                <w:rFonts w:ascii="Arial" w:hAnsi="Arial" w:cs="David" w:hint="cs"/>
                <w:rtl/>
              </w:rPr>
              <w:t xml:space="preserve">תלוי בערכאה </w:t>
            </w:r>
            <w:r w:rsidR="00610ADE">
              <w:rPr>
                <w:rFonts w:ascii="Arial" w:hAnsi="Arial" w:cs="David" w:hint="cs"/>
                <w:rtl/>
              </w:rPr>
              <w:t>(לפי המקצוע).</w:t>
            </w:r>
          </w:p>
        </w:tc>
      </w:tr>
      <w:tr w:rsidR="00B856FD" w:rsidRPr="00DB152F" w:rsidTr="00DB0C7F">
        <w:tc>
          <w:tcPr>
            <w:tcW w:w="1530" w:type="dxa"/>
            <w:shd w:val="clear" w:color="auto" w:fill="D9D9D9"/>
          </w:tcPr>
          <w:p w:rsidR="00B856FD" w:rsidRDefault="00003ED7" w:rsidP="007942AD">
            <w:pPr>
              <w:spacing w:after="0" w:line="240" w:lineRule="auto"/>
              <w:jc w:val="center"/>
              <w:rPr>
                <w:rFonts w:ascii="Arial" w:hAnsi="Arial" w:cs="David"/>
                <w:b/>
                <w:bCs/>
                <w:rtl/>
              </w:rPr>
            </w:pPr>
            <w:r>
              <w:rPr>
                <w:rFonts w:ascii="Arial" w:hAnsi="Arial" w:cs="David" w:hint="cs"/>
                <w:b/>
                <w:bCs/>
                <w:rtl/>
              </w:rPr>
              <w:t xml:space="preserve">הערכאה האחראית על </w:t>
            </w:r>
            <w:r w:rsidR="00B856FD">
              <w:rPr>
                <w:rFonts w:ascii="Arial" w:hAnsi="Arial" w:cs="David" w:hint="cs"/>
                <w:b/>
                <w:bCs/>
                <w:rtl/>
              </w:rPr>
              <w:t xml:space="preserve">משפט חוזר </w:t>
            </w:r>
          </w:p>
        </w:tc>
        <w:tc>
          <w:tcPr>
            <w:tcW w:w="3344" w:type="dxa"/>
          </w:tcPr>
          <w:p w:rsidR="00B856FD" w:rsidRDefault="00B856FD" w:rsidP="007942AD">
            <w:pPr>
              <w:spacing w:after="0" w:line="240" w:lineRule="auto"/>
              <w:jc w:val="center"/>
              <w:rPr>
                <w:rFonts w:ascii="Arial" w:hAnsi="Arial" w:cs="David"/>
                <w:rtl/>
              </w:rPr>
            </w:pPr>
            <w:r>
              <w:rPr>
                <w:rFonts w:ascii="Arial" w:hAnsi="Arial" w:cs="David" w:hint="cs"/>
                <w:rtl/>
              </w:rPr>
              <w:t xml:space="preserve">אין. פסק דין חלוט. </w:t>
            </w:r>
          </w:p>
          <w:p w:rsidR="00B856FD" w:rsidRDefault="00B856FD" w:rsidP="007942AD">
            <w:pPr>
              <w:spacing w:after="0" w:line="240" w:lineRule="auto"/>
              <w:jc w:val="center"/>
              <w:rPr>
                <w:rFonts w:ascii="Arial" w:hAnsi="Arial" w:cs="David"/>
                <w:rtl/>
              </w:rPr>
            </w:pPr>
            <w:r>
              <w:rPr>
                <w:rFonts w:ascii="Arial" w:hAnsi="Arial" w:cs="David" w:hint="cs"/>
                <w:rtl/>
              </w:rPr>
              <w:t xml:space="preserve">יש עילות של תרמית יוצאות דופן ונדירות. </w:t>
            </w:r>
          </w:p>
        </w:tc>
        <w:tc>
          <w:tcPr>
            <w:tcW w:w="2604" w:type="dxa"/>
          </w:tcPr>
          <w:p w:rsidR="00B856FD" w:rsidRDefault="00B856FD" w:rsidP="007942AD">
            <w:pPr>
              <w:spacing w:after="0" w:line="240" w:lineRule="auto"/>
              <w:jc w:val="center"/>
              <w:rPr>
                <w:rFonts w:ascii="Arial" w:hAnsi="Arial" w:cs="David"/>
                <w:rtl/>
              </w:rPr>
            </w:pPr>
            <w:r>
              <w:rPr>
                <w:rFonts w:ascii="Arial" w:hAnsi="Arial" w:cs="David" w:hint="cs"/>
                <w:rtl/>
              </w:rPr>
              <w:t xml:space="preserve">סעיף 31 </w:t>
            </w:r>
            <w:r>
              <w:rPr>
                <w:rFonts w:ascii="Arial" w:hAnsi="Arial" w:cs="David"/>
                <w:rtl/>
              </w:rPr>
              <w:t>–</w:t>
            </w:r>
            <w:r>
              <w:rPr>
                <w:rFonts w:ascii="Arial" w:hAnsi="Arial" w:cs="David" w:hint="cs"/>
                <w:rtl/>
              </w:rPr>
              <w:t xml:space="preserve"> מקרה ברנס לדוגמא. </w:t>
            </w:r>
          </w:p>
        </w:tc>
        <w:tc>
          <w:tcPr>
            <w:tcW w:w="3232" w:type="dxa"/>
          </w:tcPr>
          <w:p w:rsidR="00B856FD" w:rsidRDefault="00003ED7" w:rsidP="007942AD">
            <w:pPr>
              <w:spacing w:after="0" w:line="240" w:lineRule="auto"/>
              <w:jc w:val="center"/>
              <w:rPr>
                <w:rFonts w:ascii="Arial" w:hAnsi="Arial" w:cs="David"/>
                <w:rtl/>
              </w:rPr>
            </w:pPr>
            <w:r>
              <w:rPr>
                <w:rFonts w:ascii="Arial" w:hAnsi="Arial" w:cs="David" w:hint="cs"/>
                <w:rtl/>
              </w:rPr>
              <w:t xml:space="preserve">לפי </w:t>
            </w:r>
            <w:r w:rsidR="00B856FD">
              <w:rPr>
                <w:rFonts w:ascii="Arial" w:hAnsi="Arial" w:cs="David" w:hint="cs"/>
                <w:rtl/>
              </w:rPr>
              <w:t xml:space="preserve">חוק שיפוט המשמעת (משפט חוזר). </w:t>
            </w:r>
          </w:p>
        </w:tc>
      </w:tr>
    </w:tbl>
    <w:p w:rsidR="00B856FD" w:rsidRDefault="00B856FD" w:rsidP="00B856FD">
      <w:pPr>
        <w:pStyle w:val="1"/>
        <w:jc w:val="center"/>
        <w:rPr>
          <w:rFonts w:ascii="Garamond" w:hAnsi="Garamond" w:cs="David"/>
          <w:b/>
          <w:bCs/>
          <w:sz w:val="28"/>
          <w:szCs w:val="28"/>
          <w:highlight w:val="green"/>
          <w:u w:val="single"/>
          <w:rtl/>
        </w:rPr>
      </w:pPr>
    </w:p>
    <w:p w:rsidR="00B856FD" w:rsidRPr="00B856FD" w:rsidRDefault="00B856FD" w:rsidP="00B856FD">
      <w:pPr>
        <w:spacing w:after="0" w:line="240" w:lineRule="auto"/>
        <w:rPr>
          <w:rFonts w:ascii="Times New Roman" w:hAnsi="Times New Roman" w:cs="David"/>
        </w:rPr>
      </w:pPr>
    </w:p>
    <w:p w:rsidR="00D5171F" w:rsidRDefault="00D5171F" w:rsidP="00D5171F">
      <w:pPr>
        <w:pStyle w:val="NoSpacing"/>
        <w:bidi/>
        <w:ind w:right="-720"/>
        <w:rPr>
          <w:rFonts w:ascii="Arial" w:eastAsia="Calibri" w:hAnsi="Arial" w:cs="David"/>
          <w:rtl/>
        </w:rPr>
      </w:pPr>
    </w:p>
    <w:p w:rsidR="005F3E24" w:rsidRPr="00C66EB4" w:rsidRDefault="005F3E24" w:rsidP="005F3E24">
      <w:pPr>
        <w:pStyle w:val="NoSpacing"/>
        <w:bidi/>
        <w:ind w:left="-720" w:right="-720"/>
        <w:rPr>
          <w:rFonts w:ascii="Arial" w:hAnsi="Arial" w:cs="David"/>
          <w:b/>
          <w:bCs/>
          <w:u w:val="single"/>
          <w:rtl/>
        </w:rPr>
      </w:pPr>
      <w:r w:rsidRPr="00C66EB4">
        <w:rPr>
          <w:rFonts w:cs="David" w:hint="cs"/>
          <w:b/>
          <w:bCs/>
          <w:sz w:val="24"/>
          <w:szCs w:val="24"/>
          <w:u w:val="single"/>
          <w:rtl/>
        </w:rPr>
        <w:t xml:space="preserve">טבלת </w:t>
      </w:r>
      <w:r w:rsidR="004B3E16" w:rsidRPr="00C66EB4">
        <w:rPr>
          <w:rFonts w:cs="David" w:hint="cs"/>
          <w:b/>
          <w:bCs/>
          <w:sz w:val="24"/>
          <w:szCs w:val="24"/>
          <w:u w:val="single"/>
          <w:rtl/>
        </w:rPr>
        <w:t>ההשוואה בין ערכאות המשמעת</w:t>
      </w:r>
    </w:p>
    <w:p w:rsidR="005F3E24" w:rsidRPr="00C66EB4" w:rsidRDefault="005F3E24" w:rsidP="005F3E24">
      <w:pPr>
        <w:numPr>
          <w:ilvl w:val="0"/>
          <w:numId w:val="13"/>
        </w:numPr>
        <w:spacing w:after="0" w:line="240" w:lineRule="auto"/>
        <w:ind w:left="-360"/>
        <w:rPr>
          <w:rFonts w:ascii="Arial" w:hAnsi="Arial" w:cs="David"/>
          <w:rtl/>
        </w:rPr>
      </w:pPr>
      <w:r w:rsidRPr="00C66EB4">
        <w:rPr>
          <w:rFonts w:ascii="Arial" w:hAnsi="Arial" w:cs="David" w:hint="cs"/>
          <w:b/>
          <w:bCs/>
          <w:rtl/>
        </w:rPr>
        <w:t>פומביות המשפט</w:t>
      </w:r>
      <w:r w:rsidRPr="00C66EB4">
        <w:rPr>
          <w:rFonts w:ascii="Arial" w:hAnsi="Arial" w:cs="David" w:hint="cs"/>
          <w:rtl/>
        </w:rPr>
        <w:t xml:space="preserve"> </w:t>
      </w:r>
      <w:r w:rsidRPr="00C66EB4">
        <w:rPr>
          <w:rFonts w:ascii="Arial" w:hAnsi="Arial" w:cs="David"/>
          <w:rtl/>
        </w:rPr>
        <w:t>–</w:t>
      </w:r>
      <w:r w:rsidRPr="00C66EB4">
        <w:rPr>
          <w:rFonts w:ascii="Arial" w:hAnsi="Arial" w:cs="David" w:hint="cs"/>
          <w:rtl/>
        </w:rPr>
        <w:t xml:space="preserve"> בחלק מערכאות המשמעת הדיונים מתקיימים בדלתיים סגורות בעוד באחרים הדיונים מתקיימים בדלתיים פתוחות ולמעשה אין אחידות. </w:t>
      </w:r>
      <w:r w:rsidRPr="00C66EB4">
        <w:rPr>
          <w:rFonts w:ascii="Arial" w:hAnsi="Arial" w:cs="David" w:hint="cs"/>
          <w:u w:val="single"/>
          <w:rtl/>
        </w:rPr>
        <w:t>להלן מספר רציונלים שמכווינים בהכרעה בנושא</w:t>
      </w:r>
      <w:r w:rsidRPr="00C66EB4">
        <w:rPr>
          <w:rFonts w:ascii="Arial" w:hAnsi="Arial" w:cs="David" w:hint="cs"/>
          <w:rtl/>
        </w:rPr>
        <w:t xml:space="preserve">:   </w:t>
      </w:r>
    </w:p>
    <w:p w:rsidR="005F3E24" w:rsidRPr="00C66EB4" w:rsidRDefault="005F3E24" w:rsidP="005F3E24">
      <w:pPr>
        <w:numPr>
          <w:ilvl w:val="0"/>
          <w:numId w:val="14"/>
        </w:numPr>
        <w:spacing w:after="0" w:line="240" w:lineRule="auto"/>
        <w:ind w:left="-360"/>
        <w:rPr>
          <w:rFonts w:ascii="Arial" w:hAnsi="Arial" w:cs="David"/>
        </w:rPr>
      </w:pPr>
      <w:r w:rsidRPr="00C66EB4">
        <w:rPr>
          <w:rFonts w:ascii="Arial" w:hAnsi="Arial" w:cs="David" w:hint="cs"/>
          <w:rtl/>
        </w:rPr>
        <w:t xml:space="preserve">הרציונל לדלתיים פתוחות הוא </w:t>
      </w:r>
      <w:r w:rsidRPr="00C66EB4">
        <w:rPr>
          <w:rFonts w:ascii="Arial" w:hAnsi="Arial" w:cs="David" w:hint="cs"/>
          <w:b/>
          <w:bCs/>
          <w:rtl/>
        </w:rPr>
        <w:t>שקיפות</w:t>
      </w:r>
      <w:r w:rsidRPr="00C66EB4">
        <w:rPr>
          <w:rFonts w:ascii="Arial" w:hAnsi="Arial" w:cs="David" w:hint="cs"/>
          <w:rtl/>
        </w:rPr>
        <w:t xml:space="preserve">. </w:t>
      </w:r>
    </w:p>
    <w:p w:rsidR="005F3E24" w:rsidRPr="00C66EB4" w:rsidRDefault="005F3E24" w:rsidP="005F3E24">
      <w:pPr>
        <w:numPr>
          <w:ilvl w:val="0"/>
          <w:numId w:val="14"/>
        </w:numPr>
        <w:spacing w:after="0" w:line="240" w:lineRule="auto"/>
        <w:ind w:left="-360"/>
        <w:rPr>
          <w:rFonts w:ascii="Arial" w:hAnsi="Arial" w:cs="David"/>
        </w:rPr>
      </w:pPr>
      <w:r w:rsidRPr="00C66EB4">
        <w:rPr>
          <w:rFonts w:ascii="Arial" w:hAnsi="Arial" w:cs="David" w:hint="cs"/>
          <w:rtl/>
        </w:rPr>
        <w:t xml:space="preserve">הרוב המוחלט של התיקים הפליליים מתברר בדלתיים פתוחות (למעט חריגים). אז למה בדין משמעתי יש הרבה תיקים שמתנהלים בדלתיים סגורות? הסיבה לכך היא שבבית דין משמעתי מקבלים </w:t>
      </w:r>
      <w:r w:rsidRPr="00C66EB4">
        <w:rPr>
          <w:rFonts w:ascii="Arial" w:hAnsi="Arial" w:cs="David" w:hint="cs"/>
          <w:b/>
          <w:bCs/>
          <w:rtl/>
        </w:rPr>
        <w:t>ראיות שלא קבילות במשפט הפלילי</w:t>
      </w:r>
      <w:r w:rsidRPr="00C66EB4">
        <w:rPr>
          <w:rFonts w:ascii="Arial" w:hAnsi="Arial" w:cs="David" w:hint="cs"/>
          <w:rtl/>
        </w:rPr>
        <w:t xml:space="preserve"> (כמו שמועות) ואנו לא רוצים שכל הציבור ייחשף לראיות אלו שאין להן ביסוס איתן. יש פה איזון בין האפשרות להביא ראיות פסולות לדין משמעתי לבין הקזת דמו שמו של נאשם עד להרשעתו. </w:t>
      </w:r>
    </w:p>
    <w:p w:rsidR="005F3E24" w:rsidRPr="00C66EB4" w:rsidRDefault="005F3E24" w:rsidP="005F3E24">
      <w:pPr>
        <w:numPr>
          <w:ilvl w:val="0"/>
          <w:numId w:val="14"/>
        </w:numPr>
        <w:spacing w:after="0" w:line="240" w:lineRule="auto"/>
        <w:ind w:left="-360"/>
        <w:rPr>
          <w:rFonts w:ascii="Arial" w:hAnsi="Arial" w:cs="David"/>
        </w:rPr>
      </w:pPr>
      <w:r w:rsidRPr="00C66EB4">
        <w:rPr>
          <w:rFonts w:ascii="Arial" w:hAnsi="Arial" w:cs="David" w:hint="cs"/>
          <w:rtl/>
        </w:rPr>
        <w:t xml:space="preserve">ברוב וועדות המשמעת ובתי הדין המשמעתיים ישנם </w:t>
      </w:r>
      <w:r w:rsidRPr="00C66EB4">
        <w:rPr>
          <w:rFonts w:ascii="Arial" w:hAnsi="Arial" w:cs="David" w:hint="cs"/>
          <w:b/>
          <w:bCs/>
          <w:rtl/>
        </w:rPr>
        <w:t>נציגי ציבור</w:t>
      </w:r>
      <w:r w:rsidRPr="00C66EB4">
        <w:rPr>
          <w:rFonts w:ascii="Arial" w:hAnsi="Arial" w:cs="David" w:hint="cs"/>
          <w:rtl/>
        </w:rPr>
        <w:t xml:space="preserve"> שאינם חלק מן המוסדות המשמעתיים. לדוגמא: בבית דין משמעתי של שוטרים יש חבר שאינו שוטר, והדבר מהווה מעין "פתיחת דלתות" לציבור המאפשרת שהדיון יתנהל בדלתיים סגורות. </w:t>
      </w:r>
    </w:p>
    <w:p w:rsidR="005F3E24" w:rsidRPr="00C66EB4" w:rsidRDefault="0039609B" w:rsidP="005F3E24">
      <w:pPr>
        <w:numPr>
          <w:ilvl w:val="0"/>
          <w:numId w:val="13"/>
        </w:numPr>
        <w:spacing w:after="0" w:line="240" w:lineRule="auto"/>
        <w:ind w:left="-360"/>
        <w:rPr>
          <w:rFonts w:ascii="Arial" w:hAnsi="Arial" w:cs="David"/>
        </w:rPr>
      </w:pPr>
      <w:r w:rsidRPr="00C66EB4">
        <w:rPr>
          <w:rFonts w:ascii="Arial" w:hAnsi="Arial" w:cs="David" w:hint="cs"/>
          <w:b/>
          <w:bCs/>
          <w:rtl/>
        </w:rPr>
        <w:t>ענישה משמע</w:t>
      </w:r>
      <w:r w:rsidR="005F3E24" w:rsidRPr="00C66EB4">
        <w:rPr>
          <w:rFonts w:ascii="Arial" w:hAnsi="Arial" w:cs="David" w:hint="cs"/>
          <w:b/>
          <w:bCs/>
          <w:rtl/>
        </w:rPr>
        <w:t>תית הינה בעלת גוון ממוני</w:t>
      </w:r>
      <w:r w:rsidR="005F3E24" w:rsidRPr="00C66EB4">
        <w:rPr>
          <w:rFonts w:ascii="Arial" w:hAnsi="Arial" w:cs="David" w:hint="cs"/>
          <w:rtl/>
        </w:rPr>
        <w:t xml:space="preserve"> </w:t>
      </w:r>
      <w:r w:rsidR="005F3E24" w:rsidRPr="00C66EB4">
        <w:rPr>
          <w:rFonts w:ascii="Arial" w:hAnsi="Arial" w:cs="David"/>
          <w:rtl/>
        </w:rPr>
        <w:t>–</w:t>
      </w:r>
      <w:r w:rsidR="005F3E24" w:rsidRPr="00C66EB4">
        <w:rPr>
          <w:rFonts w:ascii="Arial" w:hAnsi="Arial" w:cs="David" w:hint="cs"/>
          <w:rtl/>
        </w:rPr>
        <w:t xml:space="preserve"> מלבד ערכאות משמעת של כוחות הביטחון, רוב הענישה המשמעתית היא בעלת גוון ממוני. אומנם יש "כתם" למי שמורשע בהליך משמעתי, אבל העונשים העיקריים הם קנסות, ביטול רישיון לעיסוק במקצוע, הרחקה לתקופה מן המקצוע, קיצוץ בפנסיה וגזרות כספיות שונות. ערכאת המשמעת ברובה איננה עוסקת בשלילת חירות. </w:t>
      </w:r>
    </w:p>
    <w:p w:rsidR="005F3E24" w:rsidRPr="00C66EB4" w:rsidRDefault="005F3E24" w:rsidP="005F3E24">
      <w:pPr>
        <w:numPr>
          <w:ilvl w:val="0"/>
          <w:numId w:val="13"/>
        </w:numPr>
        <w:spacing w:after="0" w:line="240" w:lineRule="auto"/>
        <w:ind w:left="-360"/>
        <w:rPr>
          <w:rFonts w:ascii="Arial" w:hAnsi="Arial" w:cs="David"/>
        </w:rPr>
      </w:pPr>
      <w:r w:rsidRPr="00C66EB4">
        <w:rPr>
          <w:rFonts w:ascii="Arial" w:hAnsi="Arial" w:cs="David" w:hint="cs"/>
          <w:b/>
          <w:bCs/>
          <w:rtl/>
        </w:rPr>
        <w:t>היעדר הסדרים להזמנת עדים ותשלום הוצאותיהם</w:t>
      </w:r>
      <w:r w:rsidRPr="00C66EB4">
        <w:rPr>
          <w:rFonts w:ascii="Arial" w:hAnsi="Arial" w:cs="David" w:hint="cs"/>
          <w:rtl/>
        </w:rPr>
        <w:t xml:space="preserve"> </w:t>
      </w:r>
      <w:r w:rsidRPr="00C66EB4">
        <w:rPr>
          <w:rFonts w:ascii="Arial" w:hAnsi="Arial" w:cs="David"/>
          <w:rtl/>
        </w:rPr>
        <w:t>–</w:t>
      </w:r>
      <w:r w:rsidRPr="00C66EB4">
        <w:rPr>
          <w:rFonts w:ascii="Arial" w:hAnsi="Arial" w:cs="David" w:hint="cs"/>
          <w:rtl/>
        </w:rPr>
        <w:t xml:space="preserve"> ברוב ערכאות המשמעת אין הליכים ברורים להזמנת עדים ולתשלום עבור ההוצאות שלהם. זה בוודאי מכביד על הקובל ועל וועדת המשמעת להגיע לחקר האמת ולעמוד על הדרישות להליך הוגן. </w:t>
      </w:r>
    </w:p>
    <w:p w:rsidR="005F3E24" w:rsidRPr="00C66EB4" w:rsidRDefault="005F3E24" w:rsidP="005F3E24">
      <w:pPr>
        <w:numPr>
          <w:ilvl w:val="0"/>
          <w:numId w:val="13"/>
        </w:numPr>
        <w:spacing w:after="0" w:line="240" w:lineRule="auto"/>
        <w:ind w:left="-360"/>
        <w:rPr>
          <w:rFonts w:ascii="Arial" w:hAnsi="Arial" w:cs="David"/>
        </w:rPr>
      </w:pPr>
      <w:r w:rsidRPr="00C66EB4">
        <w:rPr>
          <w:rFonts w:ascii="Arial" w:hAnsi="Arial" w:cs="David" w:hint="cs"/>
          <w:b/>
          <w:bCs/>
          <w:rtl/>
        </w:rPr>
        <w:t>שוני בין זהות הקובל לגורם המאשר משפט חוזר</w:t>
      </w:r>
      <w:r w:rsidRPr="00C66EB4">
        <w:rPr>
          <w:rFonts w:ascii="Arial" w:hAnsi="Arial" w:cs="David" w:hint="cs"/>
          <w:rtl/>
        </w:rPr>
        <w:t xml:space="preserve"> </w:t>
      </w:r>
      <w:r w:rsidRPr="00C66EB4">
        <w:rPr>
          <w:rFonts w:ascii="Arial" w:hAnsi="Arial" w:cs="David"/>
          <w:rtl/>
        </w:rPr>
        <w:t>–</w:t>
      </w:r>
      <w:r w:rsidRPr="00C66EB4">
        <w:rPr>
          <w:rFonts w:ascii="Arial" w:hAnsi="Arial" w:cs="David" w:hint="cs"/>
          <w:rtl/>
        </w:rPr>
        <w:t xml:space="preserve"> כמעט בכל ערכאות המשמעת קיים שוני מהותי בין זהות הקובל לבין זהות הגורם שאחראי לאשר קיום משפט חוזר. לדוגמא: הקובל נ' שופטים הוא שר המשפטים, ומי שיש לו סמכות לאשר משפט חוזר הוא נשיא בית המשפט העליון. אולם, אצל רואי חשבון או שופטים צבאיים, אותו גורם שמשמש כקובל משמש גם כרשות מוסמכת לאשר קיום משפט חוזר ובכך יש בעייתיות. </w:t>
      </w:r>
    </w:p>
    <w:p w:rsidR="005F3E24" w:rsidRPr="00C66EB4" w:rsidRDefault="005F3E24" w:rsidP="005F3E24">
      <w:pPr>
        <w:numPr>
          <w:ilvl w:val="0"/>
          <w:numId w:val="13"/>
        </w:numPr>
        <w:spacing w:after="0" w:line="240" w:lineRule="auto"/>
        <w:ind w:left="-360"/>
        <w:rPr>
          <w:rFonts w:ascii="Arial" w:hAnsi="Arial" w:cs="David"/>
        </w:rPr>
      </w:pPr>
      <w:r w:rsidRPr="00C66EB4">
        <w:rPr>
          <w:rFonts w:ascii="Arial" w:hAnsi="Arial" w:cs="David" w:hint="cs"/>
          <w:b/>
          <w:bCs/>
          <w:rtl/>
        </w:rPr>
        <w:t>הפרדה בין ההליך המשמעתי להליך הפלילי המקביל</w:t>
      </w:r>
      <w:r w:rsidRPr="00C66EB4">
        <w:rPr>
          <w:rFonts w:ascii="Arial" w:hAnsi="Arial" w:cs="David" w:hint="cs"/>
          <w:rtl/>
        </w:rPr>
        <w:t xml:space="preserve"> </w:t>
      </w:r>
      <w:r w:rsidRPr="00C66EB4">
        <w:rPr>
          <w:rFonts w:ascii="Arial" w:hAnsi="Arial" w:cs="David"/>
          <w:rtl/>
        </w:rPr>
        <w:t>–</w:t>
      </w:r>
      <w:r w:rsidRPr="00C66EB4">
        <w:rPr>
          <w:rFonts w:ascii="Arial" w:hAnsi="Arial" w:cs="David" w:hint="cs"/>
          <w:rtl/>
        </w:rPr>
        <w:t xml:space="preserve"> ברוב רובן של ערכאות המשמעת יש הפרדה מוחלטת בין ההליך המשמעתי לבין ההליך הפלילי המקביל, אם מדובר בעבירת משמעת שהיא גם עבירה פלילית. לעומת זאת, אצל </w:t>
      </w:r>
      <w:r w:rsidRPr="00DC41D2">
        <w:rPr>
          <w:rFonts w:ascii="Arial" w:hAnsi="Arial" w:cs="David" w:hint="cs"/>
          <w:b/>
          <w:bCs/>
          <w:rtl/>
        </w:rPr>
        <w:t>מיילדות,</w:t>
      </w:r>
      <w:r w:rsidRPr="00C66EB4">
        <w:rPr>
          <w:rFonts w:ascii="Arial" w:hAnsi="Arial" w:cs="David" w:hint="cs"/>
          <w:rtl/>
        </w:rPr>
        <w:t xml:space="preserve"> אם בית המשפט דן מיילדת שעברה עברה פלילית, הוא יכול להציע לשר הבריאות לבטל את רישיונה לעסוק במקצוע. כמו כן, אם כתב אישום הוגש נגש</w:t>
      </w:r>
      <w:r w:rsidRPr="00DC41D2">
        <w:rPr>
          <w:rFonts w:ascii="Arial" w:hAnsi="Arial" w:cs="David" w:hint="cs"/>
          <w:b/>
          <w:bCs/>
          <w:rtl/>
        </w:rPr>
        <w:t xml:space="preserve"> מתווכים, וטרינרים או רוקחים</w:t>
      </w:r>
      <w:r w:rsidRPr="00C66EB4">
        <w:rPr>
          <w:rFonts w:ascii="Arial" w:hAnsi="Arial" w:cs="David" w:hint="cs"/>
          <w:rtl/>
        </w:rPr>
        <w:t xml:space="preserve">, לבית המשפט יש סמכות לשלול או להתלות רישיון במקרה של ביצוע עבירה פלילית. </w:t>
      </w:r>
    </w:p>
    <w:p w:rsidR="005F3E24" w:rsidRDefault="005F3E24" w:rsidP="005F3E24">
      <w:pPr>
        <w:numPr>
          <w:ilvl w:val="0"/>
          <w:numId w:val="13"/>
        </w:numPr>
        <w:spacing w:after="0" w:line="240" w:lineRule="auto"/>
        <w:ind w:left="-360"/>
        <w:rPr>
          <w:rFonts w:ascii="Arial" w:hAnsi="Arial" w:cs="David"/>
        </w:rPr>
      </w:pPr>
      <w:r w:rsidRPr="00C66EB4">
        <w:rPr>
          <w:rFonts w:ascii="Arial" w:hAnsi="Arial" w:cs="David" w:hint="cs"/>
          <w:b/>
          <w:bCs/>
          <w:rtl/>
        </w:rPr>
        <w:t>פניה בערעור מחוץ למסגרת ההליך המשמעתי</w:t>
      </w:r>
      <w:r w:rsidRPr="00C66EB4">
        <w:rPr>
          <w:rFonts w:ascii="Arial" w:hAnsi="Arial" w:cs="David" w:hint="cs"/>
          <w:rtl/>
        </w:rPr>
        <w:t xml:space="preserve"> </w:t>
      </w:r>
      <w:r w:rsidRPr="00C66EB4">
        <w:rPr>
          <w:rFonts w:ascii="Arial" w:hAnsi="Arial" w:cs="David"/>
          <w:rtl/>
        </w:rPr>
        <w:t>–</w:t>
      </w:r>
      <w:r w:rsidRPr="00C66EB4">
        <w:rPr>
          <w:rFonts w:ascii="Arial" w:hAnsi="Arial" w:cs="David" w:hint="cs"/>
          <w:rtl/>
        </w:rPr>
        <w:t xml:space="preserve"> ברוב ערכאות המשמעת הוסדרה זכות לפניה בערעור מחוץ למסגרת של ההליך המשמעתי. בדרך כלל, הזכות הזו הוקנתה </w:t>
      </w:r>
      <w:r w:rsidRPr="004B2DBB">
        <w:rPr>
          <w:rFonts w:ascii="Arial" w:hAnsi="Arial" w:cs="David" w:hint="cs"/>
          <w:u w:val="single"/>
          <w:rtl/>
        </w:rPr>
        <w:t>לבית המשפט לעניינים מנהליים</w:t>
      </w:r>
      <w:r w:rsidRPr="00C66EB4">
        <w:rPr>
          <w:rFonts w:ascii="Arial" w:hAnsi="Arial" w:cs="David" w:hint="cs"/>
          <w:rtl/>
        </w:rPr>
        <w:t xml:space="preserve"> שליד בית המשפט המחוזי, אולם גם לפעמים לבית משפט מחוזי. אם יועץ מס מועמד לדין משמעתי וועדת המשמעת שוללת לו את הרישיון, הוא יכול להגיש ערעור לבית המשפט המחוזי. אם רופא מבקש לערער על החלטת בית הדין המשמעתי, הוא יגיש ערעור לבית המשפט לעניינים מנהליים.   </w:t>
      </w:r>
    </w:p>
    <w:p w:rsidR="00407212" w:rsidRDefault="00407212" w:rsidP="00407212">
      <w:pPr>
        <w:spacing w:after="0" w:line="240" w:lineRule="auto"/>
        <w:ind w:left="-360"/>
        <w:rPr>
          <w:rFonts w:ascii="Arial" w:hAnsi="Arial" w:cs="David"/>
        </w:rPr>
      </w:pPr>
    </w:p>
    <w:p w:rsidR="00407212" w:rsidRPr="001B633A" w:rsidRDefault="00407212" w:rsidP="00407212">
      <w:pPr>
        <w:spacing w:after="0"/>
        <w:ind w:left="-630"/>
        <w:jc w:val="both"/>
        <w:rPr>
          <w:rFonts w:ascii="Arial" w:hAnsi="Arial"/>
          <w:b/>
          <w:bCs/>
          <w:u w:val="single"/>
        </w:rPr>
      </w:pPr>
      <w:r w:rsidRPr="001B633A">
        <w:rPr>
          <w:rFonts w:ascii="Arial" w:hAnsi="Arial" w:hint="cs"/>
          <w:b/>
          <w:bCs/>
          <w:u w:val="single"/>
          <w:rtl/>
        </w:rPr>
        <w:t>חלוקת ערכאות משמעת לתתי קבוצות</w:t>
      </w:r>
      <w:r w:rsidRPr="001B633A">
        <w:rPr>
          <w:rFonts w:ascii="Arial" w:hAnsi="Arial" w:hint="cs"/>
          <w:u w:val="single"/>
          <w:rtl/>
        </w:rPr>
        <w:t xml:space="preserve"> </w:t>
      </w:r>
    </w:p>
    <w:p w:rsidR="00407212" w:rsidRPr="00407212" w:rsidRDefault="00407212" w:rsidP="00EB5710">
      <w:pPr>
        <w:numPr>
          <w:ilvl w:val="4"/>
          <w:numId w:val="15"/>
        </w:numPr>
        <w:spacing w:after="0" w:line="240" w:lineRule="auto"/>
        <w:ind w:left="-360" w:hanging="283"/>
        <w:rPr>
          <w:rFonts w:ascii="Arial" w:hAnsi="Arial" w:cs="David"/>
          <w:b/>
          <w:bCs/>
        </w:rPr>
      </w:pPr>
      <w:r w:rsidRPr="00407212">
        <w:rPr>
          <w:rFonts w:ascii="Arial" w:hAnsi="Arial" w:cs="David" w:hint="cs"/>
          <w:u w:val="single"/>
          <w:rtl/>
        </w:rPr>
        <w:t>בעלי תפקידים שיפוטיים</w:t>
      </w:r>
      <w:r w:rsidRPr="00407212">
        <w:rPr>
          <w:rFonts w:ascii="Arial" w:hAnsi="Arial" w:cs="David" w:hint="cs"/>
          <w:rtl/>
        </w:rPr>
        <w:t xml:space="preserve"> </w:t>
      </w:r>
      <w:r w:rsidRPr="00407212">
        <w:rPr>
          <w:rFonts w:ascii="Arial" w:hAnsi="Arial" w:cs="David"/>
          <w:rtl/>
        </w:rPr>
        <w:t>–</w:t>
      </w:r>
      <w:r w:rsidRPr="00407212">
        <w:rPr>
          <w:rFonts w:ascii="Arial" w:hAnsi="Arial" w:cs="David" w:hint="cs"/>
          <w:rtl/>
        </w:rPr>
        <w:t xml:space="preserve"> שופטים, דיינים, קאד</w:t>
      </w:r>
      <w:r w:rsidR="00EB5710">
        <w:rPr>
          <w:rFonts w:ascii="Arial" w:hAnsi="Arial" w:cs="David" w:hint="cs"/>
          <w:rtl/>
        </w:rPr>
        <w:t>ים, קאדים מעדר (דיינים דרוזים),</w:t>
      </w:r>
      <w:r w:rsidRPr="00407212">
        <w:rPr>
          <w:rFonts w:ascii="Arial" w:hAnsi="Arial" w:cs="David" w:hint="cs"/>
          <w:rtl/>
        </w:rPr>
        <w:t>, שופטים צבאיים.</w:t>
      </w:r>
    </w:p>
    <w:p w:rsidR="00407212" w:rsidRPr="00407212" w:rsidRDefault="00407212" w:rsidP="00EB5710">
      <w:pPr>
        <w:numPr>
          <w:ilvl w:val="4"/>
          <w:numId w:val="15"/>
        </w:numPr>
        <w:spacing w:after="0" w:line="240" w:lineRule="auto"/>
        <w:ind w:left="-360" w:hanging="283"/>
        <w:rPr>
          <w:rFonts w:ascii="Arial" w:hAnsi="Arial" w:cs="David"/>
          <w:b/>
          <w:bCs/>
        </w:rPr>
      </w:pPr>
      <w:r w:rsidRPr="00407212">
        <w:rPr>
          <w:rFonts w:ascii="Arial" w:hAnsi="Arial" w:cs="David" w:hint="cs"/>
          <w:u w:val="single"/>
          <w:rtl/>
        </w:rPr>
        <w:t>כוחות הביטחון והנתונים למרותה</w:t>
      </w:r>
      <w:r w:rsidRPr="00407212">
        <w:rPr>
          <w:rFonts w:ascii="Arial" w:hAnsi="Arial" w:cs="David" w:hint="cs"/>
          <w:rtl/>
        </w:rPr>
        <w:t xml:space="preserve"> </w:t>
      </w:r>
      <w:r w:rsidRPr="00407212">
        <w:rPr>
          <w:rFonts w:ascii="Arial" w:hAnsi="Arial" w:cs="David"/>
          <w:rtl/>
        </w:rPr>
        <w:t>–</w:t>
      </w:r>
      <w:r w:rsidRPr="00407212">
        <w:rPr>
          <w:rFonts w:ascii="Arial" w:hAnsi="Arial" w:cs="David" w:hint="cs"/>
          <w:rtl/>
        </w:rPr>
        <w:t xml:space="preserve"> חיילים</w:t>
      </w:r>
      <w:r w:rsidRPr="00407212">
        <w:rPr>
          <w:rFonts w:ascii="Arial" w:hAnsi="Arial" w:cs="David" w:hint="cs"/>
          <w:b/>
          <w:bCs/>
          <w:rtl/>
        </w:rPr>
        <w:t xml:space="preserve">, </w:t>
      </w:r>
      <w:r w:rsidR="00EB5710">
        <w:rPr>
          <w:rFonts w:ascii="Arial" w:hAnsi="Arial" w:cs="David" w:hint="cs"/>
          <w:rtl/>
        </w:rPr>
        <w:t xml:space="preserve">סוהרים, שוטרים, שומרי הכנסת, </w:t>
      </w:r>
      <w:r w:rsidRPr="00407212">
        <w:rPr>
          <w:rFonts w:ascii="Arial" w:hAnsi="Arial" w:cs="David" w:hint="cs"/>
          <w:rtl/>
        </w:rPr>
        <w:t>אסירים, אסירים צבאיים, מתנדבי המשמר האזרחי.</w:t>
      </w:r>
    </w:p>
    <w:p w:rsidR="00407212" w:rsidRPr="00407212" w:rsidRDefault="00407212" w:rsidP="00EB5710">
      <w:pPr>
        <w:numPr>
          <w:ilvl w:val="4"/>
          <w:numId w:val="15"/>
        </w:numPr>
        <w:spacing w:after="0" w:line="240" w:lineRule="auto"/>
        <w:ind w:left="-360" w:hanging="283"/>
        <w:rPr>
          <w:rFonts w:ascii="Arial" w:hAnsi="Arial" w:cs="David"/>
          <w:b/>
          <w:bCs/>
        </w:rPr>
      </w:pPr>
      <w:r w:rsidRPr="00407212">
        <w:rPr>
          <w:rFonts w:ascii="Arial" w:hAnsi="Arial" w:cs="David" w:hint="cs"/>
          <w:u w:val="single"/>
          <w:rtl/>
        </w:rPr>
        <w:t>מקצועות הקשורים למתן שירותי בריאות לציבור</w:t>
      </w:r>
      <w:r w:rsidRPr="00407212">
        <w:rPr>
          <w:rFonts w:ascii="Arial" w:hAnsi="Arial" w:cs="David" w:hint="cs"/>
          <w:rtl/>
        </w:rPr>
        <w:t xml:space="preserve"> </w:t>
      </w:r>
      <w:r w:rsidRPr="00407212">
        <w:rPr>
          <w:rFonts w:ascii="Arial" w:hAnsi="Arial" w:cs="David"/>
          <w:rtl/>
        </w:rPr>
        <w:t>–</w:t>
      </w:r>
      <w:r w:rsidRPr="00407212">
        <w:rPr>
          <w:rFonts w:ascii="Arial" w:hAnsi="Arial" w:cs="David" w:hint="cs"/>
          <w:rtl/>
        </w:rPr>
        <w:t xml:space="preserve"> רופאים, מיילדות, רופאי שיניים, וטרינריים, עוסקים בתחום הבריאות</w:t>
      </w:r>
      <w:r w:rsidR="00EB5710">
        <w:rPr>
          <w:rFonts w:ascii="Arial" w:hAnsi="Arial" w:cs="David" w:hint="cs"/>
          <w:rtl/>
        </w:rPr>
        <w:t xml:space="preserve"> (פיזיותרפיסטים וכו') </w:t>
      </w:r>
      <w:r w:rsidRPr="00407212">
        <w:rPr>
          <w:rFonts w:ascii="Arial" w:hAnsi="Arial" w:cs="David" w:hint="cs"/>
          <w:rtl/>
        </w:rPr>
        <w:t>, סטז'רים לתואר רופא, פסיכולוגים, רוקחים.</w:t>
      </w:r>
    </w:p>
    <w:p w:rsidR="00407212" w:rsidRPr="00407212" w:rsidRDefault="00407212" w:rsidP="00EB5710">
      <w:pPr>
        <w:spacing w:after="0" w:line="240" w:lineRule="auto"/>
        <w:ind w:left="-360"/>
        <w:rPr>
          <w:rFonts w:ascii="Arial" w:hAnsi="Arial" w:cs="David"/>
          <w:b/>
          <w:bCs/>
        </w:rPr>
      </w:pPr>
      <w:r w:rsidRPr="00407212">
        <w:rPr>
          <w:rFonts w:ascii="Arial" w:hAnsi="Arial" w:cs="David" w:hint="cs"/>
          <w:u w:val="single"/>
          <w:rtl/>
        </w:rPr>
        <w:t xml:space="preserve">בתחום הרפואה האלטרנטיבית </w:t>
      </w:r>
      <w:r w:rsidRPr="00407212">
        <w:rPr>
          <w:rFonts w:ascii="Arial" w:hAnsi="Arial" w:cs="David"/>
          <w:rtl/>
        </w:rPr>
        <w:t>–</w:t>
      </w:r>
      <w:r w:rsidRPr="00407212">
        <w:rPr>
          <w:rFonts w:ascii="Arial" w:hAnsi="Arial" w:cs="David" w:hint="cs"/>
          <w:rtl/>
        </w:rPr>
        <w:t xml:space="preserve"> היה ניסיון להסדרת מקצועות הרפואה האלטרנטיבית בחוק.</w:t>
      </w:r>
    </w:p>
    <w:p w:rsidR="00407212" w:rsidRPr="00407212" w:rsidRDefault="00407212" w:rsidP="004D082F">
      <w:pPr>
        <w:numPr>
          <w:ilvl w:val="4"/>
          <w:numId w:val="15"/>
        </w:numPr>
        <w:spacing w:after="0" w:line="240" w:lineRule="auto"/>
        <w:ind w:left="-360" w:hanging="283"/>
        <w:rPr>
          <w:rFonts w:ascii="Arial" w:hAnsi="Arial" w:cs="David"/>
          <w:b/>
          <w:bCs/>
        </w:rPr>
      </w:pPr>
      <w:r w:rsidRPr="00407212">
        <w:rPr>
          <w:rFonts w:ascii="Arial" w:hAnsi="Arial" w:cs="David" w:hint="cs"/>
          <w:u w:val="single"/>
          <w:rtl/>
        </w:rPr>
        <w:t>מקצועות עזר לעולם המשפט</w:t>
      </w:r>
      <w:r w:rsidRPr="00407212">
        <w:rPr>
          <w:rFonts w:ascii="Arial" w:hAnsi="Arial" w:cs="David" w:hint="cs"/>
          <w:rtl/>
        </w:rPr>
        <w:t xml:space="preserve"> </w:t>
      </w:r>
      <w:r w:rsidRPr="00407212">
        <w:rPr>
          <w:rFonts w:ascii="Arial" w:hAnsi="Arial" w:cs="David"/>
          <w:rtl/>
        </w:rPr>
        <w:t>–</w:t>
      </w:r>
      <w:r w:rsidRPr="00407212">
        <w:rPr>
          <w:rFonts w:ascii="Arial" w:hAnsi="Arial" w:cs="David" w:hint="cs"/>
          <w:rtl/>
        </w:rPr>
        <w:t xml:space="preserve"> נוטריונים, עורכי דין ומתמחים, עורכי פטנטים, טוענים רבניים, טוענים שרעיים, מטפלי בקשות (עד לפני חוק לשכת עורכי הדין היו אנשים שעסקו בטיפול בבקשות </w:t>
      </w:r>
      <w:r w:rsidRPr="00407212">
        <w:rPr>
          <w:rFonts w:ascii="Arial" w:hAnsi="Arial" w:cs="David"/>
          <w:rtl/>
        </w:rPr>
        <w:t>–</w:t>
      </w:r>
      <w:r w:rsidRPr="00407212">
        <w:rPr>
          <w:rFonts w:ascii="Arial" w:hAnsi="Arial" w:cs="David" w:hint="cs"/>
          <w:rtl/>
        </w:rPr>
        <w:t xml:space="preserve"> רנטות מגרמניה)</w:t>
      </w:r>
    </w:p>
    <w:p w:rsidR="00407212" w:rsidRPr="00407212" w:rsidRDefault="00407212" w:rsidP="00EB5710">
      <w:pPr>
        <w:numPr>
          <w:ilvl w:val="4"/>
          <w:numId w:val="15"/>
        </w:numPr>
        <w:spacing w:after="0" w:line="240" w:lineRule="auto"/>
        <w:ind w:left="-360" w:hanging="283"/>
        <w:rPr>
          <w:rFonts w:ascii="Arial" w:hAnsi="Arial" w:cs="David"/>
          <w:b/>
          <w:bCs/>
        </w:rPr>
      </w:pPr>
      <w:r w:rsidRPr="00407212">
        <w:rPr>
          <w:rFonts w:ascii="Arial" w:hAnsi="Arial" w:cs="David" w:hint="cs"/>
          <w:u w:val="single"/>
          <w:rtl/>
        </w:rPr>
        <w:t>עובדי ציבור</w:t>
      </w:r>
      <w:r w:rsidRPr="00407212">
        <w:rPr>
          <w:rFonts w:ascii="Arial" w:hAnsi="Arial" w:cs="David" w:hint="cs"/>
          <w:rtl/>
        </w:rPr>
        <w:t xml:space="preserve"> </w:t>
      </w:r>
      <w:r w:rsidRPr="00407212">
        <w:rPr>
          <w:rFonts w:ascii="Arial" w:hAnsi="Arial" w:cs="David"/>
          <w:rtl/>
        </w:rPr>
        <w:t>–</w:t>
      </w:r>
      <w:r w:rsidRPr="00407212">
        <w:rPr>
          <w:rFonts w:ascii="Arial" w:hAnsi="Arial" w:cs="David" w:hint="cs"/>
          <w:rtl/>
        </w:rPr>
        <w:t xml:space="preserve"> עובדי מדינה, עובדי רשויות מקומיות, רבני ערים, עובדי הרשות השנייה, עובדי הרשות להגנת עדים, עובדי הרשות לשיקום אסיר, </w:t>
      </w:r>
      <w:r w:rsidR="004D082F">
        <w:rPr>
          <w:rFonts w:ascii="Arial" w:hAnsi="Arial" w:cs="David" w:hint="cs"/>
          <w:rtl/>
        </w:rPr>
        <w:t>עובדי הרשות הארצית לכבאות והצלה, עובדי חברת הדואר.</w:t>
      </w:r>
    </w:p>
    <w:p w:rsidR="00407212" w:rsidRPr="00407212" w:rsidRDefault="00407212" w:rsidP="001F0F21">
      <w:pPr>
        <w:numPr>
          <w:ilvl w:val="4"/>
          <w:numId w:val="15"/>
        </w:numPr>
        <w:spacing w:after="0" w:line="240" w:lineRule="auto"/>
        <w:ind w:left="-360" w:hanging="283"/>
        <w:rPr>
          <w:rFonts w:ascii="Arial" w:hAnsi="Arial" w:cs="David"/>
          <w:b/>
          <w:bCs/>
        </w:rPr>
      </w:pPr>
      <w:r w:rsidRPr="00407212">
        <w:rPr>
          <w:rFonts w:ascii="Arial" w:hAnsi="Arial" w:cs="David" w:hint="cs"/>
          <w:u w:val="single"/>
          <w:rtl/>
        </w:rPr>
        <w:t>בעלי מקצועות המשרתים את הציבו</w:t>
      </w:r>
      <w:r w:rsidR="001F0F21">
        <w:rPr>
          <w:rFonts w:ascii="Arial" w:hAnsi="Arial" w:cs="David" w:hint="cs"/>
          <w:u w:val="single"/>
          <w:rtl/>
        </w:rPr>
        <w:t>ר</w:t>
      </w:r>
      <w:r w:rsidRPr="00407212">
        <w:rPr>
          <w:rFonts w:ascii="Arial" w:hAnsi="Arial" w:cs="David" w:hint="cs"/>
          <w:u w:val="single"/>
          <w:rtl/>
        </w:rPr>
        <w:t xml:space="preserve"> ונדרשים לרף התנהגות גבוה</w:t>
      </w:r>
      <w:r w:rsidRPr="00407212">
        <w:rPr>
          <w:rFonts w:ascii="Arial" w:hAnsi="Arial" w:cs="David" w:hint="cs"/>
          <w:rtl/>
        </w:rPr>
        <w:t xml:space="preserve"> </w:t>
      </w:r>
      <w:r w:rsidRPr="00407212">
        <w:rPr>
          <w:rFonts w:ascii="Arial" w:hAnsi="Arial" w:cs="David"/>
          <w:rtl/>
        </w:rPr>
        <w:t>–</w:t>
      </w:r>
      <w:r w:rsidRPr="00407212">
        <w:rPr>
          <w:rFonts w:ascii="Arial" w:hAnsi="Arial" w:cs="David" w:hint="cs"/>
          <w:rtl/>
        </w:rPr>
        <w:t xml:space="preserve"> מהנדסים ואדריכלים, חוקרים פרטיים, סוכני מכס, רו"ח , שמאי מקרקעין </w:t>
      </w:r>
      <w:r w:rsidR="001F0F21">
        <w:rPr>
          <w:rFonts w:ascii="Arial" w:hAnsi="Arial" w:cs="David" w:hint="cs"/>
          <w:rtl/>
        </w:rPr>
        <w:t>(</w:t>
      </w:r>
      <w:r w:rsidRPr="00407212">
        <w:rPr>
          <w:rFonts w:ascii="Arial" w:hAnsi="Arial" w:cs="David" w:hint="cs"/>
          <w:rtl/>
        </w:rPr>
        <w:t xml:space="preserve">ולא שמאי רכוש או ביטוח </w:t>
      </w:r>
      <w:r w:rsidR="001F0F21">
        <w:rPr>
          <w:rFonts w:ascii="Arial" w:hAnsi="Arial" w:cs="David" w:hint="cs"/>
          <w:rtl/>
        </w:rPr>
        <w:t>),</w:t>
      </w:r>
      <w:r w:rsidRPr="00407212">
        <w:rPr>
          <w:rFonts w:ascii="Arial" w:hAnsi="Arial" w:cs="David" w:hint="cs"/>
          <w:rtl/>
        </w:rPr>
        <w:t xml:space="preserve"> יועצי מס, ימאים, מתווכים ועו"ס, יועצי השקעות ומנהלי תיקי השקעות.</w:t>
      </w:r>
    </w:p>
    <w:p w:rsidR="00407212" w:rsidRPr="00424E7F" w:rsidRDefault="00407212" w:rsidP="00424E7F">
      <w:pPr>
        <w:spacing w:after="0"/>
        <w:ind w:left="-630"/>
        <w:jc w:val="both"/>
        <w:rPr>
          <w:rFonts w:ascii="Arial" w:hAnsi="Arial"/>
          <w:b/>
          <w:bCs/>
          <w:u w:val="single"/>
          <w:rtl/>
        </w:rPr>
      </w:pPr>
    </w:p>
    <w:p w:rsidR="00424E7F" w:rsidRPr="00424E7F" w:rsidRDefault="00424E7F" w:rsidP="00424E7F">
      <w:pPr>
        <w:spacing w:after="0"/>
        <w:ind w:left="-630"/>
        <w:jc w:val="both"/>
        <w:rPr>
          <w:rFonts w:ascii="Arial" w:hAnsi="Arial"/>
          <w:b/>
          <w:bCs/>
          <w:u w:val="single"/>
          <w:rtl/>
        </w:rPr>
      </w:pPr>
      <w:r w:rsidRPr="00424E7F">
        <w:rPr>
          <w:rFonts w:ascii="Arial" w:hAnsi="Arial" w:hint="cs"/>
          <w:b/>
          <w:bCs/>
          <w:u w:val="single"/>
          <w:rtl/>
        </w:rPr>
        <w:t>הרציונאל של הקבוצות הנ"ל</w:t>
      </w:r>
    </w:p>
    <w:p w:rsidR="00424E7F" w:rsidRPr="00424E7F" w:rsidRDefault="00424E7F" w:rsidP="00424E7F">
      <w:pPr>
        <w:pStyle w:val="ListParagraph"/>
        <w:numPr>
          <w:ilvl w:val="0"/>
          <w:numId w:val="18"/>
        </w:numPr>
        <w:spacing w:after="0" w:line="240" w:lineRule="auto"/>
        <w:ind w:left="-180"/>
        <w:jc w:val="both"/>
        <w:rPr>
          <w:rFonts w:ascii="Arial" w:hAnsi="Arial" w:cs="David"/>
          <w:u w:val="single"/>
          <w:rtl/>
        </w:rPr>
      </w:pPr>
      <w:r w:rsidRPr="00424E7F">
        <w:rPr>
          <w:rFonts w:ascii="Arial" w:hAnsi="Arial" w:cs="David" w:hint="cs"/>
          <w:u w:val="single"/>
          <w:rtl/>
        </w:rPr>
        <w:t>הרציונל של בעלי התפקידים השיפוטיים</w:t>
      </w:r>
      <w:r w:rsidRPr="00424E7F">
        <w:rPr>
          <w:rFonts w:ascii="Arial" w:hAnsi="Arial" w:cs="David" w:hint="cs"/>
          <w:rtl/>
        </w:rPr>
        <w:t>:</w:t>
      </w:r>
      <w:r w:rsidRPr="00424E7F">
        <w:rPr>
          <w:rFonts w:ascii="Arial" w:hAnsi="Arial" w:cs="David" w:hint="cs"/>
          <w:u w:val="single"/>
          <w:rtl/>
        </w:rPr>
        <w:t xml:space="preserve"> </w:t>
      </w:r>
    </w:p>
    <w:p w:rsidR="00424E7F" w:rsidRPr="009E3EF1" w:rsidRDefault="00424E7F" w:rsidP="00424E7F">
      <w:pPr>
        <w:numPr>
          <w:ilvl w:val="0"/>
          <w:numId w:val="16"/>
        </w:numPr>
        <w:spacing w:after="0" w:line="240" w:lineRule="auto"/>
        <w:ind w:left="180"/>
        <w:jc w:val="both"/>
        <w:rPr>
          <w:rFonts w:ascii="Arial" w:hAnsi="Arial" w:cs="David"/>
        </w:rPr>
      </w:pPr>
      <w:r w:rsidRPr="009E3EF1">
        <w:rPr>
          <w:rFonts w:ascii="Arial" w:hAnsi="Arial" w:cs="David" w:hint="cs"/>
          <w:b/>
          <w:bCs/>
          <w:rtl/>
        </w:rPr>
        <w:t>לבעלי תפקידים שיפוטיים מגבלות שאינן קיימות בקבוצות אחרות</w:t>
      </w:r>
      <w:r w:rsidRPr="009E3EF1">
        <w:rPr>
          <w:rFonts w:ascii="Arial" w:hAnsi="Arial" w:cs="David" w:hint="cs"/>
          <w:rtl/>
        </w:rPr>
        <w:t xml:space="preserve">. </w:t>
      </w:r>
    </w:p>
    <w:p w:rsidR="00424E7F" w:rsidRDefault="00424E7F" w:rsidP="00424E7F">
      <w:pPr>
        <w:numPr>
          <w:ilvl w:val="0"/>
          <w:numId w:val="17"/>
        </w:numPr>
        <w:spacing w:after="0" w:line="240" w:lineRule="auto"/>
        <w:ind w:left="180"/>
        <w:jc w:val="both"/>
        <w:rPr>
          <w:rFonts w:ascii="Arial" w:hAnsi="Arial" w:cs="David"/>
        </w:rPr>
      </w:pPr>
      <w:r>
        <w:rPr>
          <w:rFonts w:ascii="Arial" w:hAnsi="Arial" w:cs="David" w:hint="cs"/>
          <w:rtl/>
        </w:rPr>
        <w:t xml:space="preserve">אסור להם לגלות מה נטייתם הפוליטית. הדבר חשוב כדי להגביר את האמון של הציבור במערכת המשפט. תיוג פוליטי של בעל תפקיד שיפוטי יכול לפגוע באמון הציבור. לדוגמא: אדם יוכל לטעון שהשופט פסק כנגדו כי הוא מחזיק בדעה פוליטית שונה. </w:t>
      </w:r>
    </w:p>
    <w:p w:rsidR="00424E7F" w:rsidRDefault="00424E7F" w:rsidP="00424E7F">
      <w:pPr>
        <w:numPr>
          <w:ilvl w:val="0"/>
          <w:numId w:val="17"/>
        </w:numPr>
        <w:spacing w:after="0" w:line="240" w:lineRule="auto"/>
        <w:ind w:left="180"/>
        <w:jc w:val="both"/>
        <w:rPr>
          <w:rFonts w:ascii="Arial" w:hAnsi="Arial" w:cs="David"/>
        </w:rPr>
      </w:pPr>
      <w:r>
        <w:rPr>
          <w:rFonts w:ascii="Arial" w:hAnsi="Arial" w:cs="David" w:hint="cs"/>
          <w:rtl/>
        </w:rPr>
        <w:t xml:space="preserve">אסור לשופט לאפשר אסיפה פוליטית או חוג בית אצלו בבית (אפילו אם אשתו היא המארחת). </w:t>
      </w:r>
    </w:p>
    <w:p w:rsidR="00424E7F" w:rsidRDefault="00424E7F" w:rsidP="00424E7F">
      <w:pPr>
        <w:numPr>
          <w:ilvl w:val="0"/>
          <w:numId w:val="17"/>
        </w:numPr>
        <w:spacing w:after="0" w:line="240" w:lineRule="auto"/>
        <w:ind w:left="180"/>
        <w:jc w:val="both"/>
        <w:rPr>
          <w:rFonts w:ascii="Arial" w:hAnsi="Arial" w:cs="David"/>
        </w:rPr>
      </w:pPr>
      <w:r>
        <w:rPr>
          <w:rFonts w:ascii="Arial" w:hAnsi="Arial" w:cs="David" w:hint="cs"/>
          <w:rtl/>
        </w:rPr>
        <w:t xml:space="preserve">אסור לשופט להתראיין באמצעי התקשורת. </w:t>
      </w:r>
    </w:p>
    <w:p w:rsidR="00424E7F" w:rsidRDefault="00424E7F" w:rsidP="00424E7F">
      <w:pPr>
        <w:numPr>
          <w:ilvl w:val="0"/>
          <w:numId w:val="17"/>
        </w:numPr>
        <w:spacing w:after="0" w:line="240" w:lineRule="auto"/>
        <w:ind w:left="180"/>
        <w:jc w:val="both"/>
        <w:rPr>
          <w:rFonts w:ascii="Arial" w:hAnsi="Arial" w:cs="David"/>
        </w:rPr>
      </w:pPr>
      <w:r>
        <w:rPr>
          <w:rFonts w:ascii="Arial" w:hAnsi="Arial" w:cs="David" w:hint="cs"/>
          <w:rtl/>
        </w:rPr>
        <w:t xml:space="preserve">אסר לשופט להיות בקשר עסקי ישיר או אחר עם מתדיין </w:t>
      </w:r>
    </w:p>
    <w:p w:rsidR="00424E7F" w:rsidRDefault="00424E7F" w:rsidP="00424E7F">
      <w:pPr>
        <w:numPr>
          <w:ilvl w:val="0"/>
          <w:numId w:val="17"/>
        </w:numPr>
        <w:spacing w:after="0" w:line="240" w:lineRule="auto"/>
        <w:ind w:left="180"/>
        <w:jc w:val="both"/>
        <w:rPr>
          <w:rFonts w:ascii="Arial" w:hAnsi="Arial" w:cs="David"/>
        </w:rPr>
      </w:pPr>
      <w:r>
        <w:rPr>
          <w:rFonts w:ascii="Arial" w:hAnsi="Arial" w:cs="David" w:hint="cs"/>
          <w:rtl/>
        </w:rPr>
        <w:t xml:space="preserve">אסור שלשופט תהיה נגיעה אישית ישירה או עקיפה למתדיין או לתיק </w:t>
      </w:r>
    </w:p>
    <w:p w:rsidR="00424E7F" w:rsidRDefault="00424E7F" w:rsidP="00A66B8B">
      <w:pPr>
        <w:numPr>
          <w:ilvl w:val="0"/>
          <w:numId w:val="17"/>
        </w:numPr>
        <w:spacing w:after="0" w:line="240" w:lineRule="auto"/>
        <w:ind w:left="180"/>
        <w:jc w:val="both"/>
        <w:rPr>
          <w:rFonts w:ascii="Arial" w:hAnsi="Arial" w:cs="David"/>
        </w:rPr>
      </w:pPr>
      <w:r>
        <w:rPr>
          <w:rFonts w:ascii="Arial" w:hAnsi="Arial" w:cs="David" w:hint="cs"/>
          <w:rtl/>
        </w:rPr>
        <w:t>אסור לשופט לעסוק בעיסוק נוסף או לקבל הכנסה נוספת, אלא אם הוא מקבל אישור מנש</w:t>
      </w:r>
      <w:r w:rsidR="009E3EF1">
        <w:rPr>
          <w:rFonts w:ascii="Arial" w:hAnsi="Arial" w:cs="David" w:hint="cs"/>
          <w:rtl/>
        </w:rPr>
        <w:t>יא בית המשפט העליון ושר המשפטים</w:t>
      </w:r>
      <w:r>
        <w:rPr>
          <w:rFonts w:ascii="Arial" w:hAnsi="Arial" w:cs="David" w:hint="cs"/>
          <w:rtl/>
        </w:rPr>
        <w:t xml:space="preserve">. חלק מן השיקולים שנשקלים הם האם ראוי שאותו שופט יעסוק בכך, האם אין לו פיגורים </w:t>
      </w:r>
      <w:r w:rsidR="00A66B8B">
        <w:rPr>
          <w:rFonts w:ascii="Arial" w:hAnsi="Arial" w:cs="David" w:hint="cs"/>
          <w:rtl/>
        </w:rPr>
        <w:t>בעבודה.</w:t>
      </w:r>
    </w:p>
    <w:p w:rsidR="00424E7F" w:rsidRDefault="00424E7F" w:rsidP="00424E7F">
      <w:pPr>
        <w:spacing w:after="0" w:line="240" w:lineRule="auto"/>
        <w:ind w:left="180"/>
        <w:jc w:val="both"/>
        <w:rPr>
          <w:rFonts w:ascii="Arial" w:hAnsi="Arial" w:cs="David"/>
          <w:rtl/>
        </w:rPr>
      </w:pPr>
      <w:r w:rsidRPr="00724C38">
        <w:rPr>
          <w:rFonts w:ascii="Arial" w:hAnsi="Arial" w:cs="David" w:hint="cs"/>
          <w:highlight w:val="yellow"/>
          <w:rtl/>
        </w:rPr>
        <w:t xml:space="preserve">המגבלות הללו מוכוונות כדי לשמור על ניקיון כפיים של הממונים על קיום ההליכים המשפטיים, לצורך </w:t>
      </w:r>
      <w:r>
        <w:rPr>
          <w:rFonts w:ascii="Arial" w:hAnsi="Arial" w:cs="David" w:hint="cs"/>
          <w:highlight w:val="yellow"/>
          <w:rtl/>
        </w:rPr>
        <w:t xml:space="preserve">שמירת אמון הציבור וכתוצאה מכך, </w:t>
      </w:r>
      <w:r w:rsidRPr="00724C38">
        <w:rPr>
          <w:rFonts w:ascii="Arial" w:hAnsi="Arial" w:cs="David" w:hint="cs"/>
          <w:highlight w:val="yellow"/>
          <w:rtl/>
        </w:rPr>
        <w:t>קיום שלטון החוק</w:t>
      </w:r>
      <w:r>
        <w:rPr>
          <w:rFonts w:ascii="Arial" w:hAnsi="Arial" w:cs="David" w:hint="cs"/>
          <w:rtl/>
        </w:rPr>
        <w:t xml:space="preserve">. המונח "שפיטה מתגוננת" מתייחס להחלטות שיפוטיות הנעשות כדי לא להסתבך (ממש כמו רופאים ששולחים נבדקים להרבה בדיקות כדי להימנע מהסתבכות משפטית) והדבר מסב עלות יקרה למערכת.   </w:t>
      </w:r>
    </w:p>
    <w:p w:rsidR="00E368F2" w:rsidRDefault="00E368F2" w:rsidP="00424E7F">
      <w:pPr>
        <w:spacing w:after="0" w:line="240" w:lineRule="auto"/>
        <w:ind w:left="180"/>
        <w:jc w:val="both"/>
        <w:rPr>
          <w:rFonts w:ascii="Arial" w:hAnsi="Arial" w:cs="David"/>
          <w:rtl/>
        </w:rPr>
      </w:pPr>
    </w:p>
    <w:p w:rsidR="00E368F2" w:rsidRPr="00BC5423" w:rsidRDefault="00E368F2" w:rsidP="00E368F2">
      <w:pPr>
        <w:spacing w:after="0" w:line="240" w:lineRule="auto"/>
        <w:jc w:val="both"/>
        <w:rPr>
          <w:rFonts w:ascii="Arial" w:hAnsi="Arial" w:cs="David"/>
          <w:u w:val="single"/>
          <w:rtl/>
        </w:rPr>
      </w:pPr>
      <w:r>
        <w:rPr>
          <w:rFonts w:ascii="Arial" w:hAnsi="Arial" w:cs="David" w:hint="cs"/>
          <w:u w:val="single"/>
          <w:rtl/>
        </w:rPr>
        <w:t>2. הרציונל של כוחות הביטחון</w:t>
      </w:r>
      <w:r>
        <w:rPr>
          <w:rFonts w:ascii="Arial" w:hAnsi="Arial" w:cs="David" w:hint="cs"/>
          <w:rtl/>
        </w:rPr>
        <w:t>:</w:t>
      </w:r>
      <w:r w:rsidRPr="00BC5423">
        <w:rPr>
          <w:rFonts w:ascii="Arial" w:hAnsi="Arial" w:cs="David" w:hint="cs"/>
          <w:u w:val="single"/>
          <w:rtl/>
        </w:rPr>
        <w:t xml:space="preserve"> </w:t>
      </w:r>
    </w:p>
    <w:p w:rsidR="00E368F2" w:rsidRDefault="00E368F2" w:rsidP="00E368F2">
      <w:pPr>
        <w:numPr>
          <w:ilvl w:val="0"/>
          <w:numId w:val="16"/>
        </w:numPr>
        <w:spacing w:after="0" w:line="240" w:lineRule="auto"/>
        <w:jc w:val="both"/>
        <w:rPr>
          <w:rFonts w:ascii="Arial" w:hAnsi="Arial" w:cs="David"/>
        </w:rPr>
      </w:pPr>
      <w:r>
        <w:rPr>
          <w:rFonts w:ascii="Arial" w:hAnsi="Arial" w:cs="David" w:hint="cs"/>
          <w:b/>
          <w:bCs/>
          <w:highlight w:val="yellow"/>
          <w:rtl/>
        </w:rPr>
        <w:t>אצל כוחות הביטחון אנחנו מחפשים סדר ומשמעת</w:t>
      </w:r>
      <w:r>
        <w:rPr>
          <w:rFonts w:ascii="Arial" w:hAnsi="Arial" w:cs="David" w:hint="cs"/>
          <w:rtl/>
        </w:rPr>
        <w:t xml:space="preserve">. </w:t>
      </w:r>
    </w:p>
    <w:p w:rsidR="00E368F2" w:rsidRDefault="00E368F2" w:rsidP="00E368F2">
      <w:pPr>
        <w:numPr>
          <w:ilvl w:val="0"/>
          <w:numId w:val="16"/>
        </w:numPr>
        <w:spacing w:after="0" w:line="240" w:lineRule="auto"/>
        <w:jc w:val="both"/>
        <w:rPr>
          <w:rFonts w:ascii="Arial" w:hAnsi="Arial" w:cs="David"/>
        </w:rPr>
      </w:pPr>
      <w:r w:rsidRPr="004352F9">
        <w:rPr>
          <w:rFonts w:ascii="Arial" w:hAnsi="Arial" w:cs="David" w:hint="cs"/>
          <w:b/>
          <w:bCs/>
          <w:rtl/>
        </w:rPr>
        <w:t>עקרונות מדינה דמוקרטית</w:t>
      </w:r>
      <w:r w:rsidRPr="004352F9">
        <w:rPr>
          <w:rFonts w:ascii="Arial" w:hAnsi="Arial" w:cs="David" w:hint="cs"/>
          <w:rtl/>
        </w:rPr>
        <w:t xml:space="preserve"> </w:t>
      </w:r>
      <w:r>
        <w:rPr>
          <w:rFonts w:ascii="Arial" w:hAnsi="Arial" w:cs="David"/>
          <w:rtl/>
        </w:rPr>
        <w:t>–</w:t>
      </w:r>
      <w:r>
        <w:rPr>
          <w:rFonts w:ascii="Arial" w:hAnsi="Arial" w:cs="David" w:hint="cs"/>
          <w:rtl/>
        </w:rPr>
        <w:t xml:space="preserve"> </w:t>
      </w:r>
      <w:r w:rsidRPr="004352F9">
        <w:rPr>
          <w:rFonts w:ascii="Arial" w:hAnsi="Arial" w:cs="David" w:hint="cs"/>
          <w:rtl/>
        </w:rPr>
        <w:t>אנחנו</w:t>
      </w:r>
      <w:r>
        <w:rPr>
          <w:rFonts w:ascii="Arial" w:hAnsi="Arial" w:cs="David" w:hint="cs"/>
          <w:rtl/>
        </w:rPr>
        <w:t xml:space="preserve"> רוצים שיהיו כוחות ביטחון חזקים במיוחד במציאות של ישראל, אבל אנחנו רוצים שכוחות הביטחון יבינו שהם באים לשמור על הציבור ולא להנהיג את הציבור. לכן, יש הכפפה של רשויות הביטחון לגורמים המדיניים ויש איסור של גורמי ביטחון לעסוק בפוליטיקה. </w:t>
      </w:r>
    </w:p>
    <w:p w:rsidR="00E368F2" w:rsidRDefault="00E368F2" w:rsidP="00E368F2">
      <w:pPr>
        <w:spacing w:after="0" w:line="240" w:lineRule="auto"/>
        <w:jc w:val="both"/>
        <w:rPr>
          <w:rFonts w:ascii="Arial" w:hAnsi="Arial" w:cs="David"/>
          <w:rtl/>
        </w:rPr>
      </w:pPr>
    </w:p>
    <w:p w:rsidR="00E368F2" w:rsidRDefault="00E368F2" w:rsidP="00E368F2">
      <w:pPr>
        <w:spacing w:after="0" w:line="240" w:lineRule="auto"/>
        <w:jc w:val="both"/>
        <w:rPr>
          <w:rFonts w:ascii="Arial" w:hAnsi="Arial" w:cs="David"/>
          <w:u w:val="single"/>
          <w:rtl/>
        </w:rPr>
      </w:pPr>
    </w:p>
    <w:p w:rsidR="00E368F2" w:rsidRPr="00BC5423" w:rsidRDefault="00E368F2" w:rsidP="00E368F2">
      <w:pPr>
        <w:spacing w:after="0" w:line="240" w:lineRule="auto"/>
        <w:jc w:val="both"/>
        <w:rPr>
          <w:rFonts w:ascii="Arial" w:hAnsi="Arial" w:cs="David"/>
          <w:u w:val="single"/>
          <w:rtl/>
        </w:rPr>
      </w:pPr>
      <w:r>
        <w:rPr>
          <w:rFonts w:ascii="Arial" w:hAnsi="Arial" w:cs="David" w:hint="cs"/>
          <w:u w:val="single"/>
          <w:rtl/>
        </w:rPr>
        <w:t>3.הרציונל של שירות בריאות לציבור</w:t>
      </w:r>
      <w:r>
        <w:rPr>
          <w:rFonts w:ascii="Arial" w:hAnsi="Arial" w:cs="David" w:hint="cs"/>
          <w:rtl/>
        </w:rPr>
        <w:t>:</w:t>
      </w:r>
      <w:r w:rsidRPr="00BC5423">
        <w:rPr>
          <w:rFonts w:ascii="Arial" w:hAnsi="Arial" w:cs="David" w:hint="cs"/>
          <w:u w:val="single"/>
          <w:rtl/>
        </w:rPr>
        <w:t xml:space="preserve"> </w:t>
      </w:r>
    </w:p>
    <w:p w:rsidR="00E368F2" w:rsidRDefault="00E368F2" w:rsidP="00E368F2">
      <w:pPr>
        <w:numPr>
          <w:ilvl w:val="0"/>
          <w:numId w:val="16"/>
        </w:numPr>
        <w:spacing w:after="0" w:line="240" w:lineRule="auto"/>
        <w:jc w:val="both"/>
        <w:rPr>
          <w:rFonts w:ascii="Arial" w:hAnsi="Arial" w:cs="David"/>
        </w:rPr>
      </w:pPr>
      <w:r w:rsidRPr="004352F9">
        <w:rPr>
          <w:rFonts w:ascii="Arial" w:hAnsi="Arial" w:cs="David" w:hint="cs"/>
          <w:highlight w:val="yellow"/>
          <w:rtl/>
        </w:rPr>
        <w:t>הרציונאל פה הוא פיקוח נפש</w:t>
      </w:r>
      <w:r>
        <w:rPr>
          <w:rFonts w:ascii="Arial" w:hAnsi="Arial" w:cs="David" w:hint="cs"/>
          <w:rtl/>
        </w:rPr>
        <w:t xml:space="preserve"> שיש בעיסוק הזה. טעות של רופא יכולה להביא לתוצאה טרגית מאוד. יש ספירה שאומרת שמי שנזקק לשירותי רפואה הוא מאוד חלש. הפער בין מקבל השירות לבין נותן השירות הוא מאוד גבוה, ולכן יש חשיבות גדולה לעמידה בסטנדרטים, לשמירה על סודיות, לשמירה על חוק זכויות החולה, לתת מידע מפורט בקשר לטיפול. </w:t>
      </w:r>
    </w:p>
    <w:p w:rsidR="00E368F2" w:rsidRDefault="00E368F2" w:rsidP="00E368F2">
      <w:pPr>
        <w:numPr>
          <w:ilvl w:val="0"/>
          <w:numId w:val="16"/>
        </w:numPr>
        <w:spacing w:after="0" w:line="240" w:lineRule="auto"/>
        <w:jc w:val="both"/>
        <w:rPr>
          <w:rFonts w:ascii="Arial" w:hAnsi="Arial" w:cs="David"/>
        </w:rPr>
      </w:pPr>
      <w:r w:rsidRPr="004352F9">
        <w:rPr>
          <w:rFonts w:ascii="Arial" w:hAnsi="Arial" w:cs="David" w:hint="cs"/>
          <w:highlight w:val="yellow"/>
          <w:rtl/>
        </w:rPr>
        <w:t>יש חשיבות גדולה למקצועיות</w:t>
      </w:r>
      <w:r>
        <w:rPr>
          <w:rFonts w:ascii="Arial" w:hAnsi="Arial" w:cs="David" w:hint="cs"/>
          <w:rtl/>
        </w:rPr>
        <w:t xml:space="preserve"> של העובדים במקצועות האלו. </w:t>
      </w:r>
    </w:p>
    <w:p w:rsidR="00E368F2" w:rsidRDefault="00E368F2" w:rsidP="00E368F2">
      <w:pPr>
        <w:numPr>
          <w:ilvl w:val="0"/>
          <w:numId w:val="16"/>
        </w:numPr>
        <w:spacing w:after="0" w:line="240" w:lineRule="auto"/>
        <w:jc w:val="both"/>
        <w:rPr>
          <w:rFonts w:ascii="Arial" w:hAnsi="Arial" w:cs="David"/>
        </w:rPr>
      </w:pPr>
      <w:r w:rsidRPr="004352F9">
        <w:rPr>
          <w:rFonts w:ascii="Arial" w:hAnsi="Arial" w:cs="David" w:hint="cs"/>
          <w:highlight w:val="yellow"/>
          <w:rtl/>
        </w:rPr>
        <w:t>יש חשיבות לאובייקטיביות</w:t>
      </w:r>
      <w:r>
        <w:rPr>
          <w:rFonts w:ascii="Arial" w:hAnsi="Arial" w:cs="David" w:hint="cs"/>
          <w:rtl/>
        </w:rPr>
        <w:t xml:space="preserve"> במתן טיפול ומכאן החשיבות להימנעות מיחסים מיניים בין מטפל למטופל. </w:t>
      </w:r>
    </w:p>
    <w:p w:rsidR="00E368F2" w:rsidRDefault="00E368F2" w:rsidP="00E368F2">
      <w:pPr>
        <w:numPr>
          <w:ilvl w:val="0"/>
          <w:numId w:val="16"/>
        </w:numPr>
        <w:spacing w:after="0" w:line="240" w:lineRule="auto"/>
        <w:jc w:val="both"/>
        <w:rPr>
          <w:rFonts w:ascii="Arial" w:hAnsi="Arial" w:cs="David"/>
        </w:rPr>
      </w:pPr>
      <w:r w:rsidRPr="008C331D">
        <w:rPr>
          <w:rFonts w:ascii="Arial" w:hAnsi="Arial" w:cs="David" w:hint="cs"/>
          <w:highlight w:val="yellow"/>
          <w:rtl/>
        </w:rPr>
        <w:t>כל הנושא של קדושת החיים והפקדת חייך בידי מישהו מקצועי לא קיים כמעט ברפואה הלא קונבנציונאלית</w:t>
      </w:r>
      <w:r>
        <w:rPr>
          <w:rFonts w:ascii="Arial" w:hAnsi="Arial" w:cs="David" w:hint="cs"/>
          <w:rtl/>
        </w:rPr>
        <w:t xml:space="preserve">. עם זאת, זה אבסורד שמי שהולך לטיפול רפואי לא קונבנציונאלי (לדוגמא: דיקור סיני) אינו זכאי שישמרו כל החובות הללו. הדבר יכול לנבוע מכך שהעוסקים במקצוע לא רוצים שיחולו עליהם החובות מהרפואה הקונבנציונאלית. אבל המציאות היא שדווקא הרופאים הקונבנציונאליים לא מוכנים להכניס את אותם האנשים העוסקים ברפואה לא קונבנציונאלית לגדרי הפרופסיה. הדבר מביא לכך ש יש אנשים שמעניקים שירותים רפואיים ואין להם שום חובה לשמור על סודיות המטופלים שלהם והם אינם חייבים להעניק להם מידע מפורט לפני הענקת הטיפול.       </w:t>
      </w:r>
    </w:p>
    <w:p w:rsidR="00E368F2" w:rsidRDefault="00E368F2" w:rsidP="00E368F2">
      <w:pPr>
        <w:spacing w:after="0" w:line="240" w:lineRule="auto"/>
        <w:jc w:val="both"/>
        <w:rPr>
          <w:rFonts w:ascii="Arial" w:hAnsi="Arial" w:cs="David"/>
          <w:rtl/>
        </w:rPr>
      </w:pPr>
    </w:p>
    <w:p w:rsidR="00E368F2" w:rsidRDefault="00E368F2" w:rsidP="00E368F2">
      <w:pPr>
        <w:spacing w:after="0" w:line="240" w:lineRule="auto"/>
        <w:jc w:val="both"/>
        <w:rPr>
          <w:rFonts w:ascii="Arial" w:hAnsi="Arial" w:cs="David"/>
          <w:u w:val="single"/>
          <w:rtl/>
        </w:rPr>
      </w:pPr>
      <w:r>
        <w:rPr>
          <w:rFonts w:ascii="Arial" w:hAnsi="Arial" w:cs="David" w:hint="cs"/>
          <w:u w:val="single"/>
          <w:rtl/>
        </w:rPr>
        <w:t>4.הרציונל של מקצועות עזר לעולם המשפט</w:t>
      </w:r>
      <w:r>
        <w:rPr>
          <w:rFonts w:ascii="Arial" w:hAnsi="Arial" w:cs="David" w:hint="cs"/>
          <w:rtl/>
        </w:rPr>
        <w:t>:</w:t>
      </w:r>
      <w:r w:rsidRPr="00BC5423">
        <w:rPr>
          <w:rFonts w:ascii="Arial" w:hAnsi="Arial" w:cs="David" w:hint="cs"/>
          <w:u w:val="single"/>
          <w:rtl/>
        </w:rPr>
        <w:t xml:space="preserve"> </w:t>
      </w:r>
    </w:p>
    <w:p w:rsidR="00E368F2" w:rsidRDefault="00E368F2" w:rsidP="00E368F2">
      <w:pPr>
        <w:numPr>
          <w:ilvl w:val="0"/>
          <w:numId w:val="19"/>
        </w:numPr>
        <w:spacing w:after="0" w:line="240" w:lineRule="auto"/>
        <w:jc w:val="both"/>
        <w:rPr>
          <w:rFonts w:ascii="Arial" w:hAnsi="Arial" w:cs="David"/>
        </w:rPr>
      </w:pPr>
      <w:r w:rsidRPr="0018243E">
        <w:rPr>
          <w:rFonts w:ascii="Arial" w:hAnsi="Arial" w:cs="David" w:hint="cs"/>
          <w:highlight w:val="yellow"/>
          <w:rtl/>
        </w:rPr>
        <w:t>חלק מאמון הציבור במערכת המשפט הוא פועל יוצא של הפעילות של אותם מקצועות עזר לעולם המשפט</w:t>
      </w:r>
      <w:r>
        <w:rPr>
          <w:rFonts w:ascii="Arial" w:hAnsi="Arial" w:cs="David" w:hint="cs"/>
          <w:rtl/>
        </w:rPr>
        <w:t xml:space="preserve">. בעלי המקצועות הללו מתווכים בין הציבור לבין השופט. הם מתרגמים למילות משפטיות את הנרטיב של הלקוח. אם לא יהיה רף התנהגות גבוה לאותם בעלי מקצועות, אמון הציבור במערכת המשפט ייפגע. ואמון הציבור במערכת המשפט הוא נדבך חיוני בקיום שלטון החוק. </w:t>
      </w:r>
    </w:p>
    <w:p w:rsidR="00E368F2" w:rsidRDefault="00E368F2" w:rsidP="00E368F2">
      <w:pPr>
        <w:numPr>
          <w:ilvl w:val="0"/>
          <w:numId w:val="19"/>
        </w:numPr>
        <w:spacing w:after="0" w:line="240" w:lineRule="auto"/>
        <w:jc w:val="both"/>
        <w:rPr>
          <w:rFonts w:ascii="Arial" w:hAnsi="Arial" w:cs="David"/>
        </w:rPr>
      </w:pPr>
      <w:r>
        <w:rPr>
          <w:rFonts w:ascii="Arial" w:hAnsi="Arial" w:cs="David" w:hint="cs"/>
          <w:rtl/>
        </w:rPr>
        <w:t xml:space="preserve">תת-הקבוצה הזאת מאוד ייחודית שכן הוא חלק מתוך מערכת שאם ייפגע האמון בה ייפגע שלטון החוק. </w:t>
      </w:r>
    </w:p>
    <w:p w:rsidR="00E368F2" w:rsidRDefault="00E368F2" w:rsidP="00E368F2">
      <w:pPr>
        <w:spacing w:after="0" w:line="240" w:lineRule="auto"/>
        <w:jc w:val="both"/>
        <w:rPr>
          <w:rFonts w:ascii="Arial" w:hAnsi="Arial" w:cs="David"/>
          <w:rtl/>
        </w:rPr>
      </w:pPr>
    </w:p>
    <w:p w:rsidR="00E368F2" w:rsidRDefault="00E368F2" w:rsidP="00E368F2">
      <w:pPr>
        <w:spacing w:after="0" w:line="240" w:lineRule="auto"/>
        <w:jc w:val="both"/>
        <w:rPr>
          <w:rFonts w:ascii="Arial" w:hAnsi="Arial" w:cs="David"/>
          <w:rtl/>
        </w:rPr>
      </w:pPr>
      <w:r>
        <w:rPr>
          <w:rFonts w:ascii="Arial" w:hAnsi="Arial" w:cs="David" w:hint="cs"/>
          <w:u w:val="single"/>
          <w:rtl/>
        </w:rPr>
        <w:t>5.</w:t>
      </w:r>
      <w:r w:rsidRPr="002044C2">
        <w:rPr>
          <w:rFonts w:ascii="Arial" w:hAnsi="Arial" w:cs="David" w:hint="cs"/>
          <w:u w:val="single"/>
          <w:rtl/>
        </w:rPr>
        <w:t>הרציונאל של עובדי הציבור</w:t>
      </w:r>
      <w:r>
        <w:rPr>
          <w:rFonts w:ascii="Arial" w:hAnsi="Arial" w:cs="David" w:hint="cs"/>
          <w:rtl/>
        </w:rPr>
        <w:t xml:space="preserve">: </w:t>
      </w:r>
    </w:p>
    <w:p w:rsidR="00E368F2" w:rsidRDefault="00E368F2" w:rsidP="00E368F2">
      <w:pPr>
        <w:numPr>
          <w:ilvl w:val="0"/>
          <w:numId w:val="19"/>
        </w:numPr>
        <w:spacing w:after="0" w:line="240" w:lineRule="auto"/>
        <w:jc w:val="both"/>
        <w:rPr>
          <w:rFonts w:ascii="Arial" w:hAnsi="Arial" w:cs="David"/>
        </w:rPr>
      </w:pPr>
      <w:r>
        <w:rPr>
          <w:rFonts w:ascii="Arial" w:hAnsi="Arial" w:cs="David" w:hint="cs"/>
          <w:rtl/>
        </w:rPr>
        <w:t>הנדבכים</w:t>
      </w:r>
      <w:r w:rsidRPr="004D3C17">
        <w:rPr>
          <w:rFonts w:ascii="Arial" w:hAnsi="Arial" w:cs="David" w:hint="cs"/>
          <w:rtl/>
        </w:rPr>
        <w:t xml:space="preserve"> החשוב</w:t>
      </w:r>
      <w:r>
        <w:rPr>
          <w:rFonts w:ascii="Arial" w:hAnsi="Arial" w:cs="David" w:hint="cs"/>
          <w:rtl/>
        </w:rPr>
        <w:t>ים הם</w:t>
      </w:r>
      <w:r w:rsidRPr="004D3C17">
        <w:rPr>
          <w:rFonts w:ascii="Arial" w:hAnsi="Arial" w:cs="David" w:hint="cs"/>
          <w:rtl/>
        </w:rPr>
        <w:t xml:space="preserve"> </w:t>
      </w:r>
      <w:r w:rsidRPr="004D3C17">
        <w:rPr>
          <w:rFonts w:ascii="Arial" w:hAnsi="Arial" w:cs="David" w:hint="cs"/>
          <w:highlight w:val="yellow"/>
          <w:rtl/>
        </w:rPr>
        <w:t>הידיעה שהשירות שהאזרח מקבל מאותם עובדי ציבור הוא שירות שלא נגוע בפגיעה בטוהר המידות ובמנהל התקין וכן השמירה על תדמית השירות הציבורי כלפי הציבור</w:t>
      </w:r>
      <w:r w:rsidRPr="004D3C17">
        <w:rPr>
          <w:rFonts w:ascii="Arial" w:hAnsi="Arial" w:cs="David" w:hint="cs"/>
          <w:rtl/>
        </w:rPr>
        <w:t xml:space="preserve">. לדוגמא: חוק המתנות </w:t>
      </w:r>
      <w:r w:rsidRPr="004D3C17">
        <w:rPr>
          <w:rFonts w:ascii="Arial" w:hAnsi="Arial" w:cs="David"/>
          <w:rtl/>
        </w:rPr>
        <w:t>–</w:t>
      </w:r>
      <w:r w:rsidRPr="004D3C17">
        <w:rPr>
          <w:rFonts w:ascii="Arial" w:hAnsi="Arial" w:cs="David" w:hint="cs"/>
          <w:rtl/>
        </w:rPr>
        <w:t xml:space="preserve"> אנחנו לא רוצים שעובדי ציבור יקבלו מתנות על שירות שהם נותנים. השירות שהם נותנים לציבור צריך להיות שירות שוויוני אשר אינו קשור במתנה, טובת הנאה או אפליה בין קבוצות שונות באוכלוסיה.</w:t>
      </w:r>
      <w:r>
        <w:rPr>
          <w:rFonts w:ascii="Arial" w:hAnsi="Arial" w:cs="David" w:hint="cs"/>
          <w:rtl/>
        </w:rPr>
        <w:t xml:space="preserve"> </w:t>
      </w:r>
    </w:p>
    <w:p w:rsidR="00E368F2" w:rsidRDefault="00E368F2" w:rsidP="00E368F2">
      <w:pPr>
        <w:numPr>
          <w:ilvl w:val="0"/>
          <w:numId w:val="19"/>
        </w:numPr>
        <w:spacing w:after="0" w:line="240" w:lineRule="auto"/>
        <w:jc w:val="both"/>
        <w:rPr>
          <w:rFonts w:ascii="Arial" w:hAnsi="Arial" w:cs="David"/>
        </w:rPr>
      </w:pPr>
      <w:r>
        <w:rPr>
          <w:rFonts w:ascii="Arial" w:hAnsi="Arial" w:cs="David" w:hint="cs"/>
          <w:rtl/>
        </w:rPr>
        <w:t xml:space="preserve">נוכל לוודא זאת רק תוך מניעת שימוש לרעה בתפקיד או ניצול שלילי של הסמכויות שהוענקו להם. עיקר כוח האדם והתקציב וכן ההחלטות שמשפיעות על הציבור מצויות בידי הרשות המבצעת, ולכן עלינו לדאוג שהשירות הציבורי יהיה נקי ושוויוני, ואת זה משיגים ע"י הדין המשמעתי. </w:t>
      </w:r>
    </w:p>
    <w:p w:rsidR="00E368F2" w:rsidRDefault="00E368F2" w:rsidP="00E368F2">
      <w:pPr>
        <w:numPr>
          <w:ilvl w:val="0"/>
          <w:numId w:val="19"/>
        </w:numPr>
        <w:spacing w:after="0" w:line="240" w:lineRule="auto"/>
        <w:jc w:val="both"/>
        <w:rPr>
          <w:rFonts w:ascii="Arial" w:hAnsi="Arial" w:cs="David"/>
        </w:rPr>
      </w:pPr>
      <w:r>
        <w:rPr>
          <w:rFonts w:ascii="Arial" w:hAnsi="Arial" w:cs="David" w:hint="cs"/>
          <w:rtl/>
        </w:rPr>
        <w:t xml:space="preserve">החלק החשוב ביותר של דיני המשמעת של עובדי הציבור במובן הצר הוא </w:t>
      </w:r>
      <w:r w:rsidRPr="00993C75">
        <w:rPr>
          <w:rFonts w:ascii="Arial" w:hAnsi="Arial" w:cs="David" w:hint="cs"/>
          <w:highlight w:val="yellow"/>
          <w:rtl/>
        </w:rPr>
        <w:t>לשמור על הניהול התקין, על אמון הציבור, על טוהר המידות, על שמה הטוב של הרשות, על תדמיתה ומראיתה</w:t>
      </w:r>
      <w:r>
        <w:rPr>
          <w:rFonts w:ascii="Arial" w:hAnsi="Arial" w:cs="David" w:hint="cs"/>
          <w:rtl/>
        </w:rPr>
        <w:t xml:space="preserve">.  </w:t>
      </w:r>
    </w:p>
    <w:p w:rsidR="00E368F2" w:rsidRDefault="00E368F2" w:rsidP="00E368F2">
      <w:pPr>
        <w:spacing w:after="0" w:line="240" w:lineRule="auto"/>
        <w:jc w:val="both"/>
        <w:rPr>
          <w:rFonts w:ascii="Arial" w:hAnsi="Arial" w:cs="David"/>
          <w:rtl/>
        </w:rPr>
      </w:pPr>
    </w:p>
    <w:p w:rsidR="00E368F2" w:rsidRDefault="00E368F2" w:rsidP="00E368F2">
      <w:pPr>
        <w:spacing w:after="0" w:line="240" w:lineRule="auto"/>
        <w:jc w:val="both"/>
        <w:rPr>
          <w:rFonts w:ascii="Arial" w:hAnsi="Arial" w:cs="David"/>
        </w:rPr>
      </w:pPr>
      <w:r>
        <w:rPr>
          <w:rFonts w:ascii="Arial" w:hAnsi="Arial" w:cs="David" w:hint="cs"/>
          <w:u w:val="single"/>
          <w:rtl/>
        </w:rPr>
        <w:t>6.</w:t>
      </w:r>
      <w:r w:rsidRPr="003543A1">
        <w:rPr>
          <w:rFonts w:ascii="Arial" w:hAnsi="Arial" w:cs="David" w:hint="cs"/>
          <w:u w:val="single"/>
          <w:rtl/>
        </w:rPr>
        <w:t xml:space="preserve">הרציונאל </w:t>
      </w:r>
      <w:r>
        <w:rPr>
          <w:rFonts w:ascii="Arial" w:hAnsi="Arial" w:cs="David" w:hint="cs"/>
          <w:u w:val="single"/>
          <w:rtl/>
        </w:rPr>
        <w:t>של בעלי מקצועות שונים ה</w:t>
      </w:r>
      <w:r w:rsidRPr="003543A1">
        <w:rPr>
          <w:rFonts w:ascii="Arial" w:hAnsi="Arial" w:cs="David" w:hint="cs"/>
          <w:u w:val="single"/>
          <w:rtl/>
        </w:rPr>
        <w:t>משרתים את הציבור</w:t>
      </w:r>
      <w:r>
        <w:rPr>
          <w:rFonts w:ascii="Arial" w:hAnsi="Arial" w:cs="David" w:hint="cs"/>
          <w:rtl/>
        </w:rPr>
        <w:t xml:space="preserve">: </w:t>
      </w:r>
    </w:p>
    <w:p w:rsidR="00E368F2" w:rsidRDefault="00E368F2" w:rsidP="00E368F2">
      <w:pPr>
        <w:numPr>
          <w:ilvl w:val="0"/>
          <w:numId w:val="19"/>
        </w:numPr>
        <w:spacing w:after="0" w:line="240" w:lineRule="auto"/>
        <w:jc w:val="both"/>
        <w:rPr>
          <w:rFonts w:ascii="Arial" w:hAnsi="Arial" w:cs="David"/>
        </w:rPr>
      </w:pPr>
      <w:r>
        <w:rPr>
          <w:rFonts w:ascii="Arial" w:hAnsi="Arial" w:cs="David" w:hint="cs"/>
          <w:rtl/>
        </w:rPr>
        <w:t>בקבוצה הזו אנחנו עושים עסקה בין החברה לבין הפרופסיה</w:t>
      </w:r>
      <w:r w:rsidRPr="004D3C17">
        <w:rPr>
          <w:rFonts w:ascii="Arial" w:hAnsi="Arial" w:cs="David" w:hint="cs"/>
          <w:rtl/>
        </w:rPr>
        <w:t>.</w:t>
      </w:r>
      <w:r>
        <w:rPr>
          <w:rFonts w:ascii="Arial" w:hAnsi="Arial" w:cs="David" w:hint="cs"/>
          <w:rtl/>
        </w:rPr>
        <w:t xml:space="preserve"> </w:t>
      </w:r>
      <w:r w:rsidRPr="003543A1">
        <w:rPr>
          <w:rFonts w:ascii="Arial" w:hAnsi="Arial" w:cs="David" w:hint="cs"/>
          <w:highlight w:val="yellow"/>
          <w:rtl/>
        </w:rPr>
        <w:t>החברה מכירה בייחודיות של המקצועות הללו. היא מכירה בעובדה שלא כל אחד יכול לעסוק בתחום הזה</w:t>
      </w:r>
      <w:r>
        <w:rPr>
          <w:rFonts w:ascii="Arial" w:hAnsi="Arial" w:cs="David" w:hint="cs"/>
          <w:rtl/>
        </w:rPr>
        <w:t xml:space="preserve">, אלא הוא צריך לקבל רישיון לשם כך. לרוב הרישיון ניתן רק אחרי עמידה בקריטריונים לא פשוטים של מבחנים והתמחות (לימוד מעשי). אבל אחרי שזוכים לקבלת המקצוע, </w:t>
      </w:r>
      <w:r w:rsidRPr="003543A1">
        <w:rPr>
          <w:rFonts w:ascii="Arial" w:hAnsi="Arial" w:cs="David" w:hint="cs"/>
          <w:highlight w:val="yellow"/>
          <w:rtl/>
        </w:rPr>
        <w:t>החברה דורשת מאותם אנשים רף התנהגות גבוה</w:t>
      </w:r>
      <w:r>
        <w:rPr>
          <w:rFonts w:ascii="Arial" w:hAnsi="Arial" w:cs="David" w:hint="cs"/>
          <w:rtl/>
        </w:rPr>
        <w:t xml:space="preserve">, הקובע שמי שמפר את אותם כללים לא יוכל לעסוק במקצוע יותר ולא יהיה חלק מן הפרופסיה. לדוגמא: פעם לא היה צורך ברישיון כדי להיות חוקר פרטי. מה שקרה זה שאותם אנשים פגעו בחוק האזנת סתר, חוק הפרטיות וחוק לשון הרע, וכתגובה החברה דרשה להסדיר את המקצוע הזה. כך יש כללי אתיקה שקובעים שאסור לחוקר פרטי להתחזות לאחר (כמו שוטר). מותר לתת לאובייקט לחשוב לבד מי אתה, אבל אסור להתחזות. לאותו אדם גם אסור לבצע האזנת סתר לשני אנשים אחרים. הוא יכול להקליט רק שיחה שהוא שותף לה.  </w:t>
      </w:r>
    </w:p>
    <w:p w:rsidR="00E368F2" w:rsidRDefault="00E368F2" w:rsidP="00424E7F">
      <w:pPr>
        <w:spacing w:after="0" w:line="240" w:lineRule="auto"/>
        <w:ind w:left="180"/>
        <w:jc w:val="both"/>
        <w:rPr>
          <w:rFonts w:ascii="Arial" w:hAnsi="Arial" w:cs="David"/>
          <w:rtl/>
        </w:rPr>
      </w:pPr>
    </w:p>
    <w:p w:rsidR="00F14B7D" w:rsidRDefault="00F14B7D" w:rsidP="00F14B7D">
      <w:pPr>
        <w:spacing w:after="0" w:line="240" w:lineRule="auto"/>
        <w:jc w:val="both"/>
        <w:rPr>
          <w:rFonts w:ascii="Arial" w:hAnsi="Arial" w:cs="David"/>
          <w:rtl/>
        </w:rPr>
      </w:pPr>
    </w:p>
    <w:p w:rsidR="00F14B7D" w:rsidRPr="000F3177" w:rsidRDefault="00F14B7D" w:rsidP="00F14B7D">
      <w:pPr>
        <w:spacing w:after="0" w:line="240" w:lineRule="auto"/>
        <w:jc w:val="both"/>
        <w:rPr>
          <w:rFonts w:ascii="Arial" w:hAnsi="Arial" w:cs="David"/>
        </w:rPr>
      </w:pPr>
      <w:r w:rsidRPr="000F3177">
        <w:rPr>
          <w:rFonts w:ascii="Arial" w:hAnsi="Arial" w:cs="David" w:hint="cs"/>
          <w:u w:val="single"/>
          <w:rtl/>
        </w:rPr>
        <w:t>פסקי הדין המשמעתיים של שופטים היחידים שפורסמו מאז קום המדינה</w:t>
      </w:r>
      <w:r>
        <w:rPr>
          <w:rFonts w:ascii="Arial" w:hAnsi="Arial" w:cs="David" w:hint="cs"/>
          <w:rtl/>
        </w:rPr>
        <w:t xml:space="preserve">: </w:t>
      </w:r>
    </w:p>
    <w:p w:rsidR="00F14B7D" w:rsidRDefault="00F14B7D" w:rsidP="00F00E11">
      <w:pPr>
        <w:numPr>
          <w:ilvl w:val="0"/>
          <w:numId w:val="20"/>
        </w:numPr>
        <w:spacing w:after="0" w:line="240" w:lineRule="auto"/>
        <w:jc w:val="both"/>
        <w:rPr>
          <w:rFonts w:ascii="Arial" w:hAnsi="Arial" w:cs="David"/>
        </w:rPr>
      </w:pPr>
      <w:r w:rsidRPr="00800189">
        <w:rPr>
          <w:rFonts w:ascii="Arial" w:hAnsi="Arial" w:cs="David" w:hint="cs"/>
          <w:b/>
          <w:bCs/>
          <w:rtl/>
        </w:rPr>
        <w:t>פסק הדין המשמעתי בעניינו של השופט יצחק ארבל</w:t>
      </w:r>
      <w:r>
        <w:rPr>
          <w:rFonts w:ascii="Arial" w:hAnsi="Arial" w:cs="David" w:hint="cs"/>
          <w:rtl/>
        </w:rPr>
        <w:t xml:space="preserve"> </w:t>
      </w:r>
      <w:r>
        <w:rPr>
          <w:rFonts w:ascii="Arial" w:hAnsi="Arial" w:cs="David"/>
          <w:rtl/>
        </w:rPr>
        <w:t>–</w:t>
      </w:r>
      <w:r>
        <w:rPr>
          <w:rFonts w:ascii="Arial" w:hAnsi="Arial" w:cs="David" w:hint="cs"/>
          <w:rtl/>
        </w:rPr>
        <w:t xml:space="preserve"> שופט תעבורה שנטען כי שינה פרוטוקולים. הוא ביקש להתחשב בכך שיש עומס בבתי המשפט וקשה לשמוע תיקים כל יום. </w:t>
      </w:r>
      <w:r w:rsidR="00F00E11">
        <w:rPr>
          <w:rFonts w:ascii="Arial" w:hAnsi="Arial" w:cs="David" w:hint="cs"/>
          <w:rtl/>
        </w:rPr>
        <w:t>סכום הקצבה שתשלום לו תהיה 35% ממשכורתו (בפנסיה). פסה"ד יפורסם ולא יהיה בדלתיים סגורות.</w:t>
      </w:r>
      <w:r>
        <w:rPr>
          <w:rFonts w:ascii="Arial" w:hAnsi="Arial" w:cs="David" w:hint="cs"/>
          <w:rtl/>
        </w:rPr>
        <w:t xml:space="preserve"> </w:t>
      </w:r>
    </w:p>
    <w:p w:rsidR="009D0E23" w:rsidRPr="00B679DD" w:rsidRDefault="00F14B7D" w:rsidP="00D923A0">
      <w:pPr>
        <w:numPr>
          <w:ilvl w:val="0"/>
          <w:numId w:val="20"/>
        </w:numPr>
        <w:spacing w:after="0" w:line="240" w:lineRule="auto"/>
        <w:jc w:val="both"/>
        <w:rPr>
          <w:rFonts w:ascii="Arial" w:hAnsi="Arial" w:cs="David"/>
        </w:rPr>
      </w:pPr>
      <w:r w:rsidRPr="00FB5DDD">
        <w:rPr>
          <w:rFonts w:ascii="Arial" w:hAnsi="Arial" w:cs="David" w:hint="cs"/>
          <w:b/>
          <w:bCs/>
          <w:rtl/>
        </w:rPr>
        <w:t>פסק הדין המשמעתי בעניינו של השופט בן שחר חריפאי</w:t>
      </w:r>
      <w:r>
        <w:rPr>
          <w:rFonts w:ascii="Arial" w:hAnsi="Arial" w:cs="David" w:hint="cs"/>
          <w:rtl/>
        </w:rPr>
        <w:t xml:space="preserve"> </w:t>
      </w:r>
      <w:r>
        <w:rPr>
          <w:rFonts w:ascii="Arial" w:hAnsi="Arial" w:cs="David"/>
          <w:rtl/>
        </w:rPr>
        <w:t>–</w:t>
      </w:r>
      <w:r>
        <w:rPr>
          <w:rFonts w:ascii="Arial" w:hAnsi="Arial" w:cs="David" w:hint="cs"/>
          <w:rtl/>
        </w:rPr>
        <w:t xml:space="preserve"> שופט תעבורה שנטען כי קיבל כרטיסים למשחק מצד אחד המתדיינים תמורת הכרעה מסוימת במשפט. העונש שהוטל עליו</w:t>
      </w:r>
      <w:r w:rsidR="00D923A0">
        <w:rPr>
          <w:rFonts w:ascii="Arial" w:hAnsi="Arial" w:cs="David" w:hint="cs"/>
          <w:rtl/>
        </w:rPr>
        <w:t xml:space="preserve"> הוא העברה מתפקיד, אך </w:t>
      </w:r>
      <w:r w:rsidR="00D43AF2">
        <w:rPr>
          <w:rFonts w:ascii="Arial" w:hAnsi="Arial" w:cs="David" w:hint="cs"/>
          <w:rtl/>
        </w:rPr>
        <w:t>לא פגעו לו בפנסיה.</w:t>
      </w:r>
    </w:p>
    <w:p w:rsidR="00F14B7D" w:rsidRDefault="00F14B7D" w:rsidP="00F14B7D">
      <w:pPr>
        <w:numPr>
          <w:ilvl w:val="0"/>
          <w:numId w:val="20"/>
        </w:numPr>
        <w:spacing w:after="0" w:line="240" w:lineRule="auto"/>
        <w:jc w:val="both"/>
        <w:rPr>
          <w:rFonts w:ascii="Arial" w:hAnsi="Arial" w:cs="David"/>
        </w:rPr>
      </w:pPr>
      <w:r w:rsidRPr="00277A55">
        <w:rPr>
          <w:rFonts w:ascii="Arial" w:hAnsi="Arial" w:cs="David" w:hint="cs"/>
          <w:b/>
          <w:bCs/>
          <w:rtl/>
        </w:rPr>
        <w:t>פסק הדין המשמעתי בעניינה של הילה כהן</w:t>
      </w:r>
      <w:r>
        <w:rPr>
          <w:rFonts w:ascii="Arial" w:hAnsi="Arial" w:cs="David" w:hint="cs"/>
          <w:rtl/>
        </w:rPr>
        <w:t xml:space="preserve"> </w:t>
      </w:r>
      <w:r>
        <w:rPr>
          <w:rFonts w:ascii="Arial" w:hAnsi="Arial" w:cs="David"/>
          <w:rtl/>
        </w:rPr>
        <w:t>–</w:t>
      </w:r>
      <w:r>
        <w:rPr>
          <w:rFonts w:ascii="Arial" w:hAnsi="Arial" w:cs="David" w:hint="cs"/>
          <w:rtl/>
        </w:rPr>
        <w:t xml:space="preserve"> שופטת תעבורה שנטען כי ערכה פרוטוקולים בניגוד למה שהתרחש בבית המשפט. בגזר הדין נקבע כי היא תועבר למחוז אחר וקיבלה נזיפה חמורה. שרת המשפטים לא כיבדה את פסק הדין המשמעתי </w:t>
      </w:r>
      <w:r w:rsidRPr="00B679DD">
        <w:rPr>
          <w:rFonts w:ascii="Arial" w:hAnsi="Arial" w:cs="David" w:hint="cs"/>
          <w:u w:val="single"/>
          <w:rtl/>
        </w:rPr>
        <w:t>ופתחה בהליך מנהלי להדחת השופטת,</w:t>
      </w:r>
      <w:r>
        <w:rPr>
          <w:rFonts w:ascii="Arial" w:hAnsi="Arial" w:cs="David" w:hint="cs"/>
          <w:rtl/>
        </w:rPr>
        <w:t xml:space="preserve"> כיו"ר הוועדה למינוי שופטים. ועדה זו יכולה להדיח שופטים ברוב של 7 שופטים, וההדחה צלחה. </w:t>
      </w:r>
    </w:p>
    <w:p w:rsidR="00F14B7D" w:rsidRDefault="00F14B7D" w:rsidP="00F14B7D">
      <w:pPr>
        <w:spacing w:after="0" w:line="240" w:lineRule="auto"/>
        <w:jc w:val="both"/>
        <w:rPr>
          <w:rFonts w:ascii="Arial" w:hAnsi="Arial" w:cs="David"/>
          <w:b/>
          <w:bCs/>
          <w:rtl/>
        </w:rPr>
      </w:pPr>
    </w:p>
    <w:p w:rsidR="00F14B7D" w:rsidRDefault="00F14B7D" w:rsidP="00F14B7D">
      <w:pPr>
        <w:spacing w:after="0" w:line="240" w:lineRule="auto"/>
        <w:jc w:val="both"/>
        <w:rPr>
          <w:rFonts w:ascii="Arial" w:hAnsi="Arial" w:cs="David"/>
          <w:b/>
          <w:bCs/>
          <w:rtl/>
        </w:rPr>
      </w:pPr>
      <w:r w:rsidRPr="00E5742B">
        <w:rPr>
          <w:rFonts w:ascii="Arial" w:hAnsi="Arial" w:cs="David" w:hint="cs"/>
          <w:highlight w:val="yellow"/>
          <w:rtl/>
        </w:rPr>
        <w:t>המשותף לפס"ד אלו היא טענת השופטים על העומס הרב בבתי המשפט, והתשובה של בתי הדין המשמעתיים היא ששופט שלא יכול להתמודד עם העומס שיתפטר מתפקידו</w:t>
      </w:r>
      <w:r>
        <w:rPr>
          <w:rFonts w:ascii="Arial" w:hAnsi="Arial" w:cs="David" w:hint="cs"/>
          <w:rtl/>
        </w:rPr>
        <w:t>. בכל אופן, עומס עבודה אינו מהווה עילה לפגיעה בהליכים התקינים של ניהול המשפט. הייתה ביקורת גדולה כנגד העובדה שדווקא פסקי דין אלו פורסמו, והטענה הייתה שבגלל שמדובר בערכאות שוליים ובשופטי תעבורה הם פורסמו.</w:t>
      </w:r>
    </w:p>
    <w:p w:rsidR="00F14B7D" w:rsidRDefault="00F14B7D" w:rsidP="00F14B7D">
      <w:pPr>
        <w:spacing w:after="0" w:line="240" w:lineRule="auto"/>
        <w:jc w:val="both"/>
        <w:rPr>
          <w:rFonts w:ascii="Arial" w:hAnsi="Arial" w:cs="David"/>
          <w:b/>
          <w:bCs/>
          <w:rtl/>
        </w:rPr>
      </w:pPr>
    </w:p>
    <w:p w:rsidR="00F14B7D" w:rsidRDefault="00F14B7D" w:rsidP="00F14B7D">
      <w:pPr>
        <w:spacing w:after="0" w:line="240" w:lineRule="auto"/>
        <w:jc w:val="both"/>
        <w:rPr>
          <w:rFonts w:ascii="Arial" w:hAnsi="Arial" w:cs="David"/>
          <w:rtl/>
        </w:rPr>
      </w:pPr>
      <w:r w:rsidRPr="003A2EF8">
        <w:rPr>
          <w:rFonts w:ascii="Arial" w:hAnsi="Arial" w:cs="David" w:hint="cs"/>
          <w:u w:val="single"/>
          <w:rtl/>
        </w:rPr>
        <w:t>יש שתי דרכים להדחת שופט?</w:t>
      </w:r>
    </w:p>
    <w:p w:rsidR="00F14B7D" w:rsidRDefault="00F14B7D" w:rsidP="00F14B7D">
      <w:pPr>
        <w:numPr>
          <w:ilvl w:val="0"/>
          <w:numId w:val="21"/>
        </w:numPr>
        <w:spacing w:after="0" w:line="240" w:lineRule="auto"/>
        <w:jc w:val="both"/>
        <w:rPr>
          <w:rFonts w:ascii="Arial" w:hAnsi="Arial" w:cs="David"/>
        </w:rPr>
      </w:pPr>
      <w:r w:rsidRPr="003A0A21">
        <w:rPr>
          <w:rFonts w:ascii="Arial" w:hAnsi="Arial" w:cs="David" w:hint="cs"/>
          <w:b/>
          <w:bCs/>
          <w:rtl/>
        </w:rPr>
        <w:t>הליך משמעתי</w:t>
      </w:r>
      <w:r>
        <w:rPr>
          <w:rFonts w:ascii="Arial" w:hAnsi="Arial" w:cs="David" w:hint="cs"/>
          <w:rtl/>
        </w:rPr>
        <w:t xml:space="preserve"> מסודר דרך בית דין משמעתי.  </w:t>
      </w:r>
    </w:p>
    <w:p w:rsidR="00F14B7D" w:rsidRPr="003A2EF8" w:rsidRDefault="00F14B7D" w:rsidP="00F14B7D">
      <w:pPr>
        <w:numPr>
          <w:ilvl w:val="0"/>
          <w:numId w:val="21"/>
        </w:numPr>
        <w:spacing w:after="0" w:line="240" w:lineRule="auto"/>
        <w:jc w:val="both"/>
        <w:rPr>
          <w:rFonts w:ascii="Arial" w:hAnsi="Arial" w:cs="David"/>
          <w:rtl/>
        </w:rPr>
      </w:pPr>
      <w:r w:rsidRPr="003A0A21">
        <w:rPr>
          <w:rFonts w:ascii="Arial" w:hAnsi="Arial" w:cs="David" w:hint="cs"/>
          <w:b/>
          <w:bCs/>
          <w:rtl/>
        </w:rPr>
        <w:t>הדחה מנהלית</w:t>
      </w:r>
      <w:r w:rsidRPr="003A2EF8">
        <w:rPr>
          <w:rFonts w:ascii="Arial" w:hAnsi="Arial" w:cs="David" w:hint="cs"/>
          <w:rtl/>
        </w:rPr>
        <w:t xml:space="preserve"> </w:t>
      </w:r>
      <w:r w:rsidRPr="003A2EF8">
        <w:rPr>
          <w:rFonts w:ascii="Arial" w:hAnsi="Arial" w:cs="David"/>
          <w:rtl/>
        </w:rPr>
        <w:t>–</w:t>
      </w:r>
      <w:r w:rsidRPr="003A2EF8">
        <w:rPr>
          <w:rFonts w:ascii="Arial" w:hAnsi="Arial" w:cs="David" w:hint="cs"/>
          <w:rtl/>
        </w:rPr>
        <w:t xml:space="preserve"> אם 7 מתוך 9 חברי הוועדה לבחירת שופטים מחליטים להדיח שופט. זה קצת בעייתי ששר המשפטים שיש לו אופציה לבחור באחד מן המסלולים ואינו מרוצה מהתוצאה באחד מהם ישתמש גם בהליך השני. במקרה של הילה כהן, שרת המשפטים פתחה בהליך משמעתי ולא הייתה מרוצה מתוצאתו, ולכן פנתה לדרך השנייה של הדחה מנהלית.</w:t>
      </w:r>
      <w:r>
        <w:rPr>
          <w:rFonts w:ascii="Arial" w:hAnsi="Arial" w:cs="David" w:hint="cs"/>
          <w:rtl/>
        </w:rPr>
        <w:t xml:space="preserve"> לדעת המרצה, על שר המשפטים לבחור רק בהליך אחד ולהשלים עם התוצאה שלו. </w:t>
      </w:r>
      <w:r w:rsidRPr="003A2EF8">
        <w:rPr>
          <w:rFonts w:ascii="Arial" w:hAnsi="Arial" w:cs="David" w:hint="cs"/>
          <w:rtl/>
        </w:rPr>
        <w:t xml:space="preserve"> </w:t>
      </w:r>
    </w:p>
    <w:p w:rsidR="00424E7F" w:rsidRPr="00407212" w:rsidRDefault="00424E7F" w:rsidP="00EB5710">
      <w:pPr>
        <w:spacing w:after="0" w:line="240" w:lineRule="auto"/>
        <w:rPr>
          <w:rFonts w:ascii="Arial" w:hAnsi="Arial" w:cs="David"/>
          <w:rtl/>
        </w:rPr>
      </w:pPr>
    </w:p>
    <w:p w:rsidR="005F3E24" w:rsidRDefault="005F3E24" w:rsidP="00EB5710">
      <w:pPr>
        <w:spacing w:after="0" w:line="240" w:lineRule="auto"/>
        <w:rPr>
          <w:rFonts w:ascii="Arial" w:hAnsi="Arial" w:cs="David"/>
          <w:rtl/>
        </w:rPr>
      </w:pPr>
    </w:p>
    <w:p w:rsidR="003C0E87" w:rsidRDefault="003C0E87" w:rsidP="003C0E87">
      <w:pPr>
        <w:pStyle w:val="NoSpacing"/>
        <w:bidi/>
        <w:ind w:right="-720"/>
        <w:rPr>
          <w:rFonts w:cs="David"/>
          <w:rtl/>
        </w:rPr>
      </w:pPr>
    </w:p>
    <w:p w:rsidR="000C5187" w:rsidRDefault="000C5187" w:rsidP="000C5187">
      <w:pPr>
        <w:spacing w:after="0" w:line="240" w:lineRule="auto"/>
        <w:jc w:val="both"/>
        <w:rPr>
          <w:rFonts w:ascii="Arial" w:hAnsi="Arial" w:cs="David"/>
          <w:rtl/>
        </w:rPr>
      </w:pPr>
      <w:r w:rsidRPr="00E158D1">
        <w:rPr>
          <w:rFonts w:ascii="Arial" w:hAnsi="Arial" w:cs="David" w:hint="cs"/>
          <w:u w:val="single"/>
          <w:rtl/>
        </w:rPr>
        <w:t>ממה נובע אמון הציבור במערכת המשפט?</w:t>
      </w:r>
    </w:p>
    <w:p w:rsidR="000C5187" w:rsidRDefault="000C5187" w:rsidP="000C5187">
      <w:pPr>
        <w:spacing w:after="0" w:line="240" w:lineRule="auto"/>
        <w:jc w:val="both"/>
        <w:rPr>
          <w:rFonts w:ascii="Arial" w:hAnsi="Arial" w:cs="David"/>
          <w:rtl/>
        </w:rPr>
      </w:pPr>
      <w:r>
        <w:rPr>
          <w:rFonts w:ascii="Arial" w:hAnsi="Arial" w:cs="David" w:hint="cs"/>
          <w:rtl/>
        </w:rPr>
        <w:t xml:space="preserve">מחקרים רבים שבוצעו מצאו שיש </w:t>
      </w:r>
      <w:r w:rsidRPr="005B1488">
        <w:rPr>
          <w:rFonts w:ascii="Arial" w:hAnsi="Arial" w:cs="David" w:hint="cs"/>
          <w:highlight w:val="yellow"/>
          <w:rtl/>
        </w:rPr>
        <w:t>5 נקודות עיקריות המשפיעות על אמון הציבור במערכת המשפט</w:t>
      </w:r>
      <w:r>
        <w:rPr>
          <w:rFonts w:ascii="Arial" w:hAnsi="Arial" w:cs="David" w:hint="cs"/>
          <w:rtl/>
        </w:rPr>
        <w:t xml:space="preserve">: </w:t>
      </w:r>
    </w:p>
    <w:p w:rsidR="000C5187" w:rsidRDefault="000C5187" w:rsidP="000C5187">
      <w:pPr>
        <w:numPr>
          <w:ilvl w:val="0"/>
          <w:numId w:val="22"/>
        </w:numPr>
        <w:spacing w:after="0" w:line="240" w:lineRule="auto"/>
        <w:jc w:val="both"/>
        <w:rPr>
          <w:rFonts w:ascii="Arial" w:hAnsi="Arial" w:cs="David"/>
        </w:rPr>
      </w:pPr>
      <w:r w:rsidRPr="005B1488">
        <w:rPr>
          <w:rFonts w:ascii="Arial" w:hAnsi="Arial" w:cs="David" w:hint="cs"/>
          <w:b/>
          <w:bCs/>
          <w:rtl/>
        </w:rPr>
        <w:t>היושר האישי של השופט</w:t>
      </w:r>
      <w:r>
        <w:rPr>
          <w:rFonts w:ascii="Arial" w:hAnsi="Arial" w:cs="David" w:hint="cs"/>
          <w:rtl/>
        </w:rPr>
        <w:t xml:space="preserve">. </w:t>
      </w:r>
    </w:p>
    <w:p w:rsidR="000C5187" w:rsidRDefault="000C5187" w:rsidP="000C5187">
      <w:pPr>
        <w:numPr>
          <w:ilvl w:val="0"/>
          <w:numId w:val="22"/>
        </w:numPr>
        <w:spacing w:after="0" w:line="240" w:lineRule="auto"/>
        <w:jc w:val="both"/>
        <w:rPr>
          <w:rFonts w:ascii="Arial" w:hAnsi="Arial" w:cs="David"/>
        </w:rPr>
      </w:pPr>
      <w:r w:rsidRPr="005B1488">
        <w:rPr>
          <w:rFonts w:ascii="Arial" w:hAnsi="Arial" w:cs="David" w:hint="cs"/>
          <w:b/>
          <w:bCs/>
          <w:rtl/>
        </w:rPr>
        <w:t>שוויון המתדיינים ללא קשר ללאום, דת, מין ומוצא</w:t>
      </w:r>
      <w:r>
        <w:rPr>
          <w:rFonts w:ascii="Arial" w:hAnsi="Arial" w:cs="David" w:hint="cs"/>
          <w:rtl/>
        </w:rPr>
        <w:t xml:space="preserve"> </w:t>
      </w:r>
      <w:r>
        <w:rPr>
          <w:rFonts w:ascii="Arial" w:hAnsi="Arial" w:cs="David"/>
          <w:rtl/>
        </w:rPr>
        <w:t>–</w:t>
      </w:r>
      <w:r>
        <w:rPr>
          <w:rFonts w:ascii="Arial" w:hAnsi="Arial" w:cs="David" w:hint="cs"/>
          <w:rtl/>
        </w:rPr>
        <w:t xml:space="preserve"> עם זאת, לא רק המופלים לרעה מרגישים שאין שוויון, אלא לפעמים דווקא המופלים לטובה עשויים להרגיש כך (כך הרגישו הלבנים בדרום אפריקה).  </w:t>
      </w:r>
    </w:p>
    <w:p w:rsidR="000C5187" w:rsidRDefault="000C5187" w:rsidP="000C5187">
      <w:pPr>
        <w:numPr>
          <w:ilvl w:val="0"/>
          <w:numId w:val="22"/>
        </w:numPr>
        <w:spacing w:after="0" w:line="240" w:lineRule="auto"/>
        <w:jc w:val="both"/>
        <w:rPr>
          <w:rFonts w:ascii="Arial" w:hAnsi="Arial" w:cs="David"/>
        </w:rPr>
      </w:pPr>
      <w:r w:rsidRPr="00512005">
        <w:rPr>
          <w:rFonts w:ascii="Arial" w:hAnsi="Arial" w:cs="David" w:hint="cs"/>
          <w:b/>
          <w:bCs/>
          <w:rtl/>
        </w:rPr>
        <w:t>הקשבה לצדדים</w:t>
      </w:r>
      <w:r>
        <w:rPr>
          <w:rFonts w:ascii="Arial" w:hAnsi="Arial" w:cs="David" w:hint="cs"/>
          <w:rtl/>
        </w:rPr>
        <w:t xml:space="preserve"> </w:t>
      </w:r>
      <w:r>
        <w:rPr>
          <w:rFonts w:ascii="Arial" w:hAnsi="Arial" w:cs="David"/>
          <w:rtl/>
        </w:rPr>
        <w:t>–</w:t>
      </w:r>
      <w:r>
        <w:rPr>
          <w:rFonts w:ascii="Arial" w:hAnsi="Arial" w:cs="David" w:hint="cs"/>
          <w:rtl/>
        </w:rPr>
        <w:t xml:space="preserve"> צד יכול להשלים עם פסק דין שניתן כנגדו, ובלבד שהוא הרגיש שהשופט הקשיב לו. הדבר הכי גרוע הוא שאדם יודע עם תוצאה לא טובה ואומר: "אם רק השופט היה מקשיב לי, התוצאה הייתה שונה". </w:t>
      </w:r>
    </w:p>
    <w:p w:rsidR="000C5187" w:rsidRDefault="000C5187" w:rsidP="000C5187">
      <w:pPr>
        <w:numPr>
          <w:ilvl w:val="0"/>
          <w:numId w:val="22"/>
        </w:numPr>
        <w:spacing w:after="0" w:line="240" w:lineRule="auto"/>
        <w:jc w:val="both"/>
        <w:rPr>
          <w:rFonts w:ascii="Arial" w:hAnsi="Arial" w:cs="David"/>
        </w:rPr>
      </w:pPr>
      <w:r>
        <w:rPr>
          <w:rFonts w:ascii="Arial" w:hAnsi="Arial" w:cs="David" w:hint="cs"/>
          <w:b/>
          <w:bCs/>
          <w:rtl/>
        </w:rPr>
        <w:t xml:space="preserve">סחבת </w:t>
      </w:r>
      <w:r w:rsidRPr="00512005">
        <w:rPr>
          <w:rFonts w:ascii="Arial" w:hAnsi="Arial" w:cs="David" w:hint="cs"/>
          <w:b/>
          <w:bCs/>
          <w:rtl/>
        </w:rPr>
        <w:t>/ עינוי דין</w:t>
      </w:r>
      <w:r>
        <w:rPr>
          <w:rFonts w:ascii="Arial" w:hAnsi="Arial" w:cs="David" w:hint="cs"/>
          <w:rtl/>
        </w:rPr>
        <w:t xml:space="preserve"> </w:t>
      </w:r>
      <w:r>
        <w:rPr>
          <w:rFonts w:ascii="Arial" w:hAnsi="Arial" w:cs="David"/>
          <w:rtl/>
        </w:rPr>
        <w:t>–</w:t>
      </w:r>
      <w:r>
        <w:rPr>
          <w:rFonts w:ascii="Arial" w:hAnsi="Arial" w:cs="David" w:hint="cs"/>
          <w:rtl/>
        </w:rPr>
        <w:t xml:space="preserve"> לפעמים גם מי שזוכה במשפט מאבד את האמון במערכת בגלל סחבת שמביאה לכך שפסק הדין ניתן לאחר שנים רבות. לפיכך, לפעמים עדיף לפסוק בצורה מהירה יותר וקצת פחות טובה. </w:t>
      </w:r>
    </w:p>
    <w:p w:rsidR="000C5187" w:rsidRDefault="000C5187" w:rsidP="000C5187">
      <w:pPr>
        <w:numPr>
          <w:ilvl w:val="0"/>
          <w:numId w:val="22"/>
        </w:numPr>
        <w:spacing w:after="0" w:line="240" w:lineRule="auto"/>
        <w:jc w:val="both"/>
        <w:rPr>
          <w:rFonts w:ascii="Arial" w:hAnsi="Arial" w:cs="David"/>
          <w:rtl/>
        </w:rPr>
      </w:pPr>
      <w:r>
        <w:rPr>
          <w:rFonts w:ascii="Arial" w:hAnsi="Arial" w:cs="David" w:hint="cs"/>
          <w:b/>
          <w:bCs/>
          <w:rtl/>
        </w:rPr>
        <w:t>אורח חיים צנוע מצד השופט</w:t>
      </w:r>
      <w:r>
        <w:rPr>
          <w:rFonts w:ascii="Arial" w:hAnsi="Arial" w:cs="David" w:hint="cs"/>
          <w:rtl/>
        </w:rPr>
        <w:t xml:space="preserve"> </w:t>
      </w:r>
      <w:r>
        <w:rPr>
          <w:rFonts w:ascii="Arial" w:hAnsi="Arial" w:cs="David"/>
          <w:rtl/>
        </w:rPr>
        <w:t>–</w:t>
      </w:r>
      <w:r>
        <w:rPr>
          <w:rFonts w:ascii="Arial" w:hAnsi="Arial" w:cs="David" w:hint="cs"/>
          <w:rtl/>
        </w:rPr>
        <w:t xml:space="preserve"> הציבור מחפש שופטים שיודעים איך להתנהל בציבור ולהיות בעלי אורח חיים לא בזבזני.  </w:t>
      </w:r>
    </w:p>
    <w:p w:rsidR="000C5187" w:rsidRDefault="000C5187" w:rsidP="000C5187">
      <w:pPr>
        <w:pStyle w:val="NoSpacing"/>
        <w:bidi/>
        <w:spacing w:line="276" w:lineRule="auto"/>
      </w:pPr>
    </w:p>
    <w:p w:rsidR="000C5187" w:rsidRPr="000C5187" w:rsidRDefault="000C5187" w:rsidP="000C5187">
      <w:pPr>
        <w:pStyle w:val="NoSpacing"/>
        <w:bidi/>
        <w:spacing w:line="276" w:lineRule="auto"/>
        <w:rPr>
          <w:rFonts w:cs="David"/>
          <w:rtl/>
        </w:rPr>
      </w:pPr>
    </w:p>
    <w:p w:rsidR="000C5187" w:rsidRPr="000C5187" w:rsidRDefault="000C5187" w:rsidP="000C5187">
      <w:pPr>
        <w:pStyle w:val="NoSpacing"/>
        <w:bidi/>
        <w:spacing w:line="276" w:lineRule="auto"/>
        <w:rPr>
          <w:rFonts w:cs="David"/>
          <w:rtl/>
        </w:rPr>
      </w:pPr>
    </w:p>
    <w:p w:rsidR="000C5187" w:rsidRPr="000C5187" w:rsidRDefault="000C5187" w:rsidP="000C5187">
      <w:pPr>
        <w:pStyle w:val="NoSpacing"/>
        <w:bidi/>
        <w:spacing w:line="276" w:lineRule="auto"/>
        <w:rPr>
          <w:rFonts w:cs="David"/>
          <w:b/>
          <w:bCs/>
          <w:u w:val="single"/>
          <w:rtl/>
        </w:rPr>
      </w:pPr>
      <w:r w:rsidRPr="000C5187">
        <w:rPr>
          <w:rFonts w:cs="David"/>
          <w:b/>
          <w:bCs/>
          <w:u w:val="single"/>
          <w:rtl/>
        </w:rPr>
        <w:t xml:space="preserve"> ההיסטוריה של הקמת ערכאות משמעת בישראל-</w:t>
      </w:r>
    </w:p>
    <w:p w:rsidR="000C5187" w:rsidRPr="000C5187" w:rsidRDefault="000C5187" w:rsidP="000C5187">
      <w:pPr>
        <w:pStyle w:val="NoSpacing"/>
        <w:bidi/>
        <w:spacing w:line="276" w:lineRule="auto"/>
        <w:rPr>
          <w:rFonts w:cs="David"/>
          <w:b/>
          <w:bCs/>
          <w:u w:val="single"/>
          <w:rtl/>
        </w:rPr>
      </w:pPr>
    </w:p>
    <w:p w:rsidR="000C5187" w:rsidRPr="000C5187" w:rsidRDefault="000C5187" w:rsidP="002A1CDC">
      <w:pPr>
        <w:pStyle w:val="NoSpacing"/>
        <w:bidi/>
        <w:spacing w:line="276" w:lineRule="auto"/>
        <w:rPr>
          <w:rFonts w:cs="David"/>
          <w:rtl/>
        </w:rPr>
      </w:pPr>
      <w:r w:rsidRPr="000C5187">
        <w:rPr>
          <w:rFonts w:cs="David"/>
          <w:rtl/>
        </w:rPr>
        <w:t>אפשר לאפיין 3 שלבים היסטוריים עיקריים להקמתם וביסוסם של ערכאות המשמעת לאחר הקמת המדינה.</w:t>
      </w:r>
    </w:p>
    <w:p w:rsidR="000C5187" w:rsidRPr="000C5187" w:rsidRDefault="000C5187" w:rsidP="000C5187">
      <w:pPr>
        <w:pStyle w:val="NoSpacing"/>
        <w:bidi/>
        <w:spacing w:line="276" w:lineRule="auto"/>
        <w:rPr>
          <w:rFonts w:cs="David"/>
          <w:rtl/>
        </w:rPr>
      </w:pPr>
    </w:p>
    <w:p w:rsidR="000C5187" w:rsidRDefault="000C5187" w:rsidP="000C5187">
      <w:pPr>
        <w:pStyle w:val="NoSpacing"/>
        <w:bidi/>
        <w:spacing w:line="276" w:lineRule="auto"/>
        <w:rPr>
          <w:rFonts w:cs="David"/>
          <w:b/>
          <w:bCs/>
          <w:rtl/>
        </w:rPr>
      </w:pPr>
      <w:r w:rsidRPr="000C5187">
        <w:rPr>
          <w:rFonts w:cs="David"/>
          <w:b/>
          <w:bCs/>
          <w:rtl/>
        </w:rPr>
        <w:t xml:space="preserve">תקופה ראשונה: שנות ה50  עד שנות ה60 </w:t>
      </w:r>
      <w:r w:rsidR="002A1CDC">
        <w:rPr>
          <w:rFonts w:cs="David"/>
          <w:b/>
          <w:bCs/>
          <w:rtl/>
        </w:rPr>
        <w:t>–</w:t>
      </w:r>
      <w:r w:rsidRPr="000C5187">
        <w:rPr>
          <w:rFonts w:cs="David"/>
          <w:b/>
          <w:bCs/>
          <w:rtl/>
        </w:rPr>
        <w:t xml:space="preserve"> </w:t>
      </w:r>
    </w:p>
    <w:p w:rsidR="002A1CDC" w:rsidRPr="00F31383" w:rsidRDefault="002A1CDC" w:rsidP="000C5187">
      <w:pPr>
        <w:pStyle w:val="NoSpacing"/>
        <w:bidi/>
        <w:spacing w:line="276" w:lineRule="auto"/>
        <w:rPr>
          <w:rFonts w:cs="David"/>
          <w:i/>
          <w:iCs/>
          <w:u w:val="single"/>
          <w:rtl/>
        </w:rPr>
      </w:pPr>
      <w:r w:rsidRPr="00F31383">
        <w:rPr>
          <w:rFonts w:cs="David" w:hint="cs"/>
          <w:i/>
          <w:iCs/>
          <w:u w:val="single"/>
          <w:rtl/>
        </w:rPr>
        <w:t>רצון להכריע בין עובדים למעסיקים ע"י גוף אובייקטיבי.</w:t>
      </w:r>
    </w:p>
    <w:p w:rsidR="000C5187" w:rsidRPr="000C5187" w:rsidRDefault="000C5187" w:rsidP="000C5187">
      <w:pPr>
        <w:pStyle w:val="NoSpacing"/>
        <w:bidi/>
        <w:spacing w:line="276" w:lineRule="auto"/>
        <w:rPr>
          <w:rFonts w:cs="David"/>
          <w:rtl/>
        </w:rPr>
      </w:pPr>
      <w:r w:rsidRPr="000C5187">
        <w:rPr>
          <w:rFonts w:cs="David"/>
          <w:rtl/>
        </w:rPr>
        <w:t xml:space="preserve">בתקופת המנדט ניתן היה לפטר עובדים ולפגוע בתנאי העסקתם במישור הציבורי על פי שיקול דעת הבלעדי של </w:t>
      </w:r>
      <w:r w:rsidRPr="002A1CDC">
        <w:rPr>
          <w:rFonts w:cs="David"/>
          <w:b/>
          <w:bCs/>
          <w:rtl/>
        </w:rPr>
        <w:t>המעביד.</w:t>
      </w:r>
      <w:r w:rsidRPr="000C5187">
        <w:rPr>
          <w:rFonts w:cs="David"/>
          <w:rtl/>
        </w:rPr>
        <w:t xml:space="preserve"> עם הקמת המדינה ומערך הכוחות שבתחילת ההוויה הציבורית של המדינה, הכוח הציבורי של העובדים היה מאוד גדול. אחד הדברים הראשונים שביטלו זה את שיקול הדעת הבלעדי הזה.</w:t>
      </w:r>
    </w:p>
    <w:p w:rsidR="000C5187" w:rsidRPr="000C5187" w:rsidRDefault="000C5187" w:rsidP="000C5187">
      <w:pPr>
        <w:pStyle w:val="NoSpacing"/>
        <w:bidi/>
        <w:spacing w:line="276" w:lineRule="auto"/>
        <w:rPr>
          <w:rFonts w:cs="David"/>
          <w:rtl/>
        </w:rPr>
      </w:pPr>
      <w:r w:rsidRPr="000C5187">
        <w:rPr>
          <w:rFonts w:cs="David"/>
          <w:rtl/>
        </w:rPr>
        <w:t>ההגיון אומר שאם אותו עובד לקח שוחד או פגע במזיד ברכוש המועצה המקומית או אחר, לא יכול להיות שהוא ישאר בתפקידו ולכן חייב להקים איזשהו גוף שאליו תגיע תלונת המע</w:t>
      </w:r>
      <w:r w:rsidR="002A1CDC">
        <w:rPr>
          <w:rFonts w:cs="David"/>
          <w:rtl/>
        </w:rPr>
        <w:t>ביד על מעשי העובד, ואותו גוף יכ</w:t>
      </w:r>
      <w:r w:rsidRPr="000C5187">
        <w:rPr>
          <w:rFonts w:cs="David"/>
          <w:rtl/>
        </w:rPr>
        <w:t>ריע אובייקטיבית ועצמאית האם נכון לפטר את העובד ולהטיל עליו סנקציה זו או אחרת. זה הבסיס להקמת בתי הדין המשמעתייים. ראו בג"צ סויסה נ' היועמ"ש.</w:t>
      </w:r>
    </w:p>
    <w:p w:rsidR="000C5187" w:rsidRPr="000C5187" w:rsidRDefault="000C5187" w:rsidP="000C5187">
      <w:pPr>
        <w:pStyle w:val="NoSpacing"/>
        <w:bidi/>
        <w:spacing w:line="276" w:lineRule="auto"/>
        <w:rPr>
          <w:rFonts w:cs="David"/>
          <w:rtl/>
        </w:rPr>
      </w:pPr>
    </w:p>
    <w:p w:rsidR="000C5187" w:rsidRPr="000C5187" w:rsidRDefault="000C5187" w:rsidP="000C5187">
      <w:pPr>
        <w:pStyle w:val="NoSpacing"/>
        <w:bidi/>
        <w:spacing w:line="276" w:lineRule="auto"/>
        <w:rPr>
          <w:rFonts w:cs="David"/>
          <w:b/>
          <w:bCs/>
          <w:rtl/>
        </w:rPr>
      </w:pPr>
      <w:r w:rsidRPr="000C5187">
        <w:rPr>
          <w:rFonts w:cs="David"/>
          <w:b/>
          <w:bCs/>
          <w:rtl/>
        </w:rPr>
        <w:t>תקופה שניה: שנות ה 70-80</w:t>
      </w:r>
    </w:p>
    <w:p w:rsidR="002A1CDC" w:rsidRPr="00F31383" w:rsidRDefault="002A1CDC" w:rsidP="000C5187">
      <w:pPr>
        <w:pStyle w:val="NoSpacing"/>
        <w:bidi/>
        <w:spacing w:line="276" w:lineRule="auto"/>
        <w:rPr>
          <w:rFonts w:cs="David"/>
          <w:i/>
          <w:iCs/>
          <w:u w:val="single"/>
          <w:rtl/>
        </w:rPr>
      </w:pPr>
      <w:r w:rsidRPr="00F31383">
        <w:rPr>
          <w:rFonts w:cs="David" w:hint="cs"/>
          <w:i/>
          <w:iCs/>
          <w:u w:val="single"/>
          <w:rtl/>
        </w:rPr>
        <w:t>הפרופסיות עצמן מבקשות לייחד את המקצוע על מנת למנוע את הצפת המקצוע.</w:t>
      </w:r>
    </w:p>
    <w:p w:rsidR="000C5187" w:rsidRPr="000C5187" w:rsidRDefault="000C5187" w:rsidP="000C5187">
      <w:pPr>
        <w:pStyle w:val="NoSpacing"/>
        <w:bidi/>
        <w:spacing w:line="276" w:lineRule="auto"/>
        <w:rPr>
          <w:rFonts w:cs="David"/>
          <w:rtl/>
        </w:rPr>
      </w:pPr>
      <w:r w:rsidRPr="000C5187">
        <w:rPr>
          <w:rFonts w:cs="David"/>
          <w:rtl/>
        </w:rPr>
        <w:t>מדברים על פרופסיות שהן מבקשות מהחברה או המחוקק להקים להן מנגנונים של דין משמעתי. הפרופסיה רוצה לגדר את הפרופסיה ולהציב תנאים שבלעדיהם אדם מן הישוב לא יוכל לעסוק באותו מקצוע, ואז החברה מסכימה שלפרופסיה תהיה עצמאות וייחודיות. כמו כן שיהיו בתי דין משמעתיים לפרופסיה שיזרקו מהפרופסיה מי שלא מתאים. כמו כן יש את הרצון לשמור על השם הטוב של העוסקים במקצוע.</w:t>
      </w:r>
    </w:p>
    <w:p w:rsidR="000C5187" w:rsidRPr="000C5187" w:rsidRDefault="000C5187" w:rsidP="000C5187">
      <w:pPr>
        <w:pStyle w:val="NoSpacing"/>
        <w:bidi/>
        <w:spacing w:line="276" w:lineRule="auto"/>
        <w:rPr>
          <w:rFonts w:cs="David"/>
          <w:b/>
          <w:bCs/>
          <w:rtl/>
        </w:rPr>
      </w:pPr>
    </w:p>
    <w:p w:rsidR="000C5187" w:rsidRPr="000C5187" w:rsidRDefault="000C5187" w:rsidP="000C5187">
      <w:pPr>
        <w:pStyle w:val="NoSpacing"/>
        <w:bidi/>
        <w:spacing w:line="276" w:lineRule="auto"/>
        <w:rPr>
          <w:rFonts w:cs="David"/>
          <w:b/>
          <w:bCs/>
          <w:rtl/>
        </w:rPr>
      </w:pPr>
      <w:r w:rsidRPr="000C5187">
        <w:rPr>
          <w:rFonts w:cs="David"/>
          <w:b/>
          <w:bCs/>
          <w:rtl/>
        </w:rPr>
        <w:t>תקופה שלישית: שנות ה 80 עד היום</w:t>
      </w:r>
    </w:p>
    <w:p w:rsidR="002A1CDC" w:rsidRPr="00F31383" w:rsidRDefault="002A1CDC" w:rsidP="000C5187">
      <w:pPr>
        <w:pStyle w:val="NoSpacing"/>
        <w:bidi/>
        <w:spacing w:line="276" w:lineRule="auto"/>
        <w:rPr>
          <w:rFonts w:cs="David"/>
          <w:i/>
          <w:iCs/>
          <w:u w:val="single"/>
          <w:rtl/>
        </w:rPr>
      </w:pPr>
      <w:r w:rsidRPr="00F31383">
        <w:rPr>
          <w:rFonts w:cs="David" w:hint="cs"/>
          <w:i/>
          <w:iCs/>
          <w:u w:val="single"/>
          <w:rtl/>
        </w:rPr>
        <w:t>החברה דורשת מפרופסיות מסויימות להסדיר את עצמן, ע"י כללים אחידים (כמו מנהלי תיקי השקעות).</w:t>
      </w:r>
    </w:p>
    <w:p w:rsidR="000C5187" w:rsidRPr="000C5187" w:rsidRDefault="000C5187" w:rsidP="002A1CDC">
      <w:pPr>
        <w:pStyle w:val="NoSpacing"/>
        <w:bidi/>
        <w:spacing w:line="276" w:lineRule="auto"/>
        <w:rPr>
          <w:rFonts w:cs="David"/>
          <w:rtl/>
        </w:rPr>
      </w:pPr>
      <w:r w:rsidRPr="000C5187">
        <w:rPr>
          <w:rFonts w:cs="David"/>
          <w:rtl/>
        </w:rPr>
        <w:t>החברה דורשת מהפרופסיה להסדיר את עצמה. ה</w:t>
      </w:r>
      <w:r w:rsidR="002A1CDC">
        <w:rPr>
          <w:rFonts w:cs="David" w:hint="cs"/>
          <w:rtl/>
        </w:rPr>
        <w:t>מצב</w:t>
      </w:r>
      <w:r w:rsidRPr="000C5187">
        <w:rPr>
          <w:rFonts w:cs="David"/>
          <w:rtl/>
        </w:rPr>
        <w:t xml:space="preserve"> שבו כל אחד עוסק במקצוע בלי כללים מחייבים הוא מסוכן לחברה. למשל יועצי השקעות, החברה אומרת ע"י וועדות חקירה למינהן ששוק הייעוץ לא יכול להתקיים אם כל אחד שלמד קורס של 3 חודשים יחשב למקצוען בתחום. זה מסוכן שאנשים ללא הכשרה מתאימה יעסקו בניהול תיקי השקעות.</w:t>
      </w:r>
    </w:p>
    <w:p w:rsidR="004F5D0A" w:rsidRDefault="004F5D0A" w:rsidP="004F5D0A">
      <w:pPr>
        <w:tabs>
          <w:tab w:val="left" w:pos="1343"/>
          <w:tab w:val="center" w:pos="4651"/>
        </w:tabs>
        <w:spacing w:after="0"/>
        <w:rPr>
          <w:rFonts w:ascii="Arial" w:hAnsi="Arial" w:cs="David"/>
          <w:b/>
          <w:bCs/>
          <w:u w:val="single"/>
          <w:rtl/>
        </w:rPr>
      </w:pPr>
    </w:p>
    <w:p w:rsidR="004F5D0A" w:rsidRDefault="004F5D0A" w:rsidP="004E0D5D">
      <w:pPr>
        <w:tabs>
          <w:tab w:val="left" w:pos="1343"/>
          <w:tab w:val="center" w:pos="4651"/>
        </w:tabs>
        <w:spacing w:after="0"/>
        <w:rPr>
          <w:rFonts w:ascii="Arial" w:hAnsi="Arial" w:cs="David"/>
          <w:b/>
          <w:bCs/>
          <w:u w:val="single"/>
          <w:rtl/>
        </w:rPr>
      </w:pPr>
      <w:r w:rsidRPr="004F5D0A">
        <w:rPr>
          <w:rFonts w:ascii="Arial" w:hAnsi="Arial" w:cs="David" w:hint="cs"/>
          <w:b/>
          <w:bCs/>
          <w:u w:val="single"/>
          <w:rtl/>
        </w:rPr>
        <w:t xml:space="preserve">מדד השחיתות הבינלאומית </w:t>
      </w:r>
    </w:p>
    <w:p w:rsidR="004E0D5D" w:rsidRDefault="000176A8" w:rsidP="000176A8">
      <w:pPr>
        <w:pStyle w:val="NoSpacing"/>
        <w:bidi/>
        <w:spacing w:line="276" w:lineRule="auto"/>
        <w:rPr>
          <w:rFonts w:cs="David"/>
          <w:rtl/>
        </w:rPr>
      </w:pPr>
      <w:r w:rsidRPr="000176A8">
        <w:rPr>
          <w:rFonts w:cs="David"/>
          <w:rtl/>
        </w:rPr>
        <w:t>ע"פ מדיי השחיתות הבינלאומיים ישראל הולכת והופכת מושחתת יותר. עדות מובהקת לכך היא החקיקה העוסקת בלוחמה בשחיתות שהולכת ומשתכללת. החוק מעניק יותר סמכויות למבקר המדינה להיאבק בנושא השחיתות. מבקר המדינה יכול, ע"י צו, להחזיר עובד שחשף שחיתות לעבודה. בעבר ביה"ד לעבודה הוא זה שהיה אחראי על הנושא. באופן מסורתי ביה"ד היה מעדיף להעניק לעובד פיצוי מוגדל</w:t>
      </w:r>
      <w:r w:rsidR="00F5267E">
        <w:rPr>
          <w:rFonts w:cs="David"/>
          <w:rtl/>
        </w:rPr>
        <w:t>, על פני להחזירו לעבודה, כאשר פ</w:t>
      </w:r>
      <w:r w:rsidR="00F5267E">
        <w:rPr>
          <w:rFonts w:cs="David" w:hint="cs"/>
          <w:rtl/>
        </w:rPr>
        <w:t>ו</w:t>
      </w:r>
      <w:r w:rsidRPr="000176A8">
        <w:rPr>
          <w:rFonts w:cs="David"/>
          <w:rtl/>
        </w:rPr>
        <w:t>טר או תנאי העסקתו הורעו כתוצאה מחשיפת שחיתות. הסמכות עברה למבקר המדינה כיוון שלביהמ"ש קשה להכריח מעביד להמשיך להעסיק עובד כנגד רצונו, כשם שהוא לא יכול להכריח עובד להמשיך לעבוד במקום מסוים. עדות נוספת היא התרבות גופי הביקורת במדינה. עם זאת רמת השחי</w:t>
      </w:r>
      <w:r w:rsidR="00E730CF">
        <w:rPr>
          <w:rFonts w:cs="David" w:hint="cs"/>
          <w:rtl/>
        </w:rPr>
        <w:t>ת</w:t>
      </w:r>
      <w:r w:rsidRPr="000176A8">
        <w:rPr>
          <w:rFonts w:cs="David"/>
          <w:rtl/>
        </w:rPr>
        <w:t>ות אינה יורדת אלא רק עולה. קיימת קורלציה בין העלייה במדד השחיתות הבינלאומי, למדד הפערים בחברתיים בישראל. הגישה לפיה ניתן לטפל בכל אחד מהנושאים בנפרד , הינה מוטעית</w:t>
      </w:r>
      <w:r w:rsidRPr="000176A8">
        <w:rPr>
          <w:rFonts w:cs="David"/>
        </w:rPr>
        <w:t>.</w:t>
      </w:r>
    </w:p>
    <w:p w:rsidR="00BE4A95" w:rsidRPr="008960CC" w:rsidRDefault="00BE4A95" w:rsidP="008960CC">
      <w:pPr>
        <w:spacing w:line="240" w:lineRule="auto"/>
        <w:rPr>
          <w:rFonts w:asciiTheme="minorHAnsi" w:eastAsiaTheme="minorHAnsi" w:hAnsiTheme="minorHAnsi" w:cs="David"/>
          <w:b/>
          <w:bCs/>
          <w:u w:val="single"/>
        </w:rPr>
      </w:pPr>
    </w:p>
    <w:p w:rsidR="00BE4A95" w:rsidRDefault="00BE4A95" w:rsidP="00BE4A95">
      <w:pPr>
        <w:pStyle w:val="ListParagraph"/>
        <w:spacing w:line="240" w:lineRule="auto"/>
        <w:ind w:left="-180"/>
        <w:rPr>
          <w:rFonts w:cs="David"/>
          <w:b/>
          <w:bCs/>
          <w:u w:val="single"/>
          <w:rtl/>
        </w:rPr>
      </w:pPr>
      <w:r>
        <w:rPr>
          <w:rFonts w:cs="David" w:hint="cs"/>
          <w:b/>
          <w:bCs/>
          <w:u w:val="single"/>
          <w:rtl/>
        </w:rPr>
        <w:t>סדר דין וראיות בהליך משמעתי</w:t>
      </w:r>
    </w:p>
    <w:p w:rsidR="00BE4A95" w:rsidRDefault="00BE4A95" w:rsidP="00BE4A95">
      <w:pPr>
        <w:pStyle w:val="ListParagraph"/>
        <w:spacing w:line="240" w:lineRule="auto"/>
        <w:ind w:left="-180"/>
        <w:rPr>
          <w:rFonts w:cs="David"/>
          <w:rtl/>
        </w:rPr>
      </w:pPr>
      <w:r w:rsidRPr="00154F86">
        <w:rPr>
          <w:rFonts w:cs="David" w:hint="cs"/>
          <w:highlight w:val="yellow"/>
          <w:rtl/>
        </w:rPr>
        <w:t>לערכאות משמעת סדרי דין וראיות מיוחדים, שהם גמישים יותר מאלה הנהוגים בהליך הפלילי.</w:t>
      </w:r>
      <w:r>
        <w:rPr>
          <w:rFonts w:cs="David" w:hint="cs"/>
          <w:rtl/>
        </w:rPr>
        <w:t xml:space="preserve"> הסיבה היא ההבדל בענישה, בהליך הפלילי הענישה עלולה שלילת חירות, ולכן דרושה הקפדה על קבילות הראיות. בהליך משמעת נקבל ראיות שלא היו קבילות בהליך הפלילי. לדוגמה: עדות שמיעה. בפועל כמעט ואין ראייה הנפסלת בהליך המשמעתי. כנזכר לעיל, סדרי הדין והראיות בהליך המשמעתי, הם חלק מההצדקה לכך </w:t>
      </w:r>
      <w:r w:rsidRPr="00D2444A">
        <w:rPr>
          <w:rFonts w:cs="David" w:hint="cs"/>
          <w:highlight w:val="yellow"/>
          <w:rtl/>
        </w:rPr>
        <w:t>שההליך המשמעתי מתבצע בדלתיים סגורות</w:t>
      </w:r>
      <w:r>
        <w:rPr>
          <w:rFonts w:cs="David" w:hint="cs"/>
          <w:rtl/>
        </w:rPr>
        <w:t xml:space="preserve"> (עד שניתן פסק דין). </w:t>
      </w:r>
    </w:p>
    <w:p w:rsidR="00BE4A95" w:rsidRDefault="00BE4A95" w:rsidP="00BE4A95">
      <w:pPr>
        <w:pStyle w:val="ListParagraph"/>
        <w:spacing w:line="240" w:lineRule="auto"/>
        <w:ind w:left="-180"/>
        <w:rPr>
          <w:rFonts w:cs="David"/>
          <w:b/>
          <w:bCs/>
          <w:u w:val="single"/>
          <w:rtl/>
        </w:rPr>
      </w:pPr>
    </w:p>
    <w:p w:rsidR="00BE4A95" w:rsidRDefault="00BE4A95" w:rsidP="00BE4A95">
      <w:pPr>
        <w:pStyle w:val="ListParagraph"/>
        <w:spacing w:line="240" w:lineRule="auto"/>
        <w:ind w:left="-180"/>
        <w:rPr>
          <w:rFonts w:cs="David"/>
          <w:b/>
          <w:bCs/>
          <w:u w:val="single"/>
          <w:rtl/>
        </w:rPr>
      </w:pPr>
      <w:r>
        <w:rPr>
          <w:rFonts w:cs="David" w:hint="cs"/>
          <w:b/>
          <w:bCs/>
          <w:u w:val="single"/>
          <w:rtl/>
        </w:rPr>
        <w:t>דרגת ההוכחה הנדרשת בהליך משמעתי</w:t>
      </w:r>
    </w:p>
    <w:p w:rsidR="00BE4A95" w:rsidRDefault="00BE4A95" w:rsidP="00BE4A95">
      <w:pPr>
        <w:pStyle w:val="ListParagraph"/>
        <w:numPr>
          <w:ilvl w:val="0"/>
          <w:numId w:val="25"/>
        </w:numPr>
        <w:spacing w:line="240" w:lineRule="auto"/>
        <w:ind w:left="-180"/>
        <w:rPr>
          <w:rFonts w:cs="David"/>
          <w:rtl/>
        </w:rPr>
      </w:pPr>
      <w:r>
        <w:rPr>
          <w:rFonts w:cs="David" w:hint="cs"/>
          <w:b/>
          <w:bCs/>
          <w:rtl/>
        </w:rPr>
        <w:t>עש"מ אזוט נ' מדינת ישראל</w:t>
      </w:r>
      <w:r w:rsidR="006B0E60">
        <w:rPr>
          <w:rFonts w:cs="David" w:hint="cs"/>
          <w:rtl/>
        </w:rPr>
        <w:t xml:space="preserve"> – עובד</w:t>
      </w:r>
      <w:r>
        <w:rPr>
          <w:rFonts w:cs="David" w:hint="cs"/>
          <w:rtl/>
        </w:rPr>
        <w:t xml:space="preserve"> מדינה שהורשע בביה"ד המשמעתי לעובדי מדינה בסדרת עבירות משמעת. </w:t>
      </w:r>
      <w:r>
        <w:rPr>
          <w:rFonts w:cs="David" w:hint="cs"/>
          <w:b/>
          <w:bCs/>
          <w:rtl/>
        </w:rPr>
        <w:t>טענתו המרכזית מתייחסת לרמת ההוכחה הנדרשת בדיון משמעתי</w:t>
      </w:r>
      <w:r>
        <w:rPr>
          <w:rFonts w:cs="David" w:hint="cs"/>
          <w:rtl/>
        </w:rPr>
        <w:t>, בעקבות קביעה של ביה"ד המשמעתי כי זו זהה לרמת ההוכחה של הליך במשפט האזרחי הרגיל. ה</w:t>
      </w:r>
      <w:r>
        <w:rPr>
          <w:rFonts w:cs="David" w:hint="cs"/>
          <w:b/>
          <w:bCs/>
          <w:rtl/>
        </w:rPr>
        <w:t>שופט דב לוין</w:t>
      </w:r>
      <w:r>
        <w:rPr>
          <w:rFonts w:cs="David" w:hint="cs"/>
          <w:u w:val="single"/>
          <w:rtl/>
        </w:rPr>
        <w:t xml:space="preserve"> קבע כי הרמה הנדרשת</w:t>
      </w:r>
      <w:r w:rsidRPr="006B0E60">
        <w:rPr>
          <w:rFonts w:cs="David" w:hint="cs"/>
          <w:b/>
          <w:bCs/>
          <w:u w:val="single"/>
          <w:rtl/>
        </w:rPr>
        <w:t xml:space="preserve"> עולה </w:t>
      </w:r>
      <w:r>
        <w:rPr>
          <w:rFonts w:cs="David" w:hint="cs"/>
          <w:u w:val="single"/>
          <w:rtl/>
        </w:rPr>
        <w:t>על הנדרש בהליך אזרחי, אך אינה מגיעה לכדי ראייה שמעבר לכל ספק סביר</w:t>
      </w:r>
      <w:r>
        <w:rPr>
          <w:rFonts w:cs="David" w:hint="cs"/>
          <w:rtl/>
        </w:rPr>
        <w:t xml:space="preserve">. </w:t>
      </w:r>
    </w:p>
    <w:p w:rsidR="00BE4A95" w:rsidRDefault="00BE4A95" w:rsidP="00BE4A95">
      <w:pPr>
        <w:pStyle w:val="ListParagraph"/>
        <w:numPr>
          <w:ilvl w:val="0"/>
          <w:numId w:val="25"/>
        </w:numPr>
        <w:spacing w:line="240" w:lineRule="auto"/>
        <w:ind w:left="-180"/>
        <w:rPr>
          <w:rFonts w:cs="David"/>
        </w:rPr>
      </w:pPr>
      <w:r>
        <w:rPr>
          <w:rFonts w:cs="David" w:hint="cs"/>
          <w:b/>
          <w:bCs/>
          <w:rtl/>
        </w:rPr>
        <w:t>עש"מ בכרך נ' מדינת ישראל</w:t>
      </w:r>
      <w:r>
        <w:rPr>
          <w:rFonts w:cs="David" w:hint="cs"/>
          <w:rtl/>
        </w:rPr>
        <w:t xml:space="preserve"> – עובד מדינה שהורשע שהסווה נסיעות לחופשה כנסיעות עבודה. המערער טען שלפי חומר הראיות שהוגש ע"י התביעה, לא הוכחה אשמתו אישום בו הורשע. </w:t>
      </w:r>
      <w:r>
        <w:rPr>
          <w:rFonts w:cs="David" w:hint="cs"/>
          <w:b/>
          <w:bCs/>
          <w:rtl/>
        </w:rPr>
        <w:t>השופט שמגר</w:t>
      </w:r>
      <w:r>
        <w:rPr>
          <w:rFonts w:cs="David" w:hint="cs"/>
          <w:rtl/>
        </w:rPr>
        <w:t xml:space="preserve"> – </w:t>
      </w:r>
      <w:r>
        <w:rPr>
          <w:rFonts w:cs="David" w:hint="cs"/>
          <w:u w:val="single"/>
          <w:rtl/>
        </w:rPr>
        <w:t xml:space="preserve">אין מקום ליצור מידת הוכחה נוספת, בין זו הנהוגה במשפט הפלילי, לבין זו הנהוגה במשפט האזרחי. לטענתו יש להוכיח מעל לספק סביר, ולאמץ רמה זו אל הדין המשמעתי. </w:t>
      </w:r>
    </w:p>
    <w:p w:rsidR="00BE4A95" w:rsidRDefault="00BE4A95" w:rsidP="00BE4A95">
      <w:pPr>
        <w:pStyle w:val="ListParagraph"/>
        <w:numPr>
          <w:ilvl w:val="0"/>
          <w:numId w:val="25"/>
        </w:numPr>
        <w:spacing w:line="240" w:lineRule="auto"/>
        <w:ind w:left="-180"/>
        <w:rPr>
          <w:rFonts w:cs="David"/>
        </w:rPr>
      </w:pPr>
      <w:r>
        <w:rPr>
          <w:rFonts w:cs="David" w:hint="cs"/>
          <w:b/>
          <w:bCs/>
          <w:rtl/>
        </w:rPr>
        <w:t>עש"מ גלאור נ' מדינת ישראל</w:t>
      </w:r>
      <w:r>
        <w:rPr>
          <w:rFonts w:cs="David" w:hint="cs"/>
          <w:rtl/>
        </w:rPr>
        <w:t xml:space="preserve"> – עובד מדינה שהורשע בהתנהגות בלתי הולמת, קללות, צעקות, השמצות, השלכת חפצים ועוד. הערעור נסב על ההרשעה ועל העונש. </w:t>
      </w:r>
      <w:r>
        <w:rPr>
          <w:rFonts w:cs="David" w:hint="cs"/>
          <w:b/>
          <w:bCs/>
          <w:rtl/>
        </w:rPr>
        <w:t xml:space="preserve">השופט זמיר </w:t>
      </w:r>
      <w:r>
        <w:rPr>
          <w:rFonts w:cs="David" w:hint="cs"/>
          <w:rtl/>
        </w:rPr>
        <w:t xml:space="preserve"> - מידת ההוכחה הדרושה בהליך משמעתי לא הוכרעה בעליון באופן סופי.</w:t>
      </w:r>
      <w:r>
        <w:rPr>
          <w:rFonts w:cs="David" w:hint="cs"/>
          <w:b/>
          <w:bCs/>
          <w:rtl/>
        </w:rPr>
        <w:t xml:space="preserve">  </w:t>
      </w:r>
      <w:r>
        <w:rPr>
          <w:rFonts w:cs="David" w:hint="cs"/>
          <w:u w:val="single"/>
          <w:rtl/>
        </w:rPr>
        <w:t xml:space="preserve">רמת ההוכחה הנדרשת תלויה בעבירות בהן אנו דנים וחמרתן. </w:t>
      </w:r>
    </w:p>
    <w:p w:rsidR="00BE4A95" w:rsidRDefault="00BE4A95" w:rsidP="00BE4A95">
      <w:pPr>
        <w:spacing w:line="240" w:lineRule="auto"/>
        <w:ind w:left="-180"/>
        <w:rPr>
          <w:rFonts w:cs="David"/>
          <w:rtl/>
        </w:rPr>
      </w:pPr>
      <w:r>
        <w:rPr>
          <w:rFonts w:cs="David" w:hint="cs"/>
          <w:rtl/>
        </w:rPr>
        <w:t xml:space="preserve">כל ערכאות המשמעת מתייחסות אל שלושת פסקי דין אלה. </w:t>
      </w:r>
      <w:r>
        <w:rPr>
          <w:rFonts w:cs="David" w:hint="cs"/>
          <w:u w:val="single"/>
          <w:rtl/>
        </w:rPr>
        <w:t xml:space="preserve">אין הלכה מחייבת, כל ערכאה משמעתית בוחרת באחת מהדרכים הללו. </w:t>
      </w:r>
      <w:r>
        <w:rPr>
          <w:rFonts w:cs="David" w:hint="cs"/>
          <w:b/>
          <w:bCs/>
          <w:u w:val="single"/>
          <w:rtl/>
        </w:rPr>
        <w:t xml:space="preserve">לדעת המרצה הדרך הנכונה היא הנהוגה בפס"ד אזוט – הוכחה ברמה של מעל להליך אזרחי ומתחת לפלילי. </w:t>
      </w:r>
      <w:r>
        <w:rPr>
          <w:rFonts w:cs="David" w:hint="cs"/>
          <w:rtl/>
        </w:rPr>
        <w:t xml:space="preserve">כאשר אנו פוגעים בפרנסתו של אדם, שוללים את רישיונו וזכויות נוספות, דרושה רמת הוכחה של מעל למאזן ההסתברויות. יחד עם זאת הדרישה להוכחה מעל לכל ספק סביר בפס"ד בכרך, כאשר אין לקובל המשמעתי את אותם הכלים שיש לתביעה הפלילית (מעצר, חקירה ועוד), זו דרישה מוגזמת מדי. ביה"ד המשמעתיים של לשכת עורכי הדין נוהגים ע"פ הלכת בכרך של שמגר. </w:t>
      </w:r>
    </w:p>
    <w:p w:rsidR="005371AF" w:rsidRDefault="005371AF" w:rsidP="005371AF">
      <w:pPr>
        <w:spacing w:line="240" w:lineRule="auto"/>
        <w:ind w:left="-180"/>
        <w:rPr>
          <w:rFonts w:cs="David"/>
          <w:rtl/>
        </w:rPr>
      </w:pPr>
    </w:p>
    <w:p w:rsidR="005371AF" w:rsidRDefault="005371AF" w:rsidP="005371AF">
      <w:pPr>
        <w:spacing w:line="240" w:lineRule="auto"/>
        <w:ind w:left="-180"/>
        <w:rPr>
          <w:rFonts w:cs="David"/>
          <w:rtl/>
        </w:rPr>
      </w:pPr>
      <w:r>
        <w:rPr>
          <w:rFonts w:cs="David" w:hint="cs"/>
          <w:rtl/>
        </w:rPr>
        <w:t>אזוט- לוין אומר שדרגת הוכחה נדרשת: באמצע.</w:t>
      </w:r>
    </w:p>
    <w:p w:rsidR="005371AF" w:rsidRDefault="005371AF" w:rsidP="005371AF">
      <w:pPr>
        <w:spacing w:line="240" w:lineRule="auto"/>
        <w:ind w:left="-180"/>
        <w:rPr>
          <w:rFonts w:cs="David"/>
          <w:rtl/>
        </w:rPr>
      </w:pPr>
      <w:r>
        <w:rPr>
          <w:rFonts w:cs="David" w:hint="cs"/>
          <w:rtl/>
        </w:rPr>
        <w:t>בכרך- שמגר רמת הוכחה כמו פלילית.</w:t>
      </w:r>
      <w:r w:rsidR="00292B02">
        <w:rPr>
          <w:rFonts w:cs="David" w:hint="cs"/>
          <w:rtl/>
        </w:rPr>
        <w:t xml:space="preserve"> --- ביה"ד המשמעתי של עו"ד נוהג ברמה זו! </w:t>
      </w:r>
    </w:p>
    <w:p w:rsidR="005371AF" w:rsidRDefault="005371AF" w:rsidP="005371AF">
      <w:pPr>
        <w:spacing w:line="240" w:lineRule="auto"/>
        <w:ind w:left="-180"/>
        <w:rPr>
          <w:rFonts w:cs="David"/>
          <w:rtl/>
        </w:rPr>
      </w:pPr>
      <w:r>
        <w:rPr>
          <w:rFonts w:cs="David" w:hint="cs"/>
          <w:rtl/>
        </w:rPr>
        <w:t xml:space="preserve">גלאור- זמיר דרגת הוכחה לא הוכרעה. תלוי במקרה. </w:t>
      </w:r>
    </w:p>
    <w:p w:rsidR="005371AF" w:rsidRDefault="005371AF" w:rsidP="005371AF">
      <w:pPr>
        <w:spacing w:line="240" w:lineRule="auto"/>
        <w:ind w:left="-180"/>
        <w:rPr>
          <w:rFonts w:cs="David"/>
        </w:rPr>
      </w:pPr>
    </w:p>
    <w:p w:rsidR="00BE4A95" w:rsidRDefault="00BE4A95" w:rsidP="00BE4A95">
      <w:pPr>
        <w:spacing w:line="240" w:lineRule="auto"/>
        <w:ind w:left="-180"/>
        <w:rPr>
          <w:rFonts w:cs="David"/>
          <w:b/>
          <w:bCs/>
          <w:u w:val="single"/>
          <w:rtl/>
        </w:rPr>
      </w:pPr>
      <w:r>
        <w:rPr>
          <w:rFonts w:cs="David" w:hint="cs"/>
          <w:b/>
          <w:bCs/>
          <w:u w:val="single"/>
          <w:rtl/>
        </w:rPr>
        <w:t>ענישה משמעתית</w:t>
      </w:r>
    </w:p>
    <w:p w:rsidR="00BE4A95" w:rsidRDefault="00BE4A95" w:rsidP="00BE4A95">
      <w:pPr>
        <w:spacing w:line="240" w:lineRule="auto"/>
        <w:ind w:left="-180"/>
        <w:rPr>
          <w:rFonts w:cs="David"/>
          <w:rtl/>
        </w:rPr>
      </w:pPr>
      <w:r>
        <w:rPr>
          <w:rFonts w:cs="David" w:hint="cs"/>
          <w:rtl/>
        </w:rPr>
        <w:t xml:space="preserve"> בניגוד למניעי הענישה הפלילית, </w:t>
      </w:r>
      <w:r w:rsidRPr="00292B02">
        <w:rPr>
          <w:rFonts w:cs="David" w:hint="cs"/>
          <w:b/>
          <w:bCs/>
          <w:u w:val="single"/>
          <w:rtl/>
        </w:rPr>
        <w:t>המניע בענישה המשמעתית הוא – מניעת פגיעה עתידית בציבור.</w:t>
      </w:r>
      <w:r>
        <w:rPr>
          <w:rFonts w:cs="David" w:hint="cs"/>
          <w:rtl/>
        </w:rPr>
        <w:t xml:space="preserve"> שאר המניעים משניים, אם בכלל קיימים. </w:t>
      </w:r>
    </w:p>
    <w:p w:rsidR="00BE4A95" w:rsidRDefault="00BE4A95" w:rsidP="00BE4A95">
      <w:pPr>
        <w:spacing w:line="240" w:lineRule="auto"/>
        <w:ind w:left="-180"/>
        <w:rPr>
          <w:rFonts w:cs="David"/>
          <w:b/>
          <w:bCs/>
          <w:rtl/>
        </w:rPr>
      </w:pPr>
      <w:r>
        <w:rPr>
          <w:rFonts w:cs="David" w:hint="cs"/>
          <w:b/>
          <w:bCs/>
          <w:rtl/>
        </w:rPr>
        <w:t>ההבדל במניע בין ההליך הפלילי למשמעתי, מביא לנפקויות סטטוטוריות:</w:t>
      </w:r>
    </w:p>
    <w:p w:rsidR="00BE4A95" w:rsidRDefault="00BE4A95" w:rsidP="00BE4A95">
      <w:pPr>
        <w:pStyle w:val="ListParagraph"/>
        <w:numPr>
          <w:ilvl w:val="0"/>
          <w:numId w:val="26"/>
        </w:numPr>
        <w:spacing w:line="240" w:lineRule="auto"/>
        <w:ind w:left="-180"/>
        <w:rPr>
          <w:rFonts w:cs="David"/>
          <w:b/>
          <w:bCs/>
          <w:rtl/>
        </w:rPr>
      </w:pPr>
      <w:r>
        <w:rPr>
          <w:rFonts w:cs="David" w:hint="cs"/>
          <w:b/>
          <w:bCs/>
          <w:rtl/>
        </w:rPr>
        <w:t>פרסונאלי</w:t>
      </w:r>
      <w:r>
        <w:rPr>
          <w:rFonts w:cs="David" w:hint="cs"/>
          <w:rtl/>
        </w:rPr>
        <w:t xml:space="preserve"> – בניגוד למשפט הפלילי שהוא טריטוריאלי, המשפט המשמעתי הוא פרסונאלי, וחל על בעל המקצוע גם כשהוא מחוץ לגבולות המדינה. לדוגמה: אזרח שסחר בנשק באוגנדה, לא יעמוד לדין פלילי. רופא שסחר באיברים ברומניה, יעמוד לדין משמעתי. </w:t>
      </w:r>
    </w:p>
    <w:p w:rsidR="00BE4A95" w:rsidRDefault="00BE4A95" w:rsidP="00BE4A95">
      <w:pPr>
        <w:pStyle w:val="ListParagraph"/>
        <w:numPr>
          <w:ilvl w:val="0"/>
          <w:numId w:val="26"/>
        </w:numPr>
        <w:spacing w:line="240" w:lineRule="auto"/>
        <w:ind w:left="-180"/>
        <w:rPr>
          <w:rFonts w:cs="David"/>
          <w:b/>
          <w:bCs/>
        </w:rPr>
      </w:pPr>
      <w:r>
        <w:rPr>
          <w:rFonts w:cs="David" w:hint="cs"/>
          <w:b/>
          <w:bCs/>
          <w:rtl/>
        </w:rPr>
        <w:t>אין התיישנות</w:t>
      </w:r>
      <w:r>
        <w:rPr>
          <w:rFonts w:cs="David" w:hint="cs"/>
          <w:rtl/>
        </w:rPr>
        <w:t xml:space="preserve"> – בשונה מעבירות פליליות, בעבירות הדין המשמעתי אין התיישנות בד"כ. כשאנו מדברים על פגם מהותי במקצוע, להתיישנות אין משמעות, הפרופסיה אינה מעוניינת באדם כזה אצלה. לדוגמה: רופא שסחר באיברים לפני 20 שנה, עדיין יכול להישפט משמעתית בארץ.</w:t>
      </w:r>
    </w:p>
    <w:p w:rsidR="00BE4A95" w:rsidRDefault="00BE4A95" w:rsidP="00BE4A95">
      <w:pPr>
        <w:pStyle w:val="ListParagraph"/>
        <w:numPr>
          <w:ilvl w:val="0"/>
          <w:numId w:val="26"/>
        </w:numPr>
        <w:spacing w:line="240" w:lineRule="auto"/>
        <w:ind w:left="-180"/>
        <w:rPr>
          <w:rFonts w:cs="David"/>
          <w:b/>
          <w:bCs/>
        </w:rPr>
      </w:pPr>
      <w:r>
        <w:rPr>
          <w:rFonts w:cs="David" w:hint="cs"/>
          <w:b/>
          <w:bCs/>
          <w:rtl/>
        </w:rPr>
        <w:t>חנינה מהנשיא</w:t>
      </w:r>
      <w:r>
        <w:rPr>
          <w:rFonts w:cs="David" w:hint="cs"/>
          <w:rtl/>
        </w:rPr>
        <w:t xml:space="preserve"> – בניגוד לעבירה פלילית, </w:t>
      </w:r>
      <w:r w:rsidRPr="008432ED">
        <w:rPr>
          <w:rFonts w:cs="David" w:hint="cs"/>
          <w:b/>
          <w:bCs/>
          <w:u w:val="single"/>
          <w:rtl/>
        </w:rPr>
        <w:t>נשיא המדינה אינו יכול לחון אדם שהורשע בעבירה משמעתית</w:t>
      </w:r>
      <w:r>
        <w:rPr>
          <w:rFonts w:cs="David" w:hint="cs"/>
          <w:rtl/>
        </w:rPr>
        <w:t>, עבירותיו לא תמחקנה.</w:t>
      </w:r>
    </w:p>
    <w:p w:rsidR="00BE4A95" w:rsidRDefault="00BE4A95" w:rsidP="00BE4A95">
      <w:pPr>
        <w:pStyle w:val="ListParagraph"/>
        <w:numPr>
          <w:ilvl w:val="0"/>
          <w:numId w:val="26"/>
        </w:numPr>
        <w:spacing w:line="240" w:lineRule="auto"/>
        <w:ind w:left="-180"/>
        <w:rPr>
          <w:rFonts w:cs="David"/>
          <w:b/>
          <w:bCs/>
        </w:rPr>
      </w:pPr>
      <w:r>
        <w:rPr>
          <w:rFonts w:cs="David" w:hint="cs"/>
          <w:b/>
          <w:bCs/>
          <w:rtl/>
        </w:rPr>
        <w:t>חסינות ח"כ</w:t>
      </w:r>
      <w:r>
        <w:rPr>
          <w:rFonts w:cs="David" w:hint="cs"/>
          <w:rtl/>
        </w:rPr>
        <w:t xml:space="preserve"> – לח"כ ישנה חסינות מעבירות פליליות, אך </w:t>
      </w:r>
      <w:r w:rsidRPr="008432ED">
        <w:rPr>
          <w:rFonts w:cs="David" w:hint="cs"/>
          <w:b/>
          <w:bCs/>
          <w:u w:val="single"/>
          <w:rtl/>
        </w:rPr>
        <w:t>אין לו חסינות מעבירות משמעת</w:t>
      </w:r>
      <w:r>
        <w:rPr>
          <w:rFonts w:cs="David" w:hint="cs"/>
          <w:rtl/>
        </w:rPr>
        <w:t>.</w:t>
      </w:r>
    </w:p>
    <w:p w:rsidR="00262A9A" w:rsidRDefault="00262A9A" w:rsidP="00BE4A95">
      <w:pPr>
        <w:pStyle w:val="ListParagraph"/>
        <w:spacing w:line="240" w:lineRule="auto"/>
        <w:ind w:left="-180"/>
        <w:rPr>
          <w:rFonts w:cs="David"/>
          <w:b/>
          <w:bCs/>
          <w:u w:val="single"/>
          <w:rtl/>
        </w:rPr>
      </w:pPr>
    </w:p>
    <w:p w:rsidR="00BE4A95" w:rsidRDefault="00BE4A95" w:rsidP="00262A9A">
      <w:pPr>
        <w:pStyle w:val="ListParagraph"/>
        <w:spacing w:line="240" w:lineRule="auto"/>
        <w:ind w:left="-180"/>
        <w:rPr>
          <w:rFonts w:cs="David"/>
          <w:b/>
          <w:bCs/>
          <w:u w:val="single"/>
        </w:rPr>
      </w:pPr>
      <w:r>
        <w:rPr>
          <w:rFonts w:cs="David" w:hint="cs"/>
          <w:b/>
          <w:bCs/>
          <w:u w:val="single"/>
          <w:rtl/>
        </w:rPr>
        <w:t>סרגל העבירה המשמעתית</w:t>
      </w:r>
    </w:p>
    <w:p w:rsidR="00BE4A95" w:rsidRDefault="00BE4A95" w:rsidP="00BE4A95">
      <w:pPr>
        <w:pStyle w:val="ListParagraph"/>
        <w:numPr>
          <w:ilvl w:val="0"/>
          <w:numId w:val="27"/>
        </w:numPr>
        <w:spacing w:line="240" w:lineRule="auto"/>
        <w:ind w:left="-180"/>
        <w:rPr>
          <w:rFonts w:cs="David"/>
          <w:rtl/>
        </w:rPr>
      </w:pPr>
      <w:r>
        <w:rPr>
          <w:rFonts w:cs="David" w:hint="cs"/>
          <w:rtl/>
        </w:rPr>
        <w:t>התרעה</w:t>
      </w:r>
    </w:p>
    <w:p w:rsidR="00BE4A95" w:rsidRDefault="00BE4A95" w:rsidP="00BE4A95">
      <w:pPr>
        <w:pStyle w:val="ListParagraph"/>
        <w:numPr>
          <w:ilvl w:val="0"/>
          <w:numId w:val="27"/>
        </w:numPr>
        <w:spacing w:line="240" w:lineRule="auto"/>
        <w:ind w:left="-180"/>
        <w:rPr>
          <w:rFonts w:cs="David"/>
        </w:rPr>
      </w:pPr>
      <w:r>
        <w:rPr>
          <w:rFonts w:cs="David" w:hint="cs"/>
          <w:rtl/>
        </w:rPr>
        <w:t>נזיפה/נזיפה חמורה קנס</w:t>
      </w:r>
    </w:p>
    <w:p w:rsidR="00BE4A95" w:rsidRDefault="00BE4A95" w:rsidP="00BE4A95">
      <w:pPr>
        <w:pStyle w:val="ListParagraph"/>
        <w:numPr>
          <w:ilvl w:val="0"/>
          <w:numId w:val="27"/>
        </w:numPr>
        <w:spacing w:line="240" w:lineRule="auto"/>
        <w:ind w:left="-180"/>
        <w:rPr>
          <w:rFonts w:cs="David"/>
        </w:rPr>
      </w:pPr>
      <w:r>
        <w:rPr>
          <w:rFonts w:cs="David" w:hint="cs"/>
          <w:rtl/>
        </w:rPr>
        <w:t>התליית רישיון לתקופה מוגבלת (במקצועות סטטוטוריים)</w:t>
      </w:r>
    </w:p>
    <w:p w:rsidR="00BE4A95" w:rsidRDefault="00BE4A95" w:rsidP="00BE4A95">
      <w:pPr>
        <w:pStyle w:val="ListParagraph"/>
        <w:numPr>
          <w:ilvl w:val="0"/>
          <w:numId w:val="27"/>
        </w:numPr>
        <w:spacing w:line="240" w:lineRule="auto"/>
        <w:ind w:left="-180"/>
        <w:rPr>
          <w:rFonts w:cs="David"/>
        </w:rPr>
      </w:pPr>
      <w:r>
        <w:rPr>
          <w:rFonts w:cs="David" w:hint="cs"/>
          <w:rtl/>
        </w:rPr>
        <w:t>הרחקה לצמיתות מהמקצוע (בחלק מהמקצועות ניתן לנסות להתקבל שוב לאחר 10 שנים)</w:t>
      </w:r>
    </w:p>
    <w:p w:rsidR="00BE4A95" w:rsidRDefault="00BE4A95" w:rsidP="00BE4A95">
      <w:pPr>
        <w:pStyle w:val="ListParagraph"/>
        <w:numPr>
          <w:ilvl w:val="0"/>
          <w:numId w:val="27"/>
        </w:numPr>
        <w:spacing w:line="240" w:lineRule="auto"/>
        <w:ind w:left="-180"/>
        <w:rPr>
          <w:rFonts w:cs="David"/>
        </w:rPr>
      </w:pPr>
      <w:r>
        <w:rPr>
          <w:rFonts w:cs="David" w:hint="cs"/>
          <w:rtl/>
        </w:rPr>
        <w:t>פיטורין, שלילת פנסיה והטבות (אצל עובדי ציבור)</w:t>
      </w:r>
    </w:p>
    <w:p w:rsidR="00BE4A95" w:rsidRDefault="00BE4A95" w:rsidP="00BE4A95">
      <w:pPr>
        <w:pStyle w:val="ListParagraph"/>
        <w:numPr>
          <w:ilvl w:val="0"/>
          <w:numId w:val="27"/>
        </w:numPr>
        <w:spacing w:line="240" w:lineRule="auto"/>
        <w:ind w:left="-180"/>
        <w:rPr>
          <w:rFonts w:cs="David"/>
        </w:rPr>
      </w:pPr>
      <w:r>
        <w:rPr>
          <w:rFonts w:cs="David" w:hint="cs"/>
          <w:rtl/>
        </w:rPr>
        <w:t>שלילת חופשה, ריתוק, ביטול דרגה, פגיעה בקידום (אצל כוחות הביטחון)</w:t>
      </w:r>
    </w:p>
    <w:p w:rsidR="00BE4A95" w:rsidRDefault="00BE4A95" w:rsidP="00BE4A95">
      <w:pPr>
        <w:pStyle w:val="ListParagraph"/>
        <w:numPr>
          <w:ilvl w:val="0"/>
          <w:numId w:val="27"/>
        </w:numPr>
        <w:spacing w:line="240" w:lineRule="auto"/>
        <w:ind w:left="-180"/>
        <w:rPr>
          <w:rFonts w:cs="David"/>
        </w:rPr>
      </w:pPr>
      <w:r>
        <w:rPr>
          <w:rFonts w:cs="David" w:hint="cs"/>
          <w:rtl/>
        </w:rPr>
        <w:t xml:space="preserve">העברה מתפקיד או העברה למקום אחר (אצל בעלי תפקידים שיפוטיים) </w:t>
      </w:r>
    </w:p>
    <w:p w:rsidR="00BE4A95" w:rsidRDefault="00BE4A95" w:rsidP="00BE4A95">
      <w:pPr>
        <w:pStyle w:val="ListParagraph"/>
        <w:spacing w:line="240" w:lineRule="auto"/>
        <w:ind w:left="-180"/>
        <w:rPr>
          <w:rFonts w:cs="David"/>
        </w:rPr>
      </w:pPr>
    </w:p>
    <w:p w:rsidR="00BE4A95" w:rsidRDefault="00BE4A95" w:rsidP="00BE4A95">
      <w:pPr>
        <w:pStyle w:val="ListParagraph"/>
        <w:spacing w:line="240" w:lineRule="auto"/>
        <w:ind w:left="-180"/>
        <w:rPr>
          <w:rFonts w:cs="David"/>
          <w:b/>
          <w:bCs/>
          <w:u w:val="single"/>
          <w:rtl/>
        </w:rPr>
      </w:pPr>
      <w:r>
        <w:rPr>
          <w:rFonts w:cs="David" w:hint="cs"/>
          <w:b/>
          <w:bCs/>
          <w:u w:val="single"/>
          <w:rtl/>
        </w:rPr>
        <w:t>מידת התערבות ביהמ"ש העליון בפסקי דין משמעתיים</w:t>
      </w:r>
    </w:p>
    <w:p w:rsidR="00BE4A95" w:rsidRDefault="00BE4A95" w:rsidP="00BE4A95">
      <w:pPr>
        <w:spacing w:line="240" w:lineRule="auto"/>
        <w:ind w:left="-180"/>
        <w:rPr>
          <w:rFonts w:cs="David"/>
          <w:rtl/>
        </w:rPr>
      </w:pPr>
      <w:r>
        <w:rPr>
          <w:rFonts w:cs="David" w:hint="cs"/>
          <w:rtl/>
        </w:rPr>
        <w:t xml:space="preserve">בכל הפסיקות (אליהו נ' שר הבריאות, פס"ד מ"י נ' שפירו, פס"ד ועד מרכזי נ' רזניק, פס"ד הועד המחוזי של לשכת עו"ד נ' שפיצר), יש </w:t>
      </w:r>
      <w:r w:rsidR="00262A9A">
        <w:rPr>
          <w:rFonts w:cs="David" w:hint="cs"/>
          <w:rtl/>
        </w:rPr>
        <w:t>מ</w:t>
      </w:r>
      <w:r>
        <w:rPr>
          <w:rFonts w:cs="David" w:hint="cs"/>
          <w:rtl/>
        </w:rPr>
        <w:t>ר</w:t>
      </w:r>
      <w:r w:rsidR="00262A9A">
        <w:rPr>
          <w:rFonts w:cs="David" w:hint="cs"/>
          <w:rtl/>
        </w:rPr>
        <w:t>חק</w:t>
      </w:r>
      <w:r>
        <w:rPr>
          <w:rFonts w:cs="David" w:hint="cs"/>
          <w:rtl/>
        </w:rPr>
        <w:t xml:space="preserve"> גדול בין הרטוריקה של ביהמ"ש העליון לבין הסטטיסטיקה. ביהמ"ש נוטה לומר שלא יתערב בפסיקות בתי הדין המשמעתיים של הפרופסור</w:t>
      </w:r>
      <w:r w:rsidR="00211405">
        <w:rPr>
          <w:rFonts w:cs="David" w:hint="cs"/>
          <w:rtl/>
        </w:rPr>
        <w:t>י</w:t>
      </w:r>
      <w:r>
        <w:rPr>
          <w:rFonts w:cs="David" w:hint="cs"/>
          <w:rtl/>
        </w:rPr>
        <w:t>ות השוות, אלא רק במקרים חריגים. הגוף הממונה על הליכים משמעתיים הוא גוף מקצועי, ולכן ביהמ"ש יתערב כמה שפחות, אלא אם מדובר בחריגה משמעותית. לדוגמה: חריגה משמעותית בעונש לקולא (לחומרה פחות). אך הסטטיסטיקה מראה שהתמונה שונה.</w:t>
      </w:r>
    </w:p>
    <w:p w:rsidR="00BE4A95" w:rsidRDefault="00BE4A95" w:rsidP="00BE4A95">
      <w:pPr>
        <w:spacing w:line="240" w:lineRule="auto"/>
        <w:ind w:left="-180"/>
        <w:rPr>
          <w:rFonts w:cs="David"/>
          <w:rtl/>
        </w:rPr>
      </w:pPr>
      <w:r>
        <w:rPr>
          <w:rFonts w:cs="David" w:hint="cs"/>
          <w:rtl/>
        </w:rPr>
        <w:t xml:space="preserve">העליון מתערב ב20% מהתיקים המגיעים אליו בערעור, ומקבל את הערעור בצורה מלאה או חלקית. </w:t>
      </w:r>
    </w:p>
    <w:p w:rsidR="00BE4A95" w:rsidRDefault="00BE4A95" w:rsidP="00BE4A95">
      <w:pPr>
        <w:spacing w:line="240" w:lineRule="auto"/>
        <w:ind w:left="-180"/>
        <w:rPr>
          <w:rFonts w:cs="David"/>
          <w:rtl/>
        </w:rPr>
      </w:pPr>
      <w:r>
        <w:rPr>
          <w:rFonts w:cs="David" w:hint="cs"/>
          <w:b/>
          <w:bCs/>
          <w:rtl/>
        </w:rPr>
        <w:t>פס"ד הוועד המחוזי של לשכת עו"ד נ' פרלמוטר</w:t>
      </w:r>
      <w:r>
        <w:rPr>
          <w:rFonts w:cs="David" w:hint="cs"/>
          <w:rtl/>
        </w:rPr>
        <w:t xml:space="preserve"> – עו"ד שהורשע</w:t>
      </w:r>
      <w:r w:rsidR="00AD4DD5">
        <w:rPr>
          <w:rFonts w:cs="David" w:hint="cs"/>
          <w:rtl/>
        </w:rPr>
        <w:t>ה</w:t>
      </w:r>
      <w:r>
        <w:rPr>
          <w:rFonts w:cs="David" w:hint="cs"/>
          <w:rtl/>
        </w:rPr>
        <w:t xml:space="preserve"> בעב</w:t>
      </w:r>
      <w:r w:rsidR="00AD4DD5">
        <w:rPr>
          <w:rFonts w:cs="David" w:hint="cs"/>
          <w:rtl/>
        </w:rPr>
        <w:t>ירות התחזות לעו"ד על אף שרישיונה</w:t>
      </w:r>
      <w:r>
        <w:rPr>
          <w:rFonts w:cs="David" w:hint="cs"/>
          <w:rtl/>
        </w:rPr>
        <w:t xml:space="preserve"> נשלל. על הנאשמת הוטל שלילה ל10 שנים. בערעור על ההחלטה, העליון אמר שאין הוא נוהג להתערב בהחלטות ביה"ד משמעתי,  אך בפועל החמיר את העונש להרחקה לצמיתות. לדעת המרצה מדובר בהתערבות בוטה, שלא בהכרח היתה דרושה, ומעידה על הפער הגדול בין הרטוריקה ופסיקותיו בפועל של ביהמ"ש עליון. </w:t>
      </w:r>
    </w:p>
    <w:p w:rsidR="00620DDD" w:rsidRDefault="000F3142" w:rsidP="00620DDD">
      <w:pPr>
        <w:spacing w:line="240" w:lineRule="auto"/>
        <w:ind w:left="-180"/>
        <w:rPr>
          <w:rFonts w:cs="David"/>
          <w:rtl/>
        </w:rPr>
      </w:pPr>
      <w:r>
        <w:rPr>
          <w:rFonts w:cs="David" w:hint="cs"/>
          <w:b/>
          <w:bCs/>
          <w:rtl/>
        </w:rPr>
        <w:t>אליהו נ' שר הבריאות-</w:t>
      </w:r>
      <w:r w:rsidR="006009D5">
        <w:rPr>
          <w:rFonts w:cs="David" w:hint="cs"/>
          <w:rtl/>
        </w:rPr>
        <w:t xml:space="preserve"> ביהמ"ש יתערב אם העונש או הפסיקה מחטיאים את מטרות הדין המשמעתי.</w:t>
      </w:r>
    </w:p>
    <w:p w:rsidR="00BE4A95" w:rsidRDefault="00BE4A95" w:rsidP="00BE4A95">
      <w:pPr>
        <w:spacing w:line="240" w:lineRule="auto"/>
        <w:ind w:left="-180"/>
        <w:rPr>
          <w:rFonts w:cs="David"/>
          <w:b/>
          <w:bCs/>
          <w:u w:val="single"/>
          <w:rtl/>
        </w:rPr>
      </w:pPr>
      <w:r>
        <w:rPr>
          <w:rFonts w:cs="David" w:hint="cs"/>
          <w:b/>
          <w:bCs/>
          <w:u w:val="single"/>
          <w:rtl/>
        </w:rPr>
        <w:t>היסטוריה של הקמת לשכת עו"ד</w:t>
      </w:r>
    </w:p>
    <w:p w:rsidR="00620DDD" w:rsidRPr="00620DDD" w:rsidRDefault="00BE4A95" w:rsidP="00BE4A95">
      <w:pPr>
        <w:pStyle w:val="ListParagraph"/>
        <w:numPr>
          <w:ilvl w:val="0"/>
          <w:numId w:val="28"/>
        </w:numPr>
        <w:spacing w:line="240" w:lineRule="auto"/>
        <w:ind w:left="-180"/>
        <w:rPr>
          <w:rFonts w:cs="David"/>
          <w:b/>
          <w:bCs/>
          <w:u w:val="single"/>
        </w:rPr>
      </w:pPr>
      <w:r>
        <w:rPr>
          <w:rFonts w:cs="David" w:hint="cs"/>
          <w:b/>
          <w:bCs/>
          <w:u w:val="single"/>
          <w:rtl/>
        </w:rPr>
        <w:t>1918</w:t>
      </w:r>
      <w:r>
        <w:rPr>
          <w:rFonts w:cs="David" w:hint="cs"/>
          <w:u w:val="single"/>
          <w:rtl/>
        </w:rPr>
        <w:t xml:space="preserve"> </w:t>
      </w:r>
      <w:r>
        <w:rPr>
          <w:rFonts w:cs="David" w:hint="cs"/>
          <w:rtl/>
        </w:rPr>
        <w:t>–</w:t>
      </w:r>
      <w:r w:rsidR="00620DDD">
        <w:rPr>
          <w:rFonts w:cs="David" w:hint="cs"/>
          <w:rtl/>
        </w:rPr>
        <w:t xml:space="preserve"> </w:t>
      </w:r>
      <w:r w:rsidR="00620DDD">
        <w:rPr>
          <w:rFonts w:cs="David" w:hint="cs"/>
          <w:b/>
          <w:bCs/>
          <w:rtl/>
        </w:rPr>
        <w:t>האנגלים מייחדים את המקצוע ומקימים בי"ס למשפטים.</w:t>
      </w:r>
      <w:r>
        <w:rPr>
          <w:rFonts w:cs="David" w:hint="cs"/>
          <w:rtl/>
        </w:rPr>
        <w:t xml:space="preserve"> </w:t>
      </w:r>
    </w:p>
    <w:p w:rsidR="00BE4A95" w:rsidRPr="00620DDD" w:rsidRDefault="00BE4A95" w:rsidP="00620DDD">
      <w:pPr>
        <w:spacing w:line="240" w:lineRule="auto"/>
        <w:ind w:left="-540"/>
        <w:rPr>
          <w:rFonts w:cs="David"/>
          <w:b/>
          <w:bCs/>
          <w:u w:val="single"/>
          <w:rtl/>
        </w:rPr>
      </w:pPr>
      <w:r w:rsidRPr="00620DDD">
        <w:rPr>
          <w:rFonts w:cs="David" w:hint="cs"/>
          <w:rtl/>
        </w:rPr>
        <w:t>האנגלים כובשים את הארץ מהתורכים, והחלו להסדיר את המערכת המשפטית, בפאן המהותי והפרוצדוראלי.</w:t>
      </w:r>
      <w:r w:rsidRPr="00620DDD">
        <w:rPr>
          <w:rFonts w:cs="David" w:hint="cs"/>
          <w:u w:val="single"/>
          <w:rtl/>
        </w:rPr>
        <w:t xml:space="preserve"> </w:t>
      </w:r>
      <w:r w:rsidRPr="00620DDD">
        <w:rPr>
          <w:rFonts w:cs="David" w:hint="cs"/>
          <w:rtl/>
        </w:rPr>
        <w:t>המג'לה אפשרה לכל אחד להיות מיוצג ע"י כל אחד אחר, האנגלים לא אוהבים זאת, ופועלים לביסוס מערכת ייצוג בפני ביהמ"ש. בשנת 1920 האנגלים מקימים את ביה"ס למשפטים בי"ם, ע"פ הוראתו של היועמ"ש של המנדט. הלימודים הורכבו משני חלקים: 1. לימודים על המג'לה, מקרקעין, פלילי אזרחית וכו'. 2. תורת המשפט האנגלי.</w:t>
      </w:r>
    </w:p>
    <w:p w:rsidR="00705C76" w:rsidRPr="00705C76" w:rsidRDefault="00BE4A95" w:rsidP="00BE4A95">
      <w:pPr>
        <w:pStyle w:val="ListParagraph"/>
        <w:numPr>
          <w:ilvl w:val="0"/>
          <w:numId w:val="28"/>
        </w:numPr>
        <w:spacing w:line="240" w:lineRule="auto"/>
        <w:ind w:left="-180"/>
        <w:rPr>
          <w:rFonts w:cs="David"/>
          <w:b/>
          <w:bCs/>
          <w:u w:val="single"/>
        </w:rPr>
      </w:pPr>
      <w:r>
        <w:rPr>
          <w:rFonts w:cs="David" w:hint="cs"/>
          <w:b/>
          <w:bCs/>
          <w:u w:val="single"/>
          <w:rtl/>
        </w:rPr>
        <w:t>1922</w:t>
      </w:r>
      <w:r>
        <w:rPr>
          <w:rFonts w:cs="David" w:hint="cs"/>
          <w:rtl/>
        </w:rPr>
        <w:t xml:space="preserve"> – </w:t>
      </w:r>
      <w:r w:rsidR="00705C76">
        <w:rPr>
          <w:rFonts w:cs="David" w:hint="cs"/>
          <w:b/>
          <w:bCs/>
          <w:rtl/>
        </w:rPr>
        <w:t xml:space="preserve"> חקיקת פקודת עורכי הדין, הקמת מועצת המשפט הקובעת כללי הופעה בבימ"ש. עו"ד בארץ הם רק סוליסיטרס. רק עו"ד אנגלים יכולים לייצג. אסור לנשים להיות עו"ד.</w:t>
      </w:r>
    </w:p>
    <w:p w:rsidR="00F25014" w:rsidRDefault="00F25014" w:rsidP="00705C76">
      <w:pPr>
        <w:pStyle w:val="ListParagraph"/>
        <w:spacing w:line="240" w:lineRule="auto"/>
        <w:ind w:left="-180"/>
        <w:rPr>
          <w:rFonts w:cs="David"/>
          <w:b/>
          <w:bCs/>
          <w:rtl/>
        </w:rPr>
      </w:pPr>
    </w:p>
    <w:p w:rsidR="00F25014" w:rsidRDefault="00BE4A95" w:rsidP="00705C76">
      <w:pPr>
        <w:pStyle w:val="ListParagraph"/>
        <w:spacing w:line="240" w:lineRule="auto"/>
        <w:ind w:left="-180"/>
        <w:rPr>
          <w:rFonts w:cs="David"/>
          <w:rtl/>
        </w:rPr>
      </w:pPr>
      <w:r>
        <w:rPr>
          <w:rFonts w:cs="David" w:hint="cs"/>
          <w:b/>
          <w:bCs/>
          <w:rtl/>
        </w:rPr>
        <w:t>הבריטים מחוקקים את פקודת עורכי הדין</w:t>
      </w:r>
      <w:r>
        <w:rPr>
          <w:rFonts w:cs="David" w:hint="cs"/>
          <w:rtl/>
        </w:rPr>
        <w:t xml:space="preserve">, ומקימים את </w:t>
      </w:r>
      <w:r>
        <w:rPr>
          <w:rFonts w:cs="David" w:hint="cs"/>
          <w:b/>
          <w:bCs/>
          <w:rtl/>
        </w:rPr>
        <w:t>מועצת המשפט</w:t>
      </w:r>
      <w:r>
        <w:rPr>
          <w:rFonts w:cs="David" w:hint="cs"/>
          <w:rtl/>
        </w:rPr>
        <w:t xml:space="preserve">, המוסמכת לקבוע כללי הופעה בביהמ"ש. </w:t>
      </w:r>
    </w:p>
    <w:p w:rsidR="00BE4A95" w:rsidRDefault="00BE4A95" w:rsidP="00F25014">
      <w:pPr>
        <w:pStyle w:val="ListParagraph"/>
        <w:spacing w:line="240" w:lineRule="auto"/>
        <w:ind w:left="-180"/>
        <w:rPr>
          <w:rFonts w:cs="David"/>
          <w:rtl/>
        </w:rPr>
      </w:pPr>
      <w:r>
        <w:rPr>
          <w:rFonts w:cs="David" w:hint="cs"/>
          <w:rtl/>
        </w:rPr>
        <w:t xml:space="preserve">בפקודה זו נכלל לראשונה </w:t>
      </w:r>
      <w:r>
        <w:rPr>
          <w:rFonts w:cs="David" w:hint="cs"/>
          <w:b/>
          <w:bCs/>
          <w:rtl/>
        </w:rPr>
        <w:t>ייחוד המקצוע</w:t>
      </w:r>
      <w:r>
        <w:rPr>
          <w:rFonts w:cs="David" w:hint="cs"/>
          <w:rtl/>
        </w:rPr>
        <w:t>, מי יכול להיות עו"ד ומי לא, וכללי האתיקה המחייבים. נשים לא יכלו להיות עו"ד. הבריטים התייחסו לכל עו"ד בארץ כסוליסיטרס, וסמכו עליהם פחות. תפיסה זו עמ</w:t>
      </w:r>
      <w:r w:rsidR="00705C76">
        <w:rPr>
          <w:rFonts w:cs="David" w:hint="cs"/>
          <w:rtl/>
        </w:rPr>
        <w:t>ד</w:t>
      </w:r>
      <w:r>
        <w:rPr>
          <w:rFonts w:cs="David" w:hint="cs"/>
          <w:rtl/>
        </w:rPr>
        <w:t xml:space="preserve">ה עד 1961. </w:t>
      </w:r>
    </w:p>
    <w:p w:rsidR="00F25014" w:rsidRDefault="00F25014" w:rsidP="00F25014">
      <w:pPr>
        <w:pStyle w:val="ListParagraph"/>
        <w:spacing w:line="240" w:lineRule="auto"/>
        <w:ind w:left="-180"/>
        <w:rPr>
          <w:rFonts w:cs="David"/>
          <w:b/>
          <w:bCs/>
          <w:u w:val="single"/>
        </w:rPr>
      </w:pPr>
    </w:p>
    <w:p w:rsidR="00494C44" w:rsidRPr="00494C44" w:rsidRDefault="00BE4A95" w:rsidP="00BE4A95">
      <w:pPr>
        <w:pStyle w:val="ListParagraph"/>
        <w:numPr>
          <w:ilvl w:val="0"/>
          <w:numId w:val="28"/>
        </w:numPr>
        <w:spacing w:line="240" w:lineRule="auto"/>
        <w:ind w:left="-180"/>
        <w:rPr>
          <w:rFonts w:cs="David"/>
          <w:b/>
          <w:bCs/>
          <w:u w:val="single"/>
        </w:rPr>
      </w:pPr>
      <w:r>
        <w:rPr>
          <w:rFonts w:cs="David" w:hint="cs"/>
          <w:b/>
          <w:bCs/>
          <w:u w:val="single"/>
          <w:rtl/>
        </w:rPr>
        <w:t>1928</w:t>
      </w:r>
      <w:r>
        <w:rPr>
          <w:rFonts w:cs="David" w:hint="cs"/>
          <w:rtl/>
        </w:rPr>
        <w:t xml:space="preserve"> –</w:t>
      </w:r>
      <w:r w:rsidR="00494C44">
        <w:rPr>
          <w:rFonts w:cs="David" w:hint="cs"/>
          <w:rtl/>
        </w:rPr>
        <w:t xml:space="preserve"> </w:t>
      </w:r>
      <w:r w:rsidR="00494C44">
        <w:rPr>
          <w:rFonts w:cs="David" w:hint="cs"/>
          <w:b/>
          <w:bCs/>
          <w:rtl/>
        </w:rPr>
        <w:t>מקימים את הסתדרות עורכי הדין וולונטורי, בתוכו קיימים ב"ד משמעתיים של עו"ד. במקביל יש ערכאות משמעת סטוטוריות אנגלית.</w:t>
      </w:r>
    </w:p>
    <w:p w:rsidR="00494C44" w:rsidRPr="00494C44" w:rsidRDefault="00494C44" w:rsidP="00494C44">
      <w:pPr>
        <w:pStyle w:val="ListParagraph"/>
        <w:spacing w:line="240" w:lineRule="auto"/>
        <w:ind w:left="-180"/>
        <w:rPr>
          <w:rFonts w:cs="David"/>
          <w:b/>
          <w:bCs/>
          <w:u w:val="single"/>
        </w:rPr>
      </w:pPr>
    </w:p>
    <w:p w:rsidR="00BE4A95" w:rsidRPr="00F25014" w:rsidRDefault="00BE4A95" w:rsidP="00494C44">
      <w:pPr>
        <w:pStyle w:val="ListParagraph"/>
        <w:spacing w:line="240" w:lineRule="auto"/>
        <w:ind w:left="-180"/>
        <w:rPr>
          <w:rFonts w:cs="David"/>
          <w:b/>
          <w:bCs/>
          <w:u w:val="single"/>
        </w:rPr>
      </w:pPr>
      <w:r>
        <w:rPr>
          <w:rFonts w:cs="David" w:hint="cs"/>
          <w:rtl/>
        </w:rPr>
        <w:t xml:space="preserve"> הקמת הסתדרות עורכי הדין בארץ ישראל. גוף וולנטרי ולא סטטוטורי. אך בפועל כמעט כל עו"ד היו חברים בו. חלק מהחלטות שהתקבלו עסקו בשפה העברית: חוזה בין שני יהודים חייב להיכתב בעברית. </w:t>
      </w:r>
      <w:r>
        <w:rPr>
          <w:rFonts w:cs="David" w:hint="cs"/>
          <w:u w:val="single"/>
          <w:rtl/>
        </w:rPr>
        <w:t>הנושאים על סדר היום</w:t>
      </w:r>
      <w:r>
        <w:rPr>
          <w:rFonts w:cs="David" w:hint="cs"/>
          <w:rtl/>
        </w:rPr>
        <w:t xml:space="preserve">: הצפת המקצוע, ריבוי עו"ד, הגנת המקצוע מפני מסיגי גבול, שכר מינימום, נשים כמייצגות. בתוך הסתדרות עו"ד מוקמים בתי דין משמעתיים שיאכפו את כללי האתיקה. השופטים היו עו"ד בכירים מאוד. במקביל התקיימה ערכאת משמעת סטטוטורית אנגלית. </w:t>
      </w:r>
    </w:p>
    <w:p w:rsidR="00F25014" w:rsidRDefault="00F25014" w:rsidP="00F25014">
      <w:pPr>
        <w:pStyle w:val="ListParagraph"/>
        <w:spacing w:line="240" w:lineRule="auto"/>
        <w:ind w:left="-180"/>
        <w:rPr>
          <w:rFonts w:cs="David"/>
          <w:b/>
          <w:bCs/>
          <w:u w:val="single"/>
        </w:rPr>
      </w:pPr>
    </w:p>
    <w:p w:rsidR="00334544" w:rsidRPr="00334544" w:rsidRDefault="00BE4A95" w:rsidP="00334544">
      <w:pPr>
        <w:pStyle w:val="ListParagraph"/>
        <w:numPr>
          <w:ilvl w:val="0"/>
          <w:numId w:val="28"/>
        </w:numPr>
        <w:spacing w:line="240" w:lineRule="auto"/>
        <w:ind w:left="-180"/>
        <w:rPr>
          <w:rFonts w:cs="David"/>
        </w:rPr>
      </w:pPr>
      <w:r>
        <w:rPr>
          <w:rFonts w:cs="David" w:hint="cs"/>
          <w:b/>
          <w:bCs/>
          <w:u w:val="single"/>
          <w:rtl/>
        </w:rPr>
        <w:t>1938</w:t>
      </w:r>
      <w:r>
        <w:rPr>
          <w:rFonts w:cs="David" w:hint="cs"/>
          <w:rtl/>
        </w:rPr>
        <w:t xml:space="preserve"> – </w:t>
      </w:r>
      <w:r w:rsidR="00334544" w:rsidRPr="00334544">
        <w:rPr>
          <w:rFonts w:cs="David" w:hint="cs"/>
          <w:b/>
          <w:bCs/>
          <w:rtl/>
        </w:rPr>
        <w:t>חידשו את פקודת עו"ד</w:t>
      </w:r>
      <w:r w:rsidR="00334544">
        <w:rPr>
          <w:rFonts w:cs="David" w:hint="cs"/>
          <w:b/>
          <w:bCs/>
          <w:rtl/>
        </w:rPr>
        <w:t>- נשים נכסו למקצוע.</w:t>
      </w:r>
      <w:r w:rsidR="006C061F">
        <w:rPr>
          <w:rFonts w:cs="David" w:hint="cs"/>
          <w:b/>
          <w:bCs/>
          <w:rtl/>
        </w:rPr>
        <w:t xml:space="preserve"> פקודת המועצה המשפטית- הקימו לראשונה ועדת חקירה הבודקת תלונות של עו"ד.</w:t>
      </w:r>
    </w:p>
    <w:p w:rsidR="00335751" w:rsidRDefault="00335751" w:rsidP="00335751">
      <w:pPr>
        <w:pStyle w:val="ListParagraph"/>
        <w:spacing w:line="240" w:lineRule="auto"/>
        <w:ind w:left="-180"/>
        <w:rPr>
          <w:rFonts w:cs="David"/>
          <w:b/>
          <w:bCs/>
          <w:u w:val="single"/>
          <w:rtl/>
        </w:rPr>
      </w:pPr>
    </w:p>
    <w:p w:rsidR="00F25014" w:rsidRDefault="00BE4A95" w:rsidP="00335751">
      <w:pPr>
        <w:pStyle w:val="ListParagraph"/>
        <w:spacing w:line="240" w:lineRule="auto"/>
        <w:ind w:left="-180"/>
        <w:rPr>
          <w:rFonts w:cs="David"/>
        </w:rPr>
      </w:pPr>
      <w:r>
        <w:rPr>
          <w:rFonts w:cs="David" w:hint="cs"/>
          <w:rtl/>
        </w:rPr>
        <w:t>נחקקות שתי פקודות חדשות: 1. פקודת עורכי הדין החדשה – מחליפה את הפקודה הישנה משנת 1922. אחד התיקונים היו הכרה בזכות של נשים לעסוק במקצוע. 2. פקודת המועצה המשפטית – הקמת וועדת חקירה הבודקת תלונות על עבירות משמעת של עו"ד. רוב המתלוננים היו השופטים. היועמ"ש של המנדט שלט בוועדה.</w:t>
      </w:r>
    </w:p>
    <w:p w:rsidR="00F25014" w:rsidRPr="00F25014" w:rsidRDefault="00F25014" w:rsidP="00F25014">
      <w:pPr>
        <w:pStyle w:val="ListParagraph"/>
        <w:rPr>
          <w:rFonts w:cs="David"/>
          <w:rtl/>
        </w:rPr>
      </w:pPr>
    </w:p>
    <w:p w:rsidR="00F25014" w:rsidRPr="00F25014" w:rsidRDefault="00F25014" w:rsidP="00F25014">
      <w:pPr>
        <w:pStyle w:val="ListParagraph"/>
        <w:spacing w:line="240" w:lineRule="auto"/>
        <w:ind w:left="-180"/>
        <w:rPr>
          <w:rFonts w:cs="David"/>
        </w:rPr>
      </w:pPr>
    </w:p>
    <w:p w:rsidR="006C061F" w:rsidRDefault="00BE4A95" w:rsidP="006C061F">
      <w:pPr>
        <w:pStyle w:val="ListParagraph"/>
        <w:numPr>
          <w:ilvl w:val="0"/>
          <w:numId w:val="28"/>
        </w:numPr>
        <w:spacing w:line="240" w:lineRule="auto"/>
        <w:ind w:left="-180"/>
        <w:rPr>
          <w:rFonts w:cs="David"/>
          <w:b/>
          <w:bCs/>
        </w:rPr>
      </w:pPr>
      <w:r>
        <w:rPr>
          <w:rFonts w:cs="David" w:hint="cs"/>
          <w:b/>
          <w:bCs/>
          <w:u w:val="single"/>
          <w:rtl/>
        </w:rPr>
        <w:t>1948</w:t>
      </w:r>
      <w:r>
        <w:rPr>
          <w:rFonts w:cs="David" w:hint="cs"/>
          <w:rtl/>
        </w:rPr>
        <w:t xml:space="preserve"> –</w:t>
      </w:r>
      <w:r w:rsidR="006C061F">
        <w:rPr>
          <w:rFonts w:cs="David" w:hint="cs"/>
          <w:rtl/>
        </w:rPr>
        <w:t xml:space="preserve"> </w:t>
      </w:r>
      <w:r w:rsidR="006C061F" w:rsidRPr="006C061F">
        <w:rPr>
          <w:rFonts w:cs="David" w:hint="cs"/>
          <w:b/>
          <w:bCs/>
          <w:rtl/>
        </w:rPr>
        <w:t xml:space="preserve">אין משהו, </w:t>
      </w:r>
      <w:r w:rsidR="006C061F">
        <w:rPr>
          <w:rFonts w:cs="David" w:hint="cs"/>
          <w:b/>
          <w:bCs/>
          <w:rtl/>
        </w:rPr>
        <w:t>כל הסמכויות עברו</w:t>
      </w:r>
      <w:r w:rsidR="006C061F" w:rsidRPr="006C061F">
        <w:rPr>
          <w:rFonts w:cs="David" w:hint="cs"/>
          <w:b/>
          <w:bCs/>
          <w:rtl/>
        </w:rPr>
        <w:t xml:space="preserve"> מהבריטים לישראל.</w:t>
      </w:r>
    </w:p>
    <w:p w:rsidR="006C061F" w:rsidRDefault="006C061F" w:rsidP="006C061F">
      <w:pPr>
        <w:pStyle w:val="ListParagraph"/>
        <w:spacing w:line="240" w:lineRule="auto"/>
        <w:ind w:left="-180"/>
        <w:rPr>
          <w:rFonts w:cs="David"/>
          <w:b/>
          <w:bCs/>
          <w:u w:val="single"/>
          <w:rtl/>
        </w:rPr>
      </w:pPr>
    </w:p>
    <w:p w:rsidR="00BE4A95" w:rsidRPr="006C061F" w:rsidRDefault="00BE4A95" w:rsidP="006C061F">
      <w:pPr>
        <w:pStyle w:val="ListParagraph"/>
        <w:spacing w:line="240" w:lineRule="auto"/>
        <w:ind w:left="-180"/>
        <w:rPr>
          <w:rFonts w:cs="David"/>
          <w:b/>
          <w:bCs/>
        </w:rPr>
      </w:pPr>
      <w:r w:rsidRPr="006C061F">
        <w:rPr>
          <w:rFonts w:cs="David" w:hint="cs"/>
          <w:rtl/>
        </w:rPr>
        <w:t xml:space="preserve"> הקמת המדינה, רוב המוסדות הופכים סטטוטוריים, ומסתיים עידן המוסדות הוולונטריים. רק הגוף המאגד את עו"ד נשאר וולנטרי. סמכויות יועמ"ש המנדט עוברות לשר המשפטים של מדינת ישראל. ומאז ועד 1961 נלחמים עו"ד על עצמאותם. </w:t>
      </w:r>
      <w:r w:rsidRPr="006C061F">
        <w:rPr>
          <w:rFonts w:cs="David" w:hint="cs"/>
          <w:b/>
          <w:bCs/>
          <w:rtl/>
        </w:rPr>
        <w:t xml:space="preserve">מדוע לא הוקמה לשכת עו"ד בשנה זו? </w:t>
      </w:r>
      <w:r w:rsidRPr="006C061F">
        <w:rPr>
          <w:rFonts w:cs="David" w:hint="cs"/>
          <w:rtl/>
        </w:rPr>
        <w:t>הסיבה היא פוליטית והשתייכות מפלגתית.</w:t>
      </w:r>
    </w:p>
    <w:p w:rsidR="00F25014" w:rsidRDefault="00F25014" w:rsidP="00F25014">
      <w:pPr>
        <w:pStyle w:val="ListParagraph"/>
        <w:spacing w:line="240" w:lineRule="auto"/>
        <w:ind w:left="-180"/>
        <w:rPr>
          <w:rFonts w:cs="David"/>
        </w:rPr>
      </w:pPr>
    </w:p>
    <w:p w:rsidR="00BE4A95" w:rsidRDefault="00BE4A95" w:rsidP="00BE4A95">
      <w:pPr>
        <w:pStyle w:val="ListParagraph"/>
        <w:numPr>
          <w:ilvl w:val="0"/>
          <w:numId w:val="28"/>
        </w:numPr>
        <w:spacing w:line="240" w:lineRule="auto"/>
        <w:ind w:left="-180"/>
        <w:rPr>
          <w:rFonts w:cs="David"/>
        </w:rPr>
      </w:pPr>
      <w:r>
        <w:rPr>
          <w:rFonts w:cs="David" w:hint="cs"/>
          <w:b/>
          <w:bCs/>
          <w:u w:val="single"/>
          <w:rtl/>
        </w:rPr>
        <w:t>1961</w:t>
      </w:r>
      <w:r>
        <w:rPr>
          <w:rFonts w:cs="David" w:hint="cs"/>
          <w:rtl/>
        </w:rPr>
        <w:t xml:space="preserve"> – </w:t>
      </w:r>
      <w:r>
        <w:rPr>
          <w:rFonts w:cs="David" w:hint="cs"/>
          <w:b/>
          <w:bCs/>
          <w:rtl/>
        </w:rPr>
        <w:t>בשנה זו מוקמת לשכת עו"ד</w:t>
      </w:r>
      <w:r>
        <w:rPr>
          <w:rFonts w:cs="David" w:hint="cs"/>
          <w:rtl/>
        </w:rPr>
        <w:t xml:space="preserve"> שזוכה באוטונומיה שיפוטית על חבריה ומבוטלת פקודת המועצה המשפטית. </w:t>
      </w:r>
    </w:p>
    <w:p w:rsidR="00BE4A95" w:rsidRDefault="00BE4A95" w:rsidP="00BE4A95">
      <w:pPr>
        <w:spacing w:line="240" w:lineRule="auto"/>
        <w:ind w:left="-180"/>
        <w:rPr>
          <w:rFonts w:cs="David"/>
          <w:b/>
          <w:bCs/>
          <w:u w:val="single"/>
        </w:rPr>
      </w:pPr>
      <w:r>
        <w:rPr>
          <w:rFonts w:cs="David" w:hint="cs"/>
          <w:b/>
          <w:bCs/>
          <w:u w:val="single"/>
          <w:rtl/>
        </w:rPr>
        <w:t>המערכת המשמעתית של עורכי הדין</w:t>
      </w:r>
    </w:p>
    <w:p w:rsidR="00807C88" w:rsidRPr="00807C88" w:rsidRDefault="00807C88" w:rsidP="00BE4A95">
      <w:pPr>
        <w:spacing w:line="240" w:lineRule="auto"/>
        <w:ind w:left="-180"/>
        <w:rPr>
          <w:rFonts w:cs="David"/>
          <w:b/>
          <w:bCs/>
          <w:rtl/>
        </w:rPr>
      </w:pPr>
      <w:r w:rsidRPr="00807C88">
        <w:rPr>
          <w:rFonts w:cs="David" w:hint="cs"/>
          <w:b/>
          <w:bCs/>
          <w:rtl/>
        </w:rPr>
        <w:t>הנפגע מגיש תלונה ללשכת עו"ד במחוז שבו נמצא המשרד של העו"ד הנילון. מפה הנפגע יוצא מהתמונה.</w:t>
      </w:r>
    </w:p>
    <w:p w:rsidR="00BE4A95" w:rsidRDefault="00BE4A95" w:rsidP="00BE4A95">
      <w:pPr>
        <w:spacing w:line="240" w:lineRule="auto"/>
        <w:ind w:left="-180"/>
        <w:rPr>
          <w:rFonts w:cs="David"/>
          <w:rtl/>
        </w:rPr>
      </w:pPr>
      <w:r>
        <w:rPr>
          <w:rFonts w:cs="David" w:hint="cs"/>
          <w:rtl/>
        </w:rPr>
        <w:t>כל</w:t>
      </w:r>
      <w:r w:rsidR="00807C88">
        <w:rPr>
          <w:rFonts w:cs="David" w:hint="cs"/>
          <w:rtl/>
        </w:rPr>
        <w:t xml:space="preserve"> א</w:t>
      </w:r>
      <w:r>
        <w:rPr>
          <w:rFonts w:cs="David" w:hint="cs"/>
          <w:rtl/>
        </w:rPr>
        <w:t xml:space="preserve">דם שנפגע מהתנהגות עו"ד יכול להגיש תלונה נגדו. התלונות מוגשות למחוז של לשכת עו"ד בו ממוקם משרדו של עו"ד, לא קשר למקום בו התבצעה הפגיעה. לאחר הגשת התלונה, המתלונן "יוצא" מהתמונה. רוב התלונות מוגשות ע"י עורכי דין אחרים, לקוחות, צדדים שלישיים או שופטים. בעשרים השנים האחרונות התפתחות פסיקתית הביאה לכך שלעו"ד יש אחריות גם כלפי הצד שכנגד. </w:t>
      </w:r>
    </w:p>
    <w:p w:rsidR="00BE4A95" w:rsidRDefault="00BE4A95" w:rsidP="00807C88">
      <w:pPr>
        <w:pStyle w:val="ListParagraph"/>
        <w:numPr>
          <w:ilvl w:val="0"/>
          <w:numId w:val="29"/>
        </w:numPr>
        <w:spacing w:line="240" w:lineRule="auto"/>
        <w:ind w:left="-180"/>
        <w:rPr>
          <w:rFonts w:cs="David"/>
          <w:rtl/>
        </w:rPr>
      </w:pPr>
      <w:r>
        <w:rPr>
          <w:rFonts w:cs="David" w:hint="cs"/>
          <w:b/>
          <w:bCs/>
          <w:rtl/>
        </w:rPr>
        <w:t>שלב ראשון</w:t>
      </w:r>
      <w:r>
        <w:rPr>
          <w:rFonts w:cs="David" w:hint="cs"/>
          <w:rtl/>
        </w:rPr>
        <w:t xml:space="preserve"> – התלונות מגיעות </w:t>
      </w:r>
      <w:r w:rsidRPr="00807C88">
        <w:rPr>
          <w:rFonts w:cs="David" w:hint="cs"/>
          <w:b/>
          <w:bCs/>
          <w:rtl/>
        </w:rPr>
        <w:t>לוועדת האתיקה</w:t>
      </w:r>
      <w:r>
        <w:rPr>
          <w:rFonts w:cs="David" w:hint="cs"/>
          <w:rtl/>
        </w:rPr>
        <w:t>,</w:t>
      </w:r>
      <w:r w:rsidR="00807C88">
        <w:rPr>
          <w:rFonts w:cs="David" w:hint="cs"/>
          <w:rtl/>
        </w:rPr>
        <w:t xml:space="preserve"> </w:t>
      </w:r>
      <w:r>
        <w:rPr>
          <w:rFonts w:cs="David" w:hint="cs"/>
          <w:rtl/>
        </w:rPr>
        <w:t>והיא ממיינת אותן, כאשר חלקן נגנזות כבר בשלב הזה (אפילו ללא ידיעת העו"ד). אחרות מועברות לעו"ד הנילון עם דרישה לתגובה. עולה מכך שלא קיימת חובת תגובה של העו"ד הנילון, במקרים בהם וועדת האתיקה מחליטה ש</w:t>
      </w:r>
      <w:r w:rsidR="00807C88">
        <w:rPr>
          <w:rFonts w:cs="David" w:hint="cs"/>
          <w:rtl/>
        </w:rPr>
        <w:t>א</w:t>
      </w:r>
      <w:r>
        <w:rPr>
          <w:rFonts w:cs="David" w:hint="cs"/>
          <w:rtl/>
        </w:rPr>
        <w:t xml:space="preserve">ין בסיס לתלונה. לדוגמה: עלות שכטר טרחה יקר מדי. וועדת האתיקה תתערב רק כאשר מדובר בעבירה אתית, למשל עו"ד פלילי המתנה את שכר הטרחה בתוצאות המשפט. </w:t>
      </w:r>
      <w:r>
        <w:rPr>
          <w:rFonts w:cs="David" w:hint="cs"/>
          <w:b/>
          <w:bCs/>
          <w:rtl/>
        </w:rPr>
        <w:t>אופציה שנייה:</w:t>
      </w:r>
      <w:r>
        <w:rPr>
          <w:rFonts w:cs="David" w:hint="cs"/>
          <w:rtl/>
        </w:rPr>
        <w:t xml:space="preserve"> הלשכה פונה לנילון ומבקשת תגובה. אם הוגשה תלונה למשטרה, המשטרה מזמינה את הנילון ומבקשת תגובה, לנילון מותר לשתוק. </w:t>
      </w:r>
      <w:r>
        <w:rPr>
          <w:rFonts w:cs="David" w:hint="cs"/>
          <w:b/>
          <w:bCs/>
          <w:rtl/>
        </w:rPr>
        <w:t>עם זאת, עו"ד אינו יכול שלא להגיב לדרישה להגיב על תלונה</w:t>
      </w:r>
      <w:r w:rsidRPr="00245D51">
        <w:rPr>
          <w:rFonts w:cs="David" w:hint="cs"/>
          <w:rtl/>
        </w:rPr>
        <w:t>. אי תגובה לפניית הלשכה מהווה בסיס לעבירה אתית לכשעצמה. עו</w:t>
      </w:r>
      <w:r>
        <w:rPr>
          <w:rFonts w:cs="David" w:hint="cs"/>
          <w:rtl/>
        </w:rPr>
        <w:t xml:space="preserve">"ד שאינו ממלא את חובתו להגיב לפניית הלשכה, יכול להיות אשם באי מתן התגובה ולצאת זכאי בנושא התלונה עצמה. </w:t>
      </w:r>
    </w:p>
    <w:p w:rsidR="00BE4A95" w:rsidRDefault="00BE4A95" w:rsidP="00BE4A95">
      <w:pPr>
        <w:pStyle w:val="ListParagraph"/>
        <w:numPr>
          <w:ilvl w:val="0"/>
          <w:numId w:val="29"/>
        </w:numPr>
        <w:spacing w:line="240" w:lineRule="auto"/>
        <w:ind w:left="-180"/>
        <w:rPr>
          <w:rFonts w:cs="David"/>
        </w:rPr>
      </w:pPr>
      <w:r>
        <w:rPr>
          <w:rFonts w:cs="David" w:hint="cs"/>
          <w:b/>
          <w:bCs/>
          <w:rtl/>
        </w:rPr>
        <w:t>שלב שני</w:t>
      </w:r>
      <w:r>
        <w:rPr>
          <w:rFonts w:cs="David" w:hint="cs"/>
          <w:rtl/>
        </w:rPr>
        <w:t xml:space="preserve"> – לאחר העברת התגובה, הועדה צריכה להחליט אם לגנוז את התלונה או להגיש קובלנה משמעתית. לעיתים תגובת העו"ד אינה מספקת, ובמקרים אחרים הוא "מוסיף שמן למדורה", ואז מוגשת קובלנה. </w:t>
      </w:r>
    </w:p>
    <w:p w:rsidR="00BE4A95" w:rsidRDefault="00BE4A95" w:rsidP="00BE4A95">
      <w:pPr>
        <w:pStyle w:val="ListParagraph"/>
        <w:numPr>
          <w:ilvl w:val="0"/>
          <w:numId w:val="29"/>
        </w:numPr>
        <w:spacing w:line="240" w:lineRule="auto"/>
        <w:ind w:left="-180"/>
        <w:rPr>
          <w:rFonts w:cs="David"/>
        </w:rPr>
      </w:pPr>
      <w:r>
        <w:rPr>
          <w:rFonts w:cs="David" w:hint="cs"/>
          <w:b/>
          <w:bCs/>
          <w:rtl/>
        </w:rPr>
        <w:t>שלב שלישי</w:t>
      </w:r>
      <w:r>
        <w:rPr>
          <w:rFonts w:cs="David" w:hint="cs"/>
          <w:rtl/>
        </w:rPr>
        <w:t xml:space="preserve"> – במקרים שוועדת מחליטה על הגשת קובלנה, התלונה עוברת לידי הקובל המשמעתי. </w:t>
      </w:r>
    </w:p>
    <w:p w:rsidR="00BE4A95" w:rsidRDefault="00BE4A95" w:rsidP="00BE4A95">
      <w:pPr>
        <w:pStyle w:val="ListParagraph"/>
        <w:numPr>
          <w:ilvl w:val="0"/>
          <w:numId w:val="29"/>
        </w:numPr>
        <w:spacing w:line="240" w:lineRule="auto"/>
        <w:ind w:left="-180"/>
        <w:rPr>
          <w:rFonts w:cs="David"/>
        </w:rPr>
      </w:pPr>
      <w:r>
        <w:rPr>
          <w:rFonts w:cs="David" w:hint="cs"/>
          <w:b/>
          <w:bCs/>
          <w:rtl/>
        </w:rPr>
        <w:t>שלב רביעי</w:t>
      </w:r>
      <w:r>
        <w:rPr>
          <w:rFonts w:cs="David" w:hint="cs"/>
          <w:rtl/>
        </w:rPr>
        <w:t xml:space="preserve"> – הקובל המשמעתי מחבר את הקובלנה ומגיש אותה </w:t>
      </w:r>
      <w:r w:rsidR="00245D51">
        <w:rPr>
          <w:rFonts w:cs="David" w:hint="cs"/>
          <w:rtl/>
        </w:rPr>
        <w:t>ל</w:t>
      </w:r>
      <w:r>
        <w:rPr>
          <w:rFonts w:cs="David" w:hint="cs"/>
          <w:rtl/>
        </w:rPr>
        <w:t xml:space="preserve">ביה"ד משמעתי מחוזי. ישנם חמישה ביה"ד משמעתיים, אחד ליד כל וועד מחוז. </w:t>
      </w:r>
    </w:p>
    <w:p w:rsidR="00BE4A95" w:rsidRDefault="00BE4A95" w:rsidP="00BE4A95">
      <w:pPr>
        <w:spacing w:line="240" w:lineRule="auto"/>
        <w:ind w:left="-180"/>
        <w:rPr>
          <w:rFonts w:cs="David"/>
          <w:rtl/>
        </w:rPr>
      </w:pPr>
      <w:r>
        <w:rPr>
          <w:rFonts w:cs="David" w:hint="cs"/>
          <w:rtl/>
        </w:rPr>
        <w:t xml:space="preserve">הרכב ביה"ד מורכב משלושה דיינים, אב בית דין ושני דייני צד. אב בית הדין צריך להיות תמיד עו"ד וותיק יותר מהנאשם. ביה"ד פועל בהתנדבות, לכן הדיונים נערכים בשעות אחה"צ והערב. על מנת לעמוד בעומס הפניות לכל ביה"ד יש יותר מהרכב דיינים אחד. בכל מחוז יש נשיא ביה"ד ושני סגנים לפחות, הנבחרים ע"י חברי אותו ביה"ד מחוזי. תפקיד הנשיאות הוא לחלק את התיקים בין ההרכבים השונים. לאחר מתן פסק דין ע"י ביה"ד, קיימת זכות ערעור לקובל ולנאשם, בפני בית הדין המשמעתי הארצי, היושב בת"א. עד לרפורמה ערעורים על פסק הדין של ביה"ד הארצי, היו מוגשים בזכות לביהמ"ש העליון. </w:t>
      </w:r>
      <w:r>
        <w:rPr>
          <w:rFonts w:cs="David" w:hint="cs"/>
          <w:b/>
          <w:bCs/>
          <w:rtl/>
        </w:rPr>
        <w:t xml:space="preserve">מאז תיקון 32 לחוק לשכת עו"ד, הערעורים מוגשים לביהמ"ש המחוזי בירושלים. </w:t>
      </w:r>
      <w:r>
        <w:rPr>
          <w:rFonts w:cs="David" w:hint="cs"/>
          <w:rtl/>
        </w:rPr>
        <w:t xml:space="preserve">לאחר החלטת המחוזי בירושלים, ניתן להגיש ערעור נוסף לביהמ"ש העליון. כיוון שמדובר בערכאה רביעית, העליון אינו נוטה לאשר בקשת רשות ערעור. </w:t>
      </w:r>
    </w:p>
    <w:p w:rsidR="00245D51" w:rsidRDefault="00245D51" w:rsidP="00BE4A95">
      <w:pPr>
        <w:spacing w:line="240" w:lineRule="auto"/>
        <w:ind w:left="-180"/>
        <w:rPr>
          <w:rFonts w:cs="David"/>
          <w:rtl/>
        </w:rPr>
      </w:pPr>
      <w:r>
        <w:rPr>
          <w:rFonts w:cs="David" w:hint="cs"/>
          <w:rtl/>
        </w:rPr>
        <w:t>סדר הערעורים-</w:t>
      </w:r>
    </w:p>
    <w:p w:rsidR="00245D51" w:rsidRDefault="00245D51" w:rsidP="00245D51">
      <w:pPr>
        <w:spacing w:line="240" w:lineRule="auto"/>
        <w:ind w:left="-180"/>
        <w:rPr>
          <w:rFonts w:cs="David"/>
          <w:rtl/>
        </w:rPr>
      </w:pPr>
      <w:r>
        <w:rPr>
          <w:rFonts w:cs="David" w:hint="cs"/>
          <w:rtl/>
        </w:rPr>
        <w:t>1. בי"ד מחוזי לבי"ד ארצי.</w:t>
      </w:r>
    </w:p>
    <w:p w:rsidR="00245D51" w:rsidRDefault="00245D51" w:rsidP="00245D51">
      <w:pPr>
        <w:spacing w:line="240" w:lineRule="auto"/>
        <w:ind w:left="-180"/>
        <w:rPr>
          <w:rFonts w:cs="David"/>
          <w:rtl/>
        </w:rPr>
      </w:pPr>
      <w:r>
        <w:rPr>
          <w:rFonts w:cs="David" w:hint="cs"/>
          <w:rtl/>
        </w:rPr>
        <w:t>2. בי"ד ארצי לביהמ"ש המחוזי בירושלים.</w:t>
      </w:r>
    </w:p>
    <w:p w:rsidR="00245D51" w:rsidRDefault="00245D51" w:rsidP="00245D51">
      <w:pPr>
        <w:spacing w:line="240" w:lineRule="auto"/>
        <w:ind w:left="-180"/>
        <w:rPr>
          <w:rFonts w:cs="David"/>
        </w:rPr>
      </w:pPr>
      <w:r>
        <w:rPr>
          <w:rFonts w:cs="David" w:hint="cs"/>
          <w:rtl/>
        </w:rPr>
        <w:t>3. ביהמ"ש מחוזי בירושלים לביהמ"ש העליון.</w:t>
      </w:r>
    </w:p>
    <w:p w:rsidR="00BE4A95" w:rsidRDefault="00BE4A95" w:rsidP="00BE4A95">
      <w:pPr>
        <w:spacing w:line="240" w:lineRule="auto"/>
        <w:ind w:left="-180"/>
        <w:rPr>
          <w:rFonts w:cs="David"/>
          <w:rtl/>
        </w:rPr>
      </w:pPr>
      <w:r>
        <w:rPr>
          <w:rFonts w:cs="David" w:hint="cs"/>
          <w:b/>
          <w:bCs/>
          <w:rtl/>
        </w:rPr>
        <w:t>סטטיסטיקה</w:t>
      </w:r>
      <w:r>
        <w:rPr>
          <w:rFonts w:cs="David" w:hint="cs"/>
          <w:rtl/>
        </w:rPr>
        <w:t xml:space="preserve"> – כל שנה מוגשות 4000 תלונות, מתוכן מוגשות 400 קובלנות, ומתוכם מורשעים 200 עו"ד. 40 מתוכם עם עונשים כבדים (הוצאה מהלשכה לצמיתות, השעיה ארוכה).</w:t>
      </w:r>
    </w:p>
    <w:p w:rsidR="00BE4A95" w:rsidRDefault="00BE4A95" w:rsidP="00BE4A95">
      <w:pPr>
        <w:spacing w:line="240" w:lineRule="auto"/>
        <w:ind w:left="-180"/>
        <w:rPr>
          <w:rFonts w:cs="David"/>
          <w:b/>
          <w:bCs/>
          <w:u w:val="single"/>
          <w:rtl/>
        </w:rPr>
      </w:pPr>
      <w:r>
        <w:rPr>
          <w:rFonts w:cs="David" w:hint="cs"/>
          <w:b/>
          <w:bCs/>
          <w:u w:val="single"/>
          <w:rtl/>
        </w:rPr>
        <w:t>ביקורת על תפקוד המערכת המשמעתית של לשכת עו"ד</w:t>
      </w:r>
    </w:p>
    <w:p w:rsidR="00BE4A95" w:rsidRDefault="00BE4A95" w:rsidP="00BE4A95">
      <w:pPr>
        <w:spacing w:line="240" w:lineRule="auto"/>
        <w:ind w:left="-180"/>
        <w:rPr>
          <w:rFonts w:cs="David"/>
          <w:rtl/>
        </w:rPr>
      </w:pPr>
      <w:r>
        <w:rPr>
          <w:rFonts w:cs="David" w:hint="cs"/>
          <w:rtl/>
        </w:rPr>
        <w:t>בהשפעת הכתיבה האמריקאית, ביקורת רבה נמתחת על לשכת עו"ד ומוסדותיה. הלא אקדמיים ישראלים שחוזרים מארה"ב, שבים עם גישות אמריקאיות. בארה"ב הלשכה מקבלת ביקורת וימין ומשמאל:</w:t>
      </w:r>
    </w:p>
    <w:p w:rsidR="00BE4A95" w:rsidRDefault="00BE4A95" w:rsidP="00BE4A95">
      <w:pPr>
        <w:pStyle w:val="ListParagraph"/>
        <w:numPr>
          <w:ilvl w:val="0"/>
          <w:numId w:val="30"/>
        </w:numPr>
        <w:spacing w:line="240" w:lineRule="auto"/>
        <w:ind w:left="-180"/>
        <w:rPr>
          <w:rFonts w:cs="David"/>
          <w:rtl/>
        </w:rPr>
      </w:pPr>
      <w:r>
        <w:rPr>
          <w:rFonts w:cs="David" w:hint="cs"/>
          <w:rtl/>
        </w:rPr>
        <w:t xml:space="preserve">ביקורת ימנית – קיים כשל שוק, הם בעד פתיחת השוק. כל רגולציה שמשמעותה, מחירי מינימום, נורמות או קביעת אזורי שירות, פוגעת במסחר החופשי ומובילה לכשל שוק. </w:t>
      </w:r>
    </w:p>
    <w:p w:rsidR="00BE4A95" w:rsidRDefault="00BE4A95" w:rsidP="00D43AF2">
      <w:pPr>
        <w:pStyle w:val="ListParagraph"/>
        <w:numPr>
          <w:ilvl w:val="0"/>
          <w:numId w:val="30"/>
        </w:numPr>
        <w:spacing w:line="240" w:lineRule="auto"/>
        <w:ind w:left="-180"/>
        <w:rPr>
          <w:rFonts w:cs="David"/>
        </w:rPr>
      </w:pPr>
      <w:r>
        <w:rPr>
          <w:rFonts w:cs="David" w:hint="cs"/>
          <w:rtl/>
        </w:rPr>
        <w:t xml:space="preserve">ביקורת שמאלנית –הקמת לשכת העו"ד ותפעולה, פוגעת בנגישות למשפט. הצבת רף התנהגות וייחוד המקצוע אינו מאפשר לאוכלוסיות מוחלשות לקבל שירותיים משפטיים. בארץ שלושה כתבו על כך </w:t>
      </w:r>
      <w:r>
        <w:rPr>
          <w:rFonts w:cs="David" w:hint="cs"/>
          <w:b/>
          <w:bCs/>
          <w:rtl/>
        </w:rPr>
        <w:t>פרופ' אריאל זלצברג, פרופ' נטע זיו וד"ר לימור זר גוטמן</w:t>
      </w:r>
      <w:r>
        <w:rPr>
          <w:rFonts w:cs="David" w:hint="cs"/>
          <w:rtl/>
        </w:rPr>
        <w:t xml:space="preserve"> – המסקנה שלהם היא שיש לבטל את לשכת עו"ד כגוף האחראי על תפעול המערך המשמעתי של עורכי הדין. לטענתם קיימת פוליטיזציה של ההליך המשמעתי וכי קיים קשר הדוק בין המוסדות הנבחרים של הלשכה לבין חברי בית הדין וכתוצאה מכך הציבור ניזוק. </w:t>
      </w:r>
    </w:p>
    <w:p w:rsidR="00BE4A95" w:rsidRDefault="00BE4A95" w:rsidP="00BE4A95">
      <w:pPr>
        <w:pStyle w:val="ListParagraph"/>
        <w:spacing w:line="240" w:lineRule="auto"/>
        <w:ind w:left="-180"/>
        <w:rPr>
          <w:rFonts w:cs="David"/>
        </w:rPr>
      </w:pPr>
    </w:p>
    <w:p w:rsidR="00BE4A95" w:rsidRDefault="00BE4A95" w:rsidP="00BE4A95">
      <w:pPr>
        <w:pStyle w:val="ListParagraph"/>
        <w:spacing w:line="240" w:lineRule="auto"/>
        <w:ind w:left="-180"/>
        <w:rPr>
          <w:rFonts w:cs="David"/>
          <w:b/>
          <w:bCs/>
          <w:rtl/>
        </w:rPr>
      </w:pPr>
      <w:r>
        <w:rPr>
          <w:rFonts w:cs="David" w:hint="cs"/>
          <w:b/>
          <w:bCs/>
          <w:rtl/>
        </w:rPr>
        <w:t>הביקורת על הלשכה מתחלקת לשלושה מישורים:</w:t>
      </w:r>
    </w:p>
    <w:p w:rsidR="00BE4A95" w:rsidRDefault="00BE4A95" w:rsidP="00D43AF2">
      <w:pPr>
        <w:pStyle w:val="ListParagraph"/>
        <w:numPr>
          <w:ilvl w:val="0"/>
          <w:numId w:val="31"/>
        </w:numPr>
        <w:spacing w:line="240" w:lineRule="auto"/>
        <w:ind w:left="-180"/>
        <w:rPr>
          <w:rFonts w:cs="David"/>
          <w:b/>
          <w:bCs/>
          <w:rtl/>
        </w:rPr>
      </w:pPr>
      <w:r>
        <w:rPr>
          <w:rFonts w:cs="David" w:hint="cs"/>
          <w:b/>
          <w:bCs/>
          <w:rtl/>
        </w:rPr>
        <w:t>בחירת הדיינים</w:t>
      </w:r>
      <w:r>
        <w:rPr>
          <w:rFonts w:cs="David" w:hint="cs"/>
          <w:rtl/>
        </w:rPr>
        <w:t xml:space="preserve"> – הדיניים נבחרים ע"י חברי המחוז, ולא ניתן להפקיד בידי הנבחרים את גורל בוחריהם. </w:t>
      </w:r>
      <w:r>
        <w:rPr>
          <w:rFonts w:cs="David" w:hint="cs"/>
          <w:b/>
          <w:bCs/>
          <w:rtl/>
        </w:rPr>
        <w:t>בג"צ סיעת עצמאות ושינוי נ' לשכת עו"ד</w:t>
      </w:r>
      <w:r>
        <w:rPr>
          <w:rFonts w:cs="David" w:hint="cs"/>
          <w:rtl/>
        </w:rPr>
        <w:t xml:space="preserve"> – </w:t>
      </w:r>
      <w:r>
        <w:rPr>
          <w:rFonts w:cs="David" w:hint="cs"/>
          <w:b/>
          <w:bCs/>
          <w:rtl/>
        </w:rPr>
        <w:t>השופט ברק</w:t>
      </w:r>
      <w:r>
        <w:rPr>
          <w:rFonts w:cs="David" w:hint="cs"/>
          <w:rtl/>
        </w:rPr>
        <w:t xml:space="preserve"> – הסביר כי וועד המחוז הוא הקובל וגם בוחר את הדיינים במחוז. וועד המחוז משקף את הפוליטיקה הפנימית של הלשכה ורצוי שבחירת הדיינים תוצא החוצ</w:t>
      </w:r>
      <w:r w:rsidR="00D43AF2">
        <w:rPr>
          <w:rFonts w:cs="David" w:hint="cs"/>
          <w:rtl/>
        </w:rPr>
        <w:t xml:space="preserve">ה </w:t>
      </w:r>
      <w:r>
        <w:rPr>
          <w:rFonts w:cs="David" w:hint="cs"/>
          <w:rtl/>
        </w:rPr>
        <w:t>מהפוליטיקה הזו.</w:t>
      </w:r>
    </w:p>
    <w:p w:rsidR="00BE4A95" w:rsidRDefault="00BE4A95" w:rsidP="00BE4A95">
      <w:pPr>
        <w:pStyle w:val="ListParagraph"/>
        <w:numPr>
          <w:ilvl w:val="0"/>
          <w:numId w:val="31"/>
        </w:numPr>
        <w:spacing w:line="240" w:lineRule="auto"/>
        <w:ind w:left="-180"/>
        <w:rPr>
          <w:rFonts w:cs="David"/>
          <w:b/>
          <w:bCs/>
        </w:rPr>
      </w:pPr>
      <w:r>
        <w:rPr>
          <w:rFonts w:cs="David" w:hint="cs"/>
          <w:b/>
          <w:bCs/>
          <w:rtl/>
        </w:rPr>
        <w:t>היעדר נציג ציבור בין חברי בית הדין</w:t>
      </w:r>
      <w:r>
        <w:rPr>
          <w:rFonts w:cs="David" w:hint="cs"/>
          <w:rtl/>
        </w:rPr>
        <w:t xml:space="preserve"> – בארה"ב יושב אדם חיצוני שאינו עו"ד בביה"ד. דרישה זו הועלתה כמה פעמים בישראל. לדוגמה: וועדת אלוני – דנה במוסדות המשמעתיים של לשכת העו"ד וקבעה השיטה מתאימה לארה"ב כי שם קיימים מושבעים, אך לא לישראל. לכן לשכת עו"ד התנגדה נחרצות לשינוי הזה.</w:t>
      </w:r>
    </w:p>
    <w:p w:rsidR="00BE4A95" w:rsidRDefault="00BE4A95" w:rsidP="00BE4A95">
      <w:pPr>
        <w:pStyle w:val="ListParagraph"/>
        <w:numPr>
          <w:ilvl w:val="0"/>
          <w:numId w:val="31"/>
        </w:numPr>
        <w:spacing w:line="240" w:lineRule="auto"/>
        <w:ind w:left="-180"/>
        <w:rPr>
          <w:rFonts w:cs="David"/>
          <w:b/>
          <w:bCs/>
        </w:rPr>
      </w:pPr>
      <w:r>
        <w:rPr>
          <w:rFonts w:cs="David" w:hint="cs"/>
          <w:b/>
          <w:bCs/>
          <w:rtl/>
        </w:rPr>
        <w:t>פומביות הדיון</w:t>
      </w:r>
      <w:r>
        <w:rPr>
          <w:rFonts w:cs="David" w:hint="cs"/>
          <w:rtl/>
        </w:rPr>
        <w:t xml:space="preserve"> – כתוצאה מאחוז הרשעות נמוך, קמה ביקורת כי הדיונים מתבצעים במחשכים,</w:t>
      </w:r>
      <w:r w:rsidR="005C5264">
        <w:rPr>
          <w:rFonts w:cs="David" w:hint="cs"/>
          <w:rtl/>
        </w:rPr>
        <w:t xml:space="preserve"> עו"ד ד</w:t>
      </w:r>
      <w:r>
        <w:rPr>
          <w:rFonts w:cs="David" w:hint="cs"/>
          <w:rtl/>
        </w:rPr>
        <w:t xml:space="preserve">נים עו"ד והציבור אינו יודע מה קורה שם. </w:t>
      </w:r>
    </w:p>
    <w:p w:rsidR="00BE4A95" w:rsidRDefault="00BE4A95" w:rsidP="00BE4A95">
      <w:pPr>
        <w:spacing w:line="240" w:lineRule="auto"/>
        <w:ind w:left="-180"/>
        <w:rPr>
          <w:rFonts w:cs="David"/>
          <w:b/>
          <w:bCs/>
          <w:u w:val="single"/>
        </w:rPr>
      </w:pPr>
      <w:r>
        <w:rPr>
          <w:rFonts w:cs="David" w:hint="cs"/>
          <w:b/>
          <w:bCs/>
          <w:u w:val="single"/>
          <w:rtl/>
        </w:rPr>
        <w:t>הרפורמה בדין המשמעתי של הלשכה – תיקון מס' 32 לחוק לשכת עו"ד</w:t>
      </w:r>
    </w:p>
    <w:p w:rsidR="00BE4A95" w:rsidRDefault="00BE4A95" w:rsidP="00BE4A95">
      <w:pPr>
        <w:spacing w:line="240" w:lineRule="auto"/>
        <w:ind w:left="-180"/>
        <w:rPr>
          <w:rFonts w:cs="David"/>
          <w:rtl/>
        </w:rPr>
      </w:pPr>
      <w:r>
        <w:rPr>
          <w:rFonts w:cs="David" w:hint="cs"/>
          <w:rtl/>
        </w:rPr>
        <w:t xml:space="preserve">תיקון מס' 32 לחוק לשכת עו"ד נכנס לתוקף בשנת 2010. התיקון שומר על האוטונומיה המקצועית של לשכת עו"ד (עו"ד דנים את עו"ד), ומצד שני הכניס תיקונים חשובים שנועדו להפריד את הדין המשמעתי מהפוליטיקה הפנימית של הלשכה. </w:t>
      </w:r>
    </w:p>
    <w:p w:rsidR="00BE4A95" w:rsidRDefault="00BE4A95" w:rsidP="00BE4A95">
      <w:pPr>
        <w:spacing w:line="240" w:lineRule="auto"/>
        <w:ind w:left="-180"/>
        <w:rPr>
          <w:rFonts w:cs="David"/>
          <w:b/>
          <w:bCs/>
          <w:rtl/>
        </w:rPr>
      </w:pPr>
      <w:r>
        <w:rPr>
          <w:rFonts w:cs="David" w:hint="cs"/>
          <w:b/>
          <w:bCs/>
          <w:rtl/>
        </w:rPr>
        <w:t>השינויים שהתבצעו במסגרת הסעיף:</w:t>
      </w:r>
    </w:p>
    <w:p w:rsidR="00BE4A95" w:rsidRDefault="00BE4A95" w:rsidP="00BE4A95">
      <w:pPr>
        <w:pStyle w:val="ListParagraph"/>
        <w:numPr>
          <w:ilvl w:val="0"/>
          <w:numId w:val="32"/>
        </w:numPr>
        <w:spacing w:line="240" w:lineRule="auto"/>
        <w:ind w:left="-180"/>
        <w:rPr>
          <w:rFonts w:cs="David"/>
          <w:b/>
          <w:bCs/>
          <w:rtl/>
        </w:rPr>
      </w:pPr>
      <w:r>
        <w:rPr>
          <w:rFonts w:cs="David" w:hint="cs"/>
          <w:b/>
          <w:bCs/>
          <w:rtl/>
        </w:rPr>
        <w:t>דיינים מתמנים ע"י וועדה</w:t>
      </w:r>
      <w:r>
        <w:rPr>
          <w:rFonts w:cs="David" w:hint="cs"/>
          <w:rtl/>
        </w:rPr>
        <w:t xml:space="preserve"> – יו"ר הועדה הוא שופט בדימוס והיא כוללת חברי לשכה מן השירות הציבורי, חברי לשכה מטעם המועצה הארצית של לשכת עו"ד והווע</w:t>
      </w:r>
      <w:r w:rsidR="00946E1B">
        <w:rPr>
          <w:rFonts w:cs="David" w:hint="cs"/>
          <w:rtl/>
        </w:rPr>
        <w:t>ד</w:t>
      </w:r>
      <w:r>
        <w:rPr>
          <w:rFonts w:cs="David" w:hint="cs"/>
          <w:rtl/>
        </w:rPr>
        <w:t xml:space="preserve"> המרכזי.</w:t>
      </w:r>
    </w:p>
    <w:p w:rsidR="00BE4A95" w:rsidRDefault="00BE4A95" w:rsidP="00BE4A95">
      <w:pPr>
        <w:pStyle w:val="ListParagraph"/>
        <w:numPr>
          <w:ilvl w:val="0"/>
          <w:numId w:val="32"/>
        </w:numPr>
        <w:spacing w:line="240" w:lineRule="auto"/>
        <w:ind w:left="-180"/>
        <w:rPr>
          <w:rFonts w:cs="David"/>
          <w:b/>
          <w:bCs/>
        </w:rPr>
      </w:pPr>
      <w:r>
        <w:rPr>
          <w:rFonts w:cs="David" w:hint="cs"/>
          <w:b/>
          <w:bCs/>
          <w:rtl/>
        </w:rPr>
        <w:t>נציגי ציבור</w:t>
      </w:r>
      <w:r>
        <w:rPr>
          <w:rFonts w:cs="David" w:hint="cs"/>
          <w:rtl/>
        </w:rPr>
        <w:t xml:space="preserve"> – בוועדות האתיקה הוכללו חברים משפטנים שאינם עו"ד פעילים, חברי הלשכה והם נחשבים למעין </w:t>
      </w:r>
      <w:r>
        <w:rPr>
          <w:rFonts w:cs="David" w:hint="cs"/>
          <w:b/>
          <w:bCs/>
          <w:rtl/>
        </w:rPr>
        <w:t>נציגי ציבור</w:t>
      </w:r>
      <w:r>
        <w:rPr>
          <w:rFonts w:cs="David" w:hint="cs"/>
          <w:rtl/>
        </w:rPr>
        <w:t xml:space="preserve"> (לדוגמה אנשי אקדמיה).</w:t>
      </w:r>
    </w:p>
    <w:p w:rsidR="00BE4A95" w:rsidRDefault="00BE4A95" w:rsidP="00BE4A95">
      <w:pPr>
        <w:pStyle w:val="ListParagraph"/>
        <w:numPr>
          <w:ilvl w:val="0"/>
          <w:numId w:val="32"/>
        </w:numPr>
        <w:spacing w:line="240" w:lineRule="auto"/>
        <w:ind w:left="-180"/>
        <w:rPr>
          <w:rFonts w:cs="David"/>
          <w:b/>
          <w:bCs/>
        </w:rPr>
      </w:pPr>
      <w:r>
        <w:rPr>
          <w:rFonts w:cs="David" w:hint="cs"/>
          <w:b/>
          <w:bCs/>
          <w:rtl/>
        </w:rPr>
        <w:t>נקבעו תנאי כשירות</w:t>
      </w:r>
      <w:r>
        <w:rPr>
          <w:rFonts w:cs="David" w:hint="cs"/>
          <w:rtl/>
        </w:rPr>
        <w:t xml:space="preserve"> </w:t>
      </w:r>
      <w:r>
        <w:rPr>
          <w:rFonts w:cs="David" w:hint="cs"/>
          <w:b/>
          <w:bCs/>
          <w:rtl/>
        </w:rPr>
        <w:t>מינימאליים</w:t>
      </w:r>
      <w:r>
        <w:rPr>
          <w:rFonts w:cs="David" w:hint="cs"/>
          <w:rtl/>
        </w:rPr>
        <w:t xml:space="preserve"> – לחברי וועדת האתיקה ולחברי בית הדין.</w:t>
      </w:r>
    </w:p>
    <w:p w:rsidR="00BE4A95" w:rsidRDefault="00BE4A95" w:rsidP="00BE4A95">
      <w:pPr>
        <w:pStyle w:val="ListParagraph"/>
        <w:numPr>
          <w:ilvl w:val="0"/>
          <w:numId w:val="32"/>
        </w:numPr>
        <w:spacing w:line="240" w:lineRule="auto"/>
        <w:ind w:left="-180"/>
        <w:rPr>
          <w:rFonts w:cs="David"/>
          <w:b/>
          <w:bCs/>
        </w:rPr>
      </w:pPr>
      <w:r>
        <w:rPr>
          <w:rFonts w:cs="David" w:hint="cs"/>
          <w:b/>
          <w:bCs/>
          <w:rtl/>
        </w:rPr>
        <w:t>קובל משמעתי בשכר בכל מחוז</w:t>
      </w:r>
      <w:r>
        <w:rPr>
          <w:rFonts w:cs="David" w:hint="cs"/>
          <w:rtl/>
        </w:rPr>
        <w:t>.</w:t>
      </w:r>
    </w:p>
    <w:p w:rsidR="00BE4A95" w:rsidRDefault="00BE4A95" w:rsidP="00BE4A95">
      <w:pPr>
        <w:pStyle w:val="ListParagraph"/>
        <w:numPr>
          <w:ilvl w:val="0"/>
          <w:numId w:val="32"/>
        </w:numPr>
        <w:spacing w:line="240" w:lineRule="auto"/>
        <w:ind w:left="-180"/>
        <w:rPr>
          <w:rFonts w:cs="David"/>
          <w:b/>
          <w:bCs/>
        </w:rPr>
      </w:pPr>
      <w:r>
        <w:rPr>
          <w:rFonts w:cs="David" w:hint="cs"/>
          <w:b/>
          <w:bCs/>
          <w:rtl/>
        </w:rPr>
        <w:t>דיונים בדלתיים פתוחות</w:t>
      </w:r>
      <w:r>
        <w:rPr>
          <w:rFonts w:cs="David" w:hint="cs"/>
          <w:rtl/>
        </w:rPr>
        <w:t xml:space="preserve"> – אלא אם ביה"ד יחליט אחרת מטעמים מיוחדים הקבועים בחוק</w:t>
      </w:r>
      <w:r>
        <w:rPr>
          <w:rFonts w:cs="David" w:hint="cs"/>
          <w:b/>
          <w:bCs/>
          <w:rtl/>
        </w:rPr>
        <w:t xml:space="preserve">. </w:t>
      </w:r>
      <w:r>
        <w:rPr>
          <w:rFonts w:cs="David" w:hint="cs"/>
          <w:rtl/>
        </w:rPr>
        <w:t>מאידך, הדרישה של לשכת עו"ד, שלא להכליל נציגי ציבור בהרכב בית הדין התקבלה.</w:t>
      </w:r>
    </w:p>
    <w:p w:rsidR="00BE4A95" w:rsidRDefault="00BE4A95" w:rsidP="00BE4A95">
      <w:pPr>
        <w:pStyle w:val="ListParagraph"/>
        <w:numPr>
          <w:ilvl w:val="0"/>
          <w:numId w:val="32"/>
        </w:numPr>
        <w:spacing w:line="240" w:lineRule="auto"/>
        <w:ind w:left="-180"/>
        <w:rPr>
          <w:rFonts w:cs="David"/>
          <w:b/>
          <w:bCs/>
        </w:rPr>
      </w:pPr>
      <w:r>
        <w:rPr>
          <w:rFonts w:cs="David" w:hint="cs"/>
          <w:b/>
          <w:bCs/>
          <w:rtl/>
        </w:rPr>
        <w:t>ביצוע אוטומטי של גזר הדין, גם אם הוגש ערעור</w:t>
      </w:r>
      <w:r>
        <w:rPr>
          <w:rFonts w:cs="David" w:hint="cs"/>
          <w:rtl/>
        </w:rPr>
        <w:t xml:space="preserve"> – עד לתיקון, הגשת ערעור היתה מעכבת את ביצוע גזר הדין. לפיכך היה תמריץ גדול להגיש ערעורים. התיקון שינה זאת והעונש יבוצע מיד, אלא אם כן ביה"ד יחליט לעכבו.</w:t>
      </w:r>
    </w:p>
    <w:p w:rsidR="00BE4A95" w:rsidRDefault="00BE4A95" w:rsidP="00BE4A95">
      <w:pPr>
        <w:pStyle w:val="ListParagraph"/>
        <w:numPr>
          <w:ilvl w:val="0"/>
          <w:numId w:val="32"/>
        </w:numPr>
        <w:spacing w:line="240" w:lineRule="auto"/>
        <w:ind w:left="-180"/>
        <w:rPr>
          <w:rFonts w:cs="David"/>
          <w:b/>
          <w:bCs/>
        </w:rPr>
      </w:pPr>
      <w:r>
        <w:rPr>
          <w:rFonts w:cs="David" w:hint="cs"/>
          <w:b/>
          <w:bCs/>
          <w:rtl/>
        </w:rPr>
        <w:t>עיקרון אי – התלות של חברי בית הדין</w:t>
      </w:r>
      <w:r>
        <w:rPr>
          <w:rFonts w:cs="David" w:hint="cs"/>
          <w:rtl/>
        </w:rPr>
        <w:t xml:space="preserve"> – עצמאות לדון ע"פ מיטב מצפונם.</w:t>
      </w:r>
    </w:p>
    <w:p w:rsidR="00BE4A95" w:rsidRDefault="00BE4A95" w:rsidP="00BE4A95">
      <w:pPr>
        <w:spacing w:line="240" w:lineRule="auto"/>
        <w:ind w:left="-180"/>
        <w:rPr>
          <w:rFonts w:cs="David"/>
          <w:b/>
          <w:bCs/>
          <w:u w:val="single"/>
        </w:rPr>
      </w:pPr>
      <w:r>
        <w:rPr>
          <w:rFonts w:cs="David" w:hint="cs"/>
          <w:b/>
          <w:bCs/>
          <w:u w:val="single"/>
          <w:rtl/>
        </w:rPr>
        <w:t>תהליך הפליליזציה של ההליך המשמעתי של לשכת עו"ד</w:t>
      </w:r>
    </w:p>
    <w:p w:rsidR="00BE4A95" w:rsidRDefault="00BE4A95" w:rsidP="00BE4A95">
      <w:pPr>
        <w:pStyle w:val="ListParagraph"/>
        <w:numPr>
          <w:ilvl w:val="0"/>
          <w:numId w:val="33"/>
        </w:numPr>
        <w:spacing w:line="240" w:lineRule="auto"/>
        <w:ind w:left="-180"/>
        <w:rPr>
          <w:rFonts w:cs="David"/>
          <w:rtl/>
        </w:rPr>
      </w:pPr>
      <w:r>
        <w:rPr>
          <w:rFonts w:cs="David" w:hint="cs"/>
          <w:rtl/>
        </w:rPr>
        <w:t>ככלי:עולם המשפט מתחלק לאזרחי, פלילי, ציבורי. כל סכסוך שייך לאחד התחומים. לכן שקלנו לאן לשייך את ההליך המשמעתי. פס"ד צימוקין דיבר על זה בשנות ה50'. בעשרים השנים האחרונות, ההליך המשמעתי הולך והפוך דומה להליך הפלילי. יש לכך שתי סיבות עיקריות:</w:t>
      </w:r>
    </w:p>
    <w:p w:rsidR="00BE4A95" w:rsidRDefault="00BE4A95" w:rsidP="00BE4A95">
      <w:pPr>
        <w:pStyle w:val="ListParagraph"/>
        <w:numPr>
          <w:ilvl w:val="1"/>
          <w:numId w:val="33"/>
        </w:numPr>
        <w:spacing w:line="240" w:lineRule="auto"/>
        <w:ind w:left="-180"/>
        <w:rPr>
          <w:rFonts w:cs="David"/>
        </w:rPr>
      </w:pPr>
      <w:r>
        <w:rPr>
          <w:rFonts w:cs="David" w:hint="cs"/>
          <w:b/>
          <w:bCs/>
          <w:rtl/>
        </w:rPr>
        <w:t>דמיון צורני בין שני ההליכים</w:t>
      </w:r>
      <w:r>
        <w:rPr>
          <w:rFonts w:cs="David" w:hint="cs"/>
          <w:rtl/>
        </w:rPr>
        <w:t>: מבחינה צורנית ההליך המשמעתי דומה להליך הפלילי. כתב קובלנה דומה יותר לכתב אישום מאשר לכתב תביעה. גם סוף ההליך, ההליך המשמעתי מתפצל בין שאלת האשמה ושאלת העונש, ממש כמו בהליך הפלילי.</w:t>
      </w:r>
    </w:p>
    <w:p w:rsidR="00BE4A95" w:rsidRDefault="00BE4A95" w:rsidP="00BE4A95">
      <w:pPr>
        <w:pStyle w:val="ListParagraph"/>
        <w:numPr>
          <w:ilvl w:val="1"/>
          <w:numId w:val="33"/>
        </w:numPr>
        <w:spacing w:line="240" w:lineRule="auto"/>
        <w:ind w:left="-180"/>
        <w:rPr>
          <w:rFonts w:cs="David"/>
          <w:b/>
          <w:bCs/>
        </w:rPr>
      </w:pPr>
      <w:r>
        <w:rPr>
          <w:rFonts w:cs="David" w:hint="cs"/>
          <w:b/>
          <w:bCs/>
          <w:rtl/>
        </w:rPr>
        <w:t xml:space="preserve">חוק יסוד: כבוד האדם וחירותו, וההפנמה של זכויות דיוניות של נאשמים: </w:t>
      </w:r>
      <w:r>
        <w:rPr>
          <w:rFonts w:cs="David" w:hint="cs"/>
          <w:rtl/>
        </w:rPr>
        <w:t>ההכרה בכך שההליך המשמעתי עוסק בערכים המוגנים בחוק יסוד: קניינו של אדם ושמו הטוב.</w:t>
      </w:r>
    </w:p>
    <w:p w:rsidR="00BE4A95" w:rsidRDefault="00BE4A95" w:rsidP="00BE4A95">
      <w:pPr>
        <w:spacing w:line="240" w:lineRule="auto"/>
        <w:ind w:left="-180"/>
        <w:rPr>
          <w:rFonts w:cs="David"/>
        </w:rPr>
      </w:pPr>
      <w:r>
        <w:rPr>
          <w:rFonts w:cs="David" w:hint="cs"/>
          <w:rtl/>
        </w:rPr>
        <w:t xml:space="preserve">שילוב של הסיבות הללו מוביל לכך שבכל פעם שבית דין משמעתי של לשכת עו"ד מגיע לצומת ולא יודע כיצד לפרש הוראה מסוימת, בפרוצדורה או בחוק, הוא בוחר לפרש אותה בהתאם לחוק סדר הדין הפלילי. </w:t>
      </w:r>
      <w:r>
        <w:rPr>
          <w:rFonts w:cs="David" w:hint="cs"/>
          <w:b/>
          <w:bCs/>
          <w:rtl/>
        </w:rPr>
        <w:t>לדעת המרצה</w:t>
      </w:r>
      <w:r>
        <w:rPr>
          <w:rFonts w:cs="David" w:hint="cs"/>
          <w:rtl/>
        </w:rPr>
        <w:t xml:space="preserve"> זאת סיבה משכנעת לסטטיסטיקה הקיימת בעניין האחוזים הנמוכים של הרשעות ממשיות ב</w:t>
      </w:r>
      <w:r w:rsidR="00946E1B">
        <w:rPr>
          <w:rFonts w:cs="David" w:hint="cs"/>
          <w:rtl/>
        </w:rPr>
        <w:t>ה</w:t>
      </w:r>
      <w:r>
        <w:rPr>
          <w:rFonts w:cs="David" w:hint="cs"/>
          <w:rtl/>
        </w:rPr>
        <w:t>ליך משמעתי של לשכת עו"ד, לעומת מספר תלונות המוגשות. בניגוד לטיעונים שטוענים נטע זיו, לימור זר גוטמן ואלי זלצברג. הם מתמקדים בהיעדר נציג ציבור, באי פומביות הדיונים, כפי שהיה לפני הרפורמה ובהליך בחירת הדיינים. הסבריהם לוקים בחסר. כי אחוז ההרשעה לא השתנה גם לאחר הרפורמה אשר שינתה נושאים אלו. הדבר נובע כיוון שהמשפט המהותי המשמעתי הולך לכיוון ההליך הפלילי.</w:t>
      </w:r>
    </w:p>
    <w:p w:rsidR="00BE4A95" w:rsidRDefault="00BE4A95" w:rsidP="00BE4A95">
      <w:pPr>
        <w:pStyle w:val="ListParagraph"/>
        <w:numPr>
          <w:ilvl w:val="0"/>
          <w:numId w:val="33"/>
        </w:numPr>
        <w:spacing w:line="240" w:lineRule="auto"/>
        <w:ind w:left="-180"/>
        <w:rPr>
          <w:rFonts w:cs="David"/>
          <w:rtl/>
        </w:rPr>
      </w:pPr>
      <w:r>
        <w:rPr>
          <w:rFonts w:cs="David" w:hint="cs"/>
          <w:rtl/>
        </w:rPr>
        <w:t>נושאים שעברו "פליליזציה" במסגרת ההליך המשמעתי:</w:t>
      </w:r>
    </w:p>
    <w:p w:rsidR="00BE4A95" w:rsidRDefault="00BE4A95" w:rsidP="00BE4A95">
      <w:pPr>
        <w:pStyle w:val="ListParagraph"/>
        <w:numPr>
          <w:ilvl w:val="0"/>
          <w:numId w:val="34"/>
        </w:numPr>
        <w:spacing w:line="240" w:lineRule="auto"/>
        <w:ind w:left="-180"/>
        <w:rPr>
          <w:rFonts w:cs="David"/>
        </w:rPr>
      </w:pPr>
      <w:r>
        <w:rPr>
          <w:rFonts w:cs="David" w:hint="cs"/>
          <w:b/>
          <w:bCs/>
          <w:rtl/>
        </w:rPr>
        <w:t>הכרה בזכות השתיקה של הנאשם בהליך הפלילי</w:t>
      </w:r>
      <w:r>
        <w:rPr>
          <w:rFonts w:cs="David" w:hint="cs"/>
          <w:rtl/>
        </w:rPr>
        <w:t xml:space="preserve"> – בעבר הליך המשמעתי, לא היתה זכות שתיקה, כך חלה החובה להגיב לתלונה. עם השנים העיקרון נשחק ולאט לאט הכירו בזכות הנאשם בהליך המשמעתי להשתמש בזכות השתיקה.</w:t>
      </w:r>
    </w:p>
    <w:p w:rsidR="00BE4A95" w:rsidRDefault="00BE4A95" w:rsidP="00BE4A95">
      <w:pPr>
        <w:pStyle w:val="ListParagraph"/>
        <w:numPr>
          <w:ilvl w:val="1"/>
          <w:numId w:val="34"/>
        </w:numPr>
        <w:spacing w:line="240" w:lineRule="auto"/>
        <w:ind w:left="-180"/>
        <w:rPr>
          <w:rFonts w:cs="David"/>
        </w:rPr>
      </w:pPr>
      <w:r>
        <w:rPr>
          <w:rFonts w:cs="David" w:hint="cs"/>
          <w:rtl/>
        </w:rPr>
        <w:t xml:space="preserve"> </w:t>
      </w:r>
      <w:r>
        <w:rPr>
          <w:rFonts w:cs="David" w:hint="cs"/>
          <w:b/>
          <w:bCs/>
          <w:rtl/>
        </w:rPr>
        <w:t xml:space="preserve">בד"א 68/00 </w:t>
      </w:r>
      <w:r>
        <w:rPr>
          <w:rFonts w:cs="David" w:hint="cs"/>
          <w:rtl/>
        </w:rPr>
        <w:t xml:space="preserve"> ביטל ביה"ד המשמעתי הארצי הרשעה של בית הדין המשמעתי המחוזי, והכיר בזכות הנאשם לשתיקה בהליך המשמעתי. הדיו עסק באימות מזויף של תצהיר הסתלקות מעיזבון, העו"ד המואשם שתק ולא היה מוכן להעיד. ביה"ד המחוזי ראה בכך הרשעה, אך זו בוטלה בביה"ד הארצי. </w:t>
      </w:r>
    </w:p>
    <w:p w:rsidR="00BE4A95" w:rsidRDefault="00BE4A95" w:rsidP="00BE4A95">
      <w:pPr>
        <w:pStyle w:val="ListParagraph"/>
        <w:numPr>
          <w:ilvl w:val="1"/>
          <w:numId w:val="34"/>
        </w:numPr>
        <w:spacing w:line="240" w:lineRule="auto"/>
        <w:ind w:left="-180"/>
        <w:rPr>
          <w:rFonts w:cs="David"/>
        </w:rPr>
      </w:pPr>
      <w:r>
        <w:rPr>
          <w:rFonts w:cs="David" w:hint="cs"/>
          <w:b/>
          <w:bCs/>
          <w:rtl/>
        </w:rPr>
        <w:t>בד"א 17/90</w:t>
      </w:r>
      <w:r>
        <w:rPr>
          <w:rFonts w:cs="David" w:hint="cs"/>
          <w:rtl/>
        </w:rPr>
        <w:t xml:space="preserve"> נקבע כי עו"ד חייב להגיב לפניה הראשונה של הקובל, אך לא לפניות חוזרות ונשנות מצידו. </w:t>
      </w:r>
      <w:r>
        <w:rPr>
          <w:rFonts w:cs="David" w:hint="cs"/>
          <w:b/>
          <w:bCs/>
          <w:rtl/>
        </w:rPr>
        <w:t>לאחר שהגיב פעם אחת, אין העו"ד נדרש להגיב לפניות נוספות.</w:t>
      </w:r>
    </w:p>
    <w:p w:rsidR="00BE4A95" w:rsidRDefault="00BE4A95" w:rsidP="00BE4A95">
      <w:pPr>
        <w:pStyle w:val="ListParagraph"/>
        <w:numPr>
          <w:ilvl w:val="0"/>
          <w:numId w:val="34"/>
        </w:numPr>
        <w:spacing w:line="240" w:lineRule="auto"/>
        <w:ind w:left="-180"/>
        <w:rPr>
          <w:rFonts w:cs="David"/>
        </w:rPr>
      </w:pPr>
      <w:r>
        <w:rPr>
          <w:rFonts w:cs="David" w:hint="cs"/>
          <w:b/>
          <w:bCs/>
          <w:rtl/>
        </w:rPr>
        <w:t>החמרה בקשר למידת ההוכחה הנדרשת לצורך הרשעה בהליך המשמעתי</w:t>
      </w:r>
      <w:r>
        <w:rPr>
          <w:rFonts w:cs="David" w:hint="cs"/>
          <w:rtl/>
        </w:rPr>
        <w:t xml:space="preserve"> – יש גישות שונות בקשר להליך המשמעתי של עובדי המדינה (אזוט, בכרך, גלאור). בדיון ב</w:t>
      </w:r>
      <w:r>
        <w:rPr>
          <w:rFonts w:cs="David" w:hint="cs"/>
          <w:b/>
          <w:bCs/>
          <w:rtl/>
        </w:rPr>
        <w:t>בד"מ 59/00 הוועד המחוזי נ' ר.ג.</w:t>
      </w:r>
      <w:r>
        <w:rPr>
          <w:rFonts w:cs="David" w:hint="cs"/>
          <w:rtl/>
        </w:rPr>
        <w:t xml:space="preserve"> סבר הדיין מנחם קליין שיש למקום לאמץ את גישתו של השופט לווין, כך שדרגת ההוכחה הנדרשת צריכה להיות גובה מזו של ההליך האזרחי אך נמוכה מזו של ההליך הפלילי (לא מגיעה לכדי מעל לספק סביר). על פס"ד זה הוגש ערעור לביה"ד הארצי </w:t>
      </w:r>
      <w:r>
        <w:rPr>
          <w:rFonts w:cs="David" w:hint="cs"/>
          <w:b/>
          <w:bCs/>
          <w:rtl/>
        </w:rPr>
        <w:t>בד"מ 129/01 ר.ג. נ' הוועד המחוזי</w:t>
      </w:r>
      <w:r>
        <w:rPr>
          <w:rFonts w:cs="David" w:hint="cs"/>
          <w:rtl/>
        </w:rPr>
        <w:t xml:space="preserve"> – שם נקבע כי גישתו של שמגר היא הנכונה, ולכן נדרשת רמת הוכחה של מעל לספק סביר. ב</w:t>
      </w:r>
      <w:r>
        <w:rPr>
          <w:rFonts w:cs="David" w:hint="cs"/>
          <w:b/>
          <w:bCs/>
          <w:rtl/>
        </w:rPr>
        <w:t>על"ע 10982/04 עו"ד רוני גורסקי נ' הוועד המחוזי</w:t>
      </w:r>
      <w:r>
        <w:rPr>
          <w:rFonts w:cs="David" w:hint="cs"/>
          <w:rtl/>
        </w:rPr>
        <w:t xml:space="preserve"> – השופט אדמונ לוי בעליון, נמנע מלהכריע, ואמר שהקביעה של ביה"ד הארצי תישאר בתוקפה.</w:t>
      </w:r>
    </w:p>
    <w:p w:rsidR="00BE4A95" w:rsidRDefault="00BE4A95" w:rsidP="00BE4A95">
      <w:pPr>
        <w:pStyle w:val="ListParagraph"/>
        <w:numPr>
          <w:ilvl w:val="0"/>
          <w:numId w:val="34"/>
        </w:numPr>
        <w:spacing w:line="240" w:lineRule="auto"/>
        <w:ind w:left="-180"/>
        <w:rPr>
          <w:rFonts w:cs="David"/>
        </w:rPr>
      </w:pPr>
      <w:r>
        <w:rPr>
          <w:rFonts w:cs="David" w:hint="cs"/>
          <w:b/>
          <w:bCs/>
          <w:rtl/>
        </w:rPr>
        <w:t>קבלת הטענה של סיכון כפול</w:t>
      </w:r>
      <w:r>
        <w:rPr>
          <w:rFonts w:cs="David" w:hint="cs"/>
          <w:rtl/>
        </w:rPr>
        <w:t xml:space="preserve"> – הגשת שתי קובלנות באותו נושא. במשך השנים לא היה ברור שנאשם יכול לטעון "טענת סיכון כפול". </w:t>
      </w:r>
      <w:r>
        <w:rPr>
          <w:rFonts w:cs="David" w:hint="cs"/>
          <w:b/>
          <w:bCs/>
          <w:rtl/>
        </w:rPr>
        <w:t>בבד"א 86/01</w:t>
      </w:r>
      <w:r>
        <w:rPr>
          <w:rFonts w:cs="David" w:hint="cs"/>
          <w:rtl/>
        </w:rPr>
        <w:t xml:space="preserve"> הכריע ביה"ד שהמבחנים אשר חלים לסיכון כפול בחוק סדר הדין הפלילי , יחולו גם על ההליכים המשמעתיים.</w:t>
      </w:r>
    </w:p>
    <w:p w:rsidR="00BE4A95" w:rsidRDefault="00BE4A95" w:rsidP="00BE4A95">
      <w:pPr>
        <w:pStyle w:val="ListParagraph"/>
        <w:numPr>
          <w:ilvl w:val="0"/>
          <w:numId w:val="34"/>
        </w:numPr>
        <w:spacing w:line="240" w:lineRule="auto"/>
        <w:ind w:left="-180"/>
        <w:rPr>
          <w:rFonts w:cs="David"/>
        </w:rPr>
      </w:pPr>
      <w:r>
        <w:rPr>
          <w:rFonts w:cs="David" w:hint="cs"/>
          <w:b/>
          <w:bCs/>
          <w:rtl/>
        </w:rPr>
        <w:t>היסוד הנפשי הנדרש לצורך הרשעה בהליך משמעתי</w:t>
      </w:r>
      <w:r>
        <w:rPr>
          <w:rFonts w:cs="David" w:hint="cs"/>
          <w:rtl/>
        </w:rPr>
        <w:t xml:space="preserve"> – בעבר היה מספיק יסוד נפשי מאוד נמוך על מנת להרשיע בדין המשמעתי של עו"ד. דוגמה: כניסה של עו"ד ללשכת שופט. </w:t>
      </w:r>
      <w:r>
        <w:rPr>
          <w:rFonts w:cs="David" w:hint="cs"/>
          <w:b/>
          <w:bCs/>
          <w:rtl/>
        </w:rPr>
        <w:t>בד"א 26/97</w:t>
      </w:r>
      <w:r>
        <w:rPr>
          <w:rFonts w:cs="David" w:hint="cs"/>
          <w:rtl/>
        </w:rPr>
        <w:t xml:space="preserve"> נקבע כי ברוב עבירות המשמעת, יש צורך בכוונת זדון לצורך הרשעה. נאשמים בהליכים משמעתיים אשר יוכיחו תום לב לא יורשעו. דוגמה: </w:t>
      </w:r>
      <w:r>
        <w:rPr>
          <w:rFonts w:cs="David" w:hint="cs"/>
          <w:b/>
          <w:bCs/>
          <w:rtl/>
        </w:rPr>
        <w:t xml:space="preserve">בד"א 39/99. </w:t>
      </w:r>
      <w:r>
        <w:rPr>
          <w:rFonts w:cs="David" w:hint="cs"/>
          <w:rtl/>
        </w:rPr>
        <w:t>וכך כמעט שהשוו את היסוד הנפשי בהליך משמעתי של הלשכה עם היסוד הנפשי הפלילי.</w:t>
      </w:r>
    </w:p>
    <w:p w:rsidR="00BE4A95" w:rsidRDefault="00BE4A95" w:rsidP="00BE4A95">
      <w:pPr>
        <w:pStyle w:val="ListParagraph"/>
        <w:numPr>
          <w:ilvl w:val="0"/>
          <w:numId w:val="34"/>
        </w:numPr>
        <w:spacing w:line="240" w:lineRule="auto"/>
        <w:ind w:left="-180"/>
        <w:rPr>
          <w:rFonts w:cs="David"/>
        </w:rPr>
      </w:pPr>
      <w:r>
        <w:rPr>
          <w:rFonts w:cs="David" w:hint="cs"/>
          <w:b/>
          <w:bCs/>
          <w:rtl/>
        </w:rPr>
        <w:t>הכרה ביכולת של הנאשם לחזור מהודאה לאחר הכרעת הדין</w:t>
      </w:r>
      <w:r>
        <w:rPr>
          <w:rFonts w:cs="David" w:hint="cs"/>
          <w:rtl/>
        </w:rPr>
        <w:t xml:space="preserve"> – ע"פ כללי האתיקה ניתן לחזור מהודאה עד לאחר הכרעת הדין. ביה"ד הרחיב זאת ואמר שאם לפי חוק סדר הדין הפלילי, נאשם רשאי לחזור מהודאה גם לאחר הכרעת הדין, אין סיבה שהדבר לא יתאפשר גם לנאשם בהליך משמעתי.</w:t>
      </w:r>
    </w:p>
    <w:p w:rsidR="00BE4A95" w:rsidRDefault="00BE4A95" w:rsidP="00BE4A95">
      <w:pPr>
        <w:pStyle w:val="ListParagraph"/>
        <w:numPr>
          <w:ilvl w:val="0"/>
          <w:numId w:val="34"/>
        </w:numPr>
        <w:spacing w:line="240" w:lineRule="auto"/>
        <w:ind w:left="-180"/>
        <w:rPr>
          <w:rFonts w:cs="David"/>
        </w:rPr>
      </w:pPr>
      <w:r>
        <w:rPr>
          <w:rFonts w:cs="David" w:hint="cs"/>
          <w:b/>
          <w:bCs/>
          <w:rtl/>
        </w:rPr>
        <w:t>הכרה בהגנות של החוק הפלילי להליכים משמעתיים</w:t>
      </w:r>
      <w:r>
        <w:rPr>
          <w:rFonts w:cs="David" w:hint="cs"/>
          <w:rtl/>
        </w:rPr>
        <w:t xml:space="preserve"> – אומצו הגנות שאינן מופיעות בכללי ההליכים המשמעתיים (טעות בעובדה, כורך, צורך, הגנה עצמית). </w:t>
      </w:r>
    </w:p>
    <w:p w:rsidR="00BE4A95" w:rsidRDefault="00BE4A95" w:rsidP="00BE4A95">
      <w:pPr>
        <w:pStyle w:val="ListParagraph"/>
        <w:numPr>
          <w:ilvl w:val="0"/>
          <w:numId w:val="34"/>
        </w:numPr>
        <w:spacing w:line="240" w:lineRule="auto"/>
        <w:ind w:left="-180"/>
        <w:rPr>
          <w:rFonts w:cs="David"/>
        </w:rPr>
      </w:pPr>
      <w:r>
        <w:rPr>
          <w:rFonts w:cs="David" w:hint="cs"/>
          <w:b/>
          <w:bCs/>
          <w:rtl/>
        </w:rPr>
        <w:t>הכרה בהגה מן נצדק בהליכי משמעת</w:t>
      </w:r>
      <w:r>
        <w:rPr>
          <w:rFonts w:cs="David" w:hint="cs"/>
          <w:rtl/>
        </w:rPr>
        <w:t xml:space="preserve"> – בעבר ביהמ"ש היה דן רק בכתב האישום הפלילי. מחסום זה נפרץ ב</w:t>
      </w:r>
      <w:r>
        <w:rPr>
          <w:rFonts w:cs="David" w:hint="cs"/>
          <w:b/>
          <w:bCs/>
          <w:rtl/>
        </w:rPr>
        <w:t xml:space="preserve">פס"ד יפת, </w:t>
      </w:r>
      <w:r>
        <w:rPr>
          <w:rFonts w:cs="David" w:hint="cs"/>
          <w:rtl/>
        </w:rPr>
        <w:t xml:space="preserve">וכיום ביהמ"ש רשאי לבדוק את התנהלות התביעה טרם הגשת כתב האישום. אכיפה מפלה ובררנית יכולה להוות עילה להכרה ב"הגנה מן הצדק". בנוסף ביהמ"ש יבדוק גם את טענת השיהוי (עינוי דין). בדין המשמעתי הדבר לא היה מקובל, עד שהעיקרון אומץ ע"י ביה"ד של לשכת עו"ד, והיום בודקים גם את ההתנהלות שקדמה להגשת הקובלנה וגם את השיהוי שבהגשת הקובלנה המשמעתית. </w:t>
      </w:r>
      <w:r>
        <w:rPr>
          <w:rFonts w:cs="David" w:hint="cs"/>
          <w:b/>
          <w:bCs/>
          <w:rtl/>
        </w:rPr>
        <w:t>הדבר למעשה הכניס עיקרון של "התיישנות" בדלת האחורית, והדבר יכול להביא לביטול של קובלנה, גם כאשר לא קיימת התיישנות של עבירה.</w:t>
      </w:r>
    </w:p>
    <w:p w:rsidR="00BE4A95" w:rsidRDefault="00BE4A95" w:rsidP="00BE4A95">
      <w:pPr>
        <w:pStyle w:val="ListParagraph"/>
        <w:numPr>
          <w:ilvl w:val="0"/>
          <w:numId w:val="34"/>
        </w:numPr>
        <w:spacing w:line="240" w:lineRule="auto"/>
        <w:ind w:left="-180"/>
        <w:rPr>
          <w:rFonts w:cs="David"/>
        </w:rPr>
      </w:pPr>
      <w:r>
        <w:rPr>
          <w:rFonts w:cs="David" w:hint="cs"/>
          <w:b/>
          <w:bCs/>
          <w:rtl/>
        </w:rPr>
        <w:t>מציאת פסול בקיום הקראה+ הוכחות באותו מועד</w:t>
      </w:r>
      <w:r>
        <w:rPr>
          <w:rFonts w:cs="David" w:hint="cs"/>
          <w:rtl/>
        </w:rPr>
        <w:t xml:space="preserve"> – בעבר ביה"ד המחוזי בת"א נוהג לקבוע הקראה וניהול הוכחות באותו יום. הנאשם היה מגיע ונשאל האם הוא מודה או כופר, ברגע שהיה כופר, היו מכניסים את העדים, מנהלים את המשפט ומנהלים את ההוכחות. הדבר חסך המון זמן. </w:t>
      </w:r>
      <w:r>
        <w:rPr>
          <w:rFonts w:cs="David" w:hint="cs"/>
          <w:b/>
          <w:bCs/>
          <w:rtl/>
        </w:rPr>
        <w:t xml:space="preserve">ביה"ד המשמעתי הארצי 111/98 </w:t>
      </w:r>
      <w:r>
        <w:rPr>
          <w:rFonts w:cs="David" w:hint="cs"/>
          <w:rtl/>
        </w:rPr>
        <w:t>קבע שיש בכך פגיעה בזכויות הנאשם וביטל זאת, והשווה את ההליך לזה הנהוג בהליך הפלילי. לאחרונה בביה"ד המחוזי בחיפה חזרו לנוהל המקוצר.</w:t>
      </w:r>
    </w:p>
    <w:p w:rsidR="00BE4A95" w:rsidRDefault="00BE4A95" w:rsidP="00BE4A95">
      <w:pPr>
        <w:pStyle w:val="ListParagraph"/>
        <w:numPr>
          <w:ilvl w:val="0"/>
          <w:numId w:val="34"/>
        </w:numPr>
        <w:spacing w:line="240" w:lineRule="auto"/>
        <w:ind w:left="-180"/>
        <w:rPr>
          <w:rFonts w:cs="David"/>
        </w:rPr>
      </w:pPr>
      <w:r>
        <w:rPr>
          <w:rFonts w:cs="David" w:hint="cs"/>
          <w:b/>
          <w:bCs/>
          <w:rtl/>
        </w:rPr>
        <w:t>פגיעה בכללי הצדק הטבעיים בהליכים משמעתיים כעילה לזיכוי הנאשם</w:t>
      </w:r>
      <w:r>
        <w:rPr>
          <w:rFonts w:cs="David" w:hint="cs"/>
          <w:rtl/>
        </w:rPr>
        <w:t xml:space="preserve"> – היה מקובל שלאחר שביצעת המצאה כדין אחת לנאשם (לדיון הראשון9, החובה להתייצב ליתר הדיונים חלה עליו. </w:t>
      </w:r>
      <w:r>
        <w:rPr>
          <w:rFonts w:cs="David" w:hint="cs"/>
          <w:b/>
          <w:bCs/>
          <w:rtl/>
        </w:rPr>
        <w:t>בד"א 16/99</w:t>
      </w:r>
      <w:r>
        <w:rPr>
          <w:rFonts w:cs="David" w:hint="cs"/>
          <w:rtl/>
        </w:rPr>
        <w:t xml:space="preserve"> ביה"ד הארצי קבע שאין לכך שחר. יש להמציא זימון כחוק לנאשם כמו שנהוג בהליך הפלילי, ואם הדבר לא יעשה, לא יהיה ניתן לדון בהיעדרו באותו מועד. לא ניתן להרשיע אדם אם לא זימנת אותו כחוק לאותו מועד, ואפשרת לו לטעון את טענותיו. כאשר הנאשם לא מזומן כחוק – כללי הצדק הטבעי נפגעים לו.</w:t>
      </w:r>
    </w:p>
    <w:p w:rsidR="00BE4A95" w:rsidRDefault="00BE4A95" w:rsidP="00BE4A95">
      <w:pPr>
        <w:pStyle w:val="ListParagraph"/>
        <w:numPr>
          <w:ilvl w:val="0"/>
          <w:numId w:val="34"/>
        </w:numPr>
        <w:spacing w:line="240" w:lineRule="auto"/>
        <w:ind w:left="-180"/>
        <w:rPr>
          <w:rFonts w:cs="David"/>
        </w:rPr>
      </w:pPr>
      <w:r>
        <w:rPr>
          <w:rFonts w:cs="David" w:hint="cs"/>
          <w:b/>
          <w:bCs/>
          <w:rtl/>
        </w:rPr>
        <w:t>קבלת טענת "אין להשיב לאשמה"</w:t>
      </w:r>
      <w:r>
        <w:rPr>
          <w:rFonts w:cs="David" w:hint="cs"/>
          <w:rtl/>
        </w:rPr>
        <w:t xml:space="preserve"> – ביה"ד קבע שמבחני חוק סדר הדין הפלילי יחולו גם על הדין המשמעתי, כך זוכן נאשמים ב</w:t>
      </w:r>
      <w:r>
        <w:rPr>
          <w:rFonts w:cs="David" w:hint="cs"/>
          <w:b/>
          <w:bCs/>
          <w:rtl/>
        </w:rPr>
        <w:t>בד"מ 7/99 ובד"מ151/97.</w:t>
      </w:r>
    </w:p>
    <w:p w:rsidR="00BE4A95" w:rsidRDefault="00BE4A95" w:rsidP="00BE4A95">
      <w:pPr>
        <w:pStyle w:val="ListParagraph"/>
        <w:numPr>
          <w:ilvl w:val="0"/>
          <w:numId w:val="34"/>
        </w:numPr>
        <w:spacing w:line="240" w:lineRule="auto"/>
        <w:ind w:left="-180"/>
        <w:rPr>
          <w:rFonts w:cs="David"/>
        </w:rPr>
      </w:pPr>
      <w:r>
        <w:rPr>
          <w:rFonts w:cs="David" w:hint="cs"/>
          <w:b/>
          <w:bCs/>
          <w:rtl/>
        </w:rPr>
        <w:t>חנינה מנשיא המדינה ומחיקת הרשעות קודמות</w:t>
      </w:r>
      <w:r>
        <w:rPr>
          <w:rFonts w:cs="David" w:hint="cs"/>
          <w:rtl/>
        </w:rPr>
        <w:t xml:space="preserve"> – בעבר הנשיא היה רשאי לחון רק בעבירות פליליות, ומחיקת עבירות משמעתיות אינן רלבנטית. </w:t>
      </w:r>
      <w:r>
        <w:rPr>
          <w:rFonts w:cs="David" w:hint="cs"/>
          <w:b/>
          <w:bCs/>
          <w:rtl/>
        </w:rPr>
        <w:t>בג"צ 957/89 גדעון צדוק נ' לשכת עו"ד</w:t>
      </w:r>
      <w:r>
        <w:rPr>
          <w:rFonts w:cs="David" w:hint="cs"/>
          <w:rtl/>
        </w:rPr>
        <w:t xml:space="preserve"> – שינה זאת. שם נקבע שאם מדובר בעבירת משמעת שהיא תוצאה של עבירה פלילית, אז ברגע שתמחק העבירה הפלילית תמחק גם עבירת המשמעת בגינה.</w:t>
      </w:r>
    </w:p>
    <w:p w:rsidR="00BE4A95" w:rsidRDefault="00BE4A95" w:rsidP="00BE4A95">
      <w:pPr>
        <w:pStyle w:val="ListParagraph"/>
        <w:numPr>
          <w:ilvl w:val="0"/>
          <w:numId w:val="34"/>
        </w:numPr>
        <w:spacing w:line="240" w:lineRule="auto"/>
        <w:ind w:left="-180"/>
        <w:rPr>
          <w:rFonts w:cs="David"/>
        </w:rPr>
      </w:pPr>
      <w:r>
        <w:rPr>
          <w:rFonts w:cs="David" w:hint="cs"/>
          <w:b/>
          <w:bCs/>
          <w:rtl/>
        </w:rPr>
        <w:t>ההכרה ביכולת לערער בעניין פסלות שופט</w:t>
      </w:r>
      <w:r>
        <w:rPr>
          <w:rFonts w:cs="David" w:hint="cs"/>
          <w:rtl/>
        </w:rPr>
        <w:t xml:space="preserve"> – בעבר לא היה ניתן בהליך משמעתי להגיש ערעור על פסלות שופט או דיין. ביה"ד שינה את ההלכה </w:t>
      </w:r>
      <w:r>
        <w:rPr>
          <w:rFonts w:cs="David" w:hint="cs"/>
          <w:b/>
          <w:bCs/>
          <w:rtl/>
        </w:rPr>
        <w:t xml:space="preserve">בד"א 77/98 </w:t>
      </w:r>
      <w:r>
        <w:rPr>
          <w:rFonts w:cs="David" w:hint="cs"/>
          <w:rtl/>
        </w:rPr>
        <w:t>וקבע שאם בהליך הפלילי ניתן לערער על פסלות שופט, בוודאי ניתן לערער על כך גם בהליך המשמעתי. ניתן לעשות זאת במהלך המשפט ואין צורך לחכות לסופו.</w:t>
      </w:r>
    </w:p>
    <w:p w:rsidR="00BE4A95" w:rsidRDefault="00BE4A95" w:rsidP="00BE4A95">
      <w:pPr>
        <w:pStyle w:val="ListParagraph"/>
        <w:numPr>
          <w:ilvl w:val="0"/>
          <w:numId w:val="34"/>
        </w:numPr>
        <w:spacing w:line="240" w:lineRule="auto"/>
        <w:ind w:left="-180"/>
        <w:rPr>
          <w:rFonts w:cs="David"/>
        </w:rPr>
      </w:pPr>
      <w:r>
        <w:rPr>
          <w:rFonts w:cs="David" w:hint="cs"/>
          <w:b/>
          <w:bCs/>
          <w:rtl/>
        </w:rPr>
        <w:t>זכות הייצוג בהליכים משמעתיים</w:t>
      </w:r>
      <w:r>
        <w:rPr>
          <w:rFonts w:cs="David" w:hint="cs"/>
          <w:rtl/>
        </w:rPr>
        <w:t xml:space="preserve"> – בעבר לא היתה זכות כזו, נאשם אשר הגיע ללא ייצוג, נשאר ללא ייצוג. עד שב</w:t>
      </w:r>
      <w:r>
        <w:rPr>
          <w:rFonts w:cs="David" w:hint="cs"/>
          <w:b/>
          <w:bCs/>
          <w:rtl/>
        </w:rPr>
        <w:t>על"ע 1/89</w:t>
      </w:r>
      <w:r w:rsidR="009961A7">
        <w:rPr>
          <w:rFonts w:cs="David" w:hint="cs"/>
          <w:rtl/>
        </w:rPr>
        <w:t xml:space="preserve"> קבע העליון שזכות הייצוג</w:t>
      </w:r>
      <w:r>
        <w:rPr>
          <w:rFonts w:cs="David" w:hint="cs"/>
          <w:rtl/>
        </w:rPr>
        <w:t xml:space="preserve"> היא זכות בסיסית של נאשם, גם בהליך פלילי וגם בהליך משמעתי. אם נאשם מגיע ומבקש לדחות את הדיון כי טרם מצא מייצג, ביה"ד חייב לדחות את הדיון, למרות שהנאשם עו"ד בעצמו. </w:t>
      </w:r>
    </w:p>
    <w:p w:rsidR="001054B9" w:rsidRDefault="001054B9" w:rsidP="001054B9">
      <w:pPr>
        <w:pStyle w:val="ListParagraph"/>
        <w:spacing w:line="240" w:lineRule="auto"/>
        <w:ind w:left="-180"/>
        <w:rPr>
          <w:rFonts w:cs="David"/>
          <w:b/>
          <w:bCs/>
          <w:u w:val="single"/>
          <w:rtl/>
        </w:rPr>
      </w:pPr>
    </w:p>
    <w:p w:rsidR="001054B9" w:rsidRDefault="001054B9" w:rsidP="001054B9">
      <w:pPr>
        <w:pStyle w:val="ListParagraph"/>
        <w:spacing w:line="240" w:lineRule="auto"/>
        <w:ind w:left="-180"/>
        <w:rPr>
          <w:rFonts w:cs="David"/>
          <w:b/>
          <w:bCs/>
          <w:u w:val="single"/>
          <w:rtl/>
        </w:rPr>
      </w:pPr>
    </w:p>
    <w:p w:rsidR="001054B9" w:rsidRDefault="00BE4A95" w:rsidP="001054B9">
      <w:pPr>
        <w:pStyle w:val="ListParagraph"/>
        <w:spacing w:line="240" w:lineRule="auto"/>
        <w:ind w:left="-180"/>
        <w:rPr>
          <w:rFonts w:cs="David"/>
          <w:rtl/>
        </w:rPr>
      </w:pPr>
      <w:r>
        <w:rPr>
          <w:rFonts w:cs="David" w:hint="cs"/>
          <w:b/>
          <w:bCs/>
          <w:u w:val="single"/>
          <w:rtl/>
        </w:rPr>
        <w:t>הביקורת על הליך הפליליזציה</w:t>
      </w:r>
      <w:r>
        <w:rPr>
          <w:rFonts w:cs="David" w:hint="cs"/>
          <w:rtl/>
        </w:rPr>
        <w:t xml:space="preserve"> – </w:t>
      </w:r>
    </w:p>
    <w:p w:rsidR="00BE4A95" w:rsidRDefault="00BE4A95" w:rsidP="001054B9">
      <w:pPr>
        <w:pStyle w:val="ListParagraph"/>
        <w:spacing w:line="240" w:lineRule="auto"/>
        <w:ind w:left="-180"/>
        <w:rPr>
          <w:rFonts w:cs="David"/>
          <w:u w:val="single"/>
        </w:rPr>
      </w:pPr>
      <w:r>
        <w:rPr>
          <w:rFonts w:cs="David" w:hint="cs"/>
          <w:rtl/>
        </w:rPr>
        <w:t>לדעת המרצה תהליך הפליליזציה של הדין המשמעתי הוא תהליך אינו רצוי. הוא גורם להימנעות מהגשת קובלנות כאשר הקובל יודע שאין לו מספיק ראיות לצורך דרגת הוכחה חמורה או יסוד נפשי חמור. וג</w:t>
      </w:r>
      <w:r w:rsidR="00272203">
        <w:rPr>
          <w:rFonts w:cs="David" w:hint="cs"/>
          <w:rtl/>
        </w:rPr>
        <w:t>ם כאשר מוגשת קובלנה התהליך מוביל</w:t>
      </w:r>
      <w:r>
        <w:rPr>
          <w:rFonts w:cs="David" w:hint="cs"/>
          <w:rtl/>
        </w:rPr>
        <w:t xml:space="preserve"> לזיכויים רבים או עסקאות טיעון נוחות לנאשם. התביעה נאלצת להגיע להסדרי טיעון מגוחכים משיקולים תועלתניים. הדבר מוליד ביקורת נוקבת נגד לשכת עו"ד. יתרה מכך הדבר מטשטש את הגבול בין ההליך הפלילי למשמעתי, הגורם לעיוות דין. </w:t>
      </w:r>
    </w:p>
    <w:p w:rsidR="00BE4A95" w:rsidRDefault="00BE4A95" w:rsidP="00BE4A95">
      <w:pPr>
        <w:pStyle w:val="ListParagraph"/>
        <w:spacing w:line="240" w:lineRule="auto"/>
        <w:ind w:left="-180"/>
        <w:rPr>
          <w:rFonts w:cs="David"/>
          <w:b/>
          <w:bCs/>
          <w:u w:val="single"/>
        </w:rPr>
      </w:pPr>
    </w:p>
    <w:p w:rsidR="00BE4A95" w:rsidRDefault="00BE4A95" w:rsidP="00BE4A95">
      <w:pPr>
        <w:pStyle w:val="ListParagraph"/>
        <w:spacing w:line="240" w:lineRule="auto"/>
        <w:ind w:left="-180"/>
        <w:rPr>
          <w:rFonts w:cs="David"/>
          <w:b/>
          <w:bCs/>
          <w:u w:val="single"/>
          <w:rtl/>
        </w:rPr>
      </w:pPr>
      <w:r>
        <w:rPr>
          <w:rFonts w:cs="David" w:hint="cs"/>
          <w:b/>
          <w:bCs/>
          <w:u w:val="single"/>
          <w:rtl/>
        </w:rPr>
        <w:t>הפיכת ההליך המשמעתי למעין הליך פלילי בעייתית מכמה מובנים:</w:t>
      </w:r>
    </w:p>
    <w:p w:rsidR="00BE4A95" w:rsidRDefault="00BE4A95" w:rsidP="00BE4A95">
      <w:pPr>
        <w:pStyle w:val="ListParagraph"/>
        <w:numPr>
          <w:ilvl w:val="1"/>
          <w:numId w:val="33"/>
        </w:numPr>
        <w:spacing w:line="240" w:lineRule="auto"/>
        <w:ind w:left="-180"/>
        <w:rPr>
          <w:rFonts w:cs="David"/>
          <w:rtl/>
        </w:rPr>
      </w:pPr>
      <w:r>
        <w:rPr>
          <w:rFonts w:cs="David" w:hint="cs"/>
          <w:b/>
          <w:bCs/>
          <w:rtl/>
        </w:rPr>
        <w:t>לקובל המשמעתי אין אותן סמכויות שיש לרשות החוקרת על עבירה פלילית</w:t>
      </w:r>
      <w:r>
        <w:rPr>
          <w:rFonts w:cs="David" w:hint="cs"/>
          <w:rtl/>
        </w:rPr>
        <w:t xml:space="preserve"> – לרשות החוקרת עבירה פלילית יש מגוון רחב של סמכויות ודרכי איסוף ראיות (מעצר, האזנות, כפיית עדים, איכון פלאפונים, איסור יציאה מהארץ וכו'), ברור שיכולות החקירה בהליך המשמעתי פחותה בהרבה.</w:t>
      </w:r>
    </w:p>
    <w:p w:rsidR="00BE4A95" w:rsidRDefault="00BE4A95" w:rsidP="00BE4A95">
      <w:pPr>
        <w:pStyle w:val="ListParagraph"/>
        <w:numPr>
          <w:ilvl w:val="1"/>
          <w:numId w:val="33"/>
        </w:numPr>
        <w:spacing w:line="240" w:lineRule="auto"/>
        <w:ind w:left="-180"/>
        <w:rPr>
          <w:rFonts w:cs="David"/>
        </w:rPr>
      </w:pPr>
      <w:r>
        <w:rPr>
          <w:rFonts w:cs="David" w:hint="cs"/>
          <w:b/>
          <w:bCs/>
          <w:rtl/>
        </w:rPr>
        <w:t>ספק אם הרציונאל שקיים בהליך הפלילי להטיל חומרה יתרה על התביעה, קיים גם בהליך הפלילי</w:t>
      </w:r>
      <w:r>
        <w:rPr>
          <w:rFonts w:cs="David" w:hint="cs"/>
          <w:rtl/>
        </w:rPr>
        <w:t xml:space="preserve"> – יש לחזור ליסוד האידיאולוגי של ההגנות הנ"ל. דרגת הוכחה גבוהה, הגנה מן הצדק וכללי הצדק הטבעי, כל אלו נעוצות בכך שקיימת הסכמה חברתית, לפיה עדיף אידאולוגית ש100 גנבים יסתובבו חופשיים מאשר חף מפשע שיכנס לכלא. עם זאת לא ברור, כי החברה מעדיפה ש100 עו"ד גנבים יחזיקו ברישיון על פני עו"ד בודד חף מפשע שישלל לו הרישיון.</w:t>
      </w:r>
    </w:p>
    <w:p w:rsidR="00BE4A95" w:rsidRDefault="00BE4A95" w:rsidP="00BE4A95">
      <w:pPr>
        <w:pStyle w:val="ListParagraph"/>
        <w:numPr>
          <w:ilvl w:val="1"/>
          <w:numId w:val="33"/>
        </w:numPr>
        <w:spacing w:line="240" w:lineRule="auto"/>
        <w:ind w:left="-180"/>
        <w:rPr>
          <w:rFonts w:cs="David"/>
        </w:rPr>
      </w:pPr>
      <w:r>
        <w:rPr>
          <w:rFonts w:cs="David" w:hint="cs"/>
          <w:b/>
          <w:bCs/>
          <w:rtl/>
        </w:rPr>
        <w:t>בהליך הפלילי קיים איזון מסוים כאשר מדובר בזכויות של נפגעי עבירה</w:t>
      </w:r>
      <w:r>
        <w:rPr>
          <w:rFonts w:cs="David" w:hint="cs"/>
          <w:rtl/>
        </w:rPr>
        <w:t xml:space="preserve"> – בשנים האחרונות הת</w:t>
      </w:r>
      <w:r w:rsidR="00272203">
        <w:rPr>
          <w:rFonts w:cs="David" w:hint="cs"/>
          <w:rtl/>
        </w:rPr>
        <w:t>ח</w:t>
      </w:r>
      <w:r>
        <w:rPr>
          <w:rFonts w:cs="David" w:hint="cs"/>
          <w:rtl/>
        </w:rPr>
        <w:t>דדה ההכרה בזכויות נפגעי העבירה בהליך הפלילי. לדוגמה הקורבן זוכה להתייחסות בהסדרי טיעון. בהליך משמעתי זה לא קיים. כאשר נותנים זכויות יתר לנאשם, ואין זכויות לקורבנות , הדבר גורם לעיוות על גבי עיוות.</w:t>
      </w:r>
    </w:p>
    <w:p w:rsidR="00BE4A95" w:rsidRDefault="00BE4A95" w:rsidP="00BE4A95">
      <w:pPr>
        <w:pStyle w:val="ListParagraph"/>
        <w:spacing w:line="240" w:lineRule="auto"/>
        <w:ind w:left="2160"/>
        <w:rPr>
          <w:rFonts w:cs="David"/>
          <w:rtl/>
        </w:rPr>
      </w:pPr>
    </w:p>
    <w:p w:rsidR="00BE4A95" w:rsidRDefault="00BE4A95" w:rsidP="00BE4A95">
      <w:pPr>
        <w:pStyle w:val="ListParagraph"/>
        <w:spacing w:line="240" w:lineRule="auto"/>
        <w:ind w:left="2160"/>
        <w:rPr>
          <w:rFonts w:cs="David"/>
          <w:rtl/>
        </w:rPr>
      </w:pPr>
    </w:p>
    <w:p w:rsidR="00BE4A95" w:rsidRDefault="00BE4A95" w:rsidP="000C5187">
      <w:pPr>
        <w:pStyle w:val="NoSpacing"/>
        <w:bidi/>
        <w:ind w:right="-720"/>
        <w:rPr>
          <w:rFonts w:cs="David"/>
          <w:b/>
          <w:bCs/>
        </w:rPr>
      </w:pPr>
    </w:p>
    <w:p w:rsidR="000C5187" w:rsidRPr="00BE4A95" w:rsidRDefault="000C5187" w:rsidP="00BE4A95"/>
    <w:sectPr w:rsidR="000C5187" w:rsidRPr="00BE4A95" w:rsidSect="00C80616">
      <w:footerReference w:type="default" r:id="rId8"/>
      <w:pgSz w:w="12240" w:h="15840"/>
      <w:pgMar w:top="1440" w:right="1440" w:bottom="1440" w:left="1440" w:header="720" w:footer="1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10" w:rsidRDefault="00152710" w:rsidP="00C80616">
      <w:pPr>
        <w:spacing w:after="0" w:line="240" w:lineRule="auto"/>
      </w:pPr>
      <w:r>
        <w:separator/>
      </w:r>
    </w:p>
  </w:endnote>
  <w:endnote w:type="continuationSeparator" w:id="0">
    <w:p w:rsidR="00152710" w:rsidRDefault="00152710" w:rsidP="00C8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3767973"/>
      <w:docPartObj>
        <w:docPartGallery w:val="Page Numbers (Bottom of Page)"/>
        <w:docPartUnique/>
      </w:docPartObj>
    </w:sdtPr>
    <w:sdtEndPr>
      <w:rPr>
        <w:noProof/>
      </w:rPr>
    </w:sdtEndPr>
    <w:sdtContent>
      <w:p w:rsidR="007942AD" w:rsidRDefault="007942AD">
        <w:pPr>
          <w:pStyle w:val="Footer"/>
        </w:pPr>
        <w:r>
          <w:fldChar w:fldCharType="begin"/>
        </w:r>
        <w:r>
          <w:instrText xml:space="preserve"> PAGE   \* MERGEFORMAT </w:instrText>
        </w:r>
        <w:r>
          <w:fldChar w:fldCharType="separate"/>
        </w:r>
        <w:r w:rsidR="00A404A4">
          <w:rPr>
            <w:noProof/>
            <w:rtl/>
          </w:rPr>
          <w:t>1</w:t>
        </w:r>
        <w:r>
          <w:rPr>
            <w:noProof/>
          </w:rPr>
          <w:fldChar w:fldCharType="end"/>
        </w:r>
      </w:p>
    </w:sdtContent>
  </w:sdt>
  <w:p w:rsidR="007942AD" w:rsidRDefault="00794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10" w:rsidRDefault="00152710" w:rsidP="00C80616">
      <w:pPr>
        <w:spacing w:after="0" w:line="240" w:lineRule="auto"/>
      </w:pPr>
      <w:r>
        <w:separator/>
      </w:r>
    </w:p>
  </w:footnote>
  <w:footnote w:type="continuationSeparator" w:id="0">
    <w:p w:rsidR="00152710" w:rsidRDefault="00152710" w:rsidP="00C80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6ED"/>
    <w:multiLevelType w:val="hybridMultilevel"/>
    <w:tmpl w:val="76C4D46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43C24BD"/>
    <w:multiLevelType w:val="hybridMultilevel"/>
    <w:tmpl w:val="45FC4208"/>
    <w:lvl w:ilvl="0" w:tplc="922AF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710BB9"/>
    <w:multiLevelType w:val="hybridMultilevel"/>
    <w:tmpl w:val="481A9D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67C9"/>
    <w:multiLevelType w:val="hybridMultilevel"/>
    <w:tmpl w:val="0AB8A570"/>
    <w:lvl w:ilvl="0" w:tplc="8988B7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CC8149B"/>
    <w:multiLevelType w:val="hybridMultilevel"/>
    <w:tmpl w:val="4024F2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89400A"/>
    <w:multiLevelType w:val="hybridMultilevel"/>
    <w:tmpl w:val="EAD46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110A92"/>
    <w:multiLevelType w:val="hybridMultilevel"/>
    <w:tmpl w:val="6BAE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4385129"/>
    <w:multiLevelType w:val="hybridMultilevel"/>
    <w:tmpl w:val="99A4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72F7A"/>
    <w:multiLevelType w:val="hybridMultilevel"/>
    <w:tmpl w:val="39D88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AB83A95"/>
    <w:multiLevelType w:val="hybridMultilevel"/>
    <w:tmpl w:val="633A0E28"/>
    <w:lvl w:ilvl="0" w:tplc="59E6506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E240907"/>
    <w:multiLevelType w:val="hybridMultilevel"/>
    <w:tmpl w:val="E0E8BBF6"/>
    <w:lvl w:ilvl="0" w:tplc="F278A48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A6911"/>
    <w:multiLevelType w:val="hybridMultilevel"/>
    <w:tmpl w:val="4F409B9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 w:hanging="360"/>
      </w:pPr>
      <w:rPr>
        <w:rFonts w:hint="default"/>
        <w:b w:val="0"/>
        <w:bCs w:val="0"/>
      </w:rPr>
    </w:lvl>
    <w:lvl w:ilvl="5" w:tplc="0409000B">
      <w:start w:val="1"/>
      <w:numFmt w:val="bullet"/>
      <w:lvlText w:val=""/>
      <w:lvlJc w:val="left"/>
      <w:pPr>
        <w:ind w:left="180" w:hanging="180"/>
      </w:pPr>
      <w:rPr>
        <w:rFonts w:ascii="Wingdings" w:hAnsi="Wingding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6811C4"/>
    <w:multiLevelType w:val="hybridMultilevel"/>
    <w:tmpl w:val="171E6220"/>
    <w:lvl w:ilvl="0" w:tplc="8A345E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705F0"/>
    <w:multiLevelType w:val="hybridMultilevel"/>
    <w:tmpl w:val="B314B98A"/>
    <w:lvl w:ilvl="0" w:tplc="0409000F">
      <w:start w:val="1"/>
      <w:numFmt w:val="decimal"/>
      <w:lvlText w:val="%1."/>
      <w:lvlJc w:val="left"/>
      <w:pPr>
        <w:ind w:left="720" w:hanging="360"/>
      </w:pPr>
    </w:lvl>
    <w:lvl w:ilvl="1" w:tplc="11789A70">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F7B3955"/>
    <w:multiLevelType w:val="hybridMultilevel"/>
    <w:tmpl w:val="7B6A29EC"/>
    <w:lvl w:ilvl="0" w:tplc="F278A48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A00A0"/>
    <w:multiLevelType w:val="hybridMultilevel"/>
    <w:tmpl w:val="C4AEBDC4"/>
    <w:lvl w:ilvl="0" w:tplc="F278A48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B6351"/>
    <w:multiLevelType w:val="hybridMultilevel"/>
    <w:tmpl w:val="7F6E0FB2"/>
    <w:lvl w:ilvl="0" w:tplc="DAD49816">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BF6164"/>
    <w:multiLevelType w:val="hybridMultilevel"/>
    <w:tmpl w:val="2208E15E"/>
    <w:lvl w:ilvl="0" w:tplc="F278A48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F7653"/>
    <w:multiLevelType w:val="hybridMultilevel"/>
    <w:tmpl w:val="56E028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DE125BE"/>
    <w:multiLevelType w:val="hybridMultilevel"/>
    <w:tmpl w:val="5F04B390"/>
    <w:lvl w:ilvl="0" w:tplc="80B639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043E4"/>
    <w:multiLevelType w:val="hybridMultilevel"/>
    <w:tmpl w:val="A4AE25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660D04"/>
    <w:multiLevelType w:val="hybridMultilevel"/>
    <w:tmpl w:val="7C1E1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65853"/>
    <w:multiLevelType w:val="hybridMultilevel"/>
    <w:tmpl w:val="6A28F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45083"/>
    <w:multiLevelType w:val="hybridMultilevel"/>
    <w:tmpl w:val="0D3E4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5B407906"/>
    <w:multiLevelType w:val="hybridMultilevel"/>
    <w:tmpl w:val="768406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FC14766"/>
    <w:multiLevelType w:val="hybridMultilevel"/>
    <w:tmpl w:val="FCE6B0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66E24180"/>
    <w:multiLevelType w:val="hybridMultilevel"/>
    <w:tmpl w:val="1B9C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B6B3DA8"/>
    <w:multiLevelType w:val="hybridMultilevel"/>
    <w:tmpl w:val="2354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84DFC"/>
    <w:multiLevelType w:val="hybridMultilevel"/>
    <w:tmpl w:val="EB1C4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E83737D"/>
    <w:multiLevelType w:val="hybridMultilevel"/>
    <w:tmpl w:val="A2340E26"/>
    <w:lvl w:ilvl="0" w:tplc="F278A48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80494"/>
    <w:multiLevelType w:val="hybridMultilevel"/>
    <w:tmpl w:val="90D477CE"/>
    <w:lvl w:ilvl="0" w:tplc="04090003">
      <w:start w:val="1"/>
      <w:numFmt w:val="bullet"/>
      <w:lvlText w:val="o"/>
      <w:lvlJc w:val="left"/>
      <w:pPr>
        <w:ind w:left="113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1">
    <w:nsid w:val="7B316BF5"/>
    <w:multiLevelType w:val="hybridMultilevel"/>
    <w:tmpl w:val="EFF66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A6316B"/>
    <w:multiLevelType w:val="hybridMultilevel"/>
    <w:tmpl w:val="8698F606"/>
    <w:lvl w:ilvl="0" w:tplc="0E18FD66">
      <w:start w:val="1"/>
      <w:numFmt w:val="decimal"/>
      <w:lvlText w:val="%1."/>
      <w:lvlJc w:val="left"/>
      <w:pPr>
        <w:ind w:left="0" w:hanging="360"/>
      </w:pPr>
      <w:rPr>
        <w:rFonts w:hint="default"/>
        <w:b w:val="0"/>
        <w:bCs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8"/>
  </w:num>
  <w:num w:numId="2">
    <w:abstractNumId w:val="0"/>
  </w:num>
  <w:num w:numId="3">
    <w:abstractNumId w:val="19"/>
  </w:num>
  <w:num w:numId="4">
    <w:abstractNumId w:val="30"/>
  </w:num>
  <w:num w:numId="5">
    <w:abstractNumId w:val="24"/>
  </w:num>
  <w:num w:numId="6">
    <w:abstractNumId w:val="32"/>
  </w:num>
  <w:num w:numId="7">
    <w:abstractNumId w:val="31"/>
  </w:num>
  <w:num w:numId="8">
    <w:abstractNumId w:val="9"/>
  </w:num>
  <w:num w:numId="9">
    <w:abstractNumId w:val="22"/>
  </w:num>
  <w:num w:numId="10">
    <w:abstractNumId w:val="9"/>
  </w:num>
  <w:num w:numId="11">
    <w:abstractNumId w:val="16"/>
  </w:num>
  <w:num w:numId="12">
    <w:abstractNumId w:val="14"/>
  </w:num>
  <w:num w:numId="13">
    <w:abstractNumId w:val="15"/>
  </w:num>
  <w:num w:numId="14">
    <w:abstractNumId w:val="20"/>
  </w:num>
  <w:num w:numId="15">
    <w:abstractNumId w:val="11"/>
  </w:num>
  <w:num w:numId="16">
    <w:abstractNumId w:val="2"/>
  </w:num>
  <w:num w:numId="17">
    <w:abstractNumId w:val="4"/>
  </w:num>
  <w:num w:numId="18">
    <w:abstractNumId w:val="7"/>
  </w:num>
  <w:num w:numId="19">
    <w:abstractNumId w:val="21"/>
  </w:num>
  <w:num w:numId="20">
    <w:abstractNumId w:val="10"/>
  </w:num>
  <w:num w:numId="21">
    <w:abstractNumId w:val="29"/>
  </w:num>
  <w:num w:numId="22">
    <w:abstractNumId w:val="12"/>
  </w:num>
  <w:num w:numId="23">
    <w:abstractNumId w:val="17"/>
  </w:num>
  <w:num w:numId="24">
    <w:abstractNumId w:val="27"/>
  </w:num>
  <w:num w:numId="25">
    <w:abstractNumId w:val="8"/>
  </w:num>
  <w:num w:numId="26">
    <w:abstractNumId w:val="5"/>
  </w:num>
  <w:num w:numId="27">
    <w:abstractNumId w:val="25"/>
  </w:num>
  <w:num w:numId="28">
    <w:abstractNumId w:val="28"/>
  </w:num>
  <w:num w:numId="29">
    <w:abstractNumId w:val="6"/>
  </w:num>
  <w:num w:numId="30">
    <w:abstractNumId w:val="2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D2"/>
    <w:rsid w:val="00003ED7"/>
    <w:rsid w:val="000176A8"/>
    <w:rsid w:val="00094234"/>
    <w:rsid w:val="000C5187"/>
    <w:rsid w:val="000D3B9E"/>
    <w:rsid w:val="000F3142"/>
    <w:rsid w:val="001054B9"/>
    <w:rsid w:val="00111441"/>
    <w:rsid w:val="00141F53"/>
    <w:rsid w:val="00152710"/>
    <w:rsid w:val="00154F86"/>
    <w:rsid w:val="001752E7"/>
    <w:rsid w:val="00176A61"/>
    <w:rsid w:val="0019044D"/>
    <w:rsid w:val="00195F53"/>
    <w:rsid w:val="001F0A33"/>
    <w:rsid w:val="001F0F21"/>
    <w:rsid w:val="00211405"/>
    <w:rsid w:val="00227554"/>
    <w:rsid w:val="00245D51"/>
    <w:rsid w:val="00262A9A"/>
    <w:rsid w:val="00272203"/>
    <w:rsid w:val="0028305B"/>
    <w:rsid w:val="00292B02"/>
    <w:rsid w:val="002A1090"/>
    <w:rsid w:val="002A1CDC"/>
    <w:rsid w:val="002C6E9F"/>
    <w:rsid w:val="00334544"/>
    <w:rsid w:val="00335751"/>
    <w:rsid w:val="00344FAE"/>
    <w:rsid w:val="00372002"/>
    <w:rsid w:val="0039609B"/>
    <w:rsid w:val="003A4549"/>
    <w:rsid w:val="003C0E87"/>
    <w:rsid w:val="00407212"/>
    <w:rsid w:val="00424E7F"/>
    <w:rsid w:val="00450A67"/>
    <w:rsid w:val="004666FF"/>
    <w:rsid w:val="0047139F"/>
    <w:rsid w:val="00494C44"/>
    <w:rsid w:val="004B2DBB"/>
    <w:rsid w:val="004B3E16"/>
    <w:rsid w:val="004D082F"/>
    <w:rsid w:val="004D1EC4"/>
    <w:rsid w:val="004E0D5D"/>
    <w:rsid w:val="004F5D0A"/>
    <w:rsid w:val="00506369"/>
    <w:rsid w:val="00533B1E"/>
    <w:rsid w:val="00535D19"/>
    <w:rsid w:val="005371AF"/>
    <w:rsid w:val="00592609"/>
    <w:rsid w:val="005C5264"/>
    <w:rsid w:val="005F3E24"/>
    <w:rsid w:val="006009D5"/>
    <w:rsid w:val="00610ADE"/>
    <w:rsid w:val="00620DDD"/>
    <w:rsid w:val="00630A63"/>
    <w:rsid w:val="00635AAB"/>
    <w:rsid w:val="006B0E60"/>
    <w:rsid w:val="006B34F7"/>
    <w:rsid w:val="006B5176"/>
    <w:rsid w:val="006B68C3"/>
    <w:rsid w:val="006B7E38"/>
    <w:rsid w:val="006C061F"/>
    <w:rsid w:val="006F2ED9"/>
    <w:rsid w:val="00705C76"/>
    <w:rsid w:val="00720F0F"/>
    <w:rsid w:val="0072222C"/>
    <w:rsid w:val="00736A6E"/>
    <w:rsid w:val="00753FE8"/>
    <w:rsid w:val="007942AD"/>
    <w:rsid w:val="007C72E7"/>
    <w:rsid w:val="007D2E57"/>
    <w:rsid w:val="007F6E91"/>
    <w:rsid w:val="00801645"/>
    <w:rsid w:val="00807C88"/>
    <w:rsid w:val="008432ED"/>
    <w:rsid w:val="00847322"/>
    <w:rsid w:val="008960CC"/>
    <w:rsid w:val="008A02E8"/>
    <w:rsid w:val="008D3C39"/>
    <w:rsid w:val="009309FE"/>
    <w:rsid w:val="00946E1B"/>
    <w:rsid w:val="009507A5"/>
    <w:rsid w:val="009961A7"/>
    <w:rsid w:val="009D0E23"/>
    <w:rsid w:val="009D4C2D"/>
    <w:rsid w:val="009E3EF1"/>
    <w:rsid w:val="00A15021"/>
    <w:rsid w:val="00A404A4"/>
    <w:rsid w:val="00A43719"/>
    <w:rsid w:val="00A66B8B"/>
    <w:rsid w:val="00A97132"/>
    <w:rsid w:val="00AC27A9"/>
    <w:rsid w:val="00AD4DD5"/>
    <w:rsid w:val="00B01610"/>
    <w:rsid w:val="00B06DAC"/>
    <w:rsid w:val="00B11D46"/>
    <w:rsid w:val="00B546FC"/>
    <w:rsid w:val="00B56BD2"/>
    <w:rsid w:val="00B679DD"/>
    <w:rsid w:val="00B856FD"/>
    <w:rsid w:val="00B90C06"/>
    <w:rsid w:val="00BA6922"/>
    <w:rsid w:val="00BC3718"/>
    <w:rsid w:val="00BE4A95"/>
    <w:rsid w:val="00BF2E91"/>
    <w:rsid w:val="00C304F7"/>
    <w:rsid w:val="00C66EB4"/>
    <w:rsid w:val="00C80616"/>
    <w:rsid w:val="00D076B7"/>
    <w:rsid w:val="00D11C7C"/>
    <w:rsid w:val="00D2444A"/>
    <w:rsid w:val="00D268B6"/>
    <w:rsid w:val="00D43AF2"/>
    <w:rsid w:val="00D5171F"/>
    <w:rsid w:val="00D923A0"/>
    <w:rsid w:val="00DB0C7F"/>
    <w:rsid w:val="00DB5421"/>
    <w:rsid w:val="00DC2D96"/>
    <w:rsid w:val="00DC41D2"/>
    <w:rsid w:val="00DD1250"/>
    <w:rsid w:val="00E02543"/>
    <w:rsid w:val="00E0395D"/>
    <w:rsid w:val="00E368F2"/>
    <w:rsid w:val="00E376EF"/>
    <w:rsid w:val="00E40C5B"/>
    <w:rsid w:val="00E730CF"/>
    <w:rsid w:val="00E749F4"/>
    <w:rsid w:val="00EB5710"/>
    <w:rsid w:val="00EC7993"/>
    <w:rsid w:val="00F00658"/>
    <w:rsid w:val="00F00E11"/>
    <w:rsid w:val="00F028FC"/>
    <w:rsid w:val="00F14B7D"/>
    <w:rsid w:val="00F25014"/>
    <w:rsid w:val="00F31383"/>
    <w:rsid w:val="00F5267E"/>
    <w:rsid w:val="00FB1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D9"/>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6BD2"/>
    <w:pPr>
      <w:spacing w:after="0" w:line="240" w:lineRule="auto"/>
    </w:pPr>
  </w:style>
  <w:style w:type="paragraph" w:styleId="ListParagraph">
    <w:name w:val="List Paragraph"/>
    <w:basedOn w:val="Normal"/>
    <w:uiPriority w:val="34"/>
    <w:qFormat/>
    <w:rsid w:val="006F2ED9"/>
    <w:pPr>
      <w:ind w:left="720"/>
      <w:contextualSpacing/>
    </w:pPr>
  </w:style>
  <w:style w:type="paragraph" w:customStyle="1" w:styleId="1">
    <w:name w:val="ללא מרווח1"/>
    <w:rsid w:val="00753FE8"/>
    <w:pPr>
      <w:suppressAutoHyphens/>
      <w:bidi/>
      <w:spacing w:after="0" w:line="240" w:lineRule="auto"/>
    </w:pPr>
    <w:rPr>
      <w:rFonts w:ascii="Calibri" w:eastAsia="Times New Roman" w:hAnsi="Calibri" w:cs="Calibri"/>
      <w:lang w:eastAsia="he-IL"/>
    </w:rPr>
  </w:style>
  <w:style w:type="paragraph" w:styleId="Header">
    <w:name w:val="header"/>
    <w:basedOn w:val="Normal"/>
    <w:link w:val="HeaderChar"/>
    <w:uiPriority w:val="99"/>
    <w:unhideWhenUsed/>
    <w:rsid w:val="00C80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16"/>
    <w:rPr>
      <w:rFonts w:ascii="Calibri" w:eastAsia="Calibri" w:hAnsi="Calibri" w:cs="Arial"/>
    </w:rPr>
  </w:style>
  <w:style w:type="paragraph" w:styleId="Footer">
    <w:name w:val="footer"/>
    <w:basedOn w:val="Normal"/>
    <w:link w:val="FooterChar"/>
    <w:uiPriority w:val="99"/>
    <w:unhideWhenUsed/>
    <w:rsid w:val="00C80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16"/>
    <w:rPr>
      <w:rFonts w:ascii="Calibri" w:eastAsia="Calibri" w:hAnsi="Calibri" w:cs="Arial"/>
    </w:rPr>
  </w:style>
  <w:style w:type="character" w:customStyle="1" w:styleId="WW8Num1z0">
    <w:name w:val="WW8Num1z0"/>
    <w:rsid w:val="005F3E24"/>
    <w:rPr>
      <w:rFonts w:cs="Times New Roman"/>
    </w:rPr>
  </w:style>
  <w:style w:type="character" w:customStyle="1" w:styleId="NoSpacingChar">
    <w:name w:val="No Spacing Char"/>
    <w:basedOn w:val="DefaultParagraphFont"/>
    <w:link w:val="NoSpacing"/>
    <w:uiPriority w:val="1"/>
    <w:locked/>
    <w:rsid w:val="000C5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D9"/>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6BD2"/>
    <w:pPr>
      <w:spacing w:after="0" w:line="240" w:lineRule="auto"/>
    </w:pPr>
  </w:style>
  <w:style w:type="paragraph" w:styleId="ListParagraph">
    <w:name w:val="List Paragraph"/>
    <w:basedOn w:val="Normal"/>
    <w:uiPriority w:val="34"/>
    <w:qFormat/>
    <w:rsid w:val="006F2ED9"/>
    <w:pPr>
      <w:ind w:left="720"/>
      <w:contextualSpacing/>
    </w:pPr>
  </w:style>
  <w:style w:type="paragraph" w:customStyle="1" w:styleId="1">
    <w:name w:val="ללא מרווח1"/>
    <w:rsid w:val="00753FE8"/>
    <w:pPr>
      <w:suppressAutoHyphens/>
      <w:bidi/>
      <w:spacing w:after="0" w:line="240" w:lineRule="auto"/>
    </w:pPr>
    <w:rPr>
      <w:rFonts w:ascii="Calibri" w:eastAsia="Times New Roman" w:hAnsi="Calibri" w:cs="Calibri"/>
      <w:lang w:eastAsia="he-IL"/>
    </w:rPr>
  </w:style>
  <w:style w:type="paragraph" w:styleId="Header">
    <w:name w:val="header"/>
    <w:basedOn w:val="Normal"/>
    <w:link w:val="HeaderChar"/>
    <w:uiPriority w:val="99"/>
    <w:unhideWhenUsed/>
    <w:rsid w:val="00C80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16"/>
    <w:rPr>
      <w:rFonts w:ascii="Calibri" w:eastAsia="Calibri" w:hAnsi="Calibri" w:cs="Arial"/>
    </w:rPr>
  </w:style>
  <w:style w:type="paragraph" w:styleId="Footer">
    <w:name w:val="footer"/>
    <w:basedOn w:val="Normal"/>
    <w:link w:val="FooterChar"/>
    <w:uiPriority w:val="99"/>
    <w:unhideWhenUsed/>
    <w:rsid w:val="00C80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16"/>
    <w:rPr>
      <w:rFonts w:ascii="Calibri" w:eastAsia="Calibri" w:hAnsi="Calibri" w:cs="Arial"/>
    </w:rPr>
  </w:style>
  <w:style w:type="character" w:customStyle="1" w:styleId="WW8Num1z0">
    <w:name w:val="WW8Num1z0"/>
    <w:rsid w:val="005F3E24"/>
    <w:rPr>
      <w:rFonts w:cs="Times New Roman"/>
    </w:rPr>
  </w:style>
  <w:style w:type="character" w:customStyle="1" w:styleId="NoSpacingChar">
    <w:name w:val="No Spacing Char"/>
    <w:basedOn w:val="DefaultParagraphFont"/>
    <w:link w:val="NoSpacing"/>
    <w:uiPriority w:val="1"/>
    <w:locked/>
    <w:rsid w:val="000C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94170">
      <w:bodyDiv w:val="1"/>
      <w:marLeft w:val="0"/>
      <w:marRight w:val="0"/>
      <w:marTop w:val="0"/>
      <w:marBottom w:val="0"/>
      <w:divBdr>
        <w:top w:val="none" w:sz="0" w:space="0" w:color="auto"/>
        <w:left w:val="none" w:sz="0" w:space="0" w:color="auto"/>
        <w:bottom w:val="none" w:sz="0" w:space="0" w:color="auto"/>
        <w:right w:val="none" w:sz="0" w:space="0" w:color="auto"/>
      </w:divBdr>
    </w:div>
    <w:div w:id="13007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6729</Words>
  <Characters>33645</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binder</dc:creator>
  <cp:lastModifiedBy>USER1</cp:lastModifiedBy>
  <cp:revision>2</cp:revision>
  <dcterms:created xsi:type="dcterms:W3CDTF">2014-11-12T02:59:00Z</dcterms:created>
  <dcterms:modified xsi:type="dcterms:W3CDTF">2014-11-12T02:59:00Z</dcterms:modified>
</cp:coreProperties>
</file>