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30AD7" w14:textId="0D42AC75" w:rsidR="0057409A" w:rsidRPr="00F61774" w:rsidRDefault="00B231D3" w:rsidP="00717791">
      <w:pPr>
        <w:pStyle w:val="a9"/>
        <w:numPr>
          <w:ilvl w:val="0"/>
          <w:numId w:val="14"/>
        </w:numPr>
        <w:shd w:val="clear" w:color="auto" w:fill="A8D08D" w:themeFill="accent6" w:themeFillTint="99"/>
        <w:spacing w:after="0"/>
        <w:rPr>
          <w:b/>
          <w:bCs/>
        </w:rPr>
      </w:pPr>
      <w:r w:rsidRPr="00F61774">
        <w:rPr>
          <w:rFonts w:hint="cs"/>
          <w:b/>
          <w:bCs/>
          <w:rtl/>
        </w:rPr>
        <w:t>האיסור להתדיין בערכאות של גויים ובבתי דין של הדיוטות</w:t>
      </w:r>
    </w:p>
    <w:p w14:paraId="51DEBF52" w14:textId="07631E10" w:rsidR="00B231D3" w:rsidRPr="00CD112D" w:rsidRDefault="00054606" w:rsidP="00717791">
      <w:pPr>
        <w:shd w:val="clear" w:color="auto" w:fill="E2EFD9" w:themeFill="accent6" w:themeFillTint="33"/>
        <w:spacing w:after="0"/>
        <w:rPr>
          <w:b/>
          <w:bCs/>
        </w:rPr>
      </w:pPr>
      <w:r w:rsidRPr="00CD112D">
        <w:rPr>
          <w:rFonts w:hint="cs"/>
          <w:b/>
          <w:bCs/>
          <w:rtl/>
        </w:rPr>
        <w:t>בר</w:t>
      </w:r>
      <w:r w:rsidR="00E34FC2" w:rsidRPr="00CD112D">
        <w:rPr>
          <w:rFonts w:hint="cs"/>
          <w:b/>
          <w:bCs/>
          <w:rtl/>
        </w:rPr>
        <w:t>ייתא מסכת גיטין</w:t>
      </w:r>
    </w:p>
    <w:p w14:paraId="091B8010" w14:textId="77777777" w:rsidR="00CD112D" w:rsidRDefault="00E34FC2" w:rsidP="00717791">
      <w:pPr>
        <w:spacing w:after="0"/>
        <w:rPr>
          <w:rtl/>
        </w:rPr>
      </w:pPr>
      <w:proofErr w:type="spellStart"/>
      <w:r>
        <w:rPr>
          <w:rFonts w:hint="cs"/>
          <w:rtl/>
        </w:rPr>
        <w:t>מהברייתא</w:t>
      </w:r>
      <w:proofErr w:type="spellEnd"/>
      <w:r>
        <w:rPr>
          <w:rFonts w:hint="cs"/>
          <w:rtl/>
        </w:rPr>
        <w:t xml:space="preserve"> עולה </w:t>
      </w:r>
      <w:r w:rsidR="00CD112D">
        <w:rPr>
          <w:rFonts w:hint="cs"/>
          <w:rtl/>
        </w:rPr>
        <w:t>:</w:t>
      </w:r>
    </w:p>
    <w:p w14:paraId="3BF7F6DF" w14:textId="77777777" w:rsidR="00CD112D" w:rsidRDefault="00E34FC2" w:rsidP="00717791">
      <w:pPr>
        <w:pStyle w:val="a9"/>
        <w:numPr>
          <w:ilvl w:val="1"/>
          <w:numId w:val="14"/>
        </w:numPr>
        <w:spacing w:after="0"/>
      </w:pPr>
      <w:r>
        <w:rPr>
          <w:rFonts w:hint="cs"/>
          <w:rtl/>
        </w:rPr>
        <w:t xml:space="preserve">שאסור להתדיין בערכאות של </w:t>
      </w:r>
      <w:r w:rsidRPr="00CD112D">
        <w:rPr>
          <w:rFonts w:hint="cs"/>
          <w:b/>
          <w:bCs/>
          <w:rtl/>
        </w:rPr>
        <w:t>גויי</w:t>
      </w:r>
      <w:r w:rsidR="00D26D0F" w:rsidRPr="00CD112D">
        <w:rPr>
          <w:rFonts w:hint="cs"/>
          <w:b/>
          <w:bCs/>
          <w:rtl/>
        </w:rPr>
        <w:t xml:space="preserve">ם </w:t>
      </w:r>
    </w:p>
    <w:p w14:paraId="008502BD" w14:textId="202163A2" w:rsidR="00E34FC2" w:rsidRDefault="00D26D0F" w:rsidP="00717791">
      <w:pPr>
        <w:pStyle w:val="a9"/>
        <w:numPr>
          <w:ilvl w:val="1"/>
          <w:numId w:val="14"/>
        </w:numPr>
        <w:spacing w:after="0"/>
      </w:pPr>
      <w:r>
        <w:rPr>
          <w:rFonts w:hint="cs"/>
          <w:rtl/>
        </w:rPr>
        <w:t xml:space="preserve">אסור להתדיין הערכאות שאין בהם דיינים </w:t>
      </w:r>
      <w:r w:rsidRPr="00CD112D">
        <w:rPr>
          <w:rFonts w:hint="cs"/>
          <w:b/>
          <w:bCs/>
          <w:rtl/>
        </w:rPr>
        <w:t>מומחים</w:t>
      </w:r>
      <w:r>
        <w:rPr>
          <w:rFonts w:hint="cs"/>
          <w:rtl/>
        </w:rPr>
        <w:t>.</w:t>
      </w:r>
    </w:p>
    <w:p w14:paraId="1CBE9671" w14:textId="59A0407F" w:rsidR="008A062A" w:rsidRDefault="008A062A" w:rsidP="00717791">
      <w:pPr>
        <w:spacing w:after="0"/>
        <w:rPr>
          <w:rtl/>
        </w:rPr>
      </w:pPr>
      <w:r>
        <w:rPr>
          <w:rFonts w:hint="cs"/>
          <w:rtl/>
        </w:rPr>
        <w:t>אם כך ניתן להגיד שעל יסוד הדין השני אסור ל</w:t>
      </w:r>
      <w:r w:rsidR="008E339B">
        <w:rPr>
          <w:rFonts w:hint="cs"/>
          <w:rtl/>
        </w:rPr>
        <w:t>ה</w:t>
      </w:r>
      <w:r>
        <w:rPr>
          <w:rFonts w:hint="cs"/>
          <w:rtl/>
        </w:rPr>
        <w:t>תדיין בבתי משפטים בישראל</w:t>
      </w:r>
      <w:r w:rsidR="000634FC">
        <w:rPr>
          <w:rFonts w:hint="cs"/>
          <w:rtl/>
        </w:rPr>
        <w:t>. אם זאת בתלמוד יש הכרה בבתי משפטים יהודיים של הדיוטות שנקראים "</w:t>
      </w:r>
      <w:r w:rsidR="000634FC" w:rsidRPr="00793BEA">
        <w:rPr>
          <w:rFonts w:hint="cs"/>
          <w:b/>
          <w:bCs/>
          <w:rtl/>
        </w:rPr>
        <w:t xml:space="preserve">ערכאות </w:t>
      </w:r>
      <w:proofErr w:type="spellStart"/>
      <w:r w:rsidR="000634FC" w:rsidRPr="00793BEA">
        <w:rPr>
          <w:rFonts w:hint="cs"/>
          <w:b/>
          <w:bCs/>
          <w:rtl/>
        </w:rPr>
        <w:t>שבסוריא</w:t>
      </w:r>
      <w:proofErr w:type="spellEnd"/>
      <w:r w:rsidR="000634FC">
        <w:rPr>
          <w:rFonts w:hint="cs"/>
          <w:rtl/>
        </w:rPr>
        <w:t xml:space="preserve">" </w:t>
      </w:r>
      <w:r w:rsidR="00793BEA">
        <w:rPr>
          <w:rFonts w:hint="cs"/>
          <w:rtl/>
        </w:rPr>
        <w:t>(</w:t>
      </w:r>
      <w:r w:rsidR="00E609D7">
        <w:rPr>
          <w:rFonts w:hint="cs"/>
          <w:rtl/>
        </w:rPr>
        <w:t xml:space="preserve">על פי רש"י </w:t>
      </w:r>
      <w:r w:rsidR="00E609D7">
        <w:rPr>
          <w:rtl/>
        </w:rPr>
        <w:t>–</w:t>
      </w:r>
      <w:r w:rsidR="00E609D7">
        <w:rPr>
          <w:rFonts w:hint="cs"/>
          <w:rtl/>
        </w:rPr>
        <w:t xml:space="preserve"> ערכאות שלא היו בקיאות בדין תורה</w:t>
      </w:r>
      <w:r w:rsidR="00793BEA">
        <w:rPr>
          <w:rFonts w:hint="cs"/>
          <w:rtl/>
        </w:rPr>
        <w:t>)</w:t>
      </w:r>
      <w:r w:rsidR="00E609D7">
        <w:rPr>
          <w:rFonts w:hint="cs"/>
          <w:rtl/>
        </w:rPr>
        <w:t>.</w:t>
      </w:r>
    </w:p>
    <w:p w14:paraId="73D73887" w14:textId="7672D655" w:rsidR="00AD4527" w:rsidRPr="00CD112D" w:rsidRDefault="00CD112D" w:rsidP="00717791">
      <w:pPr>
        <w:pStyle w:val="a9"/>
        <w:numPr>
          <w:ilvl w:val="0"/>
          <w:numId w:val="14"/>
        </w:numPr>
        <w:shd w:val="clear" w:color="auto" w:fill="A8D08D" w:themeFill="accent6" w:themeFillTint="99"/>
        <w:spacing w:after="0"/>
        <w:rPr>
          <w:b/>
          <w:bCs/>
        </w:rPr>
      </w:pPr>
      <w:r w:rsidRPr="00CD112D">
        <w:rPr>
          <w:rFonts w:hint="cs"/>
          <w:b/>
          <w:bCs/>
          <w:rtl/>
        </w:rPr>
        <w:t>מעמדם של בתי המשפט כבתי דין של הדיוטות</w:t>
      </w:r>
    </w:p>
    <w:p w14:paraId="100DE527" w14:textId="4334616C" w:rsidR="00793BEA" w:rsidRPr="00CD112D" w:rsidRDefault="00AD4527" w:rsidP="00717791">
      <w:pPr>
        <w:pStyle w:val="a9"/>
        <w:shd w:val="clear" w:color="auto" w:fill="E2EFD9" w:themeFill="accent6" w:themeFillTint="33"/>
        <w:spacing w:after="0"/>
        <w:ind w:left="0"/>
        <w:jc w:val="both"/>
        <w:rPr>
          <w:b/>
          <w:bCs/>
          <w:color w:val="70AD47" w:themeColor="accent6"/>
          <w:rtl/>
        </w:rPr>
      </w:pPr>
      <w:r w:rsidRPr="00CD112D">
        <w:rPr>
          <w:rFonts w:hint="cs"/>
          <w:b/>
          <w:bCs/>
          <w:rtl/>
        </w:rPr>
        <w:t>"</w:t>
      </w:r>
      <w:r w:rsidR="00793BEA" w:rsidRPr="00CD112D">
        <w:rPr>
          <w:rFonts w:hint="cs"/>
          <w:b/>
          <w:bCs/>
          <w:rtl/>
        </w:rPr>
        <w:t xml:space="preserve">ערכאות </w:t>
      </w:r>
      <w:proofErr w:type="spellStart"/>
      <w:r w:rsidR="00793BEA" w:rsidRPr="00CD112D">
        <w:rPr>
          <w:rFonts w:hint="cs"/>
          <w:b/>
          <w:bCs/>
          <w:rtl/>
        </w:rPr>
        <w:t>שבסוריא</w:t>
      </w:r>
      <w:proofErr w:type="spellEnd"/>
      <w:r w:rsidRPr="00CD112D">
        <w:rPr>
          <w:rFonts w:hint="cs"/>
          <w:b/>
          <w:bCs/>
          <w:rtl/>
        </w:rPr>
        <w:t>"</w:t>
      </w:r>
    </w:p>
    <w:p w14:paraId="25842586" w14:textId="77777777" w:rsidR="00AD4527" w:rsidRDefault="00AD4527" w:rsidP="00717791">
      <w:pPr>
        <w:pStyle w:val="a9"/>
        <w:spacing w:after="0"/>
        <w:ind w:left="0"/>
        <w:jc w:val="center"/>
        <w:rPr>
          <w:b/>
          <w:bCs/>
          <w:color w:val="70AD47" w:themeColor="accent6"/>
          <w:rtl/>
        </w:rPr>
      </w:pPr>
      <w:r w:rsidRPr="00793BEA">
        <w:rPr>
          <w:rFonts w:hint="cs"/>
          <w:b/>
          <w:bCs/>
          <w:color w:val="70AD47" w:themeColor="accent6"/>
          <w:rtl/>
        </w:rPr>
        <w:t xml:space="preserve">האם ניתן להכיר בבתי משפט ישראלים כ"ערכאות </w:t>
      </w:r>
      <w:proofErr w:type="spellStart"/>
      <w:r w:rsidRPr="00793BEA">
        <w:rPr>
          <w:rFonts w:hint="cs"/>
          <w:b/>
          <w:bCs/>
          <w:color w:val="70AD47" w:themeColor="accent6"/>
          <w:rtl/>
        </w:rPr>
        <w:t>שבסוריא</w:t>
      </w:r>
      <w:proofErr w:type="spellEnd"/>
      <w:r w:rsidRPr="00793BEA">
        <w:rPr>
          <w:rFonts w:hint="cs"/>
          <w:b/>
          <w:bCs/>
          <w:color w:val="70AD47" w:themeColor="accent6"/>
          <w:rtl/>
        </w:rPr>
        <w:t>"?</w:t>
      </w:r>
    </w:p>
    <w:p w14:paraId="01D1AD32" w14:textId="2CCC6457" w:rsidR="00793BEA" w:rsidRDefault="006C43A9" w:rsidP="00717791">
      <w:pPr>
        <w:pStyle w:val="a9"/>
        <w:spacing w:after="0"/>
        <w:ind w:left="0"/>
        <w:jc w:val="both"/>
        <w:rPr>
          <w:u w:val="single"/>
          <w:rtl/>
        </w:rPr>
      </w:pPr>
      <w:r>
        <w:rPr>
          <w:rFonts w:hint="cs"/>
          <w:u w:val="single"/>
          <w:rtl/>
        </w:rPr>
        <w:t>שולחן ערוך:</w:t>
      </w:r>
    </w:p>
    <w:p w14:paraId="38321B33" w14:textId="0A91057B" w:rsidR="006C43A9" w:rsidRDefault="00F95F7F" w:rsidP="00717791">
      <w:pPr>
        <w:pStyle w:val="a9"/>
        <w:spacing w:after="0"/>
        <w:ind w:left="0"/>
        <w:jc w:val="both"/>
        <w:rPr>
          <w:rtl/>
        </w:rPr>
      </w:pPr>
      <w:r>
        <w:rPr>
          <w:rFonts w:hint="cs"/>
          <w:rtl/>
        </w:rPr>
        <w:t>דיין חייב להיות אדם ממומחה הגון והקיא בתורה.</w:t>
      </w:r>
    </w:p>
    <w:p w14:paraId="57D388D0" w14:textId="13083E54" w:rsidR="00E812EC" w:rsidRDefault="006C3BCC" w:rsidP="00717791">
      <w:pPr>
        <w:pStyle w:val="a9"/>
        <w:spacing w:after="0"/>
        <w:ind w:left="0"/>
        <w:jc w:val="both"/>
        <w:rPr>
          <w:rtl/>
        </w:rPr>
      </w:pPr>
      <w:r>
        <w:rPr>
          <w:rFonts w:hint="cs"/>
          <w:u w:val="single"/>
          <w:rtl/>
        </w:rPr>
        <w:t>הגהות הרמ"א:</w:t>
      </w:r>
      <w:r>
        <w:rPr>
          <w:rFonts w:hint="cs"/>
          <w:rtl/>
        </w:rPr>
        <w:t xml:space="preserve"> </w:t>
      </w:r>
      <w:r w:rsidR="00F12A3F">
        <w:rPr>
          <w:rFonts w:hint="cs"/>
          <w:rtl/>
        </w:rPr>
        <w:t xml:space="preserve">כותב דבריו על פי תשובת </w:t>
      </w:r>
      <w:proofErr w:type="spellStart"/>
      <w:r w:rsidR="00F12A3F">
        <w:rPr>
          <w:rFonts w:hint="cs"/>
          <w:rtl/>
        </w:rPr>
        <w:t>הרשב"א</w:t>
      </w:r>
      <w:proofErr w:type="spellEnd"/>
      <w:r w:rsidR="00F12A3F">
        <w:rPr>
          <w:rFonts w:hint="cs"/>
          <w:rtl/>
        </w:rPr>
        <w:t xml:space="preserve"> - </w:t>
      </w:r>
      <w:r w:rsidR="00140A27">
        <w:rPr>
          <w:rFonts w:hint="cs"/>
          <w:rtl/>
        </w:rPr>
        <w:t xml:space="preserve">במקום </w:t>
      </w:r>
      <w:r w:rsidR="00140A27" w:rsidRPr="004D5307">
        <w:rPr>
          <w:rFonts w:hint="cs"/>
          <w:b/>
          <w:bCs/>
          <w:rtl/>
        </w:rPr>
        <w:t>שאין מומחים</w:t>
      </w:r>
      <w:r w:rsidR="00140A27">
        <w:rPr>
          <w:rFonts w:hint="cs"/>
          <w:rtl/>
        </w:rPr>
        <w:t xml:space="preserve"> אפשר למנות דיינים הדיוטות על מנת שהיהודים לא ילכו להישפט בערכאות של גויים</w:t>
      </w:r>
      <w:r w:rsidR="00F32046">
        <w:rPr>
          <w:rFonts w:hint="cs"/>
          <w:rtl/>
        </w:rPr>
        <w:t xml:space="preserve">. ומכוון </w:t>
      </w:r>
      <w:r w:rsidR="00F32046" w:rsidRPr="004D5307">
        <w:rPr>
          <w:rFonts w:hint="cs"/>
          <w:b/>
          <w:bCs/>
          <w:rtl/>
        </w:rPr>
        <w:t>שכל בני העיר מקבלים</w:t>
      </w:r>
      <w:r w:rsidR="00F32046">
        <w:rPr>
          <w:rFonts w:hint="cs"/>
          <w:rtl/>
        </w:rPr>
        <w:t xml:space="preserve"> אותם אז אי אפשר לפסול אותם.</w:t>
      </w:r>
      <w:r w:rsidR="00350893">
        <w:rPr>
          <w:rFonts w:hint="cs"/>
          <w:rtl/>
        </w:rPr>
        <w:t xml:space="preserve"> </w:t>
      </w:r>
      <w:r w:rsidR="004D5307">
        <w:rPr>
          <w:rFonts w:hint="cs"/>
          <w:rtl/>
        </w:rPr>
        <w:t>מדובר ב</w:t>
      </w:r>
      <w:r w:rsidR="004D5307">
        <w:rPr>
          <w:rFonts w:hint="cs"/>
          <w:b/>
          <w:bCs/>
          <w:rtl/>
        </w:rPr>
        <w:t>הוראת שעה</w:t>
      </w:r>
      <w:r w:rsidR="004D5307">
        <w:rPr>
          <w:rFonts w:hint="cs"/>
          <w:rtl/>
        </w:rPr>
        <w:t xml:space="preserve"> </w:t>
      </w:r>
      <w:r w:rsidR="0090750C">
        <w:rPr>
          <w:rFonts w:hint="cs"/>
          <w:rtl/>
        </w:rPr>
        <w:t>בגלל מציאות חסר ברירה בה אין מומחים.</w:t>
      </w:r>
      <w:r w:rsidR="00E812EC">
        <w:rPr>
          <w:rFonts w:hint="cs"/>
          <w:rtl/>
        </w:rPr>
        <w:t xml:space="preserve"> </w:t>
      </w:r>
    </w:p>
    <w:p w14:paraId="5DF0661A" w14:textId="7CB3AB64" w:rsidR="00E812EC" w:rsidRDefault="00F12A3F" w:rsidP="00717791">
      <w:pPr>
        <w:pStyle w:val="a9"/>
        <w:spacing w:after="0"/>
        <w:ind w:left="0"/>
        <w:jc w:val="both"/>
        <w:rPr>
          <w:rtl/>
        </w:rPr>
      </w:pPr>
      <w:r>
        <w:rPr>
          <w:rFonts w:hint="cs"/>
          <w:rtl/>
        </w:rPr>
        <w:t xml:space="preserve">לדעת </w:t>
      </w:r>
      <w:proofErr w:type="spellStart"/>
      <w:r>
        <w:rPr>
          <w:rFonts w:hint="cs"/>
          <w:rtl/>
        </w:rPr>
        <w:t>הרשב"א</w:t>
      </w:r>
      <w:proofErr w:type="spellEnd"/>
      <w:r>
        <w:rPr>
          <w:rFonts w:hint="cs"/>
          <w:rtl/>
        </w:rPr>
        <w:t xml:space="preserve"> </w:t>
      </w:r>
      <w:r w:rsidR="00201160">
        <w:rPr>
          <w:rFonts w:hint="cs"/>
          <w:rtl/>
        </w:rPr>
        <w:t xml:space="preserve">הסמכות של "ערכאות </w:t>
      </w:r>
      <w:proofErr w:type="spellStart"/>
      <w:r w:rsidR="00201160">
        <w:rPr>
          <w:rFonts w:hint="cs"/>
          <w:rtl/>
        </w:rPr>
        <w:t>שבסוריא</w:t>
      </w:r>
      <w:proofErr w:type="spellEnd"/>
      <w:r w:rsidR="00201160">
        <w:rPr>
          <w:rFonts w:hint="cs"/>
          <w:rtl/>
        </w:rPr>
        <w:t>" נבוא</w:t>
      </w:r>
      <w:r w:rsidR="00350893">
        <w:rPr>
          <w:rFonts w:hint="cs"/>
          <w:rtl/>
        </w:rPr>
        <w:t>ת</w:t>
      </w:r>
      <w:r w:rsidR="00201160">
        <w:rPr>
          <w:rFonts w:hint="cs"/>
          <w:rtl/>
        </w:rPr>
        <w:t xml:space="preserve"> מהיכולת של הציבור להתקין תקנות.</w:t>
      </w:r>
    </w:p>
    <w:p w14:paraId="4861D4B8" w14:textId="13F0AD9F" w:rsidR="00F12A3F" w:rsidRDefault="00DE34F4" w:rsidP="00717791">
      <w:pPr>
        <w:spacing w:after="0"/>
        <w:jc w:val="both"/>
        <w:rPr>
          <w:rtl/>
        </w:rPr>
      </w:pPr>
      <w:proofErr w:type="spellStart"/>
      <w:r w:rsidRPr="00291080">
        <w:rPr>
          <w:rFonts w:hint="cs"/>
          <w:u w:val="single"/>
          <w:rtl/>
        </w:rPr>
        <w:t>הר"ן</w:t>
      </w:r>
      <w:proofErr w:type="spellEnd"/>
      <w:r w:rsidR="00291080" w:rsidRPr="00291080">
        <w:rPr>
          <w:rFonts w:hint="cs"/>
          <w:u w:val="single"/>
          <w:rtl/>
        </w:rPr>
        <w:t xml:space="preserve"> והחזון איש</w:t>
      </w:r>
      <w:r w:rsidRPr="00291080">
        <w:rPr>
          <w:rFonts w:hint="cs"/>
          <w:u w:val="single"/>
          <w:rtl/>
        </w:rPr>
        <w:t>:</w:t>
      </w:r>
      <w:r>
        <w:rPr>
          <w:rFonts w:hint="cs"/>
          <w:b/>
          <w:bCs/>
          <w:u w:val="single"/>
          <w:rtl/>
        </w:rPr>
        <w:t xml:space="preserve"> </w:t>
      </w:r>
      <w:r>
        <w:rPr>
          <w:rFonts w:hint="cs"/>
          <w:rtl/>
        </w:rPr>
        <w:t>דיינים ב</w:t>
      </w:r>
      <w:r w:rsidR="00CA6705">
        <w:rPr>
          <w:rFonts w:hint="cs"/>
          <w:rtl/>
        </w:rPr>
        <w:t>"</w:t>
      </w:r>
      <w:r>
        <w:rPr>
          <w:rFonts w:hint="cs"/>
          <w:rtl/>
        </w:rPr>
        <w:t xml:space="preserve">ערכאות </w:t>
      </w:r>
      <w:proofErr w:type="spellStart"/>
      <w:r>
        <w:rPr>
          <w:rFonts w:hint="cs"/>
          <w:rtl/>
        </w:rPr>
        <w:t>שבסוריא</w:t>
      </w:r>
      <w:proofErr w:type="spellEnd"/>
      <w:r w:rsidR="00CA6705">
        <w:rPr>
          <w:rFonts w:hint="cs"/>
          <w:rtl/>
        </w:rPr>
        <w:t>"</w:t>
      </w:r>
      <w:r>
        <w:rPr>
          <w:rFonts w:hint="cs"/>
          <w:rtl/>
        </w:rPr>
        <w:t xml:space="preserve"> </w:t>
      </w:r>
      <w:r w:rsidR="00CA6705" w:rsidRPr="00CA6705">
        <w:rPr>
          <w:rFonts w:hint="cs"/>
          <w:b/>
          <w:bCs/>
          <w:rtl/>
        </w:rPr>
        <w:t>דנים</w:t>
      </w:r>
      <w:r w:rsidRPr="00CA6705">
        <w:rPr>
          <w:rFonts w:hint="cs"/>
          <w:b/>
          <w:bCs/>
          <w:rtl/>
        </w:rPr>
        <w:t xml:space="preserve"> לפי אומד </w:t>
      </w:r>
      <w:r w:rsidR="00CA6705" w:rsidRPr="00CA6705">
        <w:rPr>
          <w:rFonts w:hint="cs"/>
          <w:b/>
          <w:bCs/>
          <w:rtl/>
        </w:rPr>
        <w:t>דעתם</w:t>
      </w:r>
      <w:r w:rsidR="00CA6705">
        <w:rPr>
          <w:rFonts w:hint="cs"/>
          <w:rtl/>
        </w:rPr>
        <w:t xml:space="preserve"> כבוררים </w:t>
      </w:r>
      <w:r>
        <w:rPr>
          <w:rFonts w:hint="cs"/>
          <w:rtl/>
        </w:rPr>
        <w:t>ולא על פי דין זר</w:t>
      </w:r>
      <w:r w:rsidR="00CA6705">
        <w:rPr>
          <w:rFonts w:hint="cs"/>
          <w:rtl/>
        </w:rPr>
        <w:t>.</w:t>
      </w:r>
    </w:p>
    <w:p w14:paraId="2EDDEF15" w14:textId="6CB45101" w:rsidR="00B16856" w:rsidRPr="00717C17" w:rsidRDefault="00B16856" w:rsidP="00717791">
      <w:pPr>
        <w:spacing w:after="0"/>
        <w:jc w:val="both"/>
        <w:rPr>
          <w:b/>
          <w:bCs/>
          <w:u w:val="single"/>
          <w:rtl/>
        </w:rPr>
      </w:pPr>
      <w:r w:rsidRPr="00717C17">
        <w:rPr>
          <w:rFonts w:hint="cs"/>
          <w:b/>
          <w:bCs/>
          <w:u w:val="single"/>
          <w:rtl/>
        </w:rPr>
        <w:t xml:space="preserve">מתי מותר להקים "ערכאות </w:t>
      </w:r>
      <w:proofErr w:type="spellStart"/>
      <w:r w:rsidRPr="00717C17">
        <w:rPr>
          <w:rFonts w:hint="cs"/>
          <w:b/>
          <w:bCs/>
          <w:u w:val="single"/>
          <w:rtl/>
        </w:rPr>
        <w:t>שבסוריא</w:t>
      </w:r>
      <w:proofErr w:type="spellEnd"/>
      <w:r w:rsidRPr="00717C17">
        <w:rPr>
          <w:rFonts w:hint="cs"/>
          <w:b/>
          <w:bCs/>
          <w:u w:val="single"/>
          <w:rtl/>
        </w:rPr>
        <w:t>":</w:t>
      </w:r>
    </w:p>
    <w:p w14:paraId="5C9477B1" w14:textId="45952844" w:rsidR="00B16856" w:rsidRDefault="00B16856" w:rsidP="00717791">
      <w:pPr>
        <w:pStyle w:val="a9"/>
        <w:numPr>
          <w:ilvl w:val="1"/>
          <w:numId w:val="14"/>
        </w:numPr>
        <w:spacing w:after="0"/>
        <w:jc w:val="both"/>
        <w:rPr>
          <w:b/>
          <w:bCs/>
        </w:rPr>
      </w:pPr>
      <w:r>
        <w:rPr>
          <w:rFonts w:hint="cs"/>
          <w:b/>
          <w:bCs/>
          <w:rtl/>
        </w:rPr>
        <w:t>אין מומחים בעיר</w:t>
      </w:r>
      <w:r w:rsidR="00717C17">
        <w:rPr>
          <w:rFonts w:hint="cs"/>
          <w:b/>
          <w:bCs/>
          <w:rtl/>
        </w:rPr>
        <w:t>.</w:t>
      </w:r>
    </w:p>
    <w:p w14:paraId="212F6C0A" w14:textId="06368F8D" w:rsidR="00B16856" w:rsidRDefault="00406E7E" w:rsidP="00717791">
      <w:pPr>
        <w:pStyle w:val="a9"/>
        <w:numPr>
          <w:ilvl w:val="1"/>
          <w:numId w:val="14"/>
        </w:numPr>
        <w:spacing w:after="0"/>
        <w:jc w:val="both"/>
        <w:rPr>
          <w:b/>
          <w:bCs/>
        </w:rPr>
      </w:pPr>
      <w:r>
        <w:rPr>
          <w:rFonts w:hint="cs"/>
          <w:b/>
          <w:bCs/>
          <w:rtl/>
        </w:rPr>
        <w:t>הדיינים ההדיוטות מוסכמים על הציבור</w:t>
      </w:r>
      <w:r w:rsidR="00717C17">
        <w:rPr>
          <w:rFonts w:hint="cs"/>
          <w:b/>
          <w:bCs/>
          <w:rtl/>
        </w:rPr>
        <w:t>.</w:t>
      </w:r>
    </w:p>
    <w:p w14:paraId="190FB69E" w14:textId="36C539D5" w:rsidR="00406E7E" w:rsidRPr="00B16856" w:rsidRDefault="00406E7E" w:rsidP="00717791">
      <w:pPr>
        <w:pStyle w:val="a9"/>
        <w:numPr>
          <w:ilvl w:val="1"/>
          <w:numId w:val="14"/>
        </w:numPr>
        <w:spacing w:after="0"/>
        <w:jc w:val="both"/>
        <w:rPr>
          <w:b/>
          <w:bCs/>
          <w:rtl/>
        </w:rPr>
      </w:pPr>
      <w:r>
        <w:rPr>
          <w:rFonts w:hint="cs"/>
          <w:b/>
          <w:bCs/>
          <w:rtl/>
        </w:rPr>
        <w:t>דנים על פי שיקול דעתם</w:t>
      </w:r>
      <w:r w:rsidR="00B53A01">
        <w:rPr>
          <w:rFonts w:hint="cs"/>
          <w:b/>
          <w:bCs/>
          <w:rtl/>
        </w:rPr>
        <w:t xml:space="preserve"> ולא על פי מערכת חוקים מחייבת</w:t>
      </w:r>
      <w:r>
        <w:rPr>
          <w:rFonts w:hint="cs"/>
          <w:b/>
          <w:bCs/>
          <w:rtl/>
        </w:rPr>
        <w:t>.</w:t>
      </w:r>
    </w:p>
    <w:p w14:paraId="4B8F809C" w14:textId="76B6D4E9" w:rsidR="00AD4527" w:rsidRPr="004B2301" w:rsidRDefault="00144A9F" w:rsidP="00717791">
      <w:pPr>
        <w:pStyle w:val="a9"/>
        <w:shd w:val="clear" w:color="auto" w:fill="E2EFD9" w:themeFill="accent6" w:themeFillTint="33"/>
        <w:spacing w:after="0"/>
        <w:ind w:left="0"/>
        <w:jc w:val="both"/>
        <w:rPr>
          <w:b/>
          <w:bCs/>
          <w:rtl/>
        </w:rPr>
      </w:pPr>
      <w:r w:rsidRPr="004B2301">
        <w:rPr>
          <w:rFonts w:hint="cs"/>
          <w:b/>
          <w:bCs/>
          <w:rtl/>
        </w:rPr>
        <w:t xml:space="preserve">שיטת המאירי </w:t>
      </w:r>
      <w:r w:rsidRPr="004B2301">
        <w:rPr>
          <w:b/>
          <w:bCs/>
          <w:rtl/>
        </w:rPr>
        <w:t>–</w:t>
      </w:r>
      <w:r w:rsidRPr="004B2301">
        <w:rPr>
          <w:rFonts w:hint="cs"/>
          <w:b/>
          <w:bCs/>
          <w:rtl/>
        </w:rPr>
        <w:t xml:space="preserve"> ערכאות </w:t>
      </w:r>
      <w:r w:rsidR="004B2301" w:rsidRPr="004B2301">
        <w:rPr>
          <w:rFonts w:hint="cs"/>
          <w:b/>
          <w:bCs/>
          <w:rtl/>
        </w:rPr>
        <w:t>הדנים לפי "חוקים ונימוסים"</w:t>
      </w:r>
    </w:p>
    <w:p w14:paraId="1ACC5F63" w14:textId="1A028CA4" w:rsidR="00AD4527" w:rsidRDefault="00AE1182" w:rsidP="00717791">
      <w:pPr>
        <w:pStyle w:val="a9"/>
        <w:spacing w:after="0"/>
        <w:ind w:left="0"/>
        <w:jc w:val="both"/>
        <w:rPr>
          <w:rtl/>
        </w:rPr>
      </w:pPr>
      <w:r>
        <w:rPr>
          <w:rFonts w:hint="cs"/>
          <w:rtl/>
        </w:rPr>
        <w:t xml:space="preserve">לדעת המאירי ערכאות </w:t>
      </w:r>
      <w:proofErr w:type="spellStart"/>
      <w:r>
        <w:rPr>
          <w:rFonts w:hint="cs"/>
          <w:rtl/>
        </w:rPr>
        <w:t>שבסוריא</w:t>
      </w:r>
      <w:proofErr w:type="spellEnd"/>
      <w:r>
        <w:rPr>
          <w:rFonts w:hint="cs"/>
          <w:rtl/>
        </w:rPr>
        <w:t xml:space="preserve"> דנים לפי אומד דעתם ולפי חוקים ונימוסים.</w:t>
      </w:r>
    </w:p>
    <w:p w14:paraId="6EDA3A6E" w14:textId="2127323D" w:rsidR="00EE39C2" w:rsidRDefault="00EE39C2" w:rsidP="00717791">
      <w:pPr>
        <w:pStyle w:val="a9"/>
        <w:spacing w:after="0"/>
        <w:ind w:left="0"/>
        <w:jc w:val="both"/>
        <w:rPr>
          <w:rtl/>
        </w:rPr>
      </w:pPr>
      <w:r>
        <w:rPr>
          <w:rFonts w:hint="cs"/>
          <w:rtl/>
        </w:rPr>
        <w:t xml:space="preserve">לדעת פרופ' שטוחמן הכוונה היא לא שהדיינים דנים לפי חוק זר אלא הם לוקחים דוגמא ממנו במידה וצריך אבל הוא </w:t>
      </w:r>
      <w:r>
        <w:rPr>
          <w:rFonts w:hint="cs"/>
          <w:b/>
          <w:bCs/>
          <w:rtl/>
        </w:rPr>
        <w:t xml:space="preserve">לא מחייב </w:t>
      </w:r>
      <w:r>
        <w:rPr>
          <w:rFonts w:hint="cs"/>
          <w:rtl/>
        </w:rPr>
        <w:t>אותם</w:t>
      </w:r>
      <w:r w:rsidR="00602421">
        <w:rPr>
          <w:rFonts w:hint="cs"/>
          <w:rtl/>
        </w:rPr>
        <w:t xml:space="preserve"> וזו רק דרך אפשרית להכרעה</w:t>
      </w:r>
      <w:r>
        <w:rPr>
          <w:rFonts w:hint="cs"/>
          <w:rtl/>
        </w:rPr>
        <w:t>.</w:t>
      </w:r>
    </w:p>
    <w:p w14:paraId="1764A5A4" w14:textId="41EF92F0" w:rsidR="00D06C84" w:rsidRDefault="00602421" w:rsidP="00717791">
      <w:pPr>
        <w:pStyle w:val="a9"/>
        <w:spacing w:after="0"/>
        <w:ind w:left="0"/>
        <w:jc w:val="both"/>
        <w:rPr>
          <w:rtl/>
        </w:rPr>
      </w:pPr>
      <w:r>
        <w:rPr>
          <w:rFonts w:hint="cs"/>
          <w:rtl/>
        </w:rPr>
        <w:t xml:space="preserve">שיפוט ע"י גוף שאינו </w:t>
      </w:r>
      <w:r w:rsidR="00F507E0">
        <w:rPr>
          <w:rFonts w:hint="cs"/>
          <w:rtl/>
        </w:rPr>
        <w:t>דן על פי מערכת חוקים מחייבים אפשרי וניתן לראות לכך דוגמאות:</w:t>
      </w:r>
    </w:p>
    <w:p w14:paraId="1EE4DDCD" w14:textId="18A99F8E" w:rsidR="00F507E0" w:rsidRDefault="00B21781" w:rsidP="00717791">
      <w:pPr>
        <w:pStyle w:val="a9"/>
        <w:spacing w:after="0"/>
        <w:ind w:left="0"/>
        <w:jc w:val="both"/>
        <w:rPr>
          <w:rtl/>
        </w:rPr>
      </w:pPr>
      <w:r>
        <w:rPr>
          <w:rFonts w:hint="cs"/>
          <w:rtl/>
        </w:rPr>
        <w:t xml:space="preserve">מותרת התדיינות לפני גופים מקצועיים שונים </w:t>
      </w:r>
      <w:r w:rsidR="00B6135D">
        <w:rPr>
          <w:rFonts w:hint="cs"/>
          <w:rtl/>
        </w:rPr>
        <w:t>לדוג מנהג הסוחרים,</w:t>
      </w:r>
      <w:r w:rsidR="00481967">
        <w:rPr>
          <w:rFonts w:hint="cs"/>
          <w:rtl/>
        </w:rPr>
        <w:t xml:space="preserve"> חוק בתים משותפים </w:t>
      </w:r>
      <w:r>
        <w:rPr>
          <w:rtl/>
        </w:rPr>
        <w:t>–</w:t>
      </w:r>
      <w:r>
        <w:rPr>
          <w:rFonts w:hint="cs"/>
          <w:rtl/>
        </w:rPr>
        <w:t xml:space="preserve"> מכוון שהם פועלים לפי </w:t>
      </w:r>
      <w:r w:rsidRPr="0049641C">
        <w:rPr>
          <w:rFonts w:hint="cs"/>
          <w:b/>
          <w:bCs/>
          <w:rtl/>
        </w:rPr>
        <w:t>מומחיותם ושיקול דעתם</w:t>
      </w:r>
      <w:r>
        <w:rPr>
          <w:rFonts w:hint="cs"/>
          <w:rtl/>
        </w:rPr>
        <w:t xml:space="preserve"> ולא מחו</w:t>
      </w:r>
      <w:r w:rsidR="0049641C">
        <w:rPr>
          <w:rFonts w:hint="cs"/>
          <w:rtl/>
        </w:rPr>
        <w:t>יבים למערכת חוקים.</w:t>
      </w:r>
    </w:p>
    <w:p w14:paraId="3E5ABA2A" w14:textId="39A4C436" w:rsidR="00481967" w:rsidRDefault="00481967" w:rsidP="00717791">
      <w:pPr>
        <w:pStyle w:val="a9"/>
        <w:spacing w:after="0"/>
        <w:ind w:left="0"/>
        <w:jc w:val="both"/>
        <w:rPr>
          <w:rtl/>
        </w:rPr>
      </w:pPr>
    </w:p>
    <w:p w14:paraId="01081520" w14:textId="5C8D7ED8" w:rsidR="00481967" w:rsidRDefault="00481967" w:rsidP="00B00817">
      <w:pPr>
        <w:pStyle w:val="a9"/>
        <w:spacing w:after="0"/>
        <w:ind w:left="0"/>
        <w:jc w:val="center"/>
        <w:rPr>
          <w:rtl/>
        </w:rPr>
      </w:pPr>
      <w:r w:rsidRPr="00B53A01">
        <w:rPr>
          <w:rFonts w:hint="cs"/>
          <w:b/>
          <w:bCs/>
          <w:color w:val="70AD47" w:themeColor="accent6"/>
          <w:rtl/>
        </w:rPr>
        <w:t xml:space="preserve">לא ניתן </w:t>
      </w:r>
      <w:r w:rsidR="00BD05B4" w:rsidRPr="00B53A01">
        <w:rPr>
          <w:rFonts w:hint="cs"/>
          <w:b/>
          <w:bCs/>
          <w:color w:val="70AD47" w:themeColor="accent6"/>
          <w:rtl/>
        </w:rPr>
        <w:t>להחיל</w:t>
      </w:r>
      <w:r w:rsidRPr="00B53A01">
        <w:rPr>
          <w:rFonts w:hint="cs"/>
          <w:b/>
          <w:bCs/>
          <w:color w:val="70AD47" w:themeColor="accent6"/>
          <w:rtl/>
        </w:rPr>
        <w:t xml:space="preserve"> "ערכאות </w:t>
      </w:r>
      <w:proofErr w:type="spellStart"/>
      <w:r w:rsidRPr="00B53A01">
        <w:rPr>
          <w:rFonts w:hint="cs"/>
          <w:b/>
          <w:bCs/>
          <w:color w:val="70AD47" w:themeColor="accent6"/>
          <w:rtl/>
        </w:rPr>
        <w:t>שבסוריא</w:t>
      </w:r>
      <w:proofErr w:type="spellEnd"/>
      <w:r w:rsidRPr="00B53A01">
        <w:rPr>
          <w:rFonts w:hint="cs"/>
          <w:b/>
          <w:bCs/>
          <w:color w:val="70AD47" w:themeColor="accent6"/>
          <w:rtl/>
        </w:rPr>
        <w:t xml:space="preserve">" </w:t>
      </w:r>
      <w:r w:rsidR="00BD05B4" w:rsidRPr="00B53A01">
        <w:rPr>
          <w:rFonts w:hint="cs"/>
          <w:b/>
          <w:bCs/>
          <w:color w:val="70AD47" w:themeColor="accent6"/>
          <w:rtl/>
        </w:rPr>
        <w:t>על ביתי משפט בישראל</w:t>
      </w:r>
      <w:r w:rsidR="00BD05B4" w:rsidRPr="00B53A01">
        <w:rPr>
          <w:rFonts w:hint="cs"/>
          <w:color w:val="70AD47" w:themeColor="accent6"/>
          <w:rtl/>
        </w:rPr>
        <w:t xml:space="preserve"> </w:t>
      </w:r>
      <w:r w:rsidR="00B00817">
        <w:rPr>
          <w:rFonts w:hint="cs"/>
          <w:rtl/>
        </w:rPr>
        <w:t xml:space="preserve">- </w:t>
      </w:r>
      <w:r w:rsidR="00BD05B4">
        <w:rPr>
          <w:rFonts w:hint="cs"/>
          <w:rtl/>
        </w:rPr>
        <w:t>משתי סיבות:</w:t>
      </w:r>
    </w:p>
    <w:p w14:paraId="3ABD0B99" w14:textId="0436191E" w:rsidR="00BD05B4" w:rsidRDefault="00BD05B4" w:rsidP="00717791">
      <w:pPr>
        <w:pStyle w:val="a9"/>
        <w:numPr>
          <w:ilvl w:val="0"/>
          <w:numId w:val="15"/>
        </w:numPr>
        <w:spacing w:after="0"/>
        <w:jc w:val="both"/>
        <w:rPr>
          <w:rtl/>
        </w:rPr>
      </w:pPr>
      <w:r>
        <w:rPr>
          <w:rFonts w:hint="cs"/>
          <w:rtl/>
        </w:rPr>
        <w:t xml:space="preserve">קיימים בתי דין רבנים </w:t>
      </w:r>
      <w:r>
        <w:rPr>
          <w:rtl/>
        </w:rPr>
        <w:t>–</w:t>
      </w:r>
      <w:r>
        <w:rPr>
          <w:rFonts w:hint="cs"/>
          <w:rtl/>
        </w:rPr>
        <w:t xml:space="preserve"> כלומר מציאות בה </w:t>
      </w:r>
      <w:r w:rsidRPr="00B53A01">
        <w:rPr>
          <w:rFonts w:hint="cs"/>
          <w:b/>
          <w:bCs/>
          <w:rtl/>
        </w:rPr>
        <w:t>יש מומחים.</w:t>
      </w:r>
    </w:p>
    <w:p w14:paraId="567C418F" w14:textId="17FD65A3" w:rsidR="00717791" w:rsidRDefault="006660B0" w:rsidP="0085315B">
      <w:pPr>
        <w:pStyle w:val="a9"/>
        <w:numPr>
          <w:ilvl w:val="0"/>
          <w:numId w:val="15"/>
        </w:numPr>
        <w:spacing w:after="0"/>
        <w:jc w:val="both"/>
      </w:pPr>
      <w:r>
        <w:rPr>
          <w:rFonts w:hint="cs"/>
          <w:rtl/>
        </w:rPr>
        <w:t xml:space="preserve">בתי המשפט שנים לפי מערכת חוקים </w:t>
      </w:r>
      <w:r>
        <w:rPr>
          <w:rFonts w:hint="cs"/>
          <w:b/>
          <w:bCs/>
          <w:rtl/>
        </w:rPr>
        <w:t xml:space="preserve">מחייבת </w:t>
      </w:r>
      <w:r>
        <w:rPr>
          <w:rFonts w:hint="cs"/>
          <w:rtl/>
        </w:rPr>
        <w:t>של המשפט הישראלי ולא לפי אומד דעתם.</w:t>
      </w:r>
    </w:p>
    <w:p w14:paraId="208C6CD1" w14:textId="4583A86A" w:rsidR="00B53A01" w:rsidRPr="006866AC" w:rsidRDefault="006866AC" w:rsidP="00717791">
      <w:pPr>
        <w:shd w:val="clear" w:color="auto" w:fill="E2EFD9" w:themeFill="accent6" w:themeFillTint="33"/>
        <w:spacing w:after="0"/>
        <w:jc w:val="both"/>
        <w:rPr>
          <w:b/>
          <w:bCs/>
          <w:rtl/>
        </w:rPr>
      </w:pPr>
      <w:proofErr w:type="spellStart"/>
      <w:r w:rsidRPr="006866AC">
        <w:rPr>
          <w:rFonts w:hint="cs"/>
          <w:b/>
          <w:bCs/>
          <w:rtl/>
        </w:rPr>
        <w:t>התשב"ץ</w:t>
      </w:r>
      <w:proofErr w:type="spellEnd"/>
      <w:r w:rsidRPr="006866AC">
        <w:rPr>
          <w:rFonts w:hint="cs"/>
          <w:b/>
          <w:bCs/>
          <w:rtl/>
        </w:rPr>
        <w:t xml:space="preserve"> </w:t>
      </w:r>
      <w:r w:rsidRPr="006866AC">
        <w:rPr>
          <w:b/>
          <w:bCs/>
          <w:rtl/>
        </w:rPr>
        <w:t>–</w:t>
      </w:r>
      <w:r w:rsidRPr="006866AC">
        <w:rPr>
          <w:rFonts w:hint="cs"/>
          <w:b/>
          <w:bCs/>
          <w:rtl/>
        </w:rPr>
        <w:t xml:space="preserve"> </w:t>
      </w:r>
      <w:r w:rsidR="00002FDD">
        <w:rPr>
          <w:rFonts w:hint="cs"/>
          <w:b/>
          <w:bCs/>
          <w:rtl/>
        </w:rPr>
        <w:t>מתוקף תקנת קהל</w:t>
      </w:r>
    </w:p>
    <w:p w14:paraId="3724F4A7" w14:textId="6F30D19D" w:rsidR="0049641C" w:rsidRDefault="00782A6A" w:rsidP="00717791">
      <w:pPr>
        <w:pStyle w:val="a9"/>
        <w:spacing w:after="0"/>
        <w:ind w:left="0"/>
        <w:jc w:val="both"/>
        <w:rPr>
          <w:rtl/>
        </w:rPr>
      </w:pPr>
      <w:r>
        <w:rPr>
          <w:rFonts w:hint="cs"/>
          <w:rtl/>
        </w:rPr>
        <w:t xml:space="preserve">מתשובת </w:t>
      </w:r>
      <w:proofErr w:type="spellStart"/>
      <w:r>
        <w:rPr>
          <w:rFonts w:hint="cs"/>
          <w:rtl/>
        </w:rPr>
        <w:t>התשב"ץ</w:t>
      </w:r>
      <w:proofErr w:type="spellEnd"/>
      <w:r>
        <w:rPr>
          <w:rFonts w:hint="cs"/>
          <w:rtl/>
        </w:rPr>
        <w:t xml:space="preserve"> </w:t>
      </w:r>
      <w:r w:rsidR="004C4A1B">
        <w:rPr>
          <w:rFonts w:hint="cs"/>
          <w:rtl/>
        </w:rPr>
        <w:t>אולי אפשר להסיק שאפשר שיהיו קיימים בתי דין של הדיוטות גם כאשר יש מומחים בעיר.</w:t>
      </w:r>
    </w:p>
    <w:p w14:paraId="5C170115" w14:textId="40BBC91C" w:rsidR="005A74BF" w:rsidRDefault="007400CD" w:rsidP="00717791">
      <w:pPr>
        <w:pStyle w:val="a9"/>
        <w:spacing w:after="0"/>
        <w:ind w:left="0"/>
        <w:jc w:val="both"/>
        <w:rPr>
          <w:rtl/>
        </w:rPr>
      </w:pPr>
      <w:r>
        <w:rPr>
          <w:rFonts w:hint="cs"/>
          <w:rtl/>
        </w:rPr>
        <w:t xml:space="preserve">לטענתו אפשרי על פי תקנת קהל שיהיה בית דין של הדיוטות </w:t>
      </w:r>
      <w:r w:rsidR="0085315B">
        <w:rPr>
          <w:rFonts w:hint="cs"/>
          <w:rtl/>
        </w:rPr>
        <w:t>בתנאי שהוא</w:t>
      </w:r>
      <w:r w:rsidR="00C42D83">
        <w:rPr>
          <w:rFonts w:hint="cs"/>
          <w:rtl/>
        </w:rPr>
        <w:t xml:space="preserve"> </w:t>
      </w:r>
      <w:r w:rsidR="00C42D83" w:rsidRPr="0085315B">
        <w:rPr>
          <w:rFonts w:hint="cs"/>
          <w:b/>
          <w:bCs/>
          <w:rtl/>
        </w:rPr>
        <w:t>דן פי שיקול דעתו</w:t>
      </w:r>
      <w:r w:rsidR="00C42D83">
        <w:rPr>
          <w:rFonts w:hint="cs"/>
          <w:rtl/>
        </w:rPr>
        <w:t xml:space="preserve"> ולא </w:t>
      </w:r>
      <w:r w:rsidR="0085315B">
        <w:rPr>
          <w:rFonts w:hint="cs"/>
          <w:rtl/>
        </w:rPr>
        <w:t xml:space="preserve">על פי דין זר וכאשר </w:t>
      </w:r>
      <w:r w:rsidR="0085315B" w:rsidRPr="005A74BF">
        <w:rPr>
          <w:rFonts w:hint="cs"/>
          <w:b/>
          <w:bCs/>
          <w:rtl/>
        </w:rPr>
        <w:t>לא יודע תשובה פונה לסמכות ההלכתית</w:t>
      </w:r>
      <w:r w:rsidR="0085315B">
        <w:rPr>
          <w:rFonts w:hint="cs"/>
          <w:rtl/>
        </w:rPr>
        <w:t xml:space="preserve">. </w:t>
      </w:r>
      <w:r w:rsidR="00002FDD">
        <w:rPr>
          <w:rFonts w:hint="cs"/>
          <w:rtl/>
        </w:rPr>
        <w:t xml:space="preserve">לדעתו </w:t>
      </w:r>
      <w:r>
        <w:rPr>
          <w:rFonts w:hint="cs"/>
          <w:rtl/>
        </w:rPr>
        <w:t xml:space="preserve">אדם שמסרב להישפט בבית דין כזה עובר על תקנת הקהל. </w:t>
      </w:r>
    </w:p>
    <w:p w14:paraId="4BF59AE1" w14:textId="18464D7A" w:rsidR="007400CD" w:rsidRDefault="007400CD" w:rsidP="00717791">
      <w:pPr>
        <w:pStyle w:val="a9"/>
        <w:spacing w:after="0"/>
        <w:ind w:left="0"/>
        <w:jc w:val="both"/>
        <w:rPr>
          <w:rtl/>
        </w:rPr>
      </w:pPr>
      <w:r>
        <w:rPr>
          <w:rFonts w:hint="cs"/>
          <w:rtl/>
        </w:rPr>
        <w:lastRenderedPageBreak/>
        <w:t>אם זאת כדי שתקנת הקהל תהיה תק</w:t>
      </w:r>
      <w:r w:rsidR="00C42D83">
        <w:rPr>
          <w:rFonts w:hint="cs"/>
          <w:rtl/>
        </w:rPr>
        <w:t>פה היא צריכה לעבור תוקף זהה לכל תקנת קהל אחרת.</w:t>
      </w:r>
    </w:p>
    <w:p w14:paraId="0F42E319" w14:textId="79917292" w:rsidR="00C42D83" w:rsidRDefault="00C42D83" w:rsidP="00C42D83">
      <w:pPr>
        <w:pStyle w:val="a9"/>
        <w:numPr>
          <w:ilvl w:val="0"/>
          <w:numId w:val="16"/>
        </w:numPr>
        <w:spacing w:after="0"/>
        <w:jc w:val="both"/>
      </w:pPr>
      <w:r>
        <w:rPr>
          <w:rFonts w:hint="cs"/>
          <w:rtl/>
        </w:rPr>
        <w:t>הסכמה של הציבור</w:t>
      </w:r>
      <w:r w:rsidR="005A74BF">
        <w:rPr>
          <w:rFonts w:hint="cs"/>
          <w:rtl/>
        </w:rPr>
        <w:t>.</w:t>
      </w:r>
    </w:p>
    <w:p w14:paraId="21363333" w14:textId="17C74256" w:rsidR="00C42D83" w:rsidRDefault="00C42D83" w:rsidP="00C42D83">
      <w:pPr>
        <w:pStyle w:val="a9"/>
        <w:numPr>
          <w:ilvl w:val="0"/>
          <w:numId w:val="16"/>
        </w:numPr>
        <w:spacing w:after="0"/>
        <w:jc w:val="both"/>
      </w:pPr>
      <w:r>
        <w:rPr>
          <w:rFonts w:hint="cs"/>
          <w:rtl/>
        </w:rPr>
        <w:t>הסכמה של אדם חשוב.</w:t>
      </w:r>
    </w:p>
    <w:p w14:paraId="5248A566" w14:textId="46A44A17" w:rsidR="007C5D6B" w:rsidRPr="00283945" w:rsidRDefault="00283945" w:rsidP="00283945">
      <w:pPr>
        <w:shd w:val="clear" w:color="auto" w:fill="E2EFD9" w:themeFill="accent6" w:themeFillTint="33"/>
        <w:spacing w:after="0"/>
        <w:jc w:val="both"/>
        <w:rPr>
          <w:b/>
          <w:bCs/>
          <w:rtl/>
        </w:rPr>
      </w:pPr>
      <w:proofErr w:type="spellStart"/>
      <w:r w:rsidRPr="00283945">
        <w:rPr>
          <w:rFonts w:hint="cs"/>
          <w:b/>
          <w:bCs/>
          <w:rtl/>
        </w:rPr>
        <w:t>הרשב"ש</w:t>
      </w:r>
      <w:proofErr w:type="spellEnd"/>
    </w:p>
    <w:p w14:paraId="5C01EF33" w14:textId="11E607C3" w:rsidR="00AD4527" w:rsidRDefault="00E9783F" w:rsidP="00717791">
      <w:pPr>
        <w:pStyle w:val="a9"/>
        <w:spacing w:after="0"/>
        <w:ind w:left="0"/>
        <w:jc w:val="both"/>
        <w:rPr>
          <w:rtl/>
        </w:rPr>
      </w:pPr>
      <w:r>
        <w:rPr>
          <w:rFonts w:hint="cs"/>
          <w:rtl/>
        </w:rPr>
        <w:t xml:space="preserve">לדעת </w:t>
      </w:r>
      <w:proofErr w:type="spellStart"/>
      <w:r>
        <w:rPr>
          <w:rFonts w:hint="cs"/>
          <w:rtl/>
        </w:rPr>
        <w:t>הרשב"ש</w:t>
      </w:r>
      <w:proofErr w:type="spellEnd"/>
      <w:r>
        <w:rPr>
          <w:rFonts w:hint="cs"/>
          <w:rtl/>
        </w:rPr>
        <w:t xml:space="preserve"> על עוד ישנה הסכמה של </w:t>
      </w:r>
      <w:r>
        <w:rPr>
          <w:rFonts w:hint="cs"/>
          <w:b/>
          <w:bCs/>
          <w:rtl/>
        </w:rPr>
        <w:t xml:space="preserve">כל </w:t>
      </w:r>
      <w:r w:rsidR="00D94100">
        <w:rPr>
          <w:rFonts w:hint="cs"/>
          <w:b/>
          <w:bCs/>
          <w:rtl/>
        </w:rPr>
        <w:t xml:space="preserve">הציבור </w:t>
      </w:r>
      <w:r w:rsidR="00D94100">
        <w:rPr>
          <w:rFonts w:hint="cs"/>
          <w:rtl/>
        </w:rPr>
        <w:t xml:space="preserve"> הם יכולים לקבל על עצמם גם דיינים פסולים</w:t>
      </w:r>
      <w:r w:rsidR="001F4299">
        <w:rPr>
          <w:rFonts w:hint="cs"/>
          <w:rtl/>
        </w:rPr>
        <w:t xml:space="preserve"> גם אם יש דיינים מומחים מכוון שזה תקנת קהל. אם זאת יש צורך באישור של אדם חשוב כמו כל תקנת קהל</w:t>
      </w:r>
      <w:r w:rsidR="0016627E">
        <w:rPr>
          <w:rFonts w:hint="cs"/>
          <w:rtl/>
        </w:rPr>
        <w:t>.</w:t>
      </w:r>
    </w:p>
    <w:p w14:paraId="40C4767E" w14:textId="2301F9D3" w:rsidR="0016627E" w:rsidRDefault="0016627E" w:rsidP="00717791">
      <w:pPr>
        <w:pStyle w:val="a9"/>
        <w:spacing w:after="0"/>
        <w:ind w:left="0"/>
        <w:jc w:val="both"/>
        <w:rPr>
          <w:rtl/>
        </w:rPr>
      </w:pPr>
      <w:r>
        <w:rPr>
          <w:rFonts w:hint="cs"/>
          <w:rtl/>
        </w:rPr>
        <w:t>ואם האדם החשוב הסכים לתקנה אפשר גם להכריח את הנותרים בציבור של הסכימו להיות מחויבים לתקנה זו</w:t>
      </w:r>
      <w:r w:rsidR="00587CE3">
        <w:rPr>
          <w:rFonts w:hint="cs"/>
          <w:rtl/>
        </w:rPr>
        <w:t>. ואם אין אדם חשוב מי שלא מסכים לתקנה הזו לא חייב בה.</w:t>
      </w:r>
    </w:p>
    <w:p w14:paraId="1DD9D73D" w14:textId="030E7BEF" w:rsidR="00587CE3" w:rsidRPr="00D006F0" w:rsidRDefault="00587CE3" w:rsidP="00D006F0">
      <w:pPr>
        <w:pStyle w:val="a9"/>
        <w:shd w:val="clear" w:color="auto" w:fill="E2EFD9" w:themeFill="accent6" w:themeFillTint="33"/>
        <w:spacing w:after="0"/>
        <w:ind w:left="0"/>
        <w:jc w:val="both"/>
        <w:rPr>
          <w:b/>
          <w:bCs/>
          <w:rtl/>
        </w:rPr>
      </w:pPr>
      <w:r w:rsidRPr="00D006F0">
        <w:rPr>
          <w:rFonts w:hint="cs"/>
          <w:b/>
          <w:bCs/>
          <w:rtl/>
        </w:rPr>
        <w:t>דעת רב</w:t>
      </w:r>
      <w:r w:rsidR="00D006F0" w:rsidRPr="00D006F0">
        <w:rPr>
          <w:rFonts w:hint="cs"/>
          <w:b/>
          <w:bCs/>
          <w:rtl/>
        </w:rPr>
        <w:t>ני זמננו</w:t>
      </w:r>
    </w:p>
    <w:p w14:paraId="3E96A1B1" w14:textId="5B217F62" w:rsidR="00793BEA" w:rsidRDefault="00CE66C4" w:rsidP="00717791">
      <w:pPr>
        <w:pStyle w:val="a9"/>
        <w:spacing w:after="0"/>
        <w:ind w:left="0"/>
        <w:jc w:val="both"/>
        <w:rPr>
          <w:rtl/>
        </w:rPr>
      </w:pPr>
      <w:r>
        <w:rPr>
          <w:rFonts w:hint="cs"/>
          <w:rtl/>
        </w:rPr>
        <w:t>בוודאי ניתן להגיד שמדינת ישראל היום יש "אדם חשוב" אולי אפשר אפילו לראות ברבנות הראשית כאדם חשוב</w:t>
      </w:r>
      <w:r w:rsidR="00964333">
        <w:rPr>
          <w:rFonts w:hint="cs"/>
          <w:rtl/>
        </w:rPr>
        <w:t>. בהתאם לכך ניתן להגיד שאין הסכמה של אדם חשוב בכל הנוגע לבתי המשפט בישראל אשר דנים לא על פי דין תורה.</w:t>
      </w:r>
    </w:p>
    <w:p w14:paraId="2F20C53E" w14:textId="554A2CD4" w:rsidR="002026EC" w:rsidRDefault="002026EC" w:rsidP="00717791">
      <w:pPr>
        <w:pStyle w:val="a9"/>
        <w:spacing w:after="0"/>
        <w:ind w:left="0"/>
        <w:jc w:val="both"/>
        <w:rPr>
          <w:u w:val="single"/>
          <w:rtl/>
        </w:rPr>
      </w:pPr>
      <w:r>
        <w:rPr>
          <w:rFonts w:hint="cs"/>
          <w:u w:val="single"/>
          <w:rtl/>
        </w:rPr>
        <w:t>הרב הראשי הריא"ה הרצוג:</w:t>
      </w:r>
    </w:p>
    <w:p w14:paraId="19A6A75F" w14:textId="26EFEA55" w:rsidR="002026EC" w:rsidRDefault="00AE742D" w:rsidP="00717791">
      <w:pPr>
        <w:pStyle w:val="a9"/>
        <w:spacing w:after="0"/>
        <w:ind w:left="0"/>
        <w:jc w:val="both"/>
        <w:rPr>
          <w:rtl/>
        </w:rPr>
      </w:pPr>
      <w:r>
        <w:rPr>
          <w:rFonts w:hint="cs"/>
          <w:rtl/>
        </w:rPr>
        <w:t xml:space="preserve">לדעתו אי אפשר </w:t>
      </w:r>
      <w:r w:rsidR="0004226B">
        <w:rPr>
          <w:rFonts w:hint="cs"/>
          <w:rtl/>
        </w:rPr>
        <w:t xml:space="preserve">להשתמש בתשובת </w:t>
      </w:r>
      <w:proofErr w:type="spellStart"/>
      <w:r w:rsidR="0004226B">
        <w:rPr>
          <w:rFonts w:hint="cs"/>
          <w:rtl/>
        </w:rPr>
        <w:t>התשב"ץ</w:t>
      </w:r>
      <w:proofErr w:type="spellEnd"/>
      <w:r w:rsidR="0004226B">
        <w:rPr>
          <w:rFonts w:hint="cs"/>
          <w:rtl/>
        </w:rPr>
        <w:t xml:space="preserve"> כמקור לאישור בתי דין של הדיוטות מכוון שבמציאות שלנו שיש כל כול הרבה רבנים מומחים לא יעלה על הדעת להסכים שיהיו בתי דין שדנים על פי מערכת חוקים זרה מכוון שזה עלבון גדול תורה.</w:t>
      </w:r>
    </w:p>
    <w:p w14:paraId="5CFD8B3B" w14:textId="54848216" w:rsidR="0004226B" w:rsidRDefault="00214DCF" w:rsidP="00717791">
      <w:pPr>
        <w:pStyle w:val="a9"/>
        <w:spacing w:after="0"/>
        <w:ind w:left="0"/>
        <w:jc w:val="both"/>
        <w:rPr>
          <w:rtl/>
        </w:rPr>
      </w:pPr>
      <w:r>
        <w:rPr>
          <w:rFonts w:hint="cs"/>
          <w:rtl/>
        </w:rPr>
        <w:t>ברוח דבריו נכתבו עוד המון רבנים ביחס למציאות במדינת ישראל וניתן להבין שאין אישור של אדם חשוב בכל הנוגע לבתי המשפט בישראל.</w:t>
      </w:r>
    </w:p>
    <w:p w14:paraId="7A7F60BA" w14:textId="2C091546" w:rsidR="00DE709F" w:rsidRPr="00002FDD" w:rsidRDefault="00DE709F" w:rsidP="00717791">
      <w:pPr>
        <w:pStyle w:val="a9"/>
        <w:spacing w:after="0"/>
        <w:ind w:left="0"/>
        <w:jc w:val="both"/>
        <w:rPr>
          <w:b/>
          <w:bCs/>
          <w:color w:val="70AD47" w:themeColor="accent6"/>
          <w:rtl/>
        </w:rPr>
      </w:pPr>
      <w:r w:rsidRPr="00002FDD">
        <w:rPr>
          <w:rFonts w:hint="cs"/>
          <w:b/>
          <w:bCs/>
          <w:color w:val="70AD47" w:themeColor="accent6"/>
          <w:rtl/>
        </w:rPr>
        <w:t xml:space="preserve">לכן גם אם ניתן מתוקף תקנת קהל לאפשר </w:t>
      </w:r>
      <w:r w:rsidR="00002FDD" w:rsidRPr="00002FDD">
        <w:rPr>
          <w:rFonts w:hint="cs"/>
          <w:b/>
          <w:bCs/>
          <w:color w:val="70AD47" w:themeColor="accent6"/>
          <w:rtl/>
        </w:rPr>
        <w:t>את בתי הדין בישראל</w:t>
      </w:r>
      <w:r w:rsidRPr="00002FDD">
        <w:rPr>
          <w:rFonts w:hint="cs"/>
          <w:b/>
          <w:bCs/>
          <w:color w:val="70AD47" w:themeColor="accent6"/>
          <w:rtl/>
        </w:rPr>
        <w:t xml:space="preserve"> אין אישור של "אדם חשוב" ולכן אין תוקף לתקנה.</w:t>
      </w:r>
      <w:r w:rsidR="00002FDD" w:rsidRPr="00002FDD">
        <w:rPr>
          <w:rFonts w:hint="cs"/>
          <w:b/>
          <w:bCs/>
          <w:color w:val="70AD47" w:themeColor="accent6"/>
          <w:rtl/>
        </w:rPr>
        <w:t xml:space="preserve"> </w:t>
      </w:r>
    </w:p>
    <w:p w14:paraId="2E240379" w14:textId="330E5DD0" w:rsidR="008A247B" w:rsidRPr="004C192F" w:rsidRDefault="008A247B" w:rsidP="00002FDD">
      <w:pPr>
        <w:pStyle w:val="a9"/>
        <w:numPr>
          <w:ilvl w:val="0"/>
          <w:numId w:val="14"/>
        </w:numPr>
        <w:shd w:val="clear" w:color="auto" w:fill="A8D08D" w:themeFill="accent6" w:themeFillTint="99"/>
        <w:spacing w:after="0"/>
        <w:jc w:val="both"/>
        <w:rPr>
          <w:b/>
          <w:bCs/>
          <w:rtl/>
        </w:rPr>
      </w:pPr>
      <w:r>
        <w:rPr>
          <w:rFonts w:hint="cs"/>
          <w:b/>
          <w:bCs/>
          <w:rtl/>
        </w:rPr>
        <w:t xml:space="preserve">מעמדם של בתי הדין לאור האיסור </w:t>
      </w:r>
      <w:r w:rsidR="00002FDD">
        <w:rPr>
          <w:rFonts w:hint="cs"/>
          <w:b/>
          <w:bCs/>
          <w:rtl/>
        </w:rPr>
        <w:t>להתדיין בערכאות של גויים</w:t>
      </w:r>
    </w:p>
    <w:p w14:paraId="0C5E1890" w14:textId="1DB406E8" w:rsidR="00D006F0" w:rsidRDefault="00700891" w:rsidP="00717791">
      <w:pPr>
        <w:pStyle w:val="a9"/>
        <w:spacing w:after="0"/>
        <w:ind w:left="0"/>
        <w:jc w:val="both"/>
        <w:rPr>
          <w:rtl/>
        </w:rPr>
      </w:pPr>
      <w:r>
        <w:rPr>
          <w:rFonts w:hint="cs"/>
          <w:rtl/>
        </w:rPr>
        <w:t>האם ניתן להגיד שאסור ללכת לבתי משפט בישראל מתוקף איסור ערכאות גויים?</w:t>
      </w:r>
    </w:p>
    <w:p w14:paraId="6EA45166" w14:textId="30DE5A4D" w:rsidR="005D6DF2" w:rsidRDefault="00541B19" w:rsidP="005D6DF2">
      <w:pPr>
        <w:pStyle w:val="a9"/>
        <w:spacing w:after="0"/>
        <w:ind w:left="0"/>
        <w:jc w:val="both"/>
        <w:rPr>
          <w:rtl/>
        </w:rPr>
      </w:pPr>
      <w:r>
        <w:rPr>
          <w:rFonts w:hint="cs"/>
          <w:rtl/>
        </w:rPr>
        <w:t xml:space="preserve">לדעת החזון איש האיסור ללכת לבתי משפט במדינה יכול לנבוע גם מהאיסור </w:t>
      </w:r>
      <w:r w:rsidR="005D6DF2">
        <w:rPr>
          <w:rFonts w:hint="cs"/>
          <w:rtl/>
        </w:rPr>
        <w:t xml:space="preserve">ערכאות של גויים. ערכאות של גויים לא נובעת </w:t>
      </w:r>
      <w:r w:rsidR="005D6DF2" w:rsidRPr="00582616">
        <w:rPr>
          <w:rFonts w:hint="cs"/>
          <w:b/>
          <w:bCs/>
          <w:rtl/>
        </w:rPr>
        <w:t>מאישיותם</w:t>
      </w:r>
      <w:r w:rsidR="005D6DF2">
        <w:rPr>
          <w:rFonts w:hint="cs"/>
          <w:rtl/>
        </w:rPr>
        <w:t xml:space="preserve"> של </w:t>
      </w:r>
      <w:r w:rsidR="00A16F36">
        <w:rPr>
          <w:rFonts w:hint="cs"/>
          <w:rtl/>
        </w:rPr>
        <w:t>השופטים (האם הם גויים או לא)</w:t>
      </w:r>
      <w:r w:rsidR="00A16F36">
        <w:rPr>
          <w:rFonts w:hint="cs"/>
        </w:rPr>
        <w:t xml:space="preserve"> </w:t>
      </w:r>
      <w:r w:rsidR="00A16F36">
        <w:rPr>
          <w:rFonts w:hint="cs"/>
          <w:rtl/>
        </w:rPr>
        <w:t xml:space="preserve">אלא מן העובדה שהערכאות האלו פועלות על פי מערכת </w:t>
      </w:r>
      <w:r w:rsidR="00A16F36" w:rsidRPr="00582616">
        <w:rPr>
          <w:rFonts w:hint="cs"/>
          <w:b/>
          <w:bCs/>
          <w:rtl/>
        </w:rPr>
        <w:t>מחייבת</w:t>
      </w:r>
      <w:r w:rsidR="00A16F36">
        <w:rPr>
          <w:rFonts w:hint="cs"/>
          <w:rtl/>
        </w:rPr>
        <w:t xml:space="preserve"> של </w:t>
      </w:r>
      <w:r w:rsidR="00A16F36" w:rsidRPr="00582616">
        <w:rPr>
          <w:rFonts w:hint="cs"/>
          <w:b/>
          <w:bCs/>
          <w:rtl/>
        </w:rPr>
        <w:t>חוק זר</w:t>
      </w:r>
      <w:r w:rsidR="00582616" w:rsidRPr="00582616">
        <w:rPr>
          <w:rFonts w:hint="cs"/>
          <w:b/>
          <w:bCs/>
          <w:rtl/>
        </w:rPr>
        <w:t xml:space="preserve"> שאינו דין תורה</w:t>
      </w:r>
      <w:r w:rsidR="00A16F36">
        <w:rPr>
          <w:rFonts w:hint="cs"/>
          <w:rtl/>
        </w:rPr>
        <w:t>.</w:t>
      </w:r>
      <w:r w:rsidR="006F07E4">
        <w:rPr>
          <w:rFonts w:hint="cs"/>
          <w:b/>
          <w:bCs/>
          <w:rtl/>
        </w:rPr>
        <w:t xml:space="preserve"> </w:t>
      </w:r>
      <w:r w:rsidR="006F07E4">
        <w:rPr>
          <w:rFonts w:hint="cs"/>
          <w:rtl/>
        </w:rPr>
        <w:t>אם התורה הייתה אוסרת התדיינו לפי גוי</w:t>
      </w:r>
      <w:r w:rsidR="00C329CB">
        <w:rPr>
          <w:rFonts w:hint="cs"/>
          <w:rtl/>
        </w:rPr>
        <w:t xml:space="preserve"> רק בגלל היותו גוי</w:t>
      </w:r>
      <w:r w:rsidR="006F07E4">
        <w:rPr>
          <w:rFonts w:hint="cs"/>
          <w:rtl/>
        </w:rPr>
        <w:t xml:space="preserve"> היה אסור להתדיין בבוררות לפני גוי </w:t>
      </w:r>
      <w:r w:rsidR="00C329CB">
        <w:rPr>
          <w:rFonts w:hint="cs"/>
          <w:rtl/>
        </w:rPr>
        <w:t>אך אין זה המצב.</w:t>
      </w:r>
    </w:p>
    <w:p w14:paraId="5E745094" w14:textId="77777777" w:rsidR="0034468A" w:rsidRDefault="005C27D0" w:rsidP="005D6DF2">
      <w:pPr>
        <w:pStyle w:val="a9"/>
        <w:spacing w:after="0"/>
        <w:ind w:left="0"/>
        <w:jc w:val="both"/>
        <w:rPr>
          <w:rtl/>
        </w:rPr>
      </w:pPr>
      <w:r w:rsidRPr="0034468A">
        <w:rPr>
          <w:rFonts w:hint="cs"/>
          <w:u w:val="single"/>
          <w:rtl/>
        </w:rPr>
        <w:t>הרמב"ן בפירושו לתורה:</w:t>
      </w:r>
      <w:r>
        <w:rPr>
          <w:rFonts w:hint="cs"/>
          <w:rtl/>
        </w:rPr>
        <w:t xml:space="preserve"> </w:t>
      </w:r>
    </w:p>
    <w:p w14:paraId="5D3B0F5E" w14:textId="56002410" w:rsidR="00C329CB" w:rsidRPr="006F07E4" w:rsidRDefault="005C27D0" w:rsidP="005D6DF2">
      <w:pPr>
        <w:pStyle w:val="a9"/>
        <w:spacing w:after="0"/>
        <w:ind w:left="0"/>
        <w:jc w:val="both"/>
        <w:rPr>
          <w:rtl/>
        </w:rPr>
      </w:pPr>
      <w:r>
        <w:rPr>
          <w:rFonts w:hint="cs"/>
          <w:rtl/>
        </w:rPr>
        <w:t xml:space="preserve">האיסור להתדיין מול גוי נובע </w:t>
      </w:r>
      <w:r w:rsidRPr="005F6A00">
        <w:rPr>
          <w:rFonts w:hint="cs"/>
          <w:b/>
          <w:bCs/>
          <w:rtl/>
        </w:rPr>
        <w:t>מהאיסור להעדיף</w:t>
      </w:r>
      <w:r>
        <w:rPr>
          <w:rFonts w:hint="cs"/>
          <w:rtl/>
        </w:rPr>
        <w:t xml:space="preserve"> את הדין הזר על פני </w:t>
      </w:r>
      <w:r w:rsidR="0034468A">
        <w:rPr>
          <w:rFonts w:hint="cs"/>
          <w:rtl/>
        </w:rPr>
        <w:t xml:space="preserve">בתי הדין הדנים על פי דין תורה </w:t>
      </w:r>
      <w:r w:rsidR="0034468A">
        <w:rPr>
          <w:rtl/>
        </w:rPr>
        <w:t>–</w:t>
      </w:r>
      <w:r w:rsidR="0034468A">
        <w:rPr>
          <w:rFonts w:hint="cs"/>
          <w:rtl/>
        </w:rPr>
        <w:t xml:space="preserve"> גורם לחילול ה'.</w:t>
      </w:r>
    </w:p>
    <w:p w14:paraId="1ECB903E" w14:textId="61E7B738" w:rsidR="00D006F0" w:rsidRDefault="00F724A3" w:rsidP="00717791">
      <w:pPr>
        <w:pStyle w:val="a9"/>
        <w:spacing w:after="0"/>
        <w:ind w:left="0"/>
        <w:jc w:val="both"/>
        <w:rPr>
          <w:rtl/>
        </w:rPr>
      </w:pPr>
      <w:r>
        <w:rPr>
          <w:rFonts w:hint="cs"/>
          <w:u w:val="single"/>
          <w:rtl/>
        </w:rPr>
        <w:t>הרמב"ם:</w:t>
      </w:r>
      <w:r>
        <w:rPr>
          <w:rFonts w:hint="cs"/>
          <w:rtl/>
        </w:rPr>
        <w:t xml:space="preserve"> אסור </w:t>
      </w:r>
      <w:r w:rsidR="00472BB3">
        <w:rPr>
          <w:rFonts w:hint="cs"/>
          <w:rtl/>
        </w:rPr>
        <w:t>להתדיין על פי דין זר ואסור להתדיין בערכאות של גויים.</w:t>
      </w:r>
    </w:p>
    <w:p w14:paraId="47B898E6" w14:textId="10323B19" w:rsidR="005B0FF2" w:rsidRDefault="005B0FF2" w:rsidP="00717791">
      <w:pPr>
        <w:pStyle w:val="a9"/>
        <w:spacing w:after="0"/>
        <w:ind w:left="0"/>
        <w:jc w:val="both"/>
        <w:rPr>
          <w:b/>
          <w:bCs/>
          <w:rtl/>
        </w:rPr>
      </w:pPr>
      <w:r w:rsidRPr="00A9547A">
        <w:rPr>
          <w:rFonts w:hint="cs"/>
          <w:b/>
          <w:bCs/>
          <w:rtl/>
        </w:rPr>
        <w:t xml:space="preserve">לדעת רבני זמננו האיסור להתדיין בבתי </w:t>
      </w:r>
      <w:r w:rsidR="00A9547A">
        <w:rPr>
          <w:rFonts w:hint="cs"/>
          <w:b/>
          <w:bCs/>
          <w:rtl/>
        </w:rPr>
        <w:t>משפט</w:t>
      </w:r>
      <w:r w:rsidRPr="00A9547A">
        <w:rPr>
          <w:rFonts w:hint="cs"/>
          <w:b/>
          <w:bCs/>
          <w:rtl/>
        </w:rPr>
        <w:t xml:space="preserve"> ישראלים הוא ל</w:t>
      </w:r>
      <w:r w:rsidR="00A9547A" w:rsidRPr="00A9547A">
        <w:rPr>
          <w:rFonts w:hint="cs"/>
          <w:b/>
          <w:bCs/>
          <w:rtl/>
        </w:rPr>
        <w:t>א</w:t>
      </w:r>
      <w:r w:rsidRPr="00A9547A">
        <w:rPr>
          <w:rFonts w:hint="cs"/>
          <w:b/>
          <w:bCs/>
          <w:rtl/>
        </w:rPr>
        <w:t xml:space="preserve"> רק משום </w:t>
      </w:r>
      <w:r w:rsidR="00A9547A" w:rsidRPr="00A9547A">
        <w:rPr>
          <w:rFonts w:hint="cs"/>
          <w:b/>
          <w:bCs/>
          <w:rtl/>
        </w:rPr>
        <w:t>"</w:t>
      </w:r>
      <w:r w:rsidRPr="00A9547A">
        <w:rPr>
          <w:rFonts w:hint="cs"/>
          <w:b/>
          <w:bCs/>
          <w:rtl/>
        </w:rPr>
        <w:t>לפנים ולא לפני הדיוטות</w:t>
      </w:r>
      <w:r w:rsidR="00A9547A" w:rsidRPr="00A9547A">
        <w:rPr>
          <w:rFonts w:hint="cs"/>
          <w:b/>
          <w:bCs/>
          <w:rtl/>
        </w:rPr>
        <w:t>"</w:t>
      </w:r>
      <w:r w:rsidRPr="00A9547A">
        <w:rPr>
          <w:rFonts w:hint="cs"/>
          <w:b/>
          <w:bCs/>
          <w:rtl/>
        </w:rPr>
        <w:t xml:space="preserve"> אל</w:t>
      </w:r>
      <w:r w:rsidR="00A9547A" w:rsidRPr="00A9547A">
        <w:rPr>
          <w:rFonts w:hint="cs"/>
          <w:b/>
          <w:bCs/>
          <w:rtl/>
        </w:rPr>
        <w:t>א</w:t>
      </w:r>
      <w:r w:rsidRPr="00A9547A">
        <w:rPr>
          <w:rFonts w:hint="cs"/>
          <w:b/>
          <w:bCs/>
          <w:rtl/>
        </w:rPr>
        <w:t xml:space="preserve"> גם </w:t>
      </w:r>
      <w:r w:rsidR="00A9547A" w:rsidRPr="00A9547A">
        <w:rPr>
          <w:rFonts w:hint="cs"/>
          <w:b/>
          <w:bCs/>
          <w:rtl/>
        </w:rPr>
        <w:t>בגלל "לפניהם ולא לפני עובדי כוכבים".</w:t>
      </w:r>
    </w:p>
    <w:p w14:paraId="7211D531" w14:textId="2FC90E9D" w:rsidR="00A9547A" w:rsidRPr="00A9547A" w:rsidRDefault="00E4622F" w:rsidP="00E4622F">
      <w:pPr>
        <w:pStyle w:val="a9"/>
        <w:numPr>
          <w:ilvl w:val="0"/>
          <w:numId w:val="14"/>
        </w:numPr>
        <w:shd w:val="clear" w:color="auto" w:fill="A8D08D" w:themeFill="accent6" w:themeFillTint="99"/>
        <w:spacing w:after="0"/>
        <w:jc w:val="both"/>
        <w:rPr>
          <w:b/>
          <w:bCs/>
          <w:rtl/>
        </w:rPr>
      </w:pPr>
      <w:r>
        <w:rPr>
          <w:rFonts w:hint="cs"/>
          <w:b/>
          <w:bCs/>
          <w:rtl/>
        </w:rPr>
        <w:t>האם מותרת התדיינות בבתי משפט מכוח הסכמת הצדדים?</w:t>
      </w:r>
    </w:p>
    <w:p w14:paraId="218B1201" w14:textId="5ED0275C" w:rsidR="00D006F0" w:rsidRDefault="00853CE0" w:rsidP="005F6A00">
      <w:pPr>
        <w:pStyle w:val="a9"/>
        <w:shd w:val="clear" w:color="auto" w:fill="E2EFD9" w:themeFill="accent6" w:themeFillTint="33"/>
        <w:spacing w:after="0"/>
        <w:ind w:left="0"/>
        <w:jc w:val="both"/>
        <w:rPr>
          <w:u w:val="single"/>
          <w:rtl/>
        </w:rPr>
      </w:pPr>
      <w:r>
        <w:rPr>
          <w:rFonts w:hint="cs"/>
          <w:u w:val="single"/>
          <w:rtl/>
        </w:rPr>
        <w:t>השולחן ערוך:</w:t>
      </w:r>
    </w:p>
    <w:p w14:paraId="7282DB4C" w14:textId="35557930" w:rsidR="00853CE0" w:rsidRPr="0094215B" w:rsidRDefault="0027335D" w:rsidP="00717791">
      <w:pPr>
        <w:pStyle w:val="a9"/>
        <w:spacing w:after="0"/>
        <w:ind w:left="0"/>
        <w:jc w:val="both"/>
        <w:rPr>
          <w:b/>
          <w:bCs/>
          <w:rtl/>
        </w:rPr>
      </w:pPr>
      <w:r>
        <w:rPr>
          <w:rFonts w:hint="cs"/>
          <w:rtl/>
        </w:rPr>
        <w:t>אסור להתדיין בערכאות גויים גם אם דנים על פי דיני ישראל וגם אם יש הסכמה של הצדדים</w:t>
      </w:r>
      <w:r w:rsidR="00DA28E6">
        <w:rPr>
          <w:rFonts w:hint="cs"/>
          <w:rtl/>
        </w:rPr>
        <w:t>, ישנו</w:t>
      </w:r>
      <w:r>
        <w:rPr>
          <w:rFonts w:hint="cs"/>
          <w:rtl/>
        </w:rPr>
        <w:t xml:space="preserve"> </w:t>
      </w:r>
      <w:r w:rsidRPr="0094215B">
        <w:rPr>
          <w:rFonts w:hint="cs"/>
          <w:b/>
          <w:bCs/>
          <w:rtl/>
        </w:rPr>
        <w:t>איסור</w:t>
      </w:r>
      <w:r w:rsidR="0094215B" w:rsidRPr="0094215B">
        <w:rPr>
          <w:rFonts w:hint="cs"/>
          <w:b/>
          <w:bCs/>
          <w:rtl/>
        </w:rPr>
        <w:t xml:space="preserve"> מוחלט</w:t>
      </w:r>
      <w:r w:rsidRPr="0094215B">
        <w:rPr>
          <w:rFonts w:hint="cs"/>
          <w:b/>
          <w:bCs/>
          <w:rtl/>
        </w:rPr>
        <w:t>.</w:t>
      </w:r>
    </w:p>
    <w:p w14:paraId="10AB3567" w14:textId="383E19AE" w:rsidR="0027335D" w:rsidRDefault="00355708" w:rsidP="00717791">
      <w:pPr>
        <w:pStyle w:val="a9"/>
        <w:spacing w:after="0"/>
        <w:ind w:left="0"/>
        <w:jc w:val="both"/>
        <w:rPr>
          <w:rtl/>
        </w:rPr>
      </w:pPr>
      <w:r>
        <w:rPr>
          <w:rFonts w:hint="cs"/>
          <w:rtl/>
        </w:rPr>
        <w:t>למרות דין מפורש זה אפשר למצוא פסיקה שניתן להבין ממנה מסקנה הפוכה:</w:t>
      </w:r>
    </w:p>
    <w:p w14:paraId="4ACE1B28" w14:textId="77777777" w:rsidR="0094215B" w:rsidRDefault="00DA28E6" w:rsidP="005F6A00">
      <w:pPr>
        <w:pStyle w:val="a9"/>
        <w:shd w:val="clear" w:color="auto" w:fill="E2EFD9" w:themeFill="accent6" w:themeFillTint="33"/>
        <w:spacing w:after="0"/>
        <w:ind w:left="0"/>
        <w:jc w:val="both"/>
        <w:rPr>
          <w:rtl/>
        </w:rPr>
      </w:pPr>
      <w:proofErr w:type="spellStart"/>
      <w:r w:rsidRPr="00DA28E6">
        <w:rPr>
          <w:rFonts w:hint="cs"/>
          <w:u w:val="single"/>
          <w:rtl/>
        </w:rPr>
        <w:t>המהר"ם</w:t>
      </w:r>
      <w:proofErr w:type="spellEnd"/>
      <w:r w:rsidRPr="00DA28E6">
        <w:rPr>
          <w:rFonts w:hint="cs"/>
          <w:u w:val="single"/>
          <w:rtl/>
        </w:rPr>
        <w:t xml:space="preserve"> מרוטנברג:</w:t>
      </w:r>
      <w:r w:rsidR="0094215B">
        <w:rPr>
          <w:rFonts w:hint="cs"/>
          <w:rtl/>
        </w:rPr>
        <w:t xml:space="preserve"> </w:t>
      </w:r>
    </w:p>
    <w:p w14:paraId="29C8EF99" w14:textId="62CF6E7A" w:rsidR="00BD09AD" w:rsidRDefault="00CF4738" w:rsidP="0094215B">
      <w:pPr>
        <w:pStyle w:val="a9"/>
        <w:spacing w:after="0"/>
        <w:ind w:left="0"/>
        <w:jc w:val="both"/>
        <w:rPr>
          <w:rtl/>
        </w:rPr>
      </w:pPr>
      <w:r>
        <w:rPr>
          <w:rFonts w:hint="cs"/>
          <w:rtl/>
        </w:rPr>
        <w:lastRenderedPageBreak/>
        <w:t>מדבר על תקנה שקובעת ש</w:t>
      </w:r>
      <w:r w:rsidR="00590CB9">
        <w:rPr>
          <w:rFonts w:hint="cs"/>
          <w:rtl/>
        </w:rPr>
        <w:t>במק</w:t>
      </w:r>
      <w:r w:rsidR="002435DC">
        <w:rPr>
          <w:rFonts w:hint="cs"/>
          <w:rtl/>
        </w:rPr>
        <w:t xml:space="preserve">רה בו </w:t>
      </w:r>
      <w:r w:rsidR="00A14AC9">
        <w:rPr>
          <w:rFonts w:hint="cs"/>
          <w:rtl/>
        </w:rPr>
        <w:t>צד אחד כופה על חברו ללכת להתדיין הערכאות של גויים יש לעשות עליו חרם ונידוי</w:t>
      </w:r>
      <w:r w:rsidR="00BD09AD">
        <w:rPr>
          <w:rFonts w:hint="cs"/>
          <w:rtl/>
        </w:rPr>
        <w:t xml:space="preserve"> אבל אין לעשות כאשר יש הסכמה של שני הצדדים.</w:t>
      </w:r>
    </w:p>
    <w:p w14:paraId="7FA498A0" w14:textId="5FF4A964" w:rsidR="00745535" w:rsidRDefault="00745535" w:rsidP="00BD09AD">
      <w:pPr>
        <w:pStyle w:val="a9"/>
        <w:spacing w:after="0"/>
        <w:ind w:left="0"/>
        <w:jc w:val="both"/>
        <w:rPr>
          <w:rtl/>
        </w:rPr>
      </w:pPr>
      <w:r>
        <w:rPr>
          <w:rFonts w:hint="cs"/>
          <w:rtl/>
        </w:rPr>
        <w:t xml:space="preserve">לדעת שטוחמן אין הכוונה שמותר להתדיין בערכאות של גויים אלא </w:t>
      </w:r>
      <w:r w:rsidRPr="00745535">
        <w:rPr>
          <w:rFonts w:hint="cs"/>
          <w:b/>
          <w:bCs/>
          <w:rtl/>
        </w:rPr>
        <w:t>שאין לנדות אנשים</w:t>
      </w:r>
      <w:r>
        <w:rPr>
          <w:rFonts w:hint="cs"/>
          <w:rtl/>
        </w:rPr>
        <w:t xml:space="preserve"> שהלכו בהסכמה להתדיין אצל גויים למרות שאסור.</w:t>
      </w:r>
      <w:r w:rsidR="00CF4738">
        <w:rPr>
          <w:rFonts w:hint="cs"/>
          <w:rtl/>
        </w:rPr>
        <w:t xml:space="preserve"> </w:t>
      </w:r>
      <w:r w:rsidR="00D33D41">
        <w:rPr>
          <w:rFonts w:hint="cs"/>
          <w:rtl/>
        </w:rPr>
        <w:t>התקנה לא מתירה איסור אלא רק קובעת סקציה חריפה יותר לאשם כופה את האיסור על חברו.</w:t>
      </w:r>
    </w:p>
    <w:p w14:paraId="481355B1" w14:textId="2FCAE71B" w:rsidR="0094215B" w:rsidRDefault="000E7D5E" w:rsidP="005F6A00">
      <w:pPr>
        <w:pStyle w:val="a9"/>
        <w:shd w:val="clear" w:color="auto" w:fill="E2EFD9" w:themeFill="accent6" w:themeFillTint="33"/>
        <w:spacing w:after="0"/>
        <w:ind w:left="0"/>
        <w:jc w:val="both"/>
        <w:rPr>
          <w:u w:val="single"/>
          <w:rtl/>
        </w:rPr>
      </w:pPr>
      <w:r w:rsidRPr="000E7D5E">
        <w:rPr>
          <w:rFonts w:hint="cs"/>
          <w:u w:val="single"/>
          <w:rtl/>
        </w:rPr>
        <w:t xml:space="preserve">שיטת גיטין המיוחסת </w:t>
      </w:r>
      <w:proofErr w:type="spellStart"/>
      <w:r w:rsidRPr="000E7D5E">
        <w:rPr>
          <w:rFonts w:hint="cs"/>
          <w:u w:val="single"/>
          <w:rtl/>
        </w:rPr>
        <w:t>לרמ"ך</w:t>
      </w:r>
      <w:proofErr w:type="spellEnd"/>
      <w:r w:rsidRPr="000E7D5E">
        <w:rPr>
          <w:rFonts w:hint="cs"/>
          <w:u w:val="single"/>
          <w:rtl/>
        </w:rPr>
        <w:t>:</w:t>
      </w:r>
    </w:p>
    <w:p w14:paraId="1610B66D" w14:textId="78E09AA6" w:rsidR="00C8059E" w:rsidRDefault="00C8059E" w:rsidP="00BD09AD">
      <w:pPr>
        <w:pStyle w:val="a9"/>
        <w:spacing w:after="0"/>
        <w:ind w:left="0"/>
        <w:jc w:val="both"/>
        <w:rPr>
          <w:rtl/>
        </w:rPr>
      </w:pPr>
      <w:r>
        <w:rPr>
          <w:rFonts w:hint="cs"/>
          <w:rtl/>
        </w:rPr>
        <w:t>במקור מ</w:t>
      </w:r>
      <w:r w:rsidR="0084024A">
        <w:rPr>
          <w:rFonts w:hint="cs"/>
          <w:rtl/>
        </w:rPr>
        <w:t>תואר שמי שהלך לערכאות גויים בהסכמת שני הצדדים ו</w:t>
      </w:r>
      <w:r>
        <w:rPr>
          <w:rFonts w:hint="cs"/>
          <w:rtl/>
        </w:rPr>
        <w:t xml:space="preserve">הוציא כסף מחברו </w:t>
      </w:r>
      <w:r w:rsidR="0084024A">
        <w:rPr>
          <w:rFonts w:hint="cs"/>
          <w:rtl/>
        </w:rPr>
        <w:t>לא</w:t>
      </w:r>
      <w:r>
        <w:rPr>
          <w:rFonts w:hint="cs"/>
          <w:rtl/>
        </w:rPr>
        <w:t xml:space="preserve"> נחשב גזלן מכוון שזה תנאי בממון</w:t>
      </w:r>
      <w:r w:rsidR="002E03E6">
        <w:rPr>
          <w:rFonts w:hint="cs"/>
          <w:rtl/>
        </w:rPr>
        <w:t xml:space="preserve"> ויש תוקף לפסק הדין של ערכאות הגויים.</w:t>
      </w:r>
    </w:p>
    <w:p w14:paraId="0243A3CE" w14:textId="46F70042" w:rsidR="002E03E6" w:rsidRDefault="002E03E6" w:rsidP="00BD09AD">
      <w:pPr>
        <w:pStyle w:val="a9"/>
        <w:spacing w:after="0"/>
        <w:ind w:left="0"/>
        <w:jc w:val="both"/>
        <w:rPr>
          <w:rtl/>
        </w:rPr>
      </w:pPr>
      <w:r>
        <w:rPr>
          <w:rFonts w:hint="cs"/>
          <w:rtl/>
        </w:rPr>
        <w:t xml:space="preserve">לדעת שטוחן גם כאן </w:t>
      </w:r>
      <w:r w:rsidRPr="00DC1E52">
        <w:rPr>
          <w:rFonts w:hint="cs"/>
          <w:b/>
          <w:bCs/>
          <w:rtl/>
        </w:rPr>
        <w:t>אין הכוונה שמותר לכתחילה</w:t>
      </w:r>
      <w:r>
        <w:rPr>
          <w:rFonts w:hint="cs"/>
          <w:rtl/>
        </w:rPr>
        <w:t xml:space="preserve"> ללכת לערכאות גויים אלא </w:t>
      </w:r>
      <w:r w:rsidRPr="00DC1E52">
        <w:rPr>
          <w:rFonts w:hint="cs"/>
          <w:b/>
          <w:bCs/>
          <w:rtl/>
        </w:rPr>
        <w:t>שרק בדיעבד אם הלכו</w:t>
      </w:r>
      <w:r w:rsidR="00F31CFD" w:rsidRPr="00DC1E52">
        <w:rPr>
          <w:rFonts w:hint="cs"/>
          <w:b/>
          <w:bCs/>
          <w:rtl/>
        </w:rPr>
        <w:t xml:space="preserve"> יש תוקף להתחייבויות</w:t>
      </w:r>
      <w:r w:rsidR="00F31CFD">
        <w:rPr>
          <w:rFonts w:hint="cs"/>
          <w:rtl/>
        </w:rPr>
        <w:t xml:space="preserve"> מכוון שהייתה גמירות דעת</w:t>
      </w:r>
      <w:r w:rsidR="00526CAB">
        <w:rPr>
          <w:rFonts w:hint="cs"/>
          <w:rtl/>
        </w:rPr>
        <w:t xml:space="preserve"> בין הצדדים</w:t>
      </w:r>
      <w:r w:rsidR="007049A9">
        <w:rPr>
          <w:rFonts w:hint="cs"/>
          <w:rtl/>
        </w:rPr>
        <w:t xml:space="preserve"> ואם כבר בוצעה ההתדיינות יש תוקף להתחייבות הממונית מכוון שההתחייבות הממונית היא לא איסור והאיסור כבר קרה.</w:t>
      </w:r>
    </w:p>
    <w:p w14:paraId="0CD1D040" w14:textId="394AFDDF" w:rsidR="008A6274" w:rsidRDefault="008A6274" w:rsidP="005F6A00">
      <w:pPr>
        <w:pStyle w:val="a9"/>
        <w:shd w:val="clear" w:color="auto" w:fill="E2EFD9" w:themeFill="accent6" w:themeFillTint="33"/>
        <w:spacing w:after="0"/>
        <w:ind w:left="0"/>
        <w:jc w:val="both"/>
        <w:rPr>
          <w:u w:val="single"/>
          <w:rtl/>
        </w:rPr>
      </w:pPr>
      <w:proofErr w:type="spellStart"/>
      <w:r>
        <w:rPr>
          <w:rFonts w:hint="cs"/>
          <w:u w:val="single"/>
          <w:rtl/>
        </w:rPr>
        <w:t>הרשב"ש</w:t>
      </w:r>
      <w:proofErr w:type="spellEnd"/>
      <w:r>
        <w:rPr>
          <w:rFonts w:hint="cs"/>
          <w:u w:val="single"/>
          <w:rtl/>
        </w:rPr>
        <w:t>:</w:t>
      </w:r>
    </w:p>
    <w:p w14:paraId="0CFA1E7E" w14:textId="6AD62E94" w:rsidR="008A6274" w:rsidRDefault="00166C4E" w:rsidP="00BD09AD">
      <w:pPr>
        <w:pStyle w:val="a9"/>
        <w:spacing w:after="0"/>
        <w:ind w:left="0"/>
        <w:jc w:val="both"/>
        <w:rPr>
          <w:rtl/>
        </w:rPr>
      </w:pPr>
      <w:r>
        <w:rPr>
          <w:rFonts w:hint="cs"/>
          <w:rtl/>
        </w:rPr>
        <w:t xml:space="preserve">לטענתו אם שניים הלכו לערכאות גויים בהסכמה כל עוד לא היה פסק דין יכול אחד הצדדים לחזור בו אבל </w:t>
      </w:r>
      <w:r w:rsidRPr="005F6A00">
        <w:rPr>
          <w:rFonts w:hint="cs"/>
          <w:b/>
          <w:bCs/>
          <w:rtl/>
        </w:rPr>
        <w:t>מרגע שהייתה הכרעה לא יכול לחזור בו</w:t>
      </w:r>
      <w:r w:rsidR="005626D1" w:rsidRPr="005F6A00">
        <w:rPr>
          <w:rFonts w:hint="cs"/>
          <w:b/>
          <w:bCs/>
          <w:rtl/>
        </w:rPr>
        <w:t>.</w:t>
      </w:r>
      <w:r w:rsidR="005F6A00">
        <w:rPr>
          <w:rFonts w:hint="cs"/>
          <w:rtl/>
        </w:rPr>
        <w:t xml:space="preserve"> גם זה </w:t>
      </w:r>
      <w:r w:rsidR="005F6A00" w:rsidRPr="00DC1E52">
        <w:rPr>
          <w:rFonts w:hint="cs"/>
          <w:b/>
          <w:bCs/>
          <w:rtl/>
        </w:rPr>
        <w:t>לא אומר שמותר לכ</w:t>
      </w:r>
      <w:r w:rsidR="00DC1E52" w:rsidRPr="00DC1E52">
        <w:rPr>
          <w:rFonts w:hint="cs"/>
          <w:b/>
          <w:bCs/>
          <w:rtl/>
        </w:rPr>
        <w:t>תחילה.</w:t>
      </w:r>
    </w:p>
    <w:p w14:paraId="0BC7B35C" w14:textId="35EE3D52" w:rsidR="005626D1" w:rsidRDefault="00195B21" w:rsidP="00BD09AD">
      <w:pPr>
        <w:pStyle w:val="a9"/>
        <w:spacing w:after="0"/>
        <w:ind w:left="0"/>
        <w:jc w:val="both"/>
        <w:rPr>
          <w:rtl/>
        </w:rPr>
      </w:pPr>
      <w:r>
        <w:rPr>
          <w:rFonts w:hint="cs"/>
          <w:rtl/>
        </w:rPr>
        <w:t>גם במקרה בו לא צריך לקבל רשות</w:t>
      </w:r>
      <w:r w:rsidR="00FA77BE">
        <w:rPr>
          <w:rFonts w:hint="cs"/>
          <w:rtl/>
        </w:rPr>
        <w:t xml:space="preserve"> ללכת לערכאות (לדוג' </w:t>
      </w:r>
      <w:r w:rsidR="00B7767B">
        <w:rPr>
          <w:rFonts w:hint="cs"/>
          <w:rtl/>
        </w:rPr>
        <w:t>כאשר צד אחד לא מוכן להתדיין בבית דין רבני) אין זה אומר שמותר לכתחילה ללכת לערכאות.</w:t>
      </w:r>
    </w:p>
    <w:p w14:paraId="7A6F6CCD" w14:textId="0E1A2CC6" w:rsidR="00B7767B" w:rsidRPr="00A8159C" w:rsidRDefault="00A8159C" w:rsidP="00BD09AD">
      <w:pPr>
        <w:pStyle w:val="a9"/>
        <w:spacing w:after="0"/>
        <w:ind w:left="0"/>
        <w:jc w:val="both"/>
        <w:rPr>
          <w:b/>
          <w:bCs/>
          <w:color w:val="70AD47" w:themeColor="accent6"/>
          <w:rtl/>
        </w:rPr>
      </w:pPr>
      <w:r w:rsidRPr="00A8159C">
        <w:rPr>
          <w:rFonts w:hint="cs"/>
          <w:b/>
          <w:bCs/>
          <w:color w:val="70AD47" w:themeColor="accent6"/>
          <w:rtl/>
        </w:rPr>
        <w:t>לסיכום :אי אפשר למצוא באף אחד מדברי הראשונים יסוד לאפשרות לפנות לערכאות של גויים לכתחילה.</w:t>
      </w:r>
    </w:p>
    <w:p w14:paraId="4FFCDE59" w14:textId="3A03B456" w:rsidR="00492C9D" w:rsidRPr="00C8059E" w:rsidRDefault="00307963" w:rsidP="00307963">
      <w:pPr>
        <w:pStyle w:val="a9"/>
        <w:numPr>
          <w:ilvl w:val="0"/>
          <w:numId w:val="14"/>
        </w:numPr>
        <w:shd w:val="clear" w:color="auto" w:fill="A8D08D" w:themeFill="accent6" w:themeFillTint="99"/>
        <w:spacing w:after="0"/>
        <w:jc w:val="both"/>
        <w:rPr>
          <w:rtl/>
        </w:rPr>
      </w:pPr>
      <w:r>
        <w:rPr>
          <w:rFonts w:hint="cs"/>
          <w:rtl/>
        </w:rPr>
        <w:t>האם האיסור הליכה לערכאות בטל מכוח המנהג?</w:t>
      </w:r>
    </w:p>
    <w:p w14:paraId="4057B6B2" w14:textId="393B413C" w:rsidR="000E7D5E" w:rsidRDefault="008F5446" w:rsidP="00BD09AD">
      <w:pPr>
        <w:pStyle w:val="a9"/>
        <w:spacing w:after="0"/>
        <w:ind w:left="0"/>
        <w:jc w:val="both"/>
        <w:rPr>
          <w:u w:val="single"/>
          <w:rtl/>
        </w:rPr>
      </w:pPr>
      <w:r>
        <w:rPr>
          <w:rFonts w:hint="cs"/>
          <w:u w:val="single"/>
          <w:rtl/>
        </w:rPr>
        <w:t xml:space="preserve">ר' שלמה </w:t>
      </w:r>
      <w:proofErr w:type="spellStart"/>
      <w:r>
        <w:rPr>
          <w:rFonts w:hint="cs"/>
          <w:u w:val="single"/>
          <w:rtl/>
        </w:rPr>
        <w:t>קולגר</w:t>
      </w:r>
      <w:proofErr w:type="spellEnd"/>
      <w:r w:rsidR="00442683">
        <w:rPr>
          <w:rFonts w:hint="cs"/>
          <w:u w:val="single"/>
          <w:rtl/>
        </w:rPr>
        <w:t>:</w:t>
      </w:r>
    </w:p>
    <w:p w14:paraId="38FA8BDD" w14:textId="77777777" w:rsidR="002356A6" w:rsidRDefault="00442683" w:rsidP="00BD09AD">
      <w:pPr>
        <w:pStyle w:val="a9"/>
        <w:spacing w:after="0"/>
        <w:ind w:left="0"/>
        <w:jc w:val="both"/>
        <w:rPr>
          <w:rtl/>
        </w:rPr>
      </w:pPr>
      <w:r>
        <w:rPr>
          <w:rFonts w:hint="cs"/>
          <w:rtl/>
        </w:rPr>
        <w:t>בתשובתו מתאר מצב בו מנהג ישראל הוא ללכת לערכאות של גויים</w:t>
      </w:r>
      <w:r w:rsidR="004B1250">
        <w:rPr>
          <w:rFonts w:hint="cs"/>
          <w:rtl/>
        </w:rPr>
        <w:t xml:space="preserve"> </w:t>
      </w:r>
      <w:r w:rsidR="004B1250">
        <w:rPr>
          <w:rtl/>
        </w:rPr>
        <w:t>–</w:t>
      </w:r>
      <w:r w:rsidR="004B1250">
        <w:rPr>
          <w:rFonts w:hint="cs"/>
          <w:rtl/>
        </w:rPr>
        <w:t xml:space="preserve"> הכוונה שלו היא </w:t>
      </w:r>
      <w:r w:rsidR="002356A6">
        <w:rPr>
          <w:rFonts w:hint="cs"/>
          <w:rtl/>
        </w:rPr>
        <w:t xml:space="preserve">שהכוח המנהג </w:t>
      </w:r>
      <w:r w:rsidR="002356A6" w:rsidRPr="002356A6">
        <w:rPr>
          <w:rFonts w:hint="cs"/>
          <w:b/>
          <w:bCs/>
          <w:rtl/>
        </w:rPr>
        <w:t>לבטל את הצורך ברשות מבית הדין</w:t>
      </w:r>
      <w:r w:rsidR="002356A6">
        <w:rPr>
          <w:rFonts w:hint="cs"/>
          <w:rtl/>
        </w:rPr>
        <w:t xml:space="preserve"> להתדיין בערכאות של גויים במקרים בהם מותר מתוקף הדין.</w:t>
      </w:r>
    </w:p>
    <w:p w14:paraId="061010A5" w14:textId="77777777" w:rsidR="0094145C" w:rsidRDefault="002356A6" w:rsidP="00BD09AD">
      <w:pPr>
        <w:pStyle w:val="a9"/>
        <w:spacing w:after="0"/>
        <w:ind w:left="0"/>
        <w:jc w:val="both"/>
        <w:rPr>
          <w:rtl/>
        </w:rPr>
      </w:pPr>
      <w:r>
        <w:rPr>
          <w:rFonts w:hint="cs"/>
          <w:rtl/>
        </w:rPr>
        <w:t>מקרים ב</w:t>
      </w:r>
      <w:r w:rsidR="0094145C">
        <w:rPr>
          <w:rFonts w:hint="cs"/>
          <w:rtl/>
        </w:rPr>
        <w:t>הם מותר מהדין ללכת לערכאות גויים:</w:t>
      </w:r>
    </w:p>
    <w:p w14:paraId="0DA39A38" w14:textId="5D8AA079" w:rsidR="00621F9C" w:rsidRDefault="00621F9C" w:rsidP="006A3A16">
      <w:pPr>
        <w:pStyle w:val="a9"/>
        <w:numPr>
          <w:ilvl w:val="1"/>
          <w:numId w:val="14"/>
        </w:numPr>
        <w:spacing w:after="0"/>
        <w:jc w:val="both"/>
        <w:rPr>
          <w:rtl/>
        </w:rPr>
      </w:pPr>
      <w:r>
        <w:rPr>
          <w:rFonts w:hint="cs"/>
          <w:rtl/>
        </w:rPr>
        <w:t>זכותו ש</w:t>
      </w:r>
      <w:r w:rsidR="00F5798F">
        <w:rPr>
          <w:rFonts w:hint="cs"/>
          <w:rtl/>
        </w:rPr>
        <w:t xml:space="preserve">ל יהודי שזכה בדיני ישראל אבל אינו יכול להוציא לפועל את פסק דינו בדיני ישראל </w:t>
      </w:r>
      <w:r w:rsidR="00107529">
        <w:rPr>
          <w:rFonts w:hint="cs"/>
          <w:rtl/>
        </w:rPr>
        <w:t>לפנות לערכאות על מנת שיאכפו את הדין.</w:t>
      </w:r>
      <w:r w:rsidR="00631617">
        <w:rPr>
          <w:rFonts w:hint="cs"/>
          <w:rtl/>
        </w:rPr>
        <w:t xml:space="preserve"> </w:t>
      </w:r>
    </w:p>
    <w:p w14:paraId="3142626E" w14:textId="6A57854C" w:rsidR="00442683" w:rsidRDefault="00621F9C" w:rsidP="006A3A16">
      <w:pPr>
        <w:pStyle w:val="a9"/>
        <w:numPr>
          <w:ilvl w:val="1"/>
          <w:numId w:val="14"/>
        </w:numPr>
        <w:spacing w:after="0"/>
        <w:jc w:val="both"/>
      </w:pPr>
      <w:r>
        <w:rPr>
          <w:rFonts w:hint="cs"/>
          <w:rtl/>
        </w:rPr>
        <w:t>זכות</w:t>
      </w:r>
      <w:r w:rsidR="006A3A16">
        <w:rPr>
          <w:rFonts w:hint="cs"/>
          <w:rtl/>
        </w:rPr>
        <w:t xml:space="preserve">ו של תובע </w:t>
      </w:r>
      <w:r w:rsidR="00631617">
        <w:rPr>
          <w:rFonts w:hint="cs"/>
          <w:rtl/>
        </w:rPr>
        <w:t>במקרה בו לא יכול ה</w:t>
      </w:r>
      <w:r w:rsidR="00ED04CE">
        <w:rPr>
          <w:rFonts w:hint="cs"/>
          <w:rtl/>
        </w:rPr>
        <w:t xml:space="preserve">תובע </w:t>
      </w:r>
      <w:r w:rsidR="00F41DA0">
        <w:rPr>
          <w:rFonts w:hint="cs"/>
          <w:rtl/>
        </w:rPr>
        <w:t>לכפות על הנתבע להתדיין בבית דין רבני להתדיין בערכאות של גויים.</w:t>
      </w:r>
    </w:p>
    <w:p w14:paraId="3AA1A9CC" w14:textId="2FAE08A9" w:rsidR="001A14F7" w:rsidRDefault="001A14F7" w:rsidP="001A14F7">
      <w:pPr>
        <w:spacing w:after="0"/>
        <w:jc w:val="both"/>
        <w:rPr>
          <w:u w:val="single"/>
          <w:rtl/>
        </w:rPr>
      </w:pPr>
      <w:r>
        <w:rPr>
          <w:rFonts w:hint="cs"/>
          <w:u w:val="single"/>
          <w:rtl/>
        </w:rPr>
        <w:t xml:space="preserve">רבי </w:t>
      </w:r>
      <w:r w:rsidR="00BA5A7C">
        <w:rPr>
          <w:rFonts w:hint="cs"/>
          <w:u w:val="single"/>
          <w:rtl/>
        </w:rPr>
        <w:t>עקיבא</w:t>
      </w:r>
      <w:r>
        <w:rPr>
          <w:rFonts w:hint="cs"/>
          <w:u w:val="single"/>
          <w:rtl/>
        </w:rPr>
        <w:t xml:space="preserve"> </w:t>
      </w:r>
      <w:r w:rsidR="002B6231">
        <w:rPr>
          <w:rFonts w:hint="cs"/>
          <w:u w:val="single"/>
          <w:rtl/>
        </w:rPr>
        <w:t>איגר:</w:t>
      </w:r>
    </w:p>
    <w:p w14:paraId="126B5F4C" w14:textId="567E8949" w:rsidR="002B6231" w:rsidRDefault="00FA5700" w:rsidP="001A14F7">
      <w:pPr>
        <w:spacing w:after="0"/>
        <w:jc w:val="both"/>
        <w:rPr>
          <w:rtl/>
        </w:rPr>
      </w:pPr>
      <w:r>
        <w:rPr>
          <w:rFonts w:hint="cs"/>
          <w:rtl/>
        </w:rPr>
        <w:t>מקרה בו היו</w:t>
      </w:r>
      <w:r w:rsidR="00D77AC9">
        <w:rPr>
          <w:rFonts w:hint="cs"/>
          <w:rtl/>
        </w:rPr>
        <w:t xml:space="preserve"> אדם אחר רצה לנהוג בדין תורה והשני רצה בדין "אחרים" </w:t>
      </w:r>
      <w:r w:rsidR="006A14A1">
        <w:rPr>
          <w:rtl/>
        </w:rPr>
        <w:t>–</w:t>
      </w:r>
      <w:r w:rsidR="006A14A1">
        <w:rPr>
          <w:rFonts w:hint="cs"/>
          <w:rtl/>
        </w:rPr>
        <w:t xml:space="preserve"> מכוון שהמנהג בו עשו את העסקה היה לפי דין "אחרים" פסק הרב שהמנהג מנצח.</w:t>
      </w:r>
      <w:r w:rsidR="00795D30">
        <w:rPr>
          <w:rFonts w:hint="cs"/>
          <w:rtl/>
        </w:rPr>
        <w:t xml:space="preserve"> </w:t>
      </w:r>
    </w:p>
    <w:p w14:paraId="4F65AB88" w14:textId="272F3349" w:rsidR="00795D30" w:rsidRDefault="00533EDA" w:rsidP="001A14F7">
      <w:pPr>
        <w:spacing w:after="0"/>
        <w:jc w:val="both"/>
        <w:rPr>
          <w:rtl/>
        </w:rPr>
      </w:pPr>
      <w:r>
        <w:rPr>
          <w:rFonts w:hint="cs"/>
          <w:rtl/>
        </w:rPr>
        <w:t xml:space="preserve">מדובר פה במנהג סוחרים ולכן לפי ההלכה יש לנהוג בעסקה לפי מנהג המקום. </w:t>
      </w:r>
      <w:r w:rsidR="00D513FF">
        <w:rPr>
          <w:rFonts w:hint="cs"/>
          <w:rtl/>
        </w:rPr>
        <w:t xml:space="preserve">אין כווה </w:t>
      </w:r>
      <w:r w:rsidR="00146A9E">
        <w:rPr>
          <w:rFonts w:hint="cs"/>
          <w:rtl/>
        </w:rPr>
        <w:t>שהתדיינות</w:t>
      </w:r>
      <w:r w:rsidR="00D513FF">
        <w:rPr>
          <w:rFonts w:hint="cs"/>
          <w:rtl/>
        </w:rPr>
        <w:t xml:space="preserve"> תהיה בערכאות אלא אצל </w:t>
      </w:r>
      <w:r w:rsidR="00146A9E">
        <w:rPr>
          <w:rFonts w:hint="cs"/>
          <w:rtl/>
        </w:rPr>
        <w:t xml:space="preserve">בית הדין של הסוחרים הפועל בדרך של </w:t>
      </w:r>
      <w:r w:rsidR="00146A9E" w:rsidRPr="00146A9E">
        <w:rPr>
          <w:rFonts w:hint="cs"/>
          <w:b/>
          <w:bCs/>
          <w:rtl/>
        </w:rPr>
        <w:t>בוררות</w:t>
      </w:r>
      <w:r w:rsidR="00146A9E">
        <w:rPr>
          <w:rFonts w:hint="cs"/>
          <w:rtl/>
        </w:rPr>
        <w:t>.</w:t>
      </w:r>
      <w:r w:rsidR="009B2DAD">
        <w:rPr>
          <w:rFonts w:hint="cs"/>
          <w:rtl/>
        </w:rPr>
        <w:t xml:space="preserve"> מתי גובר המנהג כל הדין במקרה של </w:t>
      </w:r>
      <w:r w:rsidR="000164FF">
        <w:rPr>
          <w:rFonts w:hint="cs"/>
          <w:rtl/>
        </w:rPr>
        <w:t>דיני ממונות אשר ניתן להתנות עליהם וכל עוד זה נעשה בבוררות.</w:t>
      </w:r>
    </w:p>
    <w:p w14:paraId="58CF424C" w14:textId="578FCC05" w:rsidR="00BB3436" w:rsidRPr="00BB3436" w:rsidRDefault="00BB3436" w:rsidP="001A14F7">
      <w:pPr>
        <w:spacing w:after="0"/>
        <w:jc w:val="both"/>
        <w:rPr>
          <w:u w:val="single"/>
          <w:rtl/>
        </w:rPr>
      </w:pPr>
      <w:proofErr w:type="spellStart"/>
      <w:r w:rsidRPr="00BB3436">
        <w:rPr>
          <w:rFonts w:hint="cs"/>
          <w:u w:val="single"/>
          <w:rtl/>
        </w:rPr>
        <w:t>הר"א</w:t>
      </w:r>
      <w:proofErr w:type="spellEnd"/>
      <w:r w:rsidRPr="00BB3436">
        <w:rPr>
          <w:rFonts w:hint="cs"/>
          <w:u w:val="single"/>
          <w:rtl/>
        </w:rPr>
        <w:t xml:space="preserve"> </w:t>
      </w:r>
      <w:proofErr w:type="spellStart"/>
      <w:r w:rsidRPr="00BB3436">
        <w:rPr>
          <w:rFonts w:hint="cs"/>
          <w:u w:val="single"/>
          <w:rtl/>
        </w:rPr>
        <w:t>זלוטיניק</w:t>
      </w:r>
      <w:proofErr w:type="spellEnd"/>
      <w:r w:rsidRPr="00BB3436">
        <w:rPr>
          <w:rFonts w:hint="cs"/>
          <w:u w:val="single"/>
          <w:rtl/>
        </w:rPr>
        <w:t xml:space="preserve"> בפירושו על </w:t>
      </w:r>
      <w:proofErr w:type="spellStart"/>
      <w:r w:rsidRPr="00BB3436">
        <w:rPr>
          <w:rFonts w:hint="cs"/>
          <w:u w:val="single"/>
          <w:rtl/>
        </w:rPr>
        <w:t>המרש"ך</w:t>
      </w:r>
      <w:proofErr w:type="spellEnd"/>
      <w:r w:rsidRPr="00BB3436">
        <w:rPr>
          <w:rFonts w:hint="cs"/>
          <w:u w:val="single"/>
          <w:rtl/>
        </w:rPr>
        <w:t>:</w:t>
      </w:r>
    </w:p>
    <w:p w14:paraId="4292BE1F" w14:textId="7B2C150E" w:rsidR="00BB3436" w:rsidRDefault="003341B2" w:rsidP="001A14F7">
      <w:pPr>
        <w:spacing w:after="0"/>
        <w:jc w:val="both"/>
        <w:rPr>
          <w:rtl/>
        </w:rPr>
      </w:pPr>
      <w:r>
        <w:rPr>
          <w:rFonts w:hint="cs"/>
          <w:rtl/>
        </w:rPr>
        <w:t xml:space="preserve">מותר לדון לפי מנהג סוחרים כול עוד הם דנים לפי אומד דעתם </w:t>
      </w:r>
      <w:r w:rsidR="000B2F0B">
        <w:rPr>
          <w:rFonts w:hint="cs"/>
          <w:rtl/>
        </w:rPr>
        <w:t xml:space="preserve"> ולא לפי דיני עכו"ם.</w:t>
      </w:r>
    </w:p>
    <w:p w14:paraId="6530B8F0" w14:textId="2F3209AE" w:rsidR="000B2F0B" w:rsidRPr="00FB30B2" w:rsidRDefault="000B2F0B" w:rsidP="001A14F7">
      <w:pPr>
        <w:spacing w:after="0"/>
        <w:jc w:val="both"/>
        <w:rPr>
          <w:u w:val="single"/>
          <w:rtl/>
        </w:rPr>
      </w:pPr>
      <w:r w:rsidRPr="00FB30B2">
        <w:rPr>
          <w:rFonts w:hint="cs"/>
          <w:u w:val="single"/>
          <w:rtl/>
        </w:rPr>
        <w:t>בית הדין הרבני באשדוד:</w:t>
      </w:r>
    </w:p>
    <w:p w14:paraId="2DAA2337" w14:textId="359C865A" w:rsidR="000B2F0B" w:rsidRPr="00FA5700" w:rsidRDefault="000B2F0B" w:rsidP="001A14F7">
      <w:pPr>
        <w:spacing w:after="0"/>
        <w:jc w:val="both"/>
        <w:rPr>
          <w:rtl/>
        </w:rPr>
      </w:pPr>
      <w:r>
        <w:rPr>
          <w:rFonts w:hint="cs"/>
          <w:rtl/>
        </w:rPr>
        <w:t xml:space="preserve">בהסכם נקבע שבמידה ויהיה סכסוך יפנו לבורר מטעם </w:t>
      </w:r>
      <w:r w:rsidR="00C60115">
        <w:rPr>
          <w:rFonts w:hint="cs"/>
          <w:rtl/>
        </w:rPr>
        <w:t xml:space="preserve">אגודת </w:t>
      </w:r>
      <w:proofErr w:type="spellStart"/>
      <w:r w:rsidR="00C60115">
        <w:rPr>
          <w:rFonts w:hint="cs"/>
          <w:rtl/>
        </w:rPr>
        <w:t>האינגנרים</w:t>
      </w:r>
      <w:proofErr w:type="spellEnd"/>
      <w:r w:rsidR="00C60115">
        <w:rPr>
          <w:rFonts w:hint="cs"/>
          <w:rtl/>
        </w:rPr>
        <w:t xml:space="preserve"> והארכיטקטים בישראל. </w:t>
      </w:r>
      <w:r w:rsidR="00B71663">
        <w:rPr>
          <w:rFonts w:hint="cs"/>
          <w:rtl/>
        </w:rPr>
        <w:t>בית הדין דחה את טענת אחד הצדדים יש</w:t>
      </w:r>
      <w:r w:rsidR="00C60115">
        <w:rPr>
          <w:rFonts w:hint="cs"/>
          <w:rtl/>
        </w:rPr>
        <w:t xml:space="preserve"> לבוררות אצלם משום ערכאות גויים.</w:t>
      </w:r>
    </w:p>
    <w:p w14:paraId="40A3EE48" w14:textId="3DD6D90C" w:rsidR="00D33D41" w:rsidRPr="00853CE0" w:rsidRDefault="005D5B08" w:rsidP="00BD09AD">
      <w:pPr>
        <w:pStyle w:val="a9"/>
        <w:spacing w:after="0"/>
        <w:ind w:left="0"/>
        <w:jc w:val="both"/>
        <w:rPr>
          <w:rtl/>
        </w:rPr>
      </w:pPr>
      <w:r>
        <w:rPr>
          <w:rFonts w:hint="cs"/>
          <w:rtl/>
        </w:rPr>
        <w:t>הכלל "מנהג מבטל הלכה" קיים אך ורק בדיני ממונות</w:t>
      </w:r>
      <w:r w:rsidR="009E7934">
        <w:rPr>
          <w:rFonts w:hint="cs"/>
          <w:rtl/>
        </w:rPr>
        <w:t xml:space="preserve"> שהם רשאים להתנות בניגוד לדין.</w:t>
      </w:r>
      <w:r w:rsidR="00FB30B2">
        <w:rPr>
          <w:rFonts w:hint="cs"/>
          <w:rtl/>
        </w:rPr>
        <w:t xml:space="preserve"> ולכן ברור שמנהג הוא התניה ציבורית ויש לקבלה בדיני ממונות.</w:t>
      </w:r>
    </w:p>
    <w:p w14:paraId="49E1DCC0" w14:textId="1D690C96" w:rsidR="00D006F0" w:rsidRPr="00FB30B2" w:rsidRDefault="00FB30B2" w:rsidP="00717791">
      <w:pPr>
        <w:pStyle w:val="a9"/>
        <w:spacing w:after="0"/>
        <w:ind w:left="0"/>
        <w:jc w:val="both"/>
        <w:rPr>
          <w:u w:val="single"/>
          <w:rtl/>
        </w:rPr>
      </w:pPr>
      <w:r>
        <w:rPr>
          <w:rFonts w:hint="cs"/>
          <w:u w:val="single"/>
          <w:rtl/>
        </w:rPr>
        <w:lastRenderedPageBreak/>
        <w:t>רב עובדיה יוסף:</w:t>
      </w:r>
    </w:p>
    <w:p w14:paraId="0E5E5D5B" w14:textId="6B9F496D" w:rsidR="00D006F0" w:rsidRDefault="00DA656F" w:rsidP="00717791">
      <w:pPr>
        <w:pStyle w:val="a9"/>
        <w:spacing w:after="0"/>
        <w:ind w:left="0"/>
        <w:jc w:val="both"/>
        <w:rPr>
          <w:rtl/>
        </w:rPr>
      </w:pPr>
      <w:r>
        <w:rPr>
          <w:rFonts w:hint="cs"/>
          <w:rtl/>
        </w:rPr>
        <w:t>לגבי ירושה אסור לנות לבתי משפט בישראל מכוון שאין המנהג יכול להתיר איסור.</w:t>
      </w:r>
      <w:r w:rsidR="00653547">
        <w:rPr>
          <w:rFonts w:hint="cs"/>
          <w:rtl/>
        </w:rPr>
        <w:t xml:space="preserve"> </w:t>
      </w:r>
      <w:proofErr w:type="spellStart"/>
      <w:r w:rsidR="00653547">
        <w:rPr>
          <w:rFonts w:hint="cs"/>
          <w:rtl/>
        </w:rPr>
        <w:t>ודינא</w:t>
      </w:r>
      <w:proofErr w:type="spellEnd"/>
      <w:r w:rsidR="00653547">
        <w:rPr>
          <w:rFonts w:hint="cs"/>
          <w:rtl/>
        </w:rPr>
        <w:t xml:space="preserve"> </w:t>
      </w:r>
      <w:proofErr w:type="spellStart"/>
      <w:r w:rsidR="00653547">
        <w:rPr>
          <w:rFonts w:hint="cs"/>
          <w:rtl/>
        </w:rPr>
        <w:t>דמלכותא</w:t>
      </w:r>
      <w:proofErr w:type="spellEnd"/>
      <w:r w:rsidR="00653547">
        <w:rPr>
          <w:rFonts w:hint="cs"/>
          <w:rtl/>
        </w:rPr>
        <w:t xml:space="preserve"> </w:t>
      </w:r>
      <w:proofErr w:type="spellStart"/>
      <w:r w:rsidR="00653547">
        <w:rPr>
          <w:rFonts w:hint="cs"/>
          <w:rtl/>
        </w:rPr>
        <w:t>דינא</w:t>
      </w:r>
      <w:proofErr w:type="spellEnd"/>
      <w:r w:rsidR="00653547">
        <w:rPr>
          <w:rFonts w:hint="cs"/>
          <w:rtl/>
        </w:rPr>
        <w:t xml:space="preserve"> לא מתיר איסור </w:t>
      </w:r>
      <w:r w:rsidR="008C62FD">
        <w:rPr>
          <w:rFonts w:hint="cs"/>
          <w:rtl/>
        </w:rPr>
        <w:t>גם כן</w:t>
      </w:r>
      <w:r w:rsidR="00653547">
        <w:rPr>
          <w:rFonts w:hint="cs"/>
          <w:rtl/>
        </w:rPr>
        <w:t>.</w:t>
      </w:r>
      <w:r w:rsidR="008C62FD">
        <w:rPr>
          <w:rFonts w:hint="cs"/>
          <w:rtl/>
        </w:rPr>
        <w:t xml:space="preserve"> מקומות בהם </w:t>
      </w:r>
      <w:r w:rsidR="00987AF2">
        <w:rPr>
          <w:rFonts w:hint="cs"/>
          <w:rtl/>
        </w:rPr>
        <w:t>נאמר ע"י חכמים שמותר להתדיין לא על פי דין תורה זה מקומות בהם יש קביעת הסדר שלא אסור על פי ההלכה (כמו ב</w:t>
      </w:r>
      <w:r w:rsidR="00375D40">
        <w:rPr>
          <w:rFonts w:hint="cs"/>
          <w:rtl/>
        </w:rPr>
        <w:t xml:space="preserve">תשובת </w:t>
      </w:r>
      <w:proofErr w:type="spellStart"/>
      <w:r w:rsidR="00375D40">
        <w:rPr>
          <w:rFonts w:hint="cs"/>
          <w:rtl/>
        </w:rPr>
        <w:t>המרש"ך</w:t>
      </w:r>
      <w:proofErr w:type="spellEnd"/>
      <w:r w:rsidR="00375D40">
        <w:rPr>
          <w:rFonts w:hint="cs"/>
          <w:rtl/>
        </w:rPr>
        <w:t>).</w:t>
      </w:r>
    </w:p>
    <w:p w14:paraId="58D0DBFF" w14:textId="414E401C" w:rsidR="00375D40" w:rsidRPr="00375D40" w:rsidRDefault="00375D40" w:rsidP="00375D40">
      <w:pPr>
        <w:pStyle w:val="a9"/>
        <w:numPr>
          <w:ilvl w:val="0"/>
          <w:numId w:val="14"/>
        </w:numPr>
        <w:shd w:val="clear" w:color="auto" w:fill="A8D08D" w:themeFill="accent6" w:themeFillTint="99"/>
        <w:spacing w:after="0"/>
        <w:jc w:val="both"/>
        <w:rPr>
          <w:b/>
          <w:bCs/>
        </w:rPr>
      </w:pPr>
      <w:r w:rsidRPr="00375D40">
        <w:rPr>
          <w:rFonts w:hint="cs"/>
          <w:b/>
          <w:bCs/>
          <w:rtl/>
        </w:rPr>
        <w:t>האם בכוחו של חוק כנסת להתיר איסור לפנות לערכאות?</w:t>
      </w:r>
    </w:p>
    <w:p w14:paraId="71FE5AFE" w14:textId="02143DEE" w:rsidR="00375D40" w:rsidRDefault="00DC6592" w:rsidP="00375D40">
      <w:pPr>
        <w:pStyle w:val="a9"/>
        <w:spacing w:after="0"/>
        <w:ind w:left="0"/>
        <w:jc w:val="both"/>
        <w:rPr>
          <w:rtl/>
        </w:rPr>
      </w:pPr>
      <w:r>
        <w:rPr>
          <w:rFonts w:hint="cs"/>
          <w:rtl/>
        </w:rPr>
        <w:t>התשובה לשאלה זו היא שלילית</w:t>
      </w:r>
      <w:r w:rsidR="00521094">
        <w:rPr>
          <w:rFonts w:hint="cs"/>
          <w:rtl/>
        </w:rPr>
        <w:t xml:space="preserve"> מכוון שהליכה לערכאות זה איסור תורה</w:t>
      </w:r>
      <w:r>
        <w:rPr>
          <w:rFonts w:hint="cs"/>
          <w:rtl/>
        </w:rPr>
        <w:t>:</w:t>
      </w:r>
    </w:p>
    <w:p w14:paraId="70F7F365" w14:textId="7DF0532C" w:rsidR="00C2556B" w:rsidRDefault="0073103E" w:rsidP="00C2556B">
      <w:pPr>
        <w:pStyle w:val="a9"/>
        <w:numPr>
          <w:ilvl w:val="1"/>
          <w:numId w:val="14"/>
        </w:numPr>
        <w:spacing w:after="0"/>
        <w:jc w:val="both"/>
      </w:pPr>
      <w:r>
        <w:rPr>
          <w:rFonts w:hint="cs"/>
          <w:rtl/>
        </w:rPr>
        <w:t xml:space="preserve">משפט המלך </w:t>
      </w:r>
      <w:r>
        <w:rPr>
          <w:rtl/>
        </w:rPr>
        <w:t>–</w:t>
      </w:r>
      <w:r>
        <w:rPr>
          <w:rFonts w:hint="cs"/>
          <w:rtl/>
        </w:rPr>
        <w:t xml:space="preserve"> אין למלך סמכות לעבור על איסורי תורה והוא כפוף </w:t>
      </w:r>
      <w:r w:rsidR="00C2556B">
        <w:rPr>
          <w:rFonts w:hint="cs"/>
          <w:rtl/>
        </w:rPr>
        <w:t>לדיני התורה.</w:t>
      </w:r>
      <w:r w:rsidR="001252AF">
        <w:rPr>
          <w:rFonts w:hint="cs"/>
          <w:rtl/>
        </w:rPr>
        <w:t xml:space="preserve"> </w:t>
      </w:r>
    </w:p>
    <w:p w14:paraId="07B3AA5C" w14:textId="16AE00B6" w:rsidR="001252AF" w:rsidRDefault="001252AF" w:rsidP="00C2556B">
      <w:pPr>
        <w:pStyle w:val="a9"/>
        <w:numPr>
          <w:ilvl w:val="1"/>
          <w:numId w:val="14"/>
        </w:numPr>
        <w:spacing w:after="0"/>
        <w:jc w:val="both"/>
      </w:pPr>
      <w:r>
        <w:rPr>
          <w:rFonts w:hint="cs"/>
          <w:rtl/>
        </w:rPr>
        <w:t>"</w:t>
      </w:r>
      <w:proofErr w:type="spellStart"/>
      <w:r>
        <w:rPr>
          <w:rFonts w:hint="cs"/>
          <w:rtl/>
        </w:rPr>
        <w:t>דינא</w:t>
      </w:r>
      <w:proofErr w:type="spellEnd"/>
      <w:r>
        <w:rPr>
          <w:rFonts w:hint="cs"/>
          <w:rtl/>
        </w:rPr>
        <w:t xml:space="preserve"> </w:t>
      </w:r>
      <w:proofErr w:type="spellStart"/>
      <w:r>
        <w:rPr>
          <w:rFonts w:hint="cs"/>
          <w:rtl/>
        </w:rPr>
        <w:t>דמלכותא</w:t>
      </w:r>
      <w:proofErr w:type="spellEnd"/>
      <w:r>
        <w:rPr>
          <w:rFonts w:hint="cs"/>
          <w:rtl/>
        </w:rPr>
        <w:t xml:space="preserve"> </w:t>
      </w:r>
      <w:proofErr w:type="spellStart"/>
      <w:r>
        <w:rPr>
          <w:rFonts w:hint="cs"/>
          <w:rtl/>
        </w:rPr>
        <w:t>דינא</w:t>
      </w:r>
      <w:proofErr w:type="spellEnd"/>
      <w:r>
        <w:rPr>
          <w:rFonts w:hint="cs"/>
          <w:rtl/>
        </w:rPr>
        <w:t xml:space="preserve">" </w:t>
      </w:r>
      <w:r>
        <w:rPr>
          <w:rtl/>
        </w:rPr>
        <w:t>–</w:t>
      </w:r>
      <w:r>
        <w:rPr>
          <w:rFonts w:hint="cs"/>
          <w:rtl/>
        </w:rPr>
        <w:t xml:space="preserve"> לא חל על דיני </w:t>
      </w:r>
      <w:r w:rsidR="00260D25">
        <w:rPr>
          <w:rFonts w:hint="cs"/>
          <w:rtl/>
        </w:rPr>
        <w:t>היתר ואיסור</w:t>
      </w:r>
      <w:r w:rsidR="00521094">
        <w:rPr>
          <w:rFonts w:hint="cs"/>
          <w:rtl/>
        </w:rPr>
        <w:t>.</w:t>
      </w:r>
    </w:p>
    <w:p w14:paraId="2C5E13D2" w14:textId="3092D5C2" w:rsidR="00521094" w:rsidRDefault="00521094" w:rsidP="00C2556B">
      <w:pPr>
        <w:pStyle w:val="a9"/>
        <w:numPr>
          <w:ilvl w:val="1"/>
          <w:numId w:val="14"/>
        </w:numPr>
        <w:spacing w:after="0"/>
        <w:jc w:val="both"/>
      </w:pPr>
      <w:r>
        <w:rPr>
          <w:rFonts w:hint="cs"/>
          <w:rtl/>
        </w:rPr>
        <w:t xml:space="preserve">סמכות הקהל להתקין תקנות </w:t>
      </w:r>
      <w:r w:rsidR="00BE5889">
        <w:rPr>
          <w:rtl/>
        </w:rPr>
        <w:t>–</w:t>
      </w:r>
      <w:r>
        <w:rPr>
          <w:rFonts w:hint="cs"/>
          <w:rtl/>
        </w:rPr>
        <w:t xml:space="preserve"> </w:t>
      </w:r>
      <w:r w:rsidR="00BE5889">
        <w:rPr>
          <w:rFonts w:hint="cs"/>
          <w:rtl/>
        </w:rPr>
        <w:t>לכנסת יש כוח בדיני ממונות, בדין הפלילי ו</w:t>
      </w:r>
      <w:r w:rsidR="00625BB8">
        <w:rPr>
          <w:rFonts w:hint="cs"/>
          <w:rtl/>
        </w:rPr>
        <w:t>במשפט הציבור אך אין לה סמכות בדיני היתר ואיסור.</w:t>
      </w:r>
      <w:r w:rsidR="00C15D5B">
        <w:rPr>
          <w:rFonts w:hint="cs"/>
          <w:rtl/>
        </w:rPr>
        <w:t xml:space="preserve"> </w:t>
      </w:r>
    </w:p>
    <w:p w14:paraId="0C1F3BC9" w14:textId="578B4567" w:rsidR="00C15D5B" w:rsidRDefault="00C15D5B" w:rsidP="00C15D5B">
      <w:pPr>
        <w:pStyle w:val="a9"/>
        <w:numPr>
          <w:ilvl w:val="2"/>
          <w:numId w:val="14"/>
        </w:numPr>
        <w:spacing w:after="0"/>
        <w:jc w:val="both"/>
      </w:pPr>
      <w:proofErr w:type="spellStart"/>
      <w:r>
        <w:rPr>
          <w:rFonts w:hint="cs"/>
          <w:rtl/>
        </w:rPr>
        <w:t>הריב"ש</w:t>
      </w:r>
      <w:proofErr w:type="spellEnd"/>
      <w:r>
        <w:rPr>
          <w:rFonts w:hint="cs"/>
          <w:rtl/>
        </w:rPr>
        <w:t xml:space="preserve"> </w:t>
      </w:r>
      <w:r>
        <w:rPr>
          <w:rtl/>
        </w:rPr>
        <w:t>–</w:t>
      </w:r>
      <w:r>
        <w:rPr>
          <w:rFonts w:hint="cs"/>
          <w:rtl/>
        </w:rPr>
        <w:t xml:space="preserve"> אין לקהל סמכות להתקין תקנה שמתירה איסור ריבית </w:t>
      </w:r>
      <w:r>
        <w:rPr>
          <w:rtl/>
        </w:rPr>
        <w:t>–</w:t>
      </w:r>
      <w:r>
        <w:rPr>
          <w:rFonts w:hint="cs"/>
          <w:rtl/>
        </w:rPr>
        <w:t xml:space="preserve"> מכוון שאין לקהל סמכות להתיר איסורים.</w:t>
      </w:r>
    </w:p>
    <w:p w14:paraId="6D811F9D" w14:textId="7A4234BD" w:rsidR="003B326F" w:rsidRPr="005D517C" w:rsidRDefault="003B326F" w:rsidP="005D517C">
      <w:pPr>
        <w:pStyle w:val="a9"/>
        <w:numPr>
          <w:ilvl w:val="0"/>
          <w:numId w:val="14"/>
        </w:numPr>
        <w:shd w:val="clear" w:color="auto" w:fill="A8D08D" w:themeFill="accent6" w:themeFillTint="99"/>
        <w:spacing w:after="0"/>
        <w:jc w:val="both"/>
        <w:rPr>
          <w:b/>
          <w:bCs/>
          <w:rtl/>
        </w:rPr>
      </w:pPr>
      <w:r w:rsidRPr="005D517C">
        <w:rPr>
          <w:rFonts w:hint="cs"/>
          <w:b/>
          <w:bCs/>
          <w:rtl/>
        </w:rPr>
        <w:t>האם ההלכה שוללת כל הכרה בבתי משפט?</w:t>
      </w:r>
    </w:p>
    <w:p w14:paraId="338F8CEC" w14:textId="29475C64" w:rsidR="00D006F0" w:rsidRPr="005D517C" w:rsidRDefault="005D517C" w:rsidP="005D517C">
      <w:pPr>
        <w:pStyle w:val="a9"/>
        <w:shd w:val="clear" w:color="auto" w:fill="E2EFD9" w:themeFill="accent6" w:themeFillTint="33"/>
        <w:spacing w:after="0"/>
        <w:ind w:left="0"/>
        <w:jc w:val="both"/>
        <w:rPr>
          <w:b/>
          <w:bCs/>
          <w:rtl/>
        </w:rPr>
      </w:pPr>
      <w:r w:rsidRPr="005D517C">
        <w:rPr>
          <w:rFonts w:hint="cs"/>
          <w:b/>
          <w:bCs/>
          <w:rtl/>
        </w:rPr>
        <w:t>נסיבות שהן אי אפשר לקיים דין תורה</w:t>
      </w:r>
    </w:p>
    <w:p w14:paraId="0E71799C" w14:textId="1631C847" w:rsidR="00D006F0" w:rsidRDefault="00FF5BF1" w:rsidP="00717791">
      <w:pPr>
        <w:pStyle w:val="a9"/>
        <w:spacing w:after="0"/>
        <w:ind w:left="0"/>
        <w:jc w:val="both"/>
        <w:rPr>
          <w:rtl/>
        </w:rPr>
      </w:pPr>
      <w:r>
        <w:rPr>
          <w:rFonts w:hint="cs"/>
          <w:rtl/>
        </w:rPr>
        <w:t xml:space="preserve">לדעת פרופ' </w:t>
      </w:r>
      <w:proofErr w:type="spellStart"/>
      <w:r>
        <w:rPr>
          <w:rFonts w:hint="cs"/>
          <w:rtl/>
        </w:rPr>
        <w:t>שוחטמן</w:t>
      </w:r>
      <w:proofErr w:type="spellEnd"/>
      <w:r>
        <w:rPr>
          <w:rFonts w:hint="cs"/>
          <w:rtl/>
        </w:rPr>
        <w:t xml:space="preserve"> כל אדם שלא רואה עצמו מחויב לדין תורה מחויב לבתי המשפט.</w:t>
      </w:r>
    </w:p>
    <w:p w14:paraId="0EDD04E4" w14:textId="64FCAF54" w:rsidR="00750EE2" w:rsidRDefault="00750EE2" w:rsidP="00717791">
      <w:pPr>
        <w:pStyle w:val="a9"/>
        <w:spacing w:after="0"/>
        <w:ind w:left="0"/>
        <w:jc w:val="both"/>
        <w:rPr>
          <w:rtl/>
        </w:rPr>
      </w:pPr>
      <w:r>
        <w:rPr>
          <w:rFonts w:hint="cs"/>
          <w:rtl/>
        </w:rPr>
        <w:t>ומעבר לכך עלולה להיווצר מציאות של אנרכיה אם לא היה מערכת חוקים במקומות בהם דין תורה לא יכול להתקיים.</w:t>
      </w:r>
    </w:p>
    <w:p w14:paraId="4CDF11E4" w14:textId="1729CD70" w:rsidR="00D115D1" w:rsidRPr="001520AC" w:rsidRDefault="00D115D1" w:rsidP="00717791">
      <w:pPr>
        <w:pStyle w:val="a9"/>
        <w:spacing w:after="0"/>
        <w:ind w:left="0"/>
        <w:jc w:val="both"/>
        <w:rPr>
          <w:u w:val="single"/>
          <w:rtl/>
        </w:rPr>
      </w:pPr>
      <w:proofErr w:type="spellStart"/>
      <w:r w:rsidRPr="001520AC">
        <w:rPr>
          <w:rFonts w:hint="cs"/>
          <w:u w:val="single"/>
          <w:rtl/>
        </w:rPr>
        <w:t>הרשב"ש</w:t>
      </w:r>
      <w:proofErr w:type="spellEnd"/>
      <w:r w:rsidRPr="001520AC">
        <w:rPr>
          <w:rFonts w:hint="cs"/>
          <w:u w:val="single"/>
          <w:rtl/>
        </w:rPr>
        <w:t>:</w:t>
      </w:r>
    </w:p>
    <w:p w14:paraId="39BAF457" w14:textId="446E1888" w:rsidR="00D115D1" w:rsidRDefault="00CB5474" w:rsidP="00717791">
      <w:pPr>
        <w:pStyle w:val="a9"/>
        <w:spacing w:after="0"/>
        <w:ind w:left="0"/>
        <w:jc w:val="both"/>
        <w:rPr>
          <w:rtl/>
        </w:rPr>
      </w:pPr>
      <w:r>
        <w:rPr>
          <w:rFonts w:hint="cs"/>
          <w:rtl/>
        </w:rPr>
        <w:t xml:space="preserve">בתשובתו לגבי האם תקנת קהל לגבי </w:t>
      </w:r>
      <w:r w:rsidR="00CD6F17">
        <w:rPr>
          <w:rFonts w:hint="cs"/>
          <w:rtl/>
        </w:rPr>
        <w:t>בתי דינים של הדיוטות אומר שאם אין אדם חשוב התקנה מחייבת רק את מי שהסכים לה ואם יש אדם חשוב מחייבת גם את מי שלא הסכים לה. אך לא אומר שהתקנה בטלה אם יש אדם חשוב שלא מסכים לתקנה.</w:t>
      </w:r>
    </w:p>
    <w:p w14:paraId="6A7E921E" w14:textId="03BF588F" w:rsidR="00750EE2" w:rsidRPr="00446E4F" w:rsidRDefault="00446E4F" w:rsidP="00717791">
      <w:pPr>
        <w:pStyle w:val="a9"/>
        <w:spacing w:after="0"/>
        <w:ind w:left="0"/>
        <w:jc w:val="both"/>
        <w:rPr>
          <w:u w:val="single"/>
          <w:rtl/>
        </w:rPr>
      </w:pPr>
      <w:r w:rsidRPr="00446E4F">
        <w:rPr>
          <w:rFonts w:hint="cs"/>
          <w:u w:val="single"/>
          <w:rtl/>
        </w:rPr>
        <w:t xml:space="preserve">הרב </w:t>
      </w:r>
      <w:proofErr w:type="spellStart"/>
      <w:r w:rsidRPr="00446E4F">
        <w:rPr>
          <w:rFonts w:hint="cs"/>
          <w:u w:val="single"/>
          <w:rtl/>
        </w:rPr>
        <w:t>בצ"ב</w:t>
      </w:r>
      <w:proofErr w:type="spellEnd"/>
      <w:r w:rsidRPr="00446E4F">
        <w:rPr>
          <w:rFonts w:hint="cs"/>
          <w:u w:val="single"/>
          <w:rtl/>
        </w:rPr>
        <w:t xml:space="preserve"> מאיר חי עוזיאל:</w:t>
      </w:r>
    </w:p>
    <w:p w14:paraId="5EB508B7" w14:textId="1E7600FD" w:rsidR="00446E4F" w:rsidRDefault="00446E4F" w:rsidP="00717791">
      <w:pPr>
        <w:pStyle w:val="a9"/>
        <w:spacing w:after="0"/>
        <w:ind w:left="0"/>
        <w:jc w:val="both"/>
        <w:rPr>
          <w:rtl/>
        </w:rPr>
      </w:pPr>
      <w:r>
        <w:rPr>
          <w:rFonts w:hint="cs"/>
          <w:rtl/>
        </w:rPr>
        <w:t xml:space="preserve">מתייחס לדעה השוללת את ההכרה </w:t>
      </w:r>
      <w:r w:rsidR="00993950">
        <w:rPr>
          <w:rFonts w:hint="cs"/>
          <w:rtl/>
        </w:rPr>
        <w:t>של "</w:t>
      </w:r>
      <w:proofErr w:type="spellStart"/>
      <w:r w:rsidR="00993950">
        <w:rPr>
          <w:rFonts w:hint="cs"/>
          <w:rtl/>
        </w:rPr>
        <w:t>דינא</w:t>
      </w:r>
      <w:proofErr w:type="spellEnd"/>
      <w:r w:rsidR="00993950">
        <w:rPr>
          <w:rFonts w:hint="cs"/>
          <w:rtl/>
        </w:rPr>
        <w:t xml:space="preserve"> </w:t>
      </w:r>
      <w:proofErr w:type="spellStart"/>
      <w:r w:rsidR="00993950">
        <w:rPr>
          <w:rFonts w:hint="cs"/>
          <w:rtl/>
        </w:rPr>
        <w:t>דמלכותא</w:t>
      </w:r>
      <w:proofErr w:type="spellEnd"/>
      <w:r w:rsidR="00993950">
        <w:rPr>
          <w:rFonts w:hint="cs"/>
          <w:rtl/>
        </w:rPr>
        <w:t xml:space="preserve"> </w:t>
      </w:r>
      <w:proofErr w:type="spellStart"/>
      <w:r w:rsidR="00993950">
        <w:rPr>
          <w:rFonts w:hint="cs"/>
          <w:rtl/>
        </w:rPr>
        <w:t>דינא</w:t>
      </w:r>
      <w:proofErr w:type="spellEnd"/>
      <w:r w:rsidR="00993950">
        <w:rPr>
          <w:rFonts w:hint="cs"/>
          <w:rtl/>
        </w:rPr>
        <w:t xml:space="preserve">" על מלכות ישראל </w:t>
      </w:r>
      <w:r w:rsidR="00993950">
        <w:rPr>
          <w:rtl/>
        </w:rPr>
        <w:t>–</w:t>
      </w:r>
      <w:r w:rsidR="00993950">
        <w:rPr>
          <w:rFonts w:hint="cs"/>
          <w:rtl/>
        </w:rPr>
        <w:t xml:space="preserve"> לא ייתכן שדיני העונשין ודיני המיסים לא יחולו על </w:t>
      </w:r>
      <w:r w:rsidR="00C62028">
        <w:rPr>
          <w:rFonts w:hint="cs"/>
          <w:rtl/>
        </w:rPr>
        <w:t>העם כי אז חוקי המדינה יהיו רשות ואיש הישר בעיניו יעשה.</w:t>
      </w:r>
    </w:p>
    <w:p w14:paraId="30109C6A" w14:textId="50BA8995" w:rsidR="001520AC" w:rsidRDefault="001520AC" w:rsidP="00717791">
      <w:pPr>
        <w:pStyle w:val="a9"/>
        <w:spacing w:after="0"/>
        <w:ind w:left="0"/>
        <w:jc w:val="both"/>
        <w:rPr>
          <w:rtl/>
        </w:rPr>
      </w:pPr>
    </w:p>
    <w:p w14:paraId="1F3CEF99" w14:textId="4445F9CA" w:rsidR="001520AC" w:rsidRDefault="001520AC" w:rsidP="00717791">
      <w:pPr>
        <w:pStyle w:val="a9"/>
        <w:spacing w:after="0"/>
        <w:ind w:left="0"/>
        <w:jc w:val="both"/>
        <w:rPr>
          <w:rtl/>
        </w:rPr>
      </w:pPr>
      <w:r>
        <w:rPr>
          <w:rFonts w:hint="cs"/>
          <w:rtl/>
        </w:rPr>
        <w:t xml:space="preserve">ההלכה מכירה </w:t>
      </w:r>
      <w:r w:rsidR="0032170A">
        <w:rPr>
          <w:rFonts w:hint="cs"/>
          <w:rtl/>
        </w:rPr>
        <w:t xml:space="preserve">בבתי משפט של המדינה והפנייה אליהם מותרת בנסיבות שאין אפשרות לקיים דין תורה </w:t>
      </w:r>
      <w:r w:rsidR="001C567D">
        <w:rPr>
          <w:rFonts w:hint="cs"/>
          <w:rtl/>
        </w:rPr>
        <w:t>בהיעדר הסכמה של הצדדים.</w:t>
      </w:r>
    </w:p>
    <w:p w14:paraId="4B8CA1B5" w14:textId="41F910FC" w:rsidR="000E542B" w:rsidRPr="000E542B" w:rsidRDefault="000E542B" w:rsidP="000E542B">
      <w:pPr>
        <w:pStyle w:val="a9"/>
        <w:shd w:val="clear" w:color="auto" w:fill="E2EFD9" w:themeFill="accent6" w:themeFillTint="33"/>
        <w:spacing w:after="0"/>
        <w:ind w:left="0"/>
        <w:jc w:val="both"/>
        <w:rPr>
          <w:b/>
          <w:bCs/>
          <w:rtl/>
        </w:rPr>
      </w:pPr>
      <w:r>
        <w:rPr>
          <w:rFonts w:hint="cs"/>
          <w:b/>
          <w:bCs/>
          <w:rtl/>
        </w:rPr>
        <w:t>תחומים מותרים</w:t>
      </w:r>
    </w:p>
    <w:p w14:paraId="0B87DA98" w14:textId="043C6348" w:rsidR="000E542B" w:rsidRPr="00131514" w:rsidRDefault="000E542B" w:rsidP="00131514">
      <w:pPr>
        <w:pStyle w:val="a9"/>
        <w:spacing w:after="0"/>
        <w:ind w:left="0"/>
        <w:jc w:val="both"/>
        <w:rPr>
          <w:u w:val="single"/>
          <w:rtl/>
        </w:rPr>
      </w:pPr>
      <w:r w:rsidRPr="000E542B">
        <w:rPr>
          <w:rFonts w:hint="cs"/>
          <w:u w:val="single"/>
          <w:rtl/>
        </w:rPr>
        <w:t>הרב מרדכי אליהו:</w:t>
      </w:r>
    </w:p>
    <w:p w14:paraId="2DB5AA0F" w14:textId="63CBBFC8" w:rsidR="00793BEA" w:rsidRDefault="00131514" w:rsidP="00717791">
      <w:pPr>
        <w:pStyle w:val="a9"/>
        <w:spacing w:after="0"/>
        <w:ind w:left="0"/>
        <w:jc w:val="both"/>
        <w:rPr>
          <w:rtl/>
        </w:rPr>
      </w:pPr>
      <w:r>
        <w:rPr>
          <w:rFonts w:hint="cs"/>
          <w:rtl/>
        </w:rPr>
        <w:t>מקרים בהם מותר לפנות לערכאות:</w:t>
      </w:r>
    </w:p>
    <w:p w14:paraId="1A89527F" w14:textId="27112A7E" w:rsidR="00131514" w:rsidRDefault="00131514" w:rsidP="00131514">
      <w:pPr>
        <w:pStyle w:val="a9"/>
        <w:numPr>
          <w:ilvl w:val="1"/>
          <w:numId w:val="14"/>
        </w:numPr>
        <w:spacing w:after="0"/>
        <w:jc w:val="both"/>
      </w:pPr>
      <w:r>
        <w:rPr>
          <w:rFonts w:hint="cs"/>
          <w:rtl/>
        </w:rPr>
        <w:t>כביית שטרות של הוצאה לפועל.</w:t>
      </w:r>
    </w:p>
    <w:p w14:paraId="5897DA65" w14:textId="293D826B" w:rsidR="00131514" w:rsidRDefault="00A7791F" w:rsidP="00131514">
      <w:pPr>
        <w:pStyle w:val="a9"/>
        <w:numPr>
          <w:ilvl w:val="1"/>
          <w:numId w:val="14"/>
        </w:numPr>
        <w:spacing w:after="0"/>
        <w:jc w:val="both"/>
      </w:pPr>
      <w:r>
        <w:rPr>
          <w:rFonts w:hint="cs"/>
          <w:rtl/>
        </w:rPr>
        <w:t xml:space="preserve">כאשר הנתבע מסרב להתדיין בדין תורה </w:t>
      </w:r>
      <w:r>
        <w:rPr>
          <w:rtl/>
        </w:rPr>
        <w:t>–</w:t>
      </w:r>
      <w:r>
        <w:rPr>
          <w:rFonts w:hint="cs"/>
          <w:rtl/>
        </w:rPr>
        <w:t xml:space="preserve"> מותנה בקבלת רשות מבית הדין.</w:t>
      </w:r>
    </w:p>
    <w:p w14:paraId="37C10928" w14:textId="1F579402" w:rsidR="00B25B45" w:rsidRDefault="00B25B45" w:rsidP="00131514">
      <w:pPr>
        <w:pStyle w:val="a9"/>
        <w:numPr>
          <w:ilvl w:val="1"/>
          <w:numId w:val="14"/>
        </w:numPr>
        <w:spacing w:after="0"/>
        <w:jc w:val="both"/>
      </w:pPr>
      <w:r>
        <w:rPr>
          <w:rFonts w:hint="cs"/>
          <w:rtl/>
        </w:rPr>
        <w:t>מקרים בהם החוק במדינה לא מאפשר להתדיין בעניינים אזרחים בבית הדין הרבני.</w:t>
      </w:r>
    </w:p>
    <w:p w14:paraId="7DD5D881" w14:textId="397094FC" w:rsidR="00370D65" w:rsidRPr="00370D65" w:rsidRDefault="00370D65" w:rsidP="00370D65">
      <w:pPr>
        <w:shd w:val="clear" w:color="auto" w:fill="E2EFD9" w:themeFill="accent6" w:themeFillTint="33"/>
        <w:spacing w:after="0"/>
        <w:jc w:val="both"/>
        <w:rPr>
          <w:b/>
          <w:bCs/>
          <w:rtl/>
        </w:rPr>
      </w:pPr>
      <w:r w:rsidRPr="00370D65">
        <w:rPr>
          <w:rFonts w:hint="cs"/>
          <w:b/>
          <w:bCs/>
          <w:rtl/>
        </w:rPr>
        <w:t>העזרות מבית משפט שבעל הדין לא נוהג כשורה</w:t>
      </w:r>
    </w:p>
    <w:p w14:paraId="3EC9E3E8" w14:textId="55F3440C" w:rsidR="00131514" w:rsidRPr="007A0805" w:rsidRDefault="007A0805" w:rsidP="00717791">
      <w:pPr>
        <w:pStyle w:val="a9"/>
        <w:spacing w:after="0"/>
        <w:ind w:left="0"/>
        <w:jc w:val="both"/>
        <w:rPr>
          <w:u w:val="single"/>
          <w:rtl/>
        </w:rPr>
      </w:pPr>
      <w:r>
        <w:rPr>
          <w:rFonts w:hint="cs"/>
          <w:u w:val="single"/>
          <w:rtl/>
        </w:rPr>
        <w:t>בית הדין הרבני בחיפה:</w:t>
      </w:r>
    </w:p>
    <w:p w14:paraId="579AA404" w14:textId="7C17F85E" w:rsidR="00CA5F71" w:rsidRDefault="008D1AE7" w:rsidP="00CA5F71">
      <w:pPr>
        <w:pStyle w:val="a9"/>
        <w:spacing w:after="0"/>
        <w:ind w:left="0"/>
        <w:jc w:val="both"/>
        <w:rPr>
          <w:rtl/>
        </w:rPr>
      </w:pPr>
      <w:r>
        <w:rPr>
          <w:rFonts w:hint="cs"/>
          <w:rtl/>
        </w:rPr>
        <w:t>בעל טען בפני בית הדין הרבני שלא מגיע לאשתו מזונות מכוון שהיא לא גיורת על פי ההלכה ובאותו זמן פנה לבג"ץ בנושא אחר על מנת לפעול לא על פי ההלכה. בנוסף לכך, גרם לדחיות רבות של הדיונים וגרם לאישה סבל במשך שבע שנים.</w:t>
      </w:r>
      <w:r w:rsidR="00CA5F71">
        <w:rPr>
          <w:rFonts w:hint="cs"/>
          <w:rtl/>
        </w:rPr>
        <w:t xml:space="preserve"> בית הדין הרבני פסק שהוא "נבל ברשות התורה" וקבע שבמקום שאדם משתמש </w:t>
      </w:r>
      <w:r w:rsidR="00CA5F71">
        <w:rPr>
          <w:rFonts w:hint="cs"/>
          <w:rtl/>
        </w:rPr>
        <w:lastRenderedPageBreak/>
        <w:t>בבית הדין הרבני רק כדי להתחמק מתשלום</w:t>
      </w:r>
      <w:r w:rsidR="00E436B8">
        <w:rPr>
          <w:rFonts w:hint="cs"/>
          <w:rtl/>
        </w:rPr>
        <w:t xml:space="preserve"> למרות שאין בכוונה להסתמך על דין תורה, בית הדין ייתן אישור לפנות לערכאות </w:t>
      </w:r>
      <w:r w:rsidR="00F307DD">
        <w:rPr>
          <w:rFonts w:hint="cs"/>
          <w:rtl/>
        </w:rPr>
        <w:t>כדי שאדם שניסה להערים על הדין י</w:t>
      </w:r>
      <w:r w:rsidR="00D859DF">
        <w:rPr>
          <w:rFonts w:hint="cs"/>
          <w:rtl/>
        </w:rPr>
        <w:t>חויב שם.</w:t>
      </w:r>
    </w:p>
    <w:p w14:paraId="3EA03BD7" w14:textId="4E5A40D3" w:rsidR="00BF75B5" w:rsidRDefault="00BF75B5" w:rsidP="00CA5F71">
      <w:pPr>
        <w:pStyle w:val="a9"/>
        <w:spacing w:after="0"/>
        <w:ind w:left="0"/>
        <w:jc w:val="both"/>
        <w:rPr>
          <w:rtl/>
        </w:rPr>
      </w:pPr>
      <w:r>
        <w:rPr>
          <w:rFonts w:hint="cs"/>
          <w:rtl/>
        </w:rPr>
        <w:t xml:space="preserve">בית הדן הרבני מסתמך על </w:t>
      </w:r>
      <w:r w:rsidR="00316ADE">
        <w:rPr>
          <w:rFonts w:hint="cs"/>
          <w:rtl/>
        </w:rPr>
        <w:t xml:space="preserve">תקנת </w:t>
      </w:r>
      <w:proofErr w:type="spellStart"/>
      <w:r w:rsidR="00316ADE">
        <w:rPr>
          <w:rFonts w:hint="cs"/>
          <w:rtl/>
        </w:rPr>
        <w:t>רגמ"ה</w:t>
      </w:r>
      <w:proofErr w:type="spellEnd"/>
      <w:r w:rsidR="00316ADE">
        <w:rPr>
          <w:rFonts w:hint="cs"/>
          <w:rtl/>
        </w:rPr>
        <w:t xml:space="preserve"> </w:t>
      </w:r>
      <w:r w:rsidR="00316ADE">
        <w:rPr>
          <w:rtl/>
        </w:rPr>
        <w:t>–</w:t>
      </w:r>
      <w:r w:rsidR="00316ADE">
        <w:rPr>
          <w:rFonts w:hint="cs"/>
          <w:rtl/>
        </w:rPr>
        <w:t xml:space="preserve"> שם נאמר שלעיתים לצורך השעה יש לא לנהוג לפי ההלכה ולאפשר לחייב אדם שמנסה לברוח מתשלום להתדיין בערכאות גויים.</w:t>
      </w:r>
    </w:p>
    <w:p w14:paraId="7775CBD2" w14:textId="76E8CCC0" w:rsidR="005E0B97" w:rsidRPr="005E0B97" w:rsidRDefault="005E0B97" w:rsidP="005E0B97">
      <w:pPr>
        <w:pStyle w:val="a9"/>
        <w:shd w:val="clear" w:color="auto" w:fill="E2EFD9" w:themeFill="accent6" w:themeFillTint="33"/>
        <w:spacing w:after="0"/>
        <w:ind w:left="0"/>
        <w:jc w:val="both"/>
        <w:rPr>
          <w:b/>
          <w:bCs/>
          <w:rtl/>
        </w:rPr>
      </w:pPr>
      <w:r>
        <w:rPr>
          <w:rFonts w:hint="cs"/>
          <w:b/>
          <w:bCs/>
          <w:rtl/>
        </w:rPr>
        <w:t>התחום הפלילי</w:t>
      </w:r>
    </w:p>
    <w:p w14:paraId="2BC437D4" w14:textId="6CE1FFD3" w:rsidR="009367E0" w:rsidRPr="009367E0" w:rsidRDefault="009367E0" w:rsidP="00816BB4">
      <w:pPr>
        <w:pStyle w:val="a9"/>
        <w:spacing w:after="0"/>
        <w:ind w:left="0"/>
        <w:jc w:val="both"/>
        <w:rPr>
          <w:rtl/>
        </w:rPr>
      </w:pPr>
      <w:r>
        <w:rPr>
          <w:rFonts w:hint="cs"/>
          <w:rtl/>
        </w:rPr>
        <w:t>מעיקר הדין השיפוט בפלילים צריך להיות על ידי דיינים מומחים</w:t>
      </w:r>
      <w:r w:rsidR="00C560B9">
        <w:rPr>
          <w:rFonts w:hint="cs"/>
          <w:rtl/>
        </w:rPr>
        <w:t xml:space="preserve"> אם זאת כל בית דין רשאי אם ראה שהעם פרוצים בעבירות לדון בפלילים.</w:t>
      </w:r>
    </w:p>
    <w:p w14:paraId="04A42961" w14:textId="56202F52" w:rsidR="00816BB4" w:rsidRPr="00816BB4" w:rsidRDefault="00AC03AB" w:rsidP="00816BB4">
      <w:pPr>
        <w:pStyle w:val="a9"/>
        <w:spacing w:after="0"/>
        <w:ind w:left="0"/>
        <w:jc w:val="both"/>
        <w:rPr>
          <w:u w:val="single"/>
          <w:rtl/>
        </w:rPr>
      </w:pPr>
      <w:r w:rsidRPr="00816BB4">
        <w:rPr>
          <w:rFonts w:hint="cs"/>
          <w:u w:val="single"/>
          <w:rtl/>
        </w:rPr>
        <w:t>הרמ"א</w:t>
      </w:r>
      <w:r w:rsidR="00816BB4" w:rsidRPr="00816BB4">
        <w:rPr>
          <w:rFonts w:hint="cs"/>
          <w:u w:val="single"/>
          <w:rtl/>
        </w:rPr>
        <w:t>:</w:t>
      </w:r>
    </w:p>
    <w:p w14:paraId="4DEF9701" w14:textId="78E52AA3" w:rsidR="00AC03AB" w:rsidRPr="00AD4527" w:rsidRDefault="005141A7" w:rsidP="00717791">
      <w:pPr>
        <w:pStyle w:val="a9"/>
        <w:spacing w:after="0"/>
        <w:ind w:left="0"/>
        <w:jc w:val="both"/>
        <w:rPr>
          <w:rtl/>
        </w:rPr>
      </w:pPr>
      <w:r>
        <w:rPr>
          <w:rFonts w:hint="cs"/>
          <w:rtl/>
        </w:rPr>
        <w:t xml:space="preserve">לא רק בית דין </w:t>
      </w:r>
      <w:r w:rsidR="00816BB4">
        <w:rPr>
          <w:rFonts w:hint="cs"/>
          <w:rtl/>
        </w:rPr>
        <w:t xml:space="preserve">של מומחים רשאי לדון בפלילים אלא גם טובי העיר. </w:t>
      </w:r>
    </w:p>
    <w:p w14:paraId="7590F14E" w14:textId="466FE963" w:rsidR="001F3A3E" w:rsidRDefault="001F3A3E" w:rsidP="00202A9C">
      <w:pPr>
        <w:pStyle w:val="a9"/>
        <w:spacing w:after="0"/>
        <w:ind w:left="0"/>
        <w:jc w:val="both"/>
        <w:rPr>
          <w:rtl/>
        </w:rPr>
      </w:pPr>
      <w:r>
        <w:rPr>
          <w:rFonts w:hint="cs"/>
          <w:rtl/>
        </w:rPr>
        <w:t xml:space="preserve">אם זאת גם במקרה הזה יש צורך באישור של </w:t>
      </w:r>
      <w:r w:rsidR="00202A9C">
        <w:rPr>
          <w:rFonts w:hint="cs"/>
          <w:rtl/>
        </w:rPr>
        <w:t>"א</w:t>
      </w:r>
      <w:r>
        <w:rPr>
          <w:rFonts w:hint="cs"/>
          <w:rtl/>
        </w:rPr>
        <w:t>דם חשוב</w:t>
      </w:r>
      <w:r w:rsidR="00202A9C">
        <w:rPr>
          <w:rFonts w:hint="cs"/>
          <w:rtl/>
        </w:rPr>
        <w:t>"</w:t>
      </w:r>
      <w:r>
        <w:rPr>
          <w:rFonts w:hint="cs"/>
          <w:rtl/>
        </w:rPr>
        <w:t>.</w:t>
      </w:r>
      <w:r w:rsidR="00202A9C">
        <w:rPr>
          <w:rFonts w:hint="cs"/>
          <w:rtl/>
        </w:rPr>
        <w:t xml:space="preserve"> ואכן במקרה של פלילים ניתן לראות שקיים אישור של "אדם חשוב":</w:t>
      </w:r>
    </w:p>
    <w:p w14:paraId="4E595EFE" w14:textId="29862961" w:rsidR="00202A9C" w:rsidRPr="002C602C" w:rsidRDefault="002C602C" w:rsidP="00202A9C">
      <w:pPr>
        <w:pStyle w:val="a9"/>
        <w:spacing w:after="0"/>
        <w:ind w:left="0"/>
        <w:jc w:val="both"/>
        <w:rPr>
          <w:u w:val="single"/>
          <w:rtl/>
        </w:rPr>
      </w:pPr>
      <w:r w:rsidRPr="002C602C">
        <w:rPr>
          <w:rFonts w:hint="cs"/>
          <w:u w:val="single"/>
          <w:rtl/>
        </w:rPr>
        <w:t>הרב שלמה גורן:</w:t>
      </w:r>
    </w:p>
    <w:p w14:paraId="1AEE2D8E" w14:textId="05521FB6" w:rsidR="002C602C" w:rsidRDefault="006B5ED1" w:rsidP="00202A9C">
      <w:pPr>
        <w:pStyle w:val="a9"/>
        <w:spacing w:after="0"/>
        <w:ind w:left="0"/>
        <w:jc w:val="both"/>
        <w:rPr>
          <w:rtl/>
        </w:rPr>
      </w:pPr>
      <w:r>
        <w:rPr>
          <w:rFonts w:hint="cs"/>
          <w:rtl/>
        </w:rPr>
        <w:t>לציבור יש סמכות להתקין תקנות בנוגע לעונשים פלילים</w:t>
      </w:r>
      <w:r w:rsidR="0076123F">
        <w:rPr>
          <w:rFonts w:hint="cs"/>
          <w:rtl/>
        </w:rPr>
        <w:t xml:space="preserve"> למען הסדר הציבורי.</w:t>
      </w:r>
    </w:p>
    <w:p w14:paraId="3A973CBE" w14:textId="4230C3D8" w:rsidR="0076123F" w:rsidRDefault="0076123F" w:rsidP="00202A9C">
      <w:pPr>
        <w:pStyle w:val="a9"/>
        <w:spacing w:after="0"/>
        <w:ind w:left="0"/>
        <w:jc w:val="both"/>
        <w:rPr>
          <w:rtl/>
        </w:rPr>
      </w:pPr>
      <w:r>
        <w:rPr>
          <w:rFonts w:hint="cs"/>
          <w:rtl/>
        </w:rPr>
        <w:t>הרב קוק:</w:t>
      </w:r>
    </w:p>
    <w:p w14:paraId="63D61F31" w14:textId="72356835" w:rsidR="0076123F" w:rsidRDefault="0076123F" w:rsidP="00202A9C">
      <w:pPr>
        <w:pStyle w:val="a9"/>
        <w:spacing w:after="0"/>
        <w:ind w:left="0"/>
        <w:jc w:val="both"/>
        <w:rPr>
          <w:rtl/>
        </w:rPr>
      </w:pPr>
      <w:r>
        <w:rPr>
          <w:rFonts w:hint="cs"/>
          <w:rtl/>
        </w:rPr>
        <w:t>מתאר שבכינוס הרבנים בתל אביב הרבנים אמרו שאינם מעוניינים לדון בדין הפלילי וגם בעבר בתי הדין הרבנים לא התעסקו בזה אלא שבעת טובי העיר.</w:t>
      </w:r>
    </w:p>
    <w:p w14:paraId="00792934" w14:textId="4D78614B" w:rsidR="00E929F4" w:rsidRPr="00E929F4" w:rsidRDefault="00E929F4" w:rsidP="00E929F4">
      <w:pPr>
        <w:pStyle w:val="a9"/>
        <w:spacing w:after="0"/>
        <w:ind w:left="0"/>
        <w:jc w:val="both"/>
        <w:rPr>
          <w:b/>
          <w:bCs/>
          <w:rtl/>
        </w:rPr>
      </w:pPr>
      <w:r>
        <w:rPr>
          <w:rFonts w:hint="cs"/>
          <w:rtl/>
        </w:rPr>
        <w:t xml:space="preserve"> </w:t>
      </w:r>
      <w:r>
        <w:rPr>
          <w:rFonts w:hint="cs"/>
          <w:b/>
          <w:bCs/>
          <w:rtl/>
        </w:rPr>
        <w:t>סיכום</w:t>
      </w:r>
    </w:p>
    <w:p w14:paraId="12D7E7A7" w14:textId="4A2B6A95" w:rsidR="00793BEA" w:rsidRDefault="00E929F4" w:rsidP="00717791">
      <w:pPr>
        <w:pStyle w:val="a9"/>
        <w:spacing w:after="0"/>
        <w:ind w:left="0"/>
        <w:jc w:val="both"/>
        <w:rPr>
          <w:rtl/>
        </w:rPr>
      </w:pPr>
      <w:r>
        <w:rPr>
          <w:rFonts w:hint="cs"/>
          <w:rtl/>
        </w:rPr>
        <w:t>אין שלילה מוחלטת ויש הכרה חלקית:</w:t>
      </w:r>
    </w:p>
    <w:p w14:paraId="7EA4BDC0" w14:textId="3D9B553E" w:rsidR="00E929F4" w:rsidRDefault="00E929F4" w:rsidP="00E929F4">
      <w:pPr>
        <w:pStyle w:val="a9"/>
        <w:numPr>
          <w:ilvl w:val="0"/>
          <w:numId w:val="18"/>
        </w:numPr>
        <w:spacing w:after="0"/>
        <w:jc w:val="both"/>
      </w:pPr>
      <w:r>
        <w:rPr>
          <w:rFonts w:hint="cs"/>
          <w:rtl/>
        </w:rPr>
        <w:t>יש הכרה בדין הפלילי</w:t>
      </w:r>
    </w:p>
    <w:p w14:paraId="0B21FD59" w14:textId="3745ECE4" w:rsidR="00E929F4" w:rsidRDefault="00E929F4" w:rsidP="00E929F4">
      <w:pPr>
        <w:pStyle w:val="a9"/>
        <w:numPr>
          <w:ilvl w:val="0"/>
          <w:numId w:val="18"/>
        </w:numPr>
        <w:spacing w:after="0"/>
        <w:jc w:val="both"/>
      </w:pPr>
      <w:r>
        <w:rPr>
          <w:rFonts w:hint="cs"/>
          <w:rtl/>
        </w:rPr>
        <w:t>יש הכרה בדין האזרחי במקרים בהם אי אפשר לפי חוקי המדינה לפנות לבתי דין רבנים, אחד הצדדים מסרב להתדיין או לצורך הוצאה לפועל של פס"ד רבני.</w:t>
      </w:r>
    </w:p>
    <w:p w14:paraId="109DC252" w14:textId="1FD455AE" w:rsidR="006F5CBD" w:rsidRPr="00A31D46" w:rsidRDefault="00A31D46" w:rsidP="00A31D46">
      <w:pPr>
        <w:pStyle w:val="a9"/>
        <w:numPr>
          <w:ilvl w:val="0"/>
          <w:numId w:val="14"/>
        </w:numPr>
        <w:shd w:val="clear" w:color="auto" w:fill="A8D08D" w:themeFill="accent6" w:themeFillTint="99"/>
        <w:spacing w:after="0"/>
        <w:jc w:val="both"/>
        <w:rPr>
          <w:b/>
          <w:bCs/>
          <w:rtl/>
        </w:rPr>
      </w:pPr>
      <w:r w:rsidRPr="00A31D46">
        <w:rPr>
          <w:rFonts w:hint="cs"/>
          <w:b/>
          <w:bCs/>
          <w:rtl/>
        </w:rPr>
        <w:t>השתלבותם של שופטים ועורכי דין שומרי מצוות במערכת השיפוט</w:t>
      </w:r>
    </w:p>
    <w:p w14:paraId="19DA207B" w14:textId="53056C20" w:rsidR="00793BEA" w:rsidRPr="00E64FD5" w:rsidRDefault="00E64FD5" w:rsidP="00E64FD5">
      <w:pPr>
        <w:pStyle w:val="a9"/>
        <w:shd w:val="clear" w:color="auto" w:fill="E2EFD9" w:themeFill="accent6" w:themeFillTint="33"/>
        <w:spacing w:after="0"/>
        <w:ind w:left="0"/>
        <w:jc w:val="both"/>
        <w:rPr>
          <w:b/>
          <w:bCs/>
          <w:rtl/>
        </w:rPr>
      </w:pPr>
      <w:r w:rsidRPr="00E64FD5">
        <w:rPr>
          <w:rFonts w:hint="cs"/>
          <w:b/>
          <w:bCs/>
          <w:rtl/>
        </w:rPr>
        <w:t>מבוא</w:t>
      </w:r>
    </w:p>
    <w:p w14:paraId="1A22E023" w14:textId="4ACED893" w:rsidR="006549B1" w:rsidRDefault="00E64FD5" w:rsidP="006549B1">
      <w:pPr>
        <w:pStyle w:val="a9"/>
        <w:spacing w:after="0"/>
        <w:ind w:left="0"/>
        <w:jc w:val="both"/>
        <w:rPr>
          <w:rtl/>
        </w:rPr>
      </w:pPr>
      <w:r>
        <w:rPr>
          <w:rFonts w:hint="cs"/>
          <w:rtl/>
        </w:rPr>
        <w:t xml:space="preserve">בגלל שיש מקרים בהם הדין מאפשר התדיינות בבתי משפט ישראליים וודאי שאין בעיה להיות שופטים ועורכי דין. אם זאת הבעיה מתעוררת כאשר ישנם שופטים ועורכי דין שומרי תורה ומצוות </w:t>
      </w:r>
      <w:r w:rsidR="00957DD6">
        <w:rPr>
          <w:rFonts w:hint="cs"/>
          <w:rtl/>
        </w:rPr>
        <w:t>במקרים בהם הדין לא מתיר פניה לבתי משפט.</w:t>
      </w:r>
    </w:p>
    <w:p w14:paraId="7C575FD5" w14:textId="7999B960" w:rsidR="006549B1" w:rsidRPr="006549B1" w:rsidRDefault="006549B1" w:rsidP="006549B1">
      <w:pPr>
        <w:pStyle w:val="a9"/>
        <w:shd w:val="clear" w:color="auto" w:fill="E2EFD9" w:themeFill="accent6" w:themeFillTint="33"/>
        <w:spacing w:after="0"/>
        <w:ind w:left="0"/>
        <w:jc w:val="both"/>
        <w:rPr>
          <w:b/>
          <w:bCs/>
          <w:rtl/>
        </w:rPr>
      </w:pPr>
      <w:r>
        <w:rPr>
          <w:rFonts w:hint="cs"/>
          <w:b/>
          <w:bCs/>
          <w:rtl/>
        </w:rPr>
        <w:t>שופט</w:t>
      </w:r>
      <w:r w:rsidR="00750ED0">
        <w:rPr>
          <w:rFonts w:hint="cs"/>
          <w:b/>
          <w:bCs/>
          <w:rtl/>
        </w:rPr>
        <w:t xml:space="preserve"> שומר תורה ומצוות</w:t>
      </w:r>
    </w:p>
    <w:p w14:paraId="3619222F" w14:textId="093F5AD3" w:rsidR="00E64FD5" w:rsidRDefault="00BC5835" w:rsidP="00717791">
      <w:pPr>
        <w:pStyle w:val="a9"/>
        <w:spacing w:after="0"/>
        <w:ind w:left="0"/>
        <w:jc w:val="both"/>
        <w:rPr>
          <w:rtl/>
        </w:rPr>
      </w:pPr>
      <w:r>
        <w:rPr>
          <w:rFonts w:hint="cs"/>
          <w:rtl/>
        </w:rPr>
        <w:t>קודם כל יציע לצדדים להגיע לפשרה ואם הוא מעורב בפשרה</w:t>
      </w:r>
      <w:r w:rsidR="00E45430">
        <w:rPr>
          <w:rFonts w:hint="cs"/>
          <w:rtl/>
        </w:rPr>
        <w:t xml:space="preserve"> בסופו של דבר ההסכם מקבל תוקף של פסק דין אבל אין אם זה בעיה מכוון שזה כמו בוררות</w:t>
      </w:r>
      <w:r w:rsidR="00376C60">
        <w:rPr>
          <w:rFonts w:hint="cs"/>
          <w:rtl/>
        </w:rPr>
        <w:t>.</w:t>
      </w:r>
    </w:p>
    <w:p w14:paraId="1642DA58" w14:textId="436B4C09" w:rsidR="00987B37" w:rsidRDefault="00B04213" w:rsidP="00382301">
      <w:pPr>
        <w:pStyle w:val="a9"/>
        <w:spacing w:after="0"/>
        <w:ind w:left="0"/>
        <w:jc w:val="both"/>
        <w:rPr>
          <w:b/>
          <w:bCs/>
          <w:rtl/>
        </w:rPr>
      </w:pPr>
      <w:r>
        <w:rPr>
          <w:rFonts w:hint="cs"/>
          <w:b/>
          <w:bCs/>
          <w:rtl/>
        </w:rPr>
        <w:t>מה קורה במקרה בו הצדדים לא מוכנים להגיע לפשרה?</w:t>
      </w:r>
    </w:p>
    <w:p w14:paraId="3EA6D878" w14:textId="6FE5530C" w:rsidR="00B377DB" w:rsidRPr="00B377DB" w:rsidRDefault="00F43716" w:rsidP="00B377DB">
      <w:pPr>
        <w:pStyle w:val="a9"/>
        <w:numPr>
          <w:ilvl w:val="1"/>
          <w:numId w:val="14"/>
        </w:numPr>
        <w:spacing w:after="0"/>
        <w:jc w:val="both"/>
        <w:rPr>
          <w:u w:val="single"/>
        </w:rPr>
      </w:pPr>
      <w:r w:rsidRPr="00E03D79">
        <w:rPr>
          <w:rFonts w:hint="cs"/>
          <w:u w:val="single"/>
          <w:rtl/>
        </w:rPr>
        <w:t>מקרה בו שני הצדדים הסכימו להתדיין בבית משפ</w:t>
      </w:r>
      <w:r w:rsidR="00E03D79" w:rsidRPr="00E03D79">
        <w:rPr>
          <w:rFonts w:hint="cs"/>
          <w:u w:val="single"/>
          <w:rtl/>
        </w:rPr>
        <w:t>ט</w:t>
      </w:r>
      <w:r w:rsidR="00E03D79">
        <w:rPr>
          <w:rFonts w:hint="cs"/>
          <w:rtl/>
        </w:rPr>
        <w:t xml:space="preserve"> - </w:t>
      </w:r>
      <w:r w:rsidR="00E03D79">
        <w:rPr>
          <w:rFonts w:hint="cs"/>
          <w:rtl/>
        </w:rPr>
        <w:t xml:space="preserve">ניתן לפתור בעיה זו באמצעות תשובת </w:t>
      </w:r>
      <w:proofErr w:type="spellStart"/>
      <w:r w:rsidR="00E03D79">
        <w:rPr>
          <w:rFonts w:hint="cs"/>
          <w:rtl/>
        </w:rPr>
        <w:t>הרשב"ש</w:t>
      </w:r>
      <w:proofErr w:type="spellEnd"/>
      <w:r w:rsidR="00E03D79">
        <w:rPr>
          <w:rFonts w:hint="cs"/>
          <w:rtl/>
        </w:rPr>
        <w:t xml:space="preserve"> </w:t>
      </w:r>
      <w:r w:rsidR="00C74A05">
        <w:rPr>
          <w:rtl/>
        </w:rPr>
        <w:t>–</w:t>
      </w:r>
      <w:r w:rsidR="00E03D79">
        <w:rPr>
          <w:rFonts w:hint="cs"/>
          <w:rtl/>
        </w:rPr>
        <w:t xml:space="preserve"> </w:t>
      </w:r>
      <w:r w:rsidR="00C74A05">
        <w:rPr>
          <w:rFonts w:hint="cs"/>
          <w:rtl/>
        </w:rPr>
        <w:t>לטענתו ציבור שקיבל על עצמו דיינים פסולים הפסיקה שלהם מחייבת.</w:t>
      </w:r>
    </w:p>
    <w:p w14:paraId="07AB2E9E" w14:textId="00743B72" w:rsidR="00B377DB" w:rsidRPr="00CA1335" w:rsidRDefault="00B377DB" w:rsidP="00B377DB">
      <w:pPr>
        <w:pStyle w:val="a9"/>
        <w:numPr>
          <w:ilvl w:val="1"/>
          <w:numId w:val="14"/>
        </w:numPr>
        <w:spacing w:after="0"/>
        <w:jc w:val="both"/>
        <w:rPr>
          <w:u w:val="single"/>
        </w:rPr>
      </w:pPr>
      <w:r>
        <w:rPr>
          <w:rFonts w:hint="cs"/>
          <w:u w:val="single"/>
          <w:rtl/>
        </w:rPr>
        <w:t xml:space="preserve">מקרה בו התובע רוצה בדין תורה אבל הנתבע לא מוכן </w:t>
      </w:r>
      <w:r w:rsidR="00CA1335">
        <w:rPr>
          <w:rFonts w:hint="cs"/>
          <w:rtl/>
        </w:rPr>
        <w:t>-</w:t>
      </w:r>
      <w:r>
        <w:rPr>
          <w:rFonts w:hint="cs"/>
          <w:rtl/>
        </w:rPr>
        <w:t xml:space="preserve"> </w:t>
      </w:r>
      <w:r w:rsidR="00CA1335">
        <w:rPr>
          <w:rFonts w:hint="cs"/>
          <w:rtl/>
        </w:rPr>
        <w:t>אפשר לתבוע גם בבית דין של פסולים וגם בערכאות זאת על מנת להציל את מה ששלו</w:t>
      </w:r>
      <w:r w:rsidR="00EA3135">
        <w:rPr>
          <w:rFonts w:hint="cs"/>
          <w:rtl/>
        </w:rPr>
        <w:t xml:space="preserve"> על פי דין</w:t>
      </w:r>
      <w:r w:rsidR="00CA1335">
        <w:rPr>
          <w:rFonts w:hint="cs"/>
          <w:rtl/>
        </w:rPr>
        <w:t>.</w:t>
      </w:r>
    </w:p>
    <w:p w14:paraId="7D69D840" w14:textId="5A598B90" w:rsidR="00CA1335" w:rsidRPr="00EA3135" w:rsidRDefault="00CA1335" w:rsidP="00B377DB">
      <w:pPr>
        <w:pStyle w:val="a9"/>
        <w:numPr>
          <w:ilvl w:val="1"/>
          <w:numId w:val="14"/>
        </w:numPr>
        <w:spacing w:after="0"/>
        <w:jc w:val="both"/>
        <w:rPr>
          <w:u w:val="single"/>
        </w:rPr>
      </w:pPr>
      <w:r>
        <w:rPr>
          <w:rFonts w:hint="cs"/>
          <w:u w:val="single"/>
          <w:rtl/>
        </w:rPr>
        <w:t>מקרה בו הנתבע רוצה בדין תורה אבל התובע לא מוכן</w:t>
      </w:r>
      <w:r>
        <w:rPr>
          <w:rFonts w:hint="cs"/>
          <w:rtl/>
        </w:rPr>
        <w:t xml:space="preserve"> </w:t>
      </w:r>
      <w:r w:rsidR="00E02D44">
        <w:rPr>
          <w:rtl/>
        </w:rPr>
        <w:t>–</w:t>
      </w:r>
      <w:r>
        <w:rPr>
          <w:rFonts w:hint="cs"/>
          <w:rtl/>
        </w:rPr>
        <w:t xml:space="preserve"> </w:t>
      </w:r>
      <w:r w:rsidR="00E02D44">
        <w:rPr>
          <w:rFonts w:hint="cs"/>
          <w:rtl/>
        </w:rPr>
        <w:t xml:space="preserve">תשובת </w:t>
      </w:r>
      <w:proofErr w:type="spellStart"/>
      <w:r w:rsidR="00E02D44">
        <w:rPr>
          <w:rFonts w:hint="cs"/>
          <w:rtl/>
        </w:rPr>
        <w:t>הרשב"ש</w:t>
      </w:r>
      <w:proofErr w:type="spellEnd"/>
      <w:r w:rsidR="00E02D44">
        <w:rPr>
          <w:rFonts w:hint="cs"/>
          <w:rtl/>
        </w:rPr>
        <w:t xml:space="preserve"> לא פותרת בעיה זו מכוון שהחיוב להקשיב לבתי דין של </w:t>
      </w:r>
      <w:r w:rsidR="00AF07E1">
        <w:rPr>
          <w:rFonts w:hint="cs"/>
          <w:rtl/>
        </w:rPr>
        <w:t>פסולים תלוי בהסכמה של הצדדים ואילו במקרה הזה אין הסכמה</w:t>
      </w:r>
      <w:r w:rsidR="0075467E">
        <w:rPr>
          <w:rFonts w:hint="cs"/>
          <w:rtl/>
        </w:rPr>
        <w:t xml:space="preserve"> ולכן עלול להיחשב השופט מסייע לעבירת הגזל</w:t>
      </w:r>
      <w:r w:rsidR="00AF07E1">
        <w:rPr>
          <w:rFonts w:hint="cs"/>
          <w:rtl/>
        </w:rPr>
        <w:t xml:space="preserve">. </w:t>
      </w:r>
    </w:p>
    <w:p w14:paraId="787393AD" w14:textId="77ED6D76" w:rsidR="002500B1" w:rsidRDefault="0075467E" w:rsidP="002500B1">
      <w:pPr>
        <w:pStyle w:val="a9"/>
        <w:numPr>
          <w:ilvl w:val="2"/>
          <w:numId w:val="14"/>
        </w:numPr>
        <w:spacing w:after="0"/>
        <w:jc w:val="both"/>
      </w:pPr>
      <w:r w:rsidRPr="00382301">
        <w:rPr>
          <w:rFonts w:hint="cs"/>
          <w:u w:val="single"/>
          <w:rtl/>
        </w:rPr>
        <w:lastRenderedPageBreak/>
        <w:t xml:space="preserve">הרב הראשי </w:t>
      </w:r>
      <w:proofErr w:type="spellStart"/>
      <w:r w:rsidRPr="00382301">
        <w:rPr>
          <w:rFonts w:hint="cs"/>
          <w:u w:val="single"/>
          <w:rtl/>
        </w:rPr>
        <w:t>הר"א</w:t>
      </w:r>
      <w:proofErr w:type="spellEnd"/>
      <w:r w:rsidRPr="00382301">
        <w:rPr>
          <w:rFonts w:hint="cs"/>
          <w:u w:val="single"/>
          <w:rtl/>
        </w:rPr>
        <w:t xml:space="preserve"> שפירא:</w:t>
      </w:r>
      <w:r w:rsidR="00382301">
        <w:rPr>
          <w:rFonts w:hint="cs"/>
          <w:rtl/>
        </w:rPr>
        <w:t xml:space="preserve"> </w:t>
      </w:r>
      <w:r w:rsidR="002500B1">
        <w:rPr>
          <w:rFonts w:hint="cs"/>
          <w:rtl/>
        </w:rPr>
        <w:t>מסתייג מהאמירה שקובעת כי שופט מסייע לגזל במקרה בו הנתבע לא מוכן להתדיין בבתי משפט אזרחי.</w:t>
      </w:r>
      <w:r w:rsidR="002D373C">
        <w:rPr>
          <w:rFonts w:hint="cs"/>
          <w:rtl/>
        </w:rPr>
        <w:t xml:space="preserve"> לדעתו </w:t>
      </w:r>
      <w:r w:rsidR="002D373C" w:rsidRPr="00382301">
        <w:rPr>
          <w:rFonts w:hint="cs"/>
          <w:b/>
          <w:bCs/>
          <w:rtl/>
        </w:rPr>
        <w:t>אי אפשר לכפות נורמה דתית על מי שלא</w:t>
      </w:r>
      <w:r w:rsidR="008E5E3C" w:rsidRPr="00382301">
        <w:rPr>
          <w:rFonts w:hint="cs"/>
          <w:b/>
          <w:bCs/>
          <w:rtl/>
        </w:rPr>
        <w:t xml:space="preserve"> מקבל אותה מרצון</w:t>
      </w:r>
      <w:r w:rsidR="008E5E3C">
        <w:rPr>
          <w:rFonts w:hint="cs"/>
          <w:rtl/>
        </w:rPr>
        <w:t xml:space="preserve"> ולכן אם הנתבע לא מוכן להישפט בבית דין רבני לא מדובר בגזל.</w:t>
      </w:r>
    </w:p>
    <w:p w14:paraId="6A8D4838" w14:textId="687977BD" w:rsidR="00382301" w:rsidRDefault="00663350" w:rsidP="002500B1">
      <w:pPr>
        <w:pStyle w:val="a9"/>
        <w:numPr>
          <w:ilvl w:val="2"/>
          <w:numId w:val="14"/>
        </w:numPr>
        <w:spacing w:after="0"/>
        <w:jc w:val="both"/>
      </w:pPr>
      <w:r>
        <w:rPr>
          <w:rFonts w:hint="cs"/>
          <w:u w:val="single"/>
          <w:rtl/>
        </w:rPr>
        <w:t xml:space="preserve">הצעה של פרופ' </w:t>
      </w:r>
      <w:proofErr w:type="spellStart"/>
      <w:r>
        <w:rPr>
          <w:rFonts w:hint="cs"/>
          <w:u w:val="single"/>
          <w:rtl/>
        </w:rPr>
        <w:t>שוחטמן</w:t>
      </w:r>
      <w:proofErr w:type="spellEnd"/>
      <w:r>
        <w:rPr>
          <w:rFonts w:hint="cs"/>
          <w:u w:val="single"/>
          <w:rtl/>
        </w:rPr>
        <w:t xml:space="preserve"> - </w:t>
      </w:r>
      <w:r w:rsidR="00502D14">
        <w:rPr>
          <w:rFonts w:hint="cs"/>
          <w:u w:val="single"/>
          <w:rtl/>
        </w:rPr>
        <w:t xml:space="preserve">תנאי מכללא </w:t>
      </w:r>
      <w:r w:rsidR="00502D14">
        <w:rPr>
          <w:rtl/>
        </w:rPr>
        <w:t>–</w:t>
      </w:r>
      <w:r w:rsidR="00502D14">
        <w:rPr>
          <w:rFonts w:hint="cs"/>
          <w:rtl/>
        </w:rPr>
        <w:t xml:space="preserve"> מצב בו יש </w:t>
      </w:r>
      <w:r w:rsidR="00170440">
        <w:rPr>
          <w:rFonts w:hint="cs"/>
          <w:rtl/>
        </w:rPr>
        <w:t xml:space="preserve">המון יהודים שלא מקבלים עליהם עול תורה ומצוות צריך ליצור תנאי מכללא בו נתבע שומר תורה ומצוות מקבל על עצמו להישפט בבית </w:t>
      </w:r>
      <w:r w:rsidR="008825CA">
        <w:rPr>
          <w:rFonts w:hint="cs"/>
          <w:rtl/>
        </w:rPr>
        <w:t xml:space="preserve">משפט אזרחי כאשר תובע אינו רוצה בדין תורה. כי הרי אי אפשר לתת לנתבע אפשרות לברוח מכל שיפוט שהוא ואם בית דין רבני לא אפשרי </w:t>
      </w:r>
      <w:r w:rsidR="00351A61">
        <w:rPr>
          <w:rFonts w:hint="cs"/>
          <w:rtl/>
        </w:rPr>
        <w:t>חייב להימצא גוף אחר שידון בכך.</w:t>
      </w:r>
      <w:r w:rsidR="009C6C99">
        <w:rPr>
          <w:rFonts w:hint="cs"/>
          <w:rtl/>
        </w:rPr>
        <w:t xml:space="preserve"> במידה ותתקבל ההצעה </w:t>
      </w:r>
      <w:r w:rsidR="00090109">
        <w:rPr>
          <w:rFonts w:hint="cs"/>
          <w:rtl/>
        </w:rPr>
        <w:t>ההתדיינות היא למעשה בהסכמה ולכן אין בה משום גזל.</w:t>
      </w:r>
    </w:p>
    <w:p w14:paraId="16F36F12" w14:textId="55F98C70" w:rsidR="00750ED0" w:rsidRPr="00750ED0" w:rsidRDefault="00750ED0" w:rsidP="00750ED0">
      <w:pPr>
        <w:pStyle w:val="a9"/>
        <w:shd w:val="clear" w:color="auto" w:fill="E2EFD9" w:themeFill="accent6" w:themeFillTint="33"/>
        <w:spacing w:after="0"/>
        <w:ind w:left="0"/>
        <w:jc w:val="both"/>
        <w:rPr>
          <w:b/>
          <w:bCs/>
          <w:rtl/>
        </w:rPr>
      </w:pPr>
      <w:r w:rsidRPr="00750ED0">
        <w:rPr>
          <w:rFonts w:hint="cs"/>
          <w:b/>
          <w:bCs/>
          <w:rtl/>
        </w:rPr>
        <w:t>עו"ד שומר תורה ומצוות</w:t>
      </w:r>
    </w:p>
    <w:p w14:paraId="66C70417" w14:textId="68C8DF49" w:rsidR="00382301" w:rsidRDefault="00A500E5" w:rsidP="00382301">
      <w:pPr>
        <w:spacing w:after="0"/>
        <w:jc w:val="both"/>
        <w:rPr>
          <w:u w:val="single"/>
          <w:rtl/>
        </w:rPr>
      </w:pPr>
      <w:r>
        <w:rPr>
          <w:rFonts w:hint="cs"/>
          <w:u w:val="single"/>
          <w:rtl/>
        </w:rPr>
        <w:t>הרב עובדיה יוסף:</w:t>
      </w:r>
    </w:p>
    <w:p w14:paraId="7D2AE183" w14:textId="361C00BE" w:rsidR="00A500E5" w:rsidRDefault="00FE010B" w:rsidP="00382301">
      <w:pPr>
        <w:spacing w:after="0"/>
        <w:jc w:val="both"/>
        <w:rPr>
          <w:rtl/>
        </w:rPr>
      </w:pPr>
      <w:r>
        <w:rPr>
          <w:rFonts w:hint="cs"/>
          <w:rtl/>
        </w:rPr>
        <w:t>עו"ד שמסייע לתובע לתבוע אדם שלא מעוניין להישפט בבית דין אזרחי מסייע לדבר עבירה ולכן הדבר אסור. אבל עו</w:t>
      </w:r>
      <w:r w:rsidR="00C9292D">
        <w:rPr>
          <w:rFonts w:hint="cs"/>
          <w:rtl/>
        </w:rPr>
        <w:t>"</w:t>
      </w:r>
      <w:r>
        <w:rPr>
          <w:rFonts w:hint="cs"/>
          <w:rtl/>
        </w:rPr>
        <w:t>ד שמסייע לנתבע שהכריחו אותו להתדיין בבית משפט אזרחי אין אם כך בעיה</w:t>
      </w:r>
      <w:r w:rsidR="00C9292D">
        <w:rPr>
          <w:rFonts w:hint="cs"/>
          <w:rtl/>
        </w:rPr>
        <w:t xml:space="preserve"> ומותר לו לסייע לו. בנוגע לקבלת צו ירושה אין לסייע לתובע ויש להפנותו לבית הדין הרבני.</w:t>
      </w:r>
    </w:p>
    <w:p w14:paraId="6B5549B8" w14:textId="79446760" w:rsidR="00F646FA" w:rsidRDefault="009662F0" w:rsidP="00382301">
      <w:pPr>
        <w:spacing w:after="0"/>
        <w:jc w:val="both"/>
        <w:rPr>
          <w:u w:val="single"/>
          <w:rtl/>
        </w:rPr>
      </w:pPr>
      <w:r>
        <w:rPr>
          <w:rFonts w:hint="cs"/>
          <w:u w:val="single"/>
          <w:rtl/>
        </w:rPr>
        <w:t xml:space="preserve">הרב גדליה </w:t>
      </w:r>
      <w:proofErr w:type="spellStart"/>
      <w:r w:rsidR="00794D61">
        <w:rPr>
          <w:rFonts w:hint="cs"/>
          <w:u w:val="single"/>
          <w:rtl/>
        </w:rPr>
        <w:t>פעלדער</w:t>
      </w:r>
      <w:proofErr w:type="spellEnd"/>
      <w:r w:rsidR="00794D61">
        <w:rPr>
          <w:rFonts w:hint="cs"/>
          <w:u w:val="single"/>
          <w:rtl/>
        </w:rPr>
        <w:t>:</w:t>
      </w:r>
    </w:p>
    <w:p w14:paraId="503ECB14" w14:textId="768B1991" w:rsidR="00794D61" w:rsidRDefault="00794D61" w:rsidP="00382301">
      <w:pPr>
        <w:spacing w:after="0"/>
        <w:jc w:val="both"/>
        <w:rPr>
          <w:rtl/>
        </w:rPr>
      </w:pPr>
      <w:r>
        <w:rPr>
          <w:rFonts w:hint="cs"/>
          <w:rtl/>
        </w:rPr>
        <w:t>אין מדובר בסיוע בדבר עבירה מכוון שאם לא ייצגם מישהו אחר ייצג אות</w:t>
      </w:r>
      <w:r w:rsidR="00905DB4">
        <w:rPr>
          <w:rFonts w:hint="cs"/>
          <w:rtl/>
        </w:rPr>
        <w:t xml:space="preserve">ם ולכן עדיף יהודי שייצג על פני נוכרי. </w:t>
      </w:r>
      <w:proofErr w:type="spellStart"/>
      <w:r w:rsidR="00905DB4">
        <w:rPr>
          <w:rFonts w:hint="cs"/>
          <w:rtl/>
        </w:rPr>
        <w:t>העו"ד</w:t>
      </w:r>
      <w:proofErr w:type="spellEnd"/>
      <w:r w:rsidR="00905DB4">
        <w:rPr>
          <w:rFonts w:hint="cs"/>
          <w:rtl/>
        </w:rPr>
        <w:t xml:space="preserve"> לא מסייע לעבירה מכוון ש</w:t>
      </w:r>
      <w:r w:rsidR="00427482">
        <w:rPr>
          <w:rFonts w:hint="cs"/>
          <w:rtl/>
        </w:rPr>
        <w:t>גם ככה יהיה משפט פשוט מישהו אחר ייצג אותם.</w:t>
      </w:r>
    </w:p>
    <w:p w14:paraId="5160C89C" w14:textId="4D6B8AE2" w:rsidR="00427482" w:rsidRPr="00427482" w:rsidRDefault="00427482" w:rsidP="00427482">
      <w:pPr>
        <w:pStyle w:val="a9"/>
        <w:numPr>
          <w:ilvl w:val="0"/>
          <w:numId w:val="14"/>
        </w:numPr>
        <w:shd w:val="clear" w:color="auto" w:fill="A8D08D" w:themeFill="accent6" w:themeFillTint="99"/>
        <w:spacing w:after="0"/>
        <w:jc w:val="both"/>
        <w:rPr>
          <w:b/>
          <w:bCs/>
          <w:rtl/>
        </w:rPr>
      </w:pPr>
      <w:r w:rsidRPr="00427482">
        <w:rPr>
          <w:rFonts w:hint="cs"/>
          <w:b/>
          <w:bCs/>
          <w:rtl/>
        </w:rPr>
        <w:t>חובתם של חכמי ההלכה בדורנו</w:t>
      </w:r>
    </w:p>
    <w:p w14:paraId="099809FB" w14:textId="39D0A6E1" w:rsidR="0009305D" w:rsidRDefault="002C104A" w:rsidP="0009305D">
      <w:pPr>
        <w:spacing w:after="0"/>
        <w:jc w:val="both"/>
        <w:rPr>
          <w:rtl/>
        </w:rPr>
      </w:pPr>
      <w:r>
        <w:rPr>
          <w:rFonts w:hint="cs"/>
          <w:rtl/>
        </w:rPr>
        <w:t xml:space="preserve">איסור ללכת לערכאות לא מנע מיהודים שומרי תורה ומצוות לפנות לבתי משפט </w:t>
      </w:r>
      <w:r w:rsidR="00A96D38">
        <w:rPr>
          <w:rFonts w:hint="cs"/>
          <w:rtl/>
        </w:rPr>
        <w:t xml:space="preserve">גם כאשר יכלו לנפות לבית דין רבני. מצב זה הוא טרגדיה מכוון שבמציאות של מדינה יהודית </w:t>
      </w:r>
      <w:r w:rsidR="00CF0B2E">
        <w:rPr>
          <w:rFonts w:hint="cs"/>
          <w:rtl/>
        </w:rPr>
        <w:t xml:space="preserve">פוחת הצורך בשיפוט על פי דין תורה. </w:t>
      </w:r>
      <w:r w:rsidR="00C03FA1">
        <w:rPr>
          <w:rFonts w:hint="cs"/>
          <w:rtl/>
        </w:rPr>
        <w:t>אולי הבעיה נובעת מחינוך לקוי לגבי החומרה שבהליכה לערכאות אבל ככל הנראה יש לכך סיבות נוס</w:t>
      </w:r>
      <w:r w:rsidR="00D939BD">
        <w:rPr>
          <w:rFonts w:hint="cs"/>
          <w:rtl/>
        </w:rPr>
        <w:t>פות שנובעות מבעיות בבתי הדין הרבניים ביחס למציאות של היום.</w:t>
      </w:r>
    </w:p>
    <w:p w14:paraId="149EC608" w14:textId="6EA4ABEF" w:rsidR="00D939BD" w:rsidRPr="00D939BD" w:rsidRDefault="00D939BD" w:rsidP="00D939BD">
      <w:pPr>
        <w:shd w:val="clear" w:color="auto" w:fill="E2EFD9" w:themeFill="accent6" w:themeFillTint="33"/>
        <w:spacing w:after="0"/>
        <w:jc w:val="both"/>
        <w:rPr>
          <w:b/>
          <w:bCs/>
          <w:rtl/>
        </w:rPr>
      </w:pPr>
      <w:r w:rsidRPr="00D939BD">
        <w:rPr>
          <w:rFonts w:hint="cs"/>
          <w:b/>
          <w:bCs/>
          <w:rtl/>
        </w:rPr>
        <w:t>פסיקת הוצאות והפרשי הצמדה</w:t>
      </w:r>
    </w:p>
    <w:p w14:paraId="4C031E13" w14:textId="257ACA36" w:rsidR="00E64FD5" w:rsidRDefault="000E043F" w:rsidP="00717791">
      <w:pPr>
        <w:pStyle w:val="a9"/>
        <w:spacing w:after="0"/>
        <w:ind w:left="0"/>
        <w:jc w:val="both"/>
        <w:rPr>
          <w:rtl/>
        </w:rPr>
      </w:pPr>
      <w:r>
        <w:rPr>
          <w:rFonts w:hint="cs"/>
          <w:rtl/>
        </w:rPr>
        <w:t xml:space="preserve">האיסור במציאות של ימנו עומד לעיתים בגזירה שאין הציבור יכול לעמוד בה מכוון שהתובע </w:t>
      </w:r>
      <w:r w:rsidR="00F50D65">
        <w:rPr>
          <w:rFonts w:hint="cs"/>
          <w:rtl/>
        </w:rPr>
        <w:t xml:space="preserve">בבית דין רבני </w:t>
      </w:r>
      <w:r>
        <w:rPr>
          <w:rFonts w:hint="cs"/>
          <w:rtl/>
        </w:rPr>
        <w:t xml:space="preserve">נמצא במעמד נחות בהרבה </w:t>
      </w:r>
      <w:r w:rsidR="00F50D65">
        <w:rPr>
          <w:rFonts w:hint="cs"/>
          <w:rtl/>
        </w:rPr>
        <w:t>בהשוואה לאם היה תובע בבית משפט אזרחי.</w:t>
      </w:r>
    </w:p>
    <w:p w14:paraId="72AC4105" w14:textId="0305A9EC" w:rsidR="00F50D65" w:rsidRDefault="00F50D65" w:rsidP="00F50D65">
      <w:pPr>
        <w:pStyle w:val="a9"/>
        <w:numPr>
          <w:ilvl w:val="1"/>
          <w:numId w:val="14"/>
        </w:numPr>
        <w:spacing w:after="0"/>
        <w:jc w:val="both"/>
      </w:pPr>
      <w:r>
        <w:rPr>
          <w:rFonts w:hint="cs"/>
          <w:rtl/>
        </w:rPr>
        <w:t xml:space="preserve">אין </w:t>
      </w:r>
      <w:r w:rsidR="00212F47">
        <w:rPr>
          <w:rFonts w:hint="cs"/>
          <w:rtl/>
        </w:rPr>
        <w:t>הזוכה זכאי בדר"כ להוצאות בית משפט אלא כל צד נושא את הוצאותיו.</w:t>
      </w:r>
    </w:p>
    <w:p w14:paraId="0B5483A0" w14:textId="1963F73E" w:rsidR="00212F47" w:rsidRDefault="00212F47" w:rsidP="00F50D65">
      <w:pPr>
        <w:pStyle w:val="a9"/>
        <w:numPr>
          <w:ilvl w:val="1"/>
          <w:numId w:val="14"/>
        </w:numPr>
        <w:spacing w:after="0"/>
        <w:jc w:val="both"/>
      </w:pPr>
      <w:r>
        <w:rPr>
          <w:rFonts w:hint="cs"/>
          <w:rtl/>
        </w:rPr>
        <w:t xml:space="preserve">אין </w:t>
      </w:r>
      <w:r w:rsidR="00DD5B91">
        <w:rPr>
          <w:rFonts w:hint="cs"/>
          <w:rtl/>
        </w:rPr>
        <w:t>לתובע שזוכה זכאות להפרשי ריבית והצמדה</w:t>
      </w:r>
      <w:r w:rsidR="006B4534">
        <w:rPr>
          <w:rFonts w:hint="cs"/>
          <w:rtl/>
        </w:rPr>
        <w:t>.</w:t>
      </w:r>
    </w:p>
    <w:p w14:paraId="2B10D16D" w14:textId="40E779B8" w:rsidR="00807045" w:rsidRDefault="00807045" w:rsidP="00807045">
      <w:pPr>
        <w:spacing w:after="0"/>
        <w:jc w:val="both"/>
      </w:pPr>
      <w:r>
        <w:rPr>
          <w:rFonts w:hint="cs"/>
          <w:rtl/>
        </w:rPr>
        <w:t xml:space="preserve">סיבות אלא גורמת לאנשים לבחור לא לגשת לבית הדין הרבני במידה ויש להם סיכוי טוב לנצח מחשש </w:t>
      </w:r>
      <w:r w:rsidR="00427B01">
        <w:rPr>
          <w:rFonts w:hint="cs"/>
          <w:rtl/>
        </w:rPr>
        <w:t>שיקבלו פחות כסף או שהתביעה לא תהיה שווה מבחינה כספית.</w:t>
      </w:r>
    </w:p>
    <w:p w14:paraId="22D6A752" w14:textId="46AA96B2" w:rsidR="006B4534" w:rsidRPr="00807045" w:rsidRDefault="00807045" w:rsidP="00807045">
      <w:pPr>
        <w:shd w:val="clear" w:color="auto" w:fill="E2EFD9" w:themeFill="accent6" w:themeFillTint="33"/>
        <w:spacing w:after="0"/>
        <w:jc w:val="both"/>
        <w:rPr>
          <w:b/>
          <w:bCs/>
          <w:rtl/>
        </w:rPr>
      </w:pPr>
      <w:r w:rsidRPr="00807045">
        <w:rPr>
          <w:rFonts w:hint="cs"/>
          <w:b/>
          <w:bCs/>
          <w:rtl/>
        </w:rPr>
        <w:t>הצורך בתקנות</w:t>
      </w:r>
    </w:p>
    <w:p w14:paraId="22E9F6CD" w14:textId="255C10CA" w:rsidR="00E64FD5" w:rsidRDefault="00427B01" w:rsidP="00717791">
      <w:pPr>
        <w:pStyle w:val="a9"/>
        <w:spacing w:after="0"/>
        <w:ind w:left="0"/>
        <w:jc w:val="both"/>
        <w:rPr>
          <w:rtl/>
        </w:rPr>
      </w:pPr>
      <w:r>
        <w:rPr>
          <w:rFonts w:hint="cs"/>
          <w:rtl/>
        </w:rPr>
        <w:t>במקרה שלפנינו אין מדובר בהלכה למשה מסיני ולכן התקנת תקנות יכולה לפתור את הבעיה שגורמת לאנשים שלא לפנות לבית הדין הרבני.</w:t>
      </w:r>
    </w:p>
    <w:p w14:paraId="57FCE9FA" w14:textId="31A3BC06" w:rsidR="007A3035" w:rsidRDefault="001451BC" w:rsidP="00717791">
      <w:pPr>
        <w:pStyle w:val="a9"/>
        <w:spacing w:after="0"/>
        <w:ind w:left="0"/>
        <w:jc w:val="both"/>
        <w:rPr>
          <w:rtl/>
        </w:rPr>
      </w:pPr>
      <w:r>
        <w:rPr>
          <w:rFonts w:hint="cs"/>
          <w:rtl/>
        </w:rPr>
        <w:t>תקנה המאפשרת לבתי הדין לחייב הוצאות בית משפט והפרשי ריבית והצמדה היא אפשרית והיא לא סותרת איסורים. ישנו כלל "אין אדם מעמיד עצמו על ממונו</w:t>
      </w:r>
      <w:r w:rsidR="00CC744D">
        <w:rPr>
          <w:rFonts w:hint="cs"/>
          <w:rtl/>
        </w:rPr>
        <w:t>" (טבע האדם הוא</w:t>
      </w:r>
      <w:r w:rsidR="0030501B">
        <w:rPr>
          <w:rFonts w:hint="cs"/>
          <w:rtl/>
        </w:rPr>
        <w:t xml:space="preserve"> לרצות תמיד להציל את ממונו) על יסוד זה קבעו חז"ל תקנה </w:t>
      </w:r>
      <w:r w:rsidR="00B72F3B">
        <w:rPr>
          <w:rFonts w:hint="cs"/>
          <w:rtl/>
        </w:rPr>
        <w:t>שקובעת שמי שהחשיך לו בערב שבת יכול להביא את הכסף שלו לגוי שיטלטל אותם מחשש שהאדם יעשה זאת בעצמו- התירו איסור קל על מנת שלא יבוצע איסור חמור יותר.</w:t>
      </w:r>
      <w:r w:rsidR="00742D07">
        <w:rPr>
          <w:rFonts w:hint="cs"/>
          <w:rtl/>
        </w:rPr>
        <w:t xml:space="preserve"> כלומר במקום שיש חשש שאדם יעבור על איסור דאורייתא יש לשקול להתיר לו לעבור על איסור דרבנן.</w:t>
      </w:r>
      <w:r w:rsidR="004C048F">
        <w:rPr>
          <w:rFonts w:hint="cs"/>
          <w:rtl/>
        </w:rPr>
        <w:t xml:space="preserve"> אם כך במקרה הנ"ל שהתקנת תקנות היא לא מעבר על איסור קל וחומר שצרי</w:t>
      </w:r>
      <w:r w:rsidR="006517A0">
        <w:rPr>
          <w:rFonts w:hint="cs"/>
          <w:rtl/>
        </w:rPr>
        <w:t>ך</w:t>
      </w:r>
      <w:r w:rsidR="004C048F">
        <w:rPr>
          <w:rFonts w:hint="cs"/>
          <w:rtl/>
        </w:rPr>
        <w:t xml:space="preserve"> להתקין תקנות על מנת למנוע איסור הליכה לערכאות.</w:t>
      </w:r>
    </w:p>
    <w:p w14:paraId="7A87631A" w14:textId="6652DB1B" w:rsidR="006517A0" w:rsidRDefault="006517A0" w:rsidP="00717791">
      <w:pPr>
        <w:pStyle w:val="a9"/>
        <w:spacing w:after="0"/>
        <w:ind w:left="0"/>
        <w:jc w:val="both"/>
        <w:rPr>
          <w:rtl/>
        </w:rPr>
      </w:pPr>
      <w:r>
        <w:rPr>
          <w:rFonts w:hint="cs"/>
          <w:rtl/>
        </w:rPr>
        <w:lastRenderedPageBreak/>
        <w:t xml:space="preserve">הצורך בהתקנת תקנת הוא לא רק לעניינים טכניים אלא גם לעניינים </w:t>
      </w:r>
      <w:r w:rsidRPr="006517A0">
        <w:rPr>
          <w:rFonts w:hint="cs"/>
          <w:b/>
          <w:bCs/>
          <w:rtl/>
        </w:rPr>
        <w:t>מהותיים</w:t>
      </w:r>
      <w:r w:rsidR="00706CC5">
        <w:rPr>
          <w:rFonts w:hint="cs"/>
          <w:rtl/>
        </w:rPr>
        <w:t xml:space="preserve"> שבהם התפיסה המשפטית השוררת לא תואמת את ההלכה היהודית.</w:t>
      </w:r>
    </w:p>
    <w:p w14:paraId="13AC7D58" w14:textId="4CDE5267" w:rsidR="003109B7" w:rsidRDefault="003109B7" w:rsidP="00717791">
      <w:pPr>
        <w:pStyle w:val="a9"/>
        <w:spacing w:after="0"/>
        <w:ind w:left="0"/>
        <w:jc w:val="both"/>
        <w:rPr>
          <w:rtl/>
        </w:rPr>
      </w:pPr>
      <w:r>
        <w:rPr>
          <w:rFonts w:hint="cs"/>
          <w:rtl/>
        </w:rPr>
        <w:t xml:space="preserve">לדוג' תביעת נזיקין של גרמא לא תתקבל בבית דין רבני ולכן אנשים יפנו לבית משפט אזרחי כדי </w:t>
      </w:r>
      <w:r w:rsidR="001D61BC">
        <w:rPr>
          <w:rFonts w:hint="cs"/>
          <w:rtl/>
        </w:rPr>
        <w:t>לדרוש את הפיצוי.</w:t>
      </w:r>
    </w:p>
    <w:p w14:paraId="080C05B3" w14:textId="21E5AAD1" w:rsidR="001D61BC" w:rsidRPr="00E909B2" w:rsidRDefault="001D61BC" w:rsidP="00717791">
      <w:pPr>
        <w:pStyle w:val="a9"/>
        <w:spacing w:after="0"/>
        <w:ind w:left="0"/>
        <w:jc w:val="both"/>
        <w:rPr>
          <w:u w:val="single"/>
          <w:rtl/>
        </w:rPr>
      </w:pPr>
      <w:proofErr w:type="spellStart"/>
      <w:r w:rsidRPr="00E909B2">
        <w:rPr>
          <w:rFonts w:hint="cs"/>
          <w:u w:val="single"/>
          <w:rtl/>
        </w:rPr>
        <w:t>מוהר"א</w:t>
      </w:r>
      <w:proofErr w:type="spellEnd"/>
      <w:r w:rsidRPr="00E909B2">
        <w:rPr>
          <w:rFonts w:hint="cs"/>
          <w:u w:val="single"/>
          <w:rtl/>
        </w:rPr>
        <w:t xml:space="preserve"> שפירא:</w:t>
      </w:r>
    </w:p>
    <w:p w14:paraId="02D6C7C8" w14:textId="235CFEA4" w:rsidR="001D61BC" w:rsidRDefault="001D61BC" w:rsidP="00717791">
      <w:pPr>
        <w:pStyle w:val="a9"/>
        <w:spacing w:after="0"/>
        <w:ind w:left="0"/>
        <w:jc w:val="both"/>
        <w:rPr>
          <w:rtl/>
        </w:rPr>
      </w:pPr>
      <w:r>
        <w:rPr>
          <w:rFonts w:hint="cs"/>
          <w:rtl/>
        </w:rPr>
        <w:t xml:space="preserve">יש טעם היום להכיר בגרמא בנזיקין </w:t>
      </w:r>
      <w:r w:rsidR="00490F28">
        <w:rPr>
          <w:rFonts w:hint="cs"/>
          <w:rtl/>
        </w:rPr>
        <w:t xml:space="preserve"> כפירוש רחב של גרמי מכוון שאי אפשר להגיד שזה סותר את הדין. הרי גם במקרה יש חיוב בידי שמיים.</w:t>
      </w:r>
    </w:p>
    <w:p w14:paraId="41A1A2DC" w14:textId="715E6FDD" w:rsidR="00490F28" w:rsidRPr="00E909B2" w:rsidRDefault="00E909B2" w:rsidP="00717791">
      <w:pPr>
        <w:pStyle w:val="a9"/>
        <w:spacing w:after="0"/>
        <w:ind w:left="0"/>
        <w:jc w:val="both"/>
        <w:rPr>
          <w:u w:val="single"/>
          <w:rtl/>
        </w:rPr>
      </w:pPr>
      <w:r w:rsidRPr="00E909B2">
        <w:rPr>
          <w:rFonts w:hint="cs"/>
          <w:u w:val="single"/>
          <w:rtl/>
        </w:rPr>
        <w:t>הרב הראשי הרב מרדכי אליהו:</w:t>
      </w:r>
    </w:p>
    <w:p w14:paraId="4EF66C9E" w14:textId="515F8934" w:rsidR="00E909B2" w:rsidRDefault="00E909B2" w:rsidP="00717791">
      <w:pPr>
        <w:pStyle w:val="a9"/>
        <w:spacing w:after="0"/>
        <w:ind w:left="0"/>
        <w:jc w:val="both"/>
        <w:rPr>
          <w:rtl/>
        </w:rPr>
      </w:pPr>
      <w:r>
        <w:rPr>
          <w:rFonts w:hint="cs"/>
          <w:rtl/>
        </w:rPr>
        <w:t>יש צורך בהתקנת תקנות בעניינים חשובים אבל יש להיזהר מאוד שלא להגיע למצב בו אנחנו משווים עצמנו לדיני הגויים.</w:t>
      </w:r>
    </w:p>
    <w:p w14:paraId="1AC479F8" w14:textId="07A71299" w:rsidR="00E64FD5" w:rsidRPr="007744C7" w:rsidRDefault="00461765" w:rsidP="00717791">
      <w:pPr>
        <w:pStyle w:val="a9"/>
        <w:spacing w:after="0"/>
        <w:ind w:left="0"/>
        <w:jc w:val="both"/>
        <w:rPr>
          <w:u w:val="single"/>
          <w:rtl/>
        </w:rPr>
      </w:pPr>
      <w:r w:rsidRPr="007744C7">
        <w:rPr>
          <w:rFonts w:hint="cs"/>
          <w:u w:val="single"/>
          <w:rtl/>
        </w:rPr>
        <w:t>הריא"ה הרצוג:</w:t>
      </w:r>
    </w:p>
    <w:p w14:paraId="2F812883" w14:textId="40A24FD2" w:rsidR="00461765" w:rsidRDefault="007744C7" w:rsidP="00717791">
      <w:pPr>
        <w:pStyle w:val="a9"/>
        <w:spacing w:after="0"/>
        <w:ind w:left="0"/>
        <w:jc w:val="both"/>
        <w:rPr>
          <w:rtl/>
        </w:rPr>
      </w:pPr>
      <w:r>
        <w:rPr>
          <w:rFonts w:hint="cs"/>
          <w:rtl/>
        </w:rPr>
        <w:t xml:space="preserve">הוספת תקנות תגדיל את כוחם של בתי הדין הרבניים ותגרום להם להיות יותר </w:t>
      </w:r>
      <w:proofErr w:type="spellStart"/>
      <w:r>
        <w:rPr>
          <w:rFonts w:hint="cs"/>
          <w:rtl/>
        </w:rPr>
        <w:t>רלוונטים</w:t>
      </w:r>
      <w:proofErr w:type="spellEnd"/>
      <w:r>
        <w:rPr>
          <w:rFonts w:hint="cs"/>
          <w:rtl/>
        </w:rPr>
        <w:t>.</w:t>
      </w:r>
    </w:p>
    <w:p w14:paraId="3CB9F04C" w14:textId="44446129" w:rsidR="00E64FD5" w:rsidRDefault="00E64FD5" w:rsidP="00717791">
      <w:pPr>
        <w:pStyle w:val="a9"/>
        <w:spacing w:after="0"/>
        <w:ind w:left="0"/>
        <w:jc w:val="both"/>
        <w:rPr>
          <w:rtl/>
        </w:rPr>
      </w:pPr>
    </w:p>
    <w:p w14:paraId="06BCDFD1" w14:textId="398B2D9D" w:rsidR="00E64FD5" w:rsidRDefault="00E64FD5" w:rsidP="00717791">
      <w:pPr>
        <w:pStyle w:val="a9"/>
        <w:spacing w:after="0"/>
        <w:ind w:left="0"/>
        <w:jc w:val="both"/>
        <w:rPr>
          <w:rtl/>
        </w:rPr>
      </w:pPr>
    </w:p>
    <w:p w14:paraId="2B61A126" w14:textId="7B8D7A0F" w:rsidR="00D939BD" w:rsidRDefault="00D939BD" w:rsidP="00717791">
      <w:pPr>
        <w:pStyle w:val="a9"/>
        <w:spacing w:after="0"/>
        <w:ind w:left="0"/>
        <w:jc w:val="both"/>
        <w:rPr>
          <w:rtl/>
        </w:rPr>
      </w:pPr>
    </w:p>
    <w:p w14:paraId="7D908EF3" w14:textId="13FD8E54" w:rsidR="00D939BD" w:rsidRDefault="00D939BD" w:rsidP="00717791">
      <w:pPr>
        <w:pStyle w:val="a9"/>
        <w:spacing w:after="0"/>
        <w:ind w:left="0"/>
        <w:jc w:val="both"/>
        <w:rPr>
          <w:rtl/>
        </w:rPr>
      </w:pPr>
    </w:p>
    <w:p w14:paraId="0149D9DA" w14:textId="09372F8E" w:rsidR="00D939BD" w:rsidRDefault="00D939BD" w:rsidP="00717791">
      <w:pPr>
        <w:pStyle w:val="a9"/>
        <w:spacing w:after="0"/>
        <w:ind w:left="0"/>
        <w:jc w:val="both"/>
        <w:rPr>
          <w:rtl/>
        </w:rPr>
      </w:pPr>
    </w:p>
    <w:p w14:paraId="25280646" w14:textId="77777777" w:rsidR="00D939BD" w:rsidRPr="00AD4527" w:rsidRDefault="00D939BD" w:rsidP="00717791">
      <w:pPr>
        <w:pStyle w:val="a9"/>
        <w:spacing w:after="0"/>
        <w:ind w:left="0"/>
        <w:jc w:val="both"/>
      </w:pPr>
    </w:p>
    <w:sectPr w:rsidR="00D939BD" w:rsidRPr="00AD4527" w:rsidSect="00617D2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C1420" w14:textId="77777777" w:rsidR="004D7180" w:rsidRDefault="004D7180" w:rsidP="00305807">
      <w:pPr>
        <w:spacing w:after="0" w:line="240" w:lineRule="auto"/>
      </w:pPr>
      <w:r>
        <w:separator/>
      </w:r>
    </w:p>
  </w:endnote>
  <w:endnote w:type="continuationSeparator" w:id="0">
    <w:p w14:paraId="7C0189FA" w14:textId="77777777" w:rsidR="004D7180" w:rsidRDefault="004D7180" w:rsidP="0030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368799561"/>
      <w:docPartObj>
        <w:docPartGallery w:val="Page Numbers (Bottom of Page)"/>
        <w:docPartUnique/>
      </w:docPartObj>
    </w:sdtPr>
    <w:sdtEndPr/>
    <w:sdtContent>
      <w:p w14:paraId="6B7B28C2" w14:textId="60DA1102" w:rsidR="00CD5A49" w:rsidRDefault="00CD5A49">
        <w:pPr>
          <w:pStyle w:val="ae"/>
          <w:jc w:val="center"/>
        </w:pPr>
        <w:r>
          <w:fldChar w:fldCharType="begin"/>
        </w:r>
        <w:r>
          <w:instrText>PAGE   \* MERGEFORMAT</w:instrText>
        </w:r>
        <w:r>
          <w:fldChar w:fldCharType="separate"/>
        </w:r>
        <w:r>
          <w:rPr>
            <w:rtl/>
            <w:lang w:val="he-IL"/>
          </w:rPr>
          <w:t>2</w:t>
        </w:r>
        <w:r>
          <w:fldChar w:fldCharType="end"/>
        </w:r>
      </w:p>
    </w:sdtContent>
  </w:sdt>
  <w:p w14:paraId="5F6B5474" w14:textId="77777777" w:rsidR="00CD5A49" w:rsidRDefault="00CD5A4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5DD96" w14:textId="77777777" w:rsidR="004D7180" w:rsidRDefault="004D7180" w:rsidP="00305807">
      <w:pPr>
        <w:spacing w:after="0" w:line="240" w:lineRule="auto"/>
      </w:pPr>
      <w:r>
        <w:separator/>
      </w:r>
    </w:p>
  </w:footnote>
  <w:footnote w:type="continuationSeparator" w:id="0">
    <w:p w14:paraId="432B5625" w14:textId="77777777" w:rsidR="004D7180" w:rsidRDefault="004D7180" w:rsidP="0030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6E7B9" w14:textId="73284146" w:rsidR="00305807" w:rsidRPr="00CD5A49" w:rsidRDefault="00305807" w:rsidP="00CD5A49">
    <w:pPr>
      <w:pStyle w:val="ac"/>
      <w:jc w:val="center"/>
      <w:rPr>
        <w:sz w:val="18"/>
        <w:szCs w:val="18"/>
        <w:rtl/>
      </w:rPr>
    </w:pPr>
    <w:r w:rsidRPr="00CD5A49">
      <w:rPr>
        <w:rFonts w:hint="cs"/>
        <w:sz w:val="18"/>
        <w:szCs w:val="18"/>
        <w:rtl/>
      </w:rPr>
      <w:t>בס"ד</w:t>
    </w:r>
    <w:r w:rsidR="00CD5A49">
      <w:rPr>
        <w:b/>
        <w:bCs/>
        <w:sz w:val="20"/>
        <w:szCs w:val="20"/>
        <w:rtl/>
      </w:rPr>
      <w:tab/>
    </w:r>
    <w:r w:rsidR="00CD5A49" w:rsidRPr="00CD5A49">
      <w:rPr>
        <w:rFonts w:hint="cs"/>
        <w:b/>
        <w:bCs/>
        <w:sz w:val="20"/>
        <w:szCs w:val="20"/>
        <w:rtl/>
      </w:rPr>
      <w:t xml:space="preserve"> סיכום מאמר פרופ' אליאב שטוחמן "מעמדם המשפטי של בתי המשפט במדינת ישראל"</w:t>
    </w:r>
    <w:r w:rsidR="00CD5A49">
      <w:rPr>
        <w:b/>
        <w:bCs/>
        <w:sz w:val="20"/>
        <w:szCs w:val="20"/>
        <w:rtl/>
      </w:rPr>
      <w:tab/>
    </w:r>
    <w:r w:rsidR="00CD5A49" w:rsidRPr="00CD5A49">
      <w:rPr>
        <w:rFonts w:hint="cs"/>
        <w:sz w:val="18"/>
        <w:szCs w:val="18"/>
        <w:rtl/>
      </w:rPr>
      <w:t>יפעת סלע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1E8E"/>
    <w:multiLevelType w:val="hybridMultilevel"/>
    <w:tmpl w:val="5A46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90B63"/>
    <w:multiLevelType w:val="multilevel"/>
    <w:tmpl w:val="FC5AA090"/>
    <w:styleLink w:val="a"/>
    <w:lvl w:ilvl="0">
      <w:start w:val="1"/>
      <w:numFmt w:val="decimal"/>
      <w:isLgl/>
      <w:lvlText w:val="%1"/>
      <w:lvlJc w:val="left"/>
      <w:pPr>
        <w:ind w:left="502" w:hanging="360"/>
      </w:pPr>
      <w:rPr>
        <w:rFonts w:ascii="David" w:hAnsi="David" w:cs="David" w:hint="default"/>
        <w:b/>
        <w:color w:val="auto"/>
      </w:rPr>
    </w:lvl>
    <w:lvl w:ilvl="1">
      <w:start w:val="1"/>
      <w:numFmt w:val="hebrew1"/>
      <w:lvlText w:val="%2)"/>
      <w:lvlJc w:val="left"/>
      <w:pPr>
        <w:ind w:left="720" w:hanging="360"/>
      </w:pPr>
      <w:rPr>
        <w:rFonts w:hint="default"/>
      </w:rPr>
    </w:lvl>
    <w:lvl w:ilvl="2">
      <w:start w:val="1"/>
      <w:numFmt w:val="bullet"/>
      <w:lvlText w:val=""/>
      <w:lvlJc w:val="left"/>
      <w:pPr>
        <w:ind w:left="1080" w:hanging="360"/>
      </w:pPr>
      <w:rPr>
        <w:rFonts w:ascii="Symbol" w:hAnsi="Symbol" w:cs="Times New Roman" w:hint="default"/>
        <w:color w:val="auto"/>
      </w:rPr>
    </w:lvl>
    <w:lvl w:ilvl="3">
      <w:start w:val="1"/>
      <w:numFmt w:val="hebrew1"/>
      <w:lvlText w:val="%4"/>
      <w:lvlJc w:val="left"/>
      <w:pPr>
        <w:ind w:left="1440" w:hanging="360"/>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5F6408"/>
    <w:multiLevelType w:val="multilevel"/>
    <w:tmpl w:val="C5CE02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5A21A0"/>
    <w:multiLevelType w:val="multilevel"/>
    <w:tmpl w:val="A2B485AA"/>
    <w:lvl w:ilvl="0">
      <w:start w:val="1"/>
      <w:numFmt w:val="hebrew1"/>
      <w:lvlText w:val="%1."/>
      <w:lvlJc w:val="left"/>
      <w:pPr>
        <w:ind w:left="360" w:hanging="360"/>
      </w:pPr>
      <w:rPr>
        <w:rFonts w:ascii="David" w:hAnsi="David" w:cs="David" w:hint="default"/>
        <w:b/>
        <w:bCs/>
        <w:i w:val="0"/>
        <w:color w:val="auto"/>
        <w:sz w:val="28"/>
        <w:szCs w:val="28"/>
      </w:rPr>
    </w:lvl>
    <w:lvl w:ilvl="1">
      <w:start w:val="1"/>
      <w:numFmt w:val="decimal"/>
      <w:lvlText w:val="%2."/>
      <w:lvlJc w:val="left"/>
      <w:pPr>
        <w:ind w:left="720" w:hanging="360"/>
      </w:pPr>
      <w:rPr>
        <w:rFonts w:ascii="David" w:hAnsi="David" w:cs="David" w:hint="default"/>
        <w:bCs/>
        <w:szCs w:val="24"/>
      </w:rPr>
    </w:lvl>
    <w:lvl w:ilvl="2">
      <w:start w:val="1"/>
      <w:numFmt w:val="hebrew1"/>
      <w:lvlText w:val="(%3)"/>
      <w:lvlJc w:val="left"/>
      <w:pPr>
        <w:ind w:left="1080" w:hanging="360"/>
      </w:pPr>
      <w:rPr>
        <w:rFonts w:cs="David" w:hint="default"/>
        <w:bCs/>
        <w:color w:val="auto"/>
        <w:szCs w:val="24"/>
      </w:rPr>
    </w:lvl>
    <w:lvl w:ilvl="3">
      <w:start w:val="1"/>
      <w:numFmt w:val="decimal"/>
      <w:lvlText w:val="(%4)"/>
      <w:lvlJc w:val="left"/>
      <w:pPr>
        <w:ind w:left="1440" w:hanging="360"/>
      </w:pPr>
      <w:rPr>
        <w:rFonts w:ascii="David" w:hAnsi="David" w:cs="David" w:hint="default"/>
        <w:b/>
        <w:bCs/>
        <w:color w:val="auto"/>
        <w:szCs w:val="22"/>
      </w:rPr>
    </w:lvl>
    <w:lvl w:ilvl="4">
      <w:start w:val="1"/>
      <w:numFmt w:val="bullet"/>
      <w:lvlText w:val=""/>
      <w:lvlJc w:val="left"/>
      <w:pPr>
        <w:ind w:left="1800" w:hanging="360"/>
      </w:pPr>
      <w:rPr>
        <w:rFonts w:ascii="Symbol" w:hAnsi="Symbol" w:cs="David" w:hint="default"/>
        <w:color w:val="auto"/>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FB568E4"/>
    <w:multiLevelType w:val="hybridMultilevel"/>
    <w:tmpl w:val="4A0C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11F17"/>
    <w:multiLevelType w:val="hybridMultilevel"/>
    <w:tmpl w:val="95D824A6"/>
    <w:lvl w:ilvl="0" w:tplc="13AAA7F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31822"/>
    <w:multiLevelType w:val="hybridMultilevel"/>
    <w:tmpl w:val="DE5C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A6B36"/>
    <w:multiLevelType w:val="multilevel"/>
    <w:tmpl w:val="0E308BE0"/>
    <w:lvl w:ilvl="0">
      <w:start w:val="1"/>
      <w:numFmt w:val="hebrew1"/>
      <w:lvlText w:val="%1."/>
      <w:lvlJc w:val="left"/>
      <w:pPr>
        <w:ind w:left="360" w:hanging="360"/>
      </w:pPr>
      <w:rPr>
        <w:rFonts w:ascii="David" w:hAnsi="David" w:cs="David" w:hint="default"/>
        <w:b/>
        <w:bCs/>
        <w:i w:val="0"/>
        <w:color w:val="auto"/>
        <w:sz w:val="28"/>
        <w:szCs w:val="28"/>
      </w:rPr>
    </w:lvl>
    <w:lvl w:ilvl="1">
      <w:start w:val="1"/>
      <w:numFmt w:val="decimal"/>
      <w:lvlText w:val="%2."/>
      <w:lvlJc w:val="left"/>
      <w:pPr>
        <w:ind w:left="720" w:hanging="360"/>
      </w:pPr>
      <w:rPr>
        <w:rFonts w:ascii="David" w:hAnsi="David" w:cs="David" w:hint="default"/>
        <w:bCs/>
        <w:szCs w:val="24"/>
      </w:rPr>
    </w:lvl>
    <w:lvl w:ilvl="2">
      <w:start w:val="1"/>
      <w:numFmt w:val="hebrew1"/>
      <w:lvlText w:val="(%3)"/>
      <w:lvlJc w:val="left"/>
      <w:pPr>
        <w:ind w:left="1080" w:hanging="360"/>
      </w:pPr>
      <w:rPr>
        <w:rFonts w:cs="David" w:hint="default"/>
        <w:bCs/>
        <w:color w:val="auto"/>
        <w:szCs w:val="24"/>
      </w:rPr>
    </w:lvl>
    <w:lvl w:ilvl="3">
      <w:start w:val="1"/>
      <w:numFmt w:val="decimal"/>
      <w:lvlText w:val="(%4)"/>
      <w:lvlJc w:val="left"/>
      <w:pPr>
        <w:ind w:left="1440" w:hanging="360"/>
      </w:pPr>
      <w:rPr>
        <w:rFonts w:ascii="David" w:hAnsi="David" w:cs="David" w:hint="default"/>
        <w:b/>
        <w:bCs/>
        <w:color w:val="auto"/>
        <w:szCs w:val="22"/>
      </w:rPr>
    </w:lvl>
    <w:lvl w:ilvl="4">
      <w:start w:val="1"/>
      <w:numFmt w:val="bullet"/>
      <w:lvlText w:val=""/>
      <w:lvlJc w:val="left"/>
      <w:pPr>
        <w:ind w:left="1800" w:hanging="360"/>
      </w:pPr>
      <w:rPr>
        <w:rFonts w:ascii="Symbol" w:hAnsi="Symbol" w:cs="David" w:hint="default"/>
        <w:color w:val="auto"/>
        <w:szCs w:val="22"/>
      </w:rPr>
    </w:lvl>
    <w:lvl w:ilvl="5">
      <w:start w:val="1"/>
      <w:numFmt w:val="bullet"/>
      <w:lvlText w:val="o"/>
      <w:lvlJc w:val="left"/>
      <w:pPr>
        <w:ind w:left="2160" w:hanging="360"/>
      </w:pPr>
      <w:rPr>
        <w:rFonts w:ascii="Courier New" w:hAnsi="Courier New" w:cs="Courier New" w:hint="default"/>
        <w:bCs/>
        <w:sz w:val="22"/>
      </w:rPr>
    </w:lvl>
    <w:lvl w:ilvl="6">
      <w:start w:val="1"/>
      <w:numFmt w:val="bullet"/>
      <w:lvlText w:val=""/>
      <w:lvlJc w:val="left"/>
      <w:pPr>
        <w:ind w:left="2520" w:hanging="360"/>
      </w:pPr>
      <w:rPr>
        <w:rFonts w:ascii="Symbol" w:hAnsi="Symbol" w:cs="Symbol" w:hint="default"/>
        <w:color w:val="FF000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133DFB"/>
    <w:multiLevelType w:val="hybridMultilevel"/>
    <w:tmpl w:val="3738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885123"/>
    <w:multiLevelType w:val="hybridMultilevel"/>
    <w:tmpl w:val="E5F0B7C0"/>
    <w:lvl w:ilvl="0" w:tplc="A6801E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7"/>
  </w:num>
  <w:num w:numId="5">
    <w:abstractNumId w:val="2"/>
  </w:num>
  <w:num w:numId="6">
    <w:abstractNumId w:val="2"/>
  </w:num>
  <w:num w:numId="7">
    <w:abstractNumId w:val="2"/>
  </w:num>
  <w:num w:numId="8">
    <w:abstractNumId w:val="1"/>
  </w:num>
  <w:num w:numId="9">
    <w:abstractNumId w:val="2"/>
  </w:num>
  <w:num w:numId="10">
    <w:abstractNumId w:val="1"/>
  </w:num>
  <w:num w:numId="11">
    <w:abstractNumId w:val="1"/>
  </w:num>
  <w:num w:numId="12">
    <w:abstractNumId w:val="5"/>
  </w:num>
  <w:num w:numId="13">
    <w:abstractNumId w:val="9"/>
  </w:num>
  <w:num w:numId="14">
    <w:abstractNumId w:val="3"/>
  </w:num>
  <w:num w:numId="15">
    <w:abstractNumId w:val="8"/>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17"/>
    <w:rsid w:val="00002FDD"/>
    <w:rsid w:val="000164FF"/>
    <w:rsid w:val="00022165"/>
    <w:rsid w:val="00031013"/>
    <w:rsid w:val="0004226B"/>
    <w:rsid w:val="00054606"/>
    <w:rsid w:val="000634FC"/>
    <w:rsid w:val="00090109"/>
    <w:rsid w:val="0009305D"/>
    <w:rsid w:val="000B2F0B"/>
    <w:rsid w:val="000E043F"/>
    <w:rsid w:val="000E542B"/>
    <w:rsid w:val="000E7D5E"/>
    <w:rsid w:val="00107529"/>
    <w:rsid w:val="001252AF"/>
    <w:rsid w:val="00131514"/>
    <w:rsid w:val="00140A27"/>
    <w:rsid w:val="00144A9F"/>
    <w:rsid w:val="001451BC"/>
    <w:rsid w:val="00146A9E"/>
    <w:rsid w:val="001520AC"/>
    <w:rsid w:val="0016627E"/>
    <w:rsid w:val="00166C4E"/>
    <w:rsid w:val="00170440"/>
    <w:rsid w:val="00195B21"/>
    <w:rsid w:val="001A14F7"/>
    <w:rsid w:val="001C567D"/>
    <w:rsid w:val="001D61BC"/>
    <w:rsid w:val="001F3A3E"/>
    <w:rsid w:val="001F4299"/>
    <w:rsid w:val="00201160"/>
    <w:rsid w:val="002026EC"/>
    <w:rsid w:val="00202A9C"/>
    <w:rsid w:val="00212F47"/>
    <w:rsid w:val="00214DCF"/>
    <w:rsid w:val="00216B75"/>
    <w:rsid w:val="002356A6"/>
    <w:rsid w:val="002435DC"/>
    <w:rsid w:val="002473B0"/>
    <w:rsid w:val="002500B1"/>
    <w:rsid w:val="00260D25"/>
    <w:rsid w:val="0027335D"/>
    <w:rsid w:val="002749D8"/>
    <w:rsid w:val="00283945"/>
    <w:rsid w:val="002879B0"/>
    <w:rsid w:val="00291080"/>
    <w:rsid w:val="002B6231"/>
    <w:rsid w:val="002C104A"/>
    <w:rsid w:val="002C602C"/>
    <w:rsid w:val="002D373C"/>
    <w:rsid w:val="002D43E8"/>
    <w:rsid w:val="002E03E6"/>
    <w:rsid w:val="0030501B"/>
    <w:rsid w:val="00305807"/>
    <w:rsid w:val="00307963"/>
    <w:rsid w:val="003109B7"/>
    <w:rsid w:val="00316ADE"/>
    <w:rsid w:val="0032170A"/>
    <w:rsid w:val="003341B2"/>
    <w:rsid w:val="0034468A"/>
    <w:rsid w:val="00350893"/>
    <w:rsid w:val="00351A61"/>
    <w:rsid w:val="00355708"/>
    <w:rsid w:val="00370D65"/>
    <w:rsid w:val="00375D40"/>
    <w:rsid w:val="00376C60"/>
    <w:rsid w:val="00382301"/>
    <w:rsid w:val="003B326F"/>
    <w:rsid w:val="00406E7E"/>
    <w:rsid w:val="00427482"/>
    <w:rsid w:val="00427B01"/>
    <w:rsid w:val="00442683"/>
    <w:rsid w:val="00446E4F"/>
    <w:rsid w:val="00461765"/>
    <w:rsid w:val="00472BB3"/>
    <w:rsid w:val="00481967"/>
    <w:rsid w:val="00490F28"/>
    <w:rsid w:val="00492C9D"/>
    <w:rsid w:val="0049641C"/>
    <w:rsid w:val="004B1250"/>
    <w:rsid w:val="004B2301"/>
    <w:rsid w:val="004C048F"/>
    <w:rsid w:val="004C192F"/>
    <w:rsid w:val="004C4A1B"/>
    <w:rsid w:val="004D5307"/>
    <w:rsid w:val="004D7180"/>
    <w:rsid w:val="004F0BC4"/>
    <w:rsid w:val="00502D14"/>
    <w:rsid w:val="005141A7"/>
    <w:rsid w:val="00521094"/>
    <w:rsid w:val="00526CAB"/>
    <w:rsid w:val="00533EDA"/>
    <w:rsid w:val="00541B19"/>
    <w:rsid w:val="005626D1"/>
    <w:rsid w:val="0057409A"/>
    <w:rsid w:val="00582616"/>
    <w:rsid w:val="00587CE3"/>
    <w:rsid w:val="00590CB9"/>
    <w:rsid w:val="005A4201"/>
    <w:rsid w:val="005A74BF"/>
    <w:rsid w:val="005B0FF2"/>
    <w:rsid w:val="005C27D0"/>
    <w:rsid w:val="005D3884"/>
    <w:rsid w:val="005D517C"/>
    <w:rsid w:val="005D5B08"/>
    <w:rsid w:val="005D6DF2"/>
    <w:rsid w:val="005E0B97"/>
    <w:rsid w:val="005F6A00"/>
    <w:rsid w:val="0060034C"/>
    <w:rsid w:val="00602421"/>
    <w:rsid w:val="00617D23"/>
    <w:rsid w:val="00621F9C"/>
    <w:rsid w:val="0062453D"/>
    <w:rsid w:val="00625BB8"/>
    <w:rsid w:val="00631617"/>
    <w:rsid w:val="006517A0"/>
    <w:rsid w:val="00651DEB"/>
    <w:rsid w:val="00653547"/>
    <w:rsid w:val="006549B1"/>
    <w:rsid w:val="00663350"/>
    <w:rsid w:val="006660B0"/>
    <w:rsid w:val="006866AC"/>
    <w:rsid w:val="006A14A1"/>
    <w:rsid w:val="006A3A16"/>
    <w:rsid w:val="006A527A"/>
    <w:rsid w:val="006B4534"/>
    <w:rsid w:val="006B5ED1"/>
    <w:rsid w:val="006C3BCC"/>
    <w:rsid w:val="006C43A9"/>
    <w:rsid w:val="006F07E4"/>
    <w:rsid w:val="006F5CBD"/>
    <w:rsid w:val="00700891"/>
    <w:rsid w:val="007049A9"/>
    <w:rsid w:val="00706CC5"/>
    <w:rsid w:val="00717791"/>
    <w:rsid w:val="00717C17"/>
    <w:rsid w:val="0073103E"/>
    <w:rsid w:val="007400CD"/>
    <w:rsid w:val="00742D07"/>
    <w:rsid w:val="00745535"/>
    <w:rsid w:val="00750ED0"/>
    <w:rsid w:val="00750EE2"/>
    <w:rsid w:val="0075467E"/>
    <w:rsid w:val="0076123F"/>
    <w:rsid w:val="007744C7"/>
    <w:rsid w:val="00782A6A"/>
    <w:rsid w:val="00793BEA"/>
    <w:rsid w:val="00794D61"/>
    <w:rsid w:val="00795D30"/>
    <w:rsid w:val="007A0805"/>
    <w:rsid w:val="007A3035"/>
    <w:rsid w:val="007C5D6B"/>
    <w:rsid w:val="008013E5"/>
    <w:rsid w:val="00807045"/>
    <w:rsid w:val="00816BB4"/>
    <w:rsid w:val="0084024A"/>
    <w:rsid w:val="0085315B"/>
    <w:rsid w:val="00853CE0"/>
    <w:rsid w:val="008825CA"/>
    <w:rsid w:val="008A062A"/>
    <w:rsid w:val="008A247B"/>
    <w:rsid w:val="008A6274"/>
    <w:rsid w:val="008C62FD"/>
    <w:rsid w:val="008D1AE7"/>
    <w:rsid w:val="008E339B"/>
    <w:rsid w:val="008E5E3C"/>
    <w:rsid w:val="008F5446"/>
    <w:rsid w:val="00905DB4"/>
    <w:rsid w:val="0090750C"/>
    <w:rsid w:val="009367E0"/>
    <w:rsid w:val="0094145C"/>
    <w:rsid w:val="0094215B"/>
    <w:rsid w:val="00957DD6"/>
    <w:rsid w:val="00964333"/>
    <w:rsid w:val="009662F0"/>
    <w:rsid w:val="00987AF2"/>
    <w:rsid w:val="00987B37"/>
    <w:rsid w:val="00993950"/>
    <w:rsid w:val="009A3ADB"/>
    <w:rsid w:val="009B2DAD"/>
    <w:rsid w:val="009C6C99"/>
    <w:rsid w:val="009E7934"/>
    <w:rsid w:val="00A14AC9"/>
    <w:rsid w:val="00A16F36"/>
    <w:rsid w:val="00A31D46"/>
    <w:rsid w:val="00A500E5"/>
    <w:rsid w:val="00A7791F"/>
    <w:rsid w:val="00A8159C"/>
    <w:rsid w:val="00A9547A"/>
    <w:rsid w:val="00A96D38"/>
    <w:rsid w:val="00AC03AB"/>
    <w:rsid w:val="00AD4527"/>
    <w:rsid w:val="00AE1182"/>
    <w:rsid w:val="00AE742D"/>
    <w:rsid w:val="00AF07E1"/>
    <w:rsid w:val="00B00817"/>
    <w:rsid w:val="00B04213"/>
    <w:rsid w:val="00B16856"/>
    <w:rsid w:val="00B21781"/>
    <w:rsid w:val="00B231D3"/>
    <w:rsid w:val="00B25B45"/>
    <w:rsid w:val="00B377DB"/>
    <w:rsid w:val="00B53A01"/>
    <w:rsid w:val="00B6135D"/>
    <w:rsid w:val="00B71663"/>
    <w:rsid w:val="00B72F3B"/>
    <w:rsid w:val="00B7767B"/>
    <w:rsid w:val="00BA5A7C"/>
    <w:rsid w:val="00BB3436"/>
    <w:rsid w:val="00BC5835"/>
    <w:rsid w:val="00BD05B4"/>
    <w:rsid w:val="00BD09AD"/>
    <w:rsid w:val="00BE5889"/>
    <w:rsid w:val="00BF75B5"/>
    <w:rsid w:val="00C03FA1"/>
    <w:rsid w:val="00C15D5B"/>
    <w:rsid w:val="00C2556B"/>
    <w:rsid w:val="00C329CB"/>
    <w:rsid w:val="00C42D83"/>
    <w:rsid w:val="00C560B9"/>
    <w:rsid w:val="00C60115"/>
    <w:rsid w:val="00C62028"/>
    <w:rsid w:val="00C74A05"/>
    <w:rsid w:val="00C8059E"/>
    <w:rsid w:val="00C9292D"/>
    <w:rsid w:val="00CA1335"/>
    <w:rsid w:val="00CA5F71"/>
    <w:rsid w:val="00CA6705"/>
    <w:rsid w:val="00CB5474"/>
    <w:rsid w:val="00CC744D"/>
    <w:rsid w:val="00CD112D"/>
    <w:rsid w:val="00CD5A49"/>
    <w:rsid w:val="00CD6F17"/>
    <w:rsid w:val="00CE66C4"/>
    <w:rsid w:val="00CF0B2E"/>
    <w:rsid w:val="00CF4738"/>
    <w:rsid w:val="00D006F0"/>
    <w:rsid w:val="00D06C84"/>
    <w:rsid w:val="00D115D1"/>
    <w:rsid w:val="00D26D0F"/>
    <w:rsid w:val="00D33D41"/>
    <w:rsid w:val="00D513FF"/>
    <w:rsid w:val="00D77AC9"/>
    <w:rsid w:val="00D859DF"/>
    <w:rsid w:val="00D939BD"/>
    <w:rsid w:val="00D94100"/>
    <w:rsid w:val="00DA28E6"/>
    <w:rsid w:val="00DA656F"/>
    <w:rsid w:val="00DC1E52"/>
    <w:rsid w:val="00DC2432"/>
    <w:rsid w:val="00DC6592"/>
    <w:rsid w:val="00DD5B91"/>
    <w:rsid w:val="00DE34F4"/>
    <w:rsid w:val="00DE709F"/>
    <w:rsid w:val="00E02D44"/>
    <w:rsid w:val="00E03D79"/>
    <w:rsid w:val="00E34FC2"/>
    <w:rsid w:val="00E36009"/>
    <w:rsid w:val="00E436B8"/>
    <w:rsid w:val="00E45430"/>
    <w:rsid w:val="00E4622F"/>
    <w:rsid w:val="00E609D7"/>
    <w:rsid w:val="00E64FD5"/>
    <w:rsid w:val="00E74289"/>
    <w:rsid w:val="00E812EC"/>
    <w:rsid w:val="00E909B2"/>
    <w:rsid w:val="00E929F4"/>
    <w:rsid w:val="00E9783F"/>
    <w:rsid w:val="00EA3135"/>
    <w:rsid w:val="00ED04CE"/>
    <w:rsid w:val="00EE39C2"/>
    <w:rsid w:val="00F12A3F"/>
    <w:rsid w:val="00F25917"/>
    <w:rsid w:val="00F307DD"/>
    <w:rsid w:val="00F31CFD"/>
    <w:rsid w:val="00F32046"/>
    <w:rsid w:val="00F321C2"/>
    <w:rsid w:val="00F41DA0"/>
    <w:rsid w:val="00F43716"/>
    <w:rsid w:val="00F507E0"/>
    <w:rsid w:val="00F50D65"/>
    <w:rsid w:val="00F5798F"/>
    <w:rsid w:val="00F61774"/>
    <w:rsid w:val="00F646FA"/>
    <w:rsid w:val="00F724A3"/>
    <w:rsid w:val="00F95F7F"/>
    <w:rsid w:val="00FA5700"/>
    <w:rsid w:val="00FA77BE"/>
    <w:rsid w:val="00FB30B2"/>
    <w:rsid w:val="00FC0971"/>
    <w:rsid w:val="00FE010B"/>
    <w:rsid w:val="00FF5B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73AFE"/>
  <w15:chartTrackingRefBased/>
  <w15:docId w15:val="{96199026-9605-4359-B4EE-39560EF1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avid" w:eastAsiaTheme="minorHAnsi" w:hAnsi="David" w:cs="David"/>
        <w:sz w:val="24"/>
        <w:szCs w:val="24"/>
        <w:lang w:val="en-US" w:eastAsia="en-US" w:bidi="he-IL"/>
      </w:rPr>
    </w:rPrDefault>
    <w:pPrDefault>
      <w:pPr>
        <w:bidi/>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A3ADB"/>
  </w:style>
  <w:style w:type="paragraph" w:styleId="1">
    <w:name w:val="heading 1"/>
    <w:basedOn w:val="a0"/>
    <w:next w:val="a0"/>
    <w:link w:val="10"/>
    <w:uiPriority w:val="9"/>
    <w:qFormat/>
    <w:rsid w:val="009A3A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יפעת עבודות"/>
    <w:uiPriority w:val="99"/>
    <w:rsid w:val="009A3ADB"/>
    <w:pPr>
      <w:numPr>
        <w:numId w:val="1"/>
      </w:numPr>
    </w:pPr>
  </w:style>
  <w:style w:type="paragraph" w:customStyle="1" w:styleId="a4">
    <w:name w:val="יפעת סיכום שיעוריפ"/>
    <w:link w:val="a5"/>
    <w:qFormat/>
    <w:rsid w:val="009A3ADB"/>
    <w:pPr>
      <w:spacing w:line="288" w:lineRule="auto"/>
      <w:ind w:left="357"/>
    </w:pPr>
  </w:style>
  <w:style w:type="character" w:customStyle="1" w:styleId="a5">
    <w:name w:val="יפעת סיכום שיעוריפ תו"/>
    <w:basedOn w:val="a1"/>
    <w:link w:val="a4"/>
    <w:rsid w:val="009A3ADB"/>
    <w:rPr>
      <w:rFonts w:cs="David"/>
      <w:szCs w:val="24"/>
    </w:rPr>
  </w:style>
  <w:style w:type="paragraph" w:customStyle="1" w:styleId="a6">
    <w:name w:val="יפעת סיכום שיעורים"/>
    <w:link w:val="a7"/>
    <w:autoRedefine/>
    <w:qFormat/>
    <w:rsid w:val="009A3ADB"/>
    <w:pPr>
      <w:spacing w:line="288" w:lineRule="auto"/>
    </w:pPr>
  </w:style>
  <w:style w:type="character" w:customStyle="1" w:styleId="a7">
    <w:name w:val="יפעת סיכום שיעורים תו"/>
    <w:basedOn w:val="a1"/>
    <w:link w:val="a6"/>
    <w:rsid w:val="009A3ADB"/>
    <w:rPr>
      <w:rFonts w:cs="David"/>
      <w:szCs w:val="24"/>
    </w:rPr>
  </w:style>
  <w:style w:type="paragraph" w:customStyle="1" w:styleId="a8">
    <w:name w:val="סיכום"/>
    <w:basedOn w:val="a9"/>
    <w:link w:val="aa"/>
    <w:rsid w:val="009A3ADB"/>
    <w:pPr>
      <w:ind w:left="360" w:hanging="360"/>
    </w:pPr>
  </w:style>
  <w:style w:type="character" w:customStyle="1" w:styleId="aa">
    <w:name w:val="סיכום תו"/>
    <w:basedOn w:val="a1"/>
    <w:link w:val="a8"/>
    <w:rsid w:val="009A3ADB"/>
    <w:rPr>
      <w:rFonts w:cs="David"/>
      <w:szCs w:val="24"/>
    </w:rPr>
  </w:style>
  <w:style w:type="paragraph" w:styleId="a9">
    <w:name w:val="List Paragraph"/>
    <w:basedOn w:val="a0"/>
    <w:uiPriority w:val="34"/>
    <w:qFormat/>
    <w:rsid w:val="009A3ADB"/>
    <w:pPr>
      <w:ind w:left="720"/>
      <w:contextualSpacing/>
    </w:pPr>
  </w:style>
  <w:style w:type="paragraph" w:styleId="ab">
    <w:name w:val="No Spacing"/>
    <w:uiPriority w:val="1"/>
    <w:qFormat/>
    <w:rsid w:val="009A3ADB"/>
    <w:pPr>
      <w:spacing w:after="0" w:line="240" w:lineRule="auto"/>
    </w:pPr>
  </w:style>
  <w:style w:type="character" w:customStyle="1" w:styleId="10">
    <w:name w:val="כותרת 1 תו"/>
    <w:basedOn w:val="a1"/>
    <w:link w:val="1"/>
    <w:uiPriority w:val="9"/>
    <w:rsid w:val="009A3ADB"/>
    <w:rPr>
      <w:rFonts w:asciiTheme="majorHAnsi" w:eastAsiaTheme="majorEastAsia" w:hAnsiTheme="majorHAnsi" w:cstheme="majorBidi"/>
      <w:color w:val="2F5496" w:themeColor="accent1" w:themeShade="BF"/>
      <w:sz w:val="32"/>
      <w:szCs w:val="32"/>
    </w:rPr>
  </w:style>
  <w:style w:type="paragraph" w:styleId="ac">
    <w:name w:val="header"/>
    <w:basedOn w:val="a0"/>
    <w:link w:val="ad"/>
    <w:uiPriority w:val="99"/>
    <w:unhideWhenUsed/>
    <w:rsid w:val="00305807"/>
    <w:pPr>
      <w:tabs>
        <w:tab w:val="center" w:pos="4153"/>
        <w:tab w:val="right" w:pos="8306"/>
      </w:tabs>
      <w:spacing w:after="0" w:line="240" w:lineRule="auto"/>
    </w:pPr>
  </w:style>
  <w:style w:type="character" w:customStyle="1" w:styleId="ad">
    <w:name w:val="כותרת עליונה תו"/>
    <w:basedOn w:val="a1"/>
    <w:link w:val="ac"/>
    <w:uiPriority w:val="99"/>
    <w:rsid w:val="00305807"/>
  </w:style>
  <w:style w:type="paragraph" w:styleId="ae">
    <w:name w:val="footer"/>
    <w:basedOn w:val="a0"/>
    <w:link w:val="af"/>
    <w:uiPriority w:val="99"/>
    <w:unhideWhenUsed/>
    <w:rsid w:val="00305807"/>
    <w:pPr>
      <w:tabs>
        <w:tab w:val="center" w:pos="4153"/>
        <w:tab w:val="right" w:pos="8306"/>
      </w:tabs>
      <w:spacing w:after="0" w:line="240" w:lineRule="auto"/>
    </w:pPr>
  </w:style>
  <w:style w:type="character" w:customStyle="1" w:styleId="af">
    <w:name w:val="כותרת תחתונה תו"/>
    <w:basedOn w:val="a1"/>
    <w:link w:val="ae"/>
    <w:uiPriority w:val="99"/>
    <w:rsid w:val="00305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7</Pages>
  <Words>2304</Words>
  <Characters>11524</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Yifat Sella</dc:creator>
  <cp:keywords/>
  <dc:description/>
  <cp:lastModifiedBy>Yifat Sella</cp:lastModifiedBy>
  <cp:revision>283</cp:revision>
  <dcterms:created xsi:type="dcterms:W3CDTF">2021-01-20T11:08:00Z</dcterms:created>
  <dcterms:modified xsi:type="dcterms:W3CDTF">2021-01-21T12:24:00Z</dcterms:modified>
</cp:coreProperties>
</file>