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5A" w:rsidRDefault="00D53A5A" w:rsidP="0035783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אתחיל בניתוח הזכות הקניינית אל מול הגישות השונות.</w:t>
      </w:r>
      <w:r w:rsidR="004E4EC5">
        <w:rPr>
          <w:rFonts w:ascii="David" w:hAnsi="David" w:cs="David" w:hint="cs"/>
          <w:sz w:val="24"/>
          <w:szCs w:val="24"/>
          <w:rtl/>
        </w:rPr>
        <w:t xml:space="preserve"> </w:t>
      </w:r>
      <w:r w:rsidR="00357835">
        <w:rPr>
          <w:rFonts w:ascii="David" w:hAnsi="David" w:cs="David" w:hint="cs"/>
          <w:sz w:val="24"/>
          <w:szCs w:val="24"/>
          <w:rtl/>
        </w:rPr>
        <w:t>אבקש</w:t>
      </w:r>
      <w:r w:rsidR="004E4EC5">
        <w:rPr>
          <w:rFonts w:ascii="David" w:hAnsi="David" w:cs="David" w:hint="cs"/>
          <w:sz w:val="24"/>
          <w:szCs w:val="24"/>
          <w:rtl/>
        </w:rPr>
        <w:t xml:space="preserve"> לציין כי באופן טבעי, </w:t>
      </w:r>
      <w:r w:rsidR="00386011">
        <w:rPr>
          <w:rFonts w:ascii="David" w:hAnsi="David" w:cs="David" w:hint="cs"/>
          <w:sz w:val="24"/>
          <w:szCs w:val="24"/>
          <w:rtl/>
        </w:rPr>
        <w:t xml:space="preserve">המשך הדיון מול </w:t>
      </w:r>
      <w:r w:rsidR="0050286E">
        <w:rPr>
          <w:rFonts w:ascii="David" w:hAnsi="David" w:cs="David" w:hint="cs"/>
          <w:sz w:val="24"/>
          <w:szCs w:val="24"/>
          <w:rtl/>
        </w:rPr>
        <w:t xml:space="preserve">המתנגדים </w:t>
      </w:r>
      <w:r w:rsidR="004E4EC5">
        <w:rPr>
          <w:rFonts w:ascii="David" w:hAnsi="David" w:cs="David" w:hint="cs"/>
          <w:sz w:val="24"/>
          <w:szCs w:val="24"/>
          <w:rtl/>
        </w:rPr>
        <w:t>יסוב פחות על טענות חוקתיות וחוזיות ויותר על מגבלות מכוח דין ומתודולוגיות שונות מתחום הקניין.</w:t>
      </w:r>
    </w:p>
    <w:p w:rsidR="00FD76C9" w:rsidRDefault="00B443E3" w:rsidP="00EA6A4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בבואנו לבחון האם זכות היא קניינית</w:t>
      </w:r>
      <w:r w:rsidR="00386011">
        <w:rPr>
          <w:rFonts w:ascii="David" w:hAnsi="David" w:cs="David" w:hint="cs"/>
          <w:sz w:val="24"/>
          <w:szCs w:val="24"/>
          <w:rtl/>
        </w:rPr>
        <w:t xml:space="preserve"> ואכן מקבלת תוקף לפי חוק</w:t>
      </w:r>
      <w:r w:rsidR="00386011">
        <w:rPr>
          <w:rStyle w:val="FootnoteReference"/>
          <w:rFonts w:ascii="David" w:hAnsi="David" w:cs="David"/>
          <w:sz w:val="24"/>
          <w:szCs w:val="24"/>
          <w:rtl/>
        </w:rPr>
        <w:footnoteReference w:id="1"/>
      </w:r>
      <w:r w:rsidR="00386011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ניזכר </w:t>
      </w:r>
      <w:r w:rsidR="00386011">
        <w:rPr>
          <w:rFonts w:ascii="David" w:hAnsi="David" w:cs="David" w:hint="cs"/>
          <w:sz w:val="24"/>
          <w:szCs w:val="24"/>
          <w:rtl/>
        </w:rPr>
        <w:t>בטענת</w:t>
      </w:r>
      <w:r>
        <w:rPr>
          <w:rFonts w:ascii="David" w:hAnsi="David" w:cs="David" w:hint="cs"/>
          <w:sz w:val="24"/>
          <w:szCs w:val="24"/>
          <w:rtl/>
        </w:rPr>
        <w:t xml:space="preserve"> השופטת </w:t>
      </w:r>
      <w:r w:rsidRPr="00B443E3">
        <w:rPr>
          <w:rFonts w:ascii="David" w:hAnsi="David" w:cs="David" w:hint="cs"/>
          <w:b/>
          <w:bCs/>
          <w:sz w:val="24"/>
          <w:szCs w:val="24"/>
          <w:rtl/>
        </w:rPr>
        <w:t>כהן</w:t>
      </w:r>
      <w:r>
        <w:rPr>
          <w:rFonts w:ascii="David" w:hAnsi="David" w:cs="David" w:hint="cs"/>
          <w:sz w:val="24"/>
          <w:szCs w:val="24"/>
          <w:rtl/>
        </w:rPr>
        <w:t xml:space="preserve"> בפס"ד </w:t>
      </w:r>
      <w:r w:rsidRPr="00B443E3">
        <w:rPr>
          <w:rFonts w:ascii="David" w:hAnsi="David" w:cs="David" w:hint="cs"/>
          <w:b/>
          <w:bCs/>
          <w:sz w:val="24"/>
          <w:szCs w:val="24"/>
          <w:rtl/>
        </w:rPr>
        <w:t>בן-חמו</w:t>
      </w:r>
      <w:r>
        <w:rPr>
          <w:rStyle w:val="FootnoteReference"/>
          <w:rFonts w:ascii="David" w:hAnsi="David" w:cs="David"/>
          <w:sz w:val="24"/>
          <w:szCs w:val="24"/>
        </w:rPr>
        <w:footnoteReference w:id="2"/>
      </w:r>
      <w:r>
        <w:rPr>
          <w:rFonts w:ascii="David" w:hAnsi="David" w:cs="David" w:hint="cs"/>
          <w:sz w:val="24"/>
          <w:szCs w:val="24"/>
          <w:rtl/>
        </w:rPr>
        <w:t xml:space="preserve"> כי יש להכריע כל מקרה לגופו </w:t>
      </w:r>
      <w:r w:rsidR="00DF0D4A">
        <w:rPr>
          <w:rFonts w:ascii="David" w:hAnsi="David" w:cs="David" w:hint="cs"/>
          <w:sz w:val="24"/>
          <w:szCs w:val="24"/>
          <w:rtl/>
        </w:rPr>
        <w:t>ע"פ</w:t>
      </w:r>
      <w:r>
        <w:rPr>
          <w:rFonts w:ascii="David" w:hAnsi="David" w:cs="David" w:hint="cs"/>
          <w:sz w:val="24"/>
          <w:szCs w:val="24"/>
          <w:rtl/>
        </w:rPr>
        <w:t xml:space="preserve"> מאפייני הזכות</w:t>
      </w:r>
      <w:r w:rsidR="00DB09EF">
        <w:rPr>
          <w:rFonts w:ascii="David" w:hAnsi="David" w:cs="David" w:hint="cs"/>
          <w:sz w:val="24"/>
          <w:szCs w:val="24"/>
          <w:rtl/>
        </w:rPr>
        <w:t xml:space="preserve"> בהקשר הקונקרטי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E52080">
        <w:rPr>
          <w:rFonts w:ascii="David" w:hAnsi="David" w:cs="David" w:hint="cs"/>
          <w:sz w:val="24"/>
          <w:szCs w:val="24"/>
          <w:rtl/>
        </w:rPr>
        <w:t xml:space="preserve">הארווי מחזיק בזכות הבעלות, אשר מונה </w:t>
      </w:r>
      <w:r w:rsidR="00EA6A45">
        <w:rPr>
          <w:rFonts w:ascii="David" w:hAnsi="David" w:cs="David" w:hint="cs"/>
          <w:sz w:val="24"/>
          <w:szCs w:val="24"/>
          <w:rtl/>
        </w:rPr>
        <w:t>מאפיינים רבים</w:t>
      </w:r>
      <w:r w:rsidR="00E52080">
        <w:rPr>
          <w:rFonts w:ascii="David" w:hAnsi="David" w:cs="David" w:hint="cs"/>
          <w:sz w:val="24"/>
          <w:szCs w:val="24"/>
          <w:rtl/>
        </w:rPr>
        <w:t xml:space="preserve"> כגון עבירות, רכושיות, שליטה ועוד</w:t>
      </w:r>
      <w:r w:rsidR="00386011">
        <w:rPr>
          <w:rFonts w:ascii="David" w:hAnsi="David" w:cs="David" w:hint="cs"/>
          <w:sz w:val="24"/>
          <w:szCs w:val="24"/>
          <w:rtl/>
        </w:rPr>
        <w:t>.</w:t>
      </w:r>
      <w:r w:rsidR="00E52080">
        <w:rPr>
          <w:rFonts w:ascii="David" w:hAnsi="David" w:cs="David" w:hint="cs"/>
          <w:sz w:val="24"/>
          <w:szCs w:val="24"/>
          <w:rtl/>
        </w:rPr>
        <w:t xml:space="preserve"> </w:t>
      </w:r>
      <w:r w:rsidR="00EA6A45">
        <w:rPr>
          <w:rFonts w:ascii="David" w:hAnsi="David" w:cs="David" w:hint="cs"/>
          <w:sz w:val="24"/>
          <w:szCs w:val="24"/>
          <w:rtl/>
        </w:rPr>
        <w:t xml:space="preserve">על אף כל זאת, </w:t>
      </w:r>
      <w:r w:rsidR="00E52080">
        <w:rPr>
          <w:rFonts w:ascii="David" w:hAnsi="David" w:cs="David" w:hint="cs"/>
          <w:sz w:val="24"/>
          <w:szCs w:val="24"/>
          <w:rtl/>
        </w:rPr>
        <w:t xml:space="preserve">יש לציין כי </w:t>
      </w:r>
      <w:r w:rsidR="003F3CD2">
        <w:rPr>
          <w:rFonts w:ascii="David" w:hAnsi="David" w:cs="David" w:hint="cs"/>
          <w:sz w:val="24"/>
          <w:szCs w:val="24"/>
          <w:rtl/>
        </w:rPr>
        <w:t xml:space="preserve">לפי </w:t>
      </w:r>
      <w:r w:rsidR="003F3CD2" w:rsidRPr="003F3CD2">
        <w:rPr>
          <w:rFonts w:ascii="David" w:hAnsi="David" w:cs="David" w:hint="cs"/>
          <w:b/>
          <w:bCs/>
          <w:sz w:val="24"/>
          <w:szCs w:val="24"/>
          <w:rtl/>
        </w:rPr>
        <w:t>כהן</w:t>
      </w:r>
      <w:r w:rsidR="003F3CD2">
        <w:rPr>
          <w:rStyle w:val="FootnoteReference"/>
          <w:rFonts w:ascii="David" w:hAnsi="David" w:cs="David"/>
          <w:sz w:val="24"/>
          <w:szCs w:val="24"/>
          <w:rtl/>
        </w:rPr>
        <w:footnoteReference w:id="3"/>
      </w:r>
      <w:r w:rsidR="00EA6A45">
        <w:rPr>
          <w:rFonts w:ascii="David" w:hAnsi="David" w:cs="David" w:hint="cs"/>
          <w:sz w:val="24"/>
          <w:szCs w:val="24"/>
          <w:rtl/>
        </w:rPr>
        <w:t xml:space="preserve"> מאפייני זכות </w:t>
      </w:r>
      <w:r w:rsidR="00E52080">
        <w:rPr>
          <w:rFonts w:ascii="David" w:hAnsi="David" w:cs="David" w:hint="cs"/>
          <w:sz w:val="24"/>
          <w:szCs w:val="24"/>
          <w:rtl/>
        </w:rPr>
        <w:t>אינם מספיקים</w:t>
      </w:r>
      <w:r w:rsidR="009F7FDB">
        <w:rPr>
          <w:rFonts w:ascii="David" w:hAnsi="David" w:cs="David" w:hint="cs"/>
          <w:sz w:val="24"/>
          <w:szCs w:val="24"/>
          <w:rtl/>
        </w:rPr>
        <w:t xml:space="preserve"> דיים</w:t>
      </w:r>
      <w:r w:rsidR="00E52080">
        <w:rPr>
          <w:rFonts w:ascii="David" w:hAnsi="David" w:cs="David" w:hint="cs"/>
          <w:sz w:val="24"/>
          <w:szCs w:val="24"/>
          <w:rtl/>
        </w:rPr>
        <w:t xml:space="preserve"> כדי לקב</w:t>
      </w:r>
      <w:r w:rsidR="00F00F06">
        <w:rPr>
          <w:rFonts w:ascii="David" w:hAnsi="David" w:cs="David" w:hint="cs"/>
          <w:sz w:val="24"/>
          <w:szCs w:val="24"/>
          <w:rtl/>
        </w:rPr>
        <w:t xml:space="preserve">וע האם </w:t>
      </w:r>
      <w:r w:rsidR="00EA6A45">
        <w:rPr>
          <w:rFonts w:ascii="David" w:hAnsi="David" w:cs="David" w:hint="cs"/>
          <w:sz w:val="24"/>
          <w:szCs w:val="24"/>
          <w:rtl/>
        </w:rPr>
        <w:t>זו</w:t>
      </w:r>
      <w:r w:rsidR="00F00F06">
        <w:rPr>
          <w:rFonts w:ascii="David" w:hAnsi="David" w:cs="David" w:hint="cs"/>
          <w:sz w:val="24"/>
          <w:szCs w:val="24"/>
          <w:rtl/>
        </w:rPr>
        <w:t xml:space="preserve"> קניינית</w:t>
      </w:r>
      <w:r w:rsidR="00FD76C9">
        <w:rPr>
          <w:rFonts w:ascii="David" w:hAnsi="David" w:cs="David" w:hint="cs"/>
          <w:sz w:val="24"/>
          <w:szCs w:val="24"/>
          <w:rtl/>
        </w:rPr>
        <w:t>.</w:t>
      </w:r>
      <w:r w:rsidR="00386011">
        <w:rPr>
          <w:rFonts w:ascii="David" w:hAnsi="David" w:cs="David" w:hint="cs"/>
          <w:sz w:val="24"/>
          <w:szCs w:val="24"/>
          <w:rtl/>
        </w:rPr>
        <w:t xml:space="preserve"> ניתן </w:t>
      </w:r>
      <w:r w:rsidR="00EA6A45">
        <w:rPr>
          <w:rFonts w:ascii="David" w:hAnsi="David" w:cs="David" w:hint="cs"/>
          <w:sz w:val="24"/>
          <w:szCs w:val="24"/>
          <w:rtl/>
        </w:rPr>
        <w:t xml:space="preserve">אף </w:t>
      </w:r>
      <w:r w:rsidR="00386011">
        <w:rPr>
          <w:rFonts w:ascii="David" w:hAnsi="David" w:cs="David" w:hint="cs"/>
          <w:sz w:val="24"/>
          <w:szCs w:val="24"/>
          <w:rtl/>
        </w:rPr>
        <w:t xml:space="preserve">לראות זכותו של הארווי כמעין זיקה בלתי אמצעית בנכס, כמובא בספרו של </w:t>
      </w:r>
      <w:r w:rsidR="00386011" w:rsidRPr="00386011">
        <w:rPr>
          <w:rFonts w:ascii="David" w:hAnsi="David" w:cs="David" w:hint="cs"/>
          <w:b/>
          <w:bCs/>
          <w:sz w:val="24"/>
          <w:szCs w:val="24"/>
          <w:rtl/>
        </w:rPr>
        <w:t>ויסמן</w:t>
      </w:r>
      <w:r w:rsidR="00386011">
        <w:rPr>
          <w:rStyle w:val="FootnoteReference"/>
          <w:rFonts w:ascii="David" w:hAnsi="David" w:cs="David"/>
          <w:sz w:val="24"/>
          <w:szCs w:val="24"/>
          <w:rtl/>
        </w:rPr>
        <w:footnoteReference w:id="4"/>
      </w:r>
      <w:r w:rsidR="0036287C">
        <w:rPr>
          <w:rFonts w:ascii="David" w:hAnsi="David" w:cs="David" w:hint="cs"/>
          <w:sz w:val="24"/>
          <w:szCs w:val="24"/>
          <w:rtl/>
        </w:rPr>
        <w:t xml:space="preserve">. יש לציין </w:t>
      </w:r>
      <w:r w:rsidR="0050286E">
        <w:rPr>
          <w:rFonts w:ascii="David" w:hAnsi="David" w:cs="David" w:hint="cs"/>
          <w:sz w:val="24"/>
          <w:szCs w:val="24"/>
          <w:rtl/>
        </w:rPr>
        <w:t>כי</w:t>
      </w:r>
      <w:r w:rsidR="0036287C">
        <w:rPr>
          <w:rFonts w:ascii="David" w:hAnsi="David" w:cs="David" w:hint="cs"/>
          <w:sz w:val="24"/>
          <w:szCs w:val="24"/>
          <w:rtl/>
        </w:rPr>
        <w:t xml:space="preserve"> לגבי</w:t>
      </w:r>
      <w:r w:rsidR="0050286E">
        <w:rPr>
          <w:rFonts w:ascii="David" w:hAnsi="David" w:cs="David" w:hint="cs"/>
          <w:sz w:val="24"/>
          <w:szCs w:val="24"/>
          <w:rtl/>
        </w:rPr>
        <w:t xml:space="preserve"> זכות הבעלות באגד הזכאויות ניתן למצוא </w:t>
      </w:r>
      <w:r w:rsidR="0036287C">
        <w:rPr>
          <w:rFonts w:ascii="David" w:hAnsi="David" w:cs="David" w:hint="cs"/>
          <w:sz w:val="24"/>
          <w:szCs w:val="24"/>
          <w:rtl/>
        </w:rPr>
        <w:t xml:space="preserve">את הזכות להעביר בלי התערבות וכן את היכולת להשפיע על הזכויות בנכס. שתי </w:t>
      </w:r>
      <w:r w:rsidR="0050286E">
        <w:rPr>
          <w:rFonts w:ascii="David" w:hAnsi="David" w:cs="David" w:hint="cs"/>
          <w:sz w:val="24"/>
          <w:szCs w:val="24"/>
          <w:rtl/>
        </w:rPr>
        <w:t>אלו</w:t>
      </w:r>
      <w:r w:rsidR="0036287C">
        <w:rPr>
          <w:rFonts w:ascii="David" w:hAnsi="David" w:cs="David" w:hint="cs"/>
          <w:sz w:val="24"/>
          <w:szCs w:val="24"/>
          <w:rtl/>
        </w:rPr>
        <w:t xml:space="preserve"> ישחקו לטובת הארווי.</w:t>
      </w:r>
    </w:p>
    <w:p w:rsidR="00FD76C9" w:rsidRDefault="00386011" w:rsidP="00FD76C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נפנה לבחון</w:t>
      </w:r>
      <w:r w:rsidR="00572E86">
        <w:rPr>
          <w:rFonts w:ascii="David" w:hAnsi="David" w:cs="David" w:hint="cs"/>
          <w:sz w:val="24"/>
          <w:szCs w:val="24"/>
          <w:rtl/>
        </w:rPr>
        <w:t xml:space="preserve"> את </w:t>
      </w:r>
      <w:r w:rsidR="004972AA">
        <w:rPr>
          <w:rFonts w:ascii="David" w:hAnsi="David" w:cs="David" w:hint="cs"/>
          <w:sz w:val="24"/>
          <w:szCs w:val="24"/>
          <w:rtl/>
        </w:rPr>
        <w:t>ההצדקות לקניין הפרטי</w:t>
      </w:r>
      <w:r w:rsidR="00572E86">
        <w:rPr>
          <w:rFonts w:ascii="David" w:hAnsi="David" w:cs="David" w:hint="cs"/>
          <w:sz w:val="24"/>
          <w:szCs w:val="24"/>
          <w:rtl/>
        </w:rPr>
        <w:t xml:space="preserve"> לפי התיאוריות השונות. לפי תיאוריית </w:t>
      </w:r>
      <w:r w:rsidR="00572E86" w:rsidRPr="004F3A22">
        <w:rPr>
          <w:rFonts w:ascii="David" w:hAnsi="David" w:cs="David" w:hint="cs"/>
          <w:b/>
          <w:bCs/>
          <w:sz w:val="24"/>
          <w:szCs w:val="24"/>
          <w:rtl/>
        </w:rPr>
        <w:t>הדין כמקור</w:t>
      </w:r>
      <w:r w:rsidR="00572E86">
        <w:rPr>
          <w:rStyle w:val="FootnoteReference"/>
          <w:rFonts w:ascii="David" w:hAnsi="David" w:cs="David"/>
          <w:sz w:val="24"/>
          <w:szCs w:val="24"/>
          <w:rtl/>
        </w:rPr>
        <w:footnoteReference w:id="5"/>
      </w:r>
      <w:r w:rsidR="00572E86">
        <w:rPr>
          <w:rFonts w:ascii="David" w:hAnsi="David" w:cs="David" w:hint="cs"/>
          <w:sz w:val="24"/>
          <w:szCs w:val="24"/>
          <w:rtl/>
        </w:rPr>
        <w:t xml:space="preserve"> הרי שזכותו של הארווי, זכות הבעלות, מעוגנת כאחת מזכויות הקניין המנויות בדין הישראלי</w:t>
      </w:r>
      <w:r w:rsidR="00FD76C9">
        <w:rPr>
          <w:rFonts w:ascii="David" w:hAnsi="David" w:cs="David" w:hint="cs"/>
          <w:sz w:val="24"/>
          <w:szCs w:val="24"/>
          <w:rtl/>
        </w:rPr>
        <w:t xml:space="preserve"> (עקרון הרשימה הסגורה).</w:t>
      </w:r>
    </w:p>
    <w:p w:rsidR="00FD76C9" w:rsidRDefault="00572E86" w:rsidP="007529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לפי </w:t>
      </w:r>
      <w:r w:rsidRPr="004F3A22">
        <w:rPr>
          <w:rFonts w:ascii="David" w:hAnsi="David" w:cs="David" w:hint="cs"/>
          <w:b/>
          <w:bCs/>
          <w:sz w:val="24"/>
          <w:szCs w:val="24"/>
          <w:rtl/>
        </w:rPr>
        <w:t>תיאוריית התפישה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6"/>
      </w:r>
      <w:r>
        <w:rPr>
          <w:rFonts w:ascii="David" w:hAnsi="David" w:cs="David" w:hint="cs"/>
          <w:sz w:val="24"/>
          <w:szCs w:val="24"/>
          <w:rtl/>
        </w:rPr>
        <w:t xml:space="preserve">, יטען </w:t>
      </w:r>
      <w:r w:rsidRPr="008A043B">
        <w:rPr>
          <w:rFonts w:ascii="David" w:hAnsi="David" w:cs="David" w:hint="cs"/>
          <w:b/>
          <w:bCs/>
          <w:sz w:val="24"/>
          <w:szCs w:val="24"/>
          <w:rtl/>
        </w:rPr>
        <w:t>הארווי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00F06">
        <w:rPr>
          <w:rFonts w:ascii="David" w:hAnsi="David" w:cs="David" w:hint="cs"/>
          <w:sz w:val="24"/>
          <w:szCs w:val="24"/>
          <w:rtl/>
        </w:rPr>
        <w:t xml:space="preserve">כי הוא תפס ראשון את הנכס, אך יתכן </w:t>
      </w:r>
      <w:r w:rsidR="007529DC">
        <w:rPr>
          <w:rFonts w:ascii="David" w:hAnsi="David" w:cs="David" w:hint="cs"/>
          <w:sz w:val="24"/>
          <w:szCs w:val="24"/>
          <w:rtl/>
        </w:rPr>
        <w:t>והדבר</w:t>
      </w:r>
      <w:r w:rsidR="00F00F06">
        <w:rPr>
          <w:rFonts w:ascii="David" w:hAnsi="David" w:cs="David" w:hint="cs"/>
          <w:sz w:val="24"/>
          <w:szCs w:val="24"/>
          <w:rtl/>
        </w:rPr>
        <w:t xml:space="preserve"> לא נכון וכי הארווי קיבל את המשרד בירושה אחרי </w:t>
      </w:r>
      <w:r w:rsidR="007529DC">
        <w:rPr>
          <w:rFonts w:ascii="David" w:hAnsi="David" w:cs="David" w:hint="cs"/>
          <w:sz w:val="24"/>
          <w:szCs w:val="24"/>
          <w:rtl/>
        </w:rPr>
        <w:t>הגעת</w:t>
      </w:r>
      <w:r w:rsidR="00F00F06">
        <w:rPr>
          <w:rFonts w:ascii="David" w:hAnsi="David" w:cs="David" w:hint="cs"/>
          <w:sz w:val="24"/>
          <w:szCs w:val="24"/>
          <w:rtl/>
        </w:rPr>
        <w:t xml:space="preserve"> </w:t>
      </w:r>
      <w:r w:rsidR="007529DC">
        <w:rPr>
          <w:rFonts w:ascii="David" w:hAnsi="David" w:cs="David" w:hint="cs"/>
          <w:sz w:val="24"/>
          <w:szCs w:val="24"/>
          <w:rtl/>
        </w:rPr>
        <w:t>עורכי הדין (להלן: עוה"ד)</w:t>
      </w:r>
      <w:r w:rsidR="00FD76C9">
        <w:rPr>
          <w:rFonts w:ascii="David" w:hAnsi="David" w:cs="David" w:hint="cs"/>
          <w:sz w:val="24"/>
          <w:szCs w:val="24"/>
          <w:rtl/>
        </w:rPr>
        <w:t>. יש לציין כי גישה זו קיבלה ביקורת רבה, בעיקר מהמלומד בלקסטון</w:t>
      </w:r>
      <w:r w:rsidR="00FD76C9">
        <w:rPr>
          <w:rStyle w:val="FootnoteReference"/>
          <w:rFonts w:ascii="David" w:hAnsi="David" w:cs="David"/>
          <w:sz w:val="24"/>
          <w:szCs w:val="24"/>
          <w:rtl/>
        </w:rPr>
        <w:footnoteReference w:id="7"/>
      </w:r>
      <w:r w:rsidR="00EA6A45">
        <w:rPr>
          <w:rFonts w:ascii="David" w:hAnsi="David" w:cs="David" w:hint="cs"/>
          <w:sz w:val="24"/>
          <w:szCs w:val="24"/>
          <w:rtl/>
        </w:rPr>
        <w:t>,</w:t>
      </w:r>
      <w:r w:rsidR="00234286">
        <w:rPr>
          <w:rFonts w:ascii="David" w:hAnsi="David" w:cs="David" w:hint="cs"/>
          <w:sz w:val="24"/>
          <w:szCs w:val="24"/>
          <w:rtl/>
        </w:rPr>
        <w:t xml:space="preserve"> שכן היא מקדשת את החטפנות</w:t>
      </w:r>
      <w:r w:rsidR="00D53F42">
        <w:rPr>
          <w:rFonts w:ascii="David" w:hAnsi="David" w:cs="David" w:hint="cs"/>
          <w:sz w:val="24"/>
          <w:szCs w:val="24"/>
          <w:rtl/>
        </w:rPr>
        <w:t xml:space="preserve"> ונראית לרבים כמבחן לא רציני</w:t>
      </w:r>
      <w:r w:rsidR="00234286">
        <w:rPr>
          <w:rFonts w:ascii="David" w:hAnsi="David" w:cs="David" w:hint="cs"/>
          <w:sz w:val="24"/>
          <w:szCs w:val="24"/>
          <w:rtl/>
        </w:rPr>
        <w:t>.</w:t>
      </w:r>
    </w:p>
    <w:p w:rsidR="00FD76C9" w:rsidRDefault="00F00F06" w:rsidP="007529D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לפי </w:t>
      </w:r>
      <w:r w:rsidRPr="004F3A22">
        <w:rPr>
          <w:rFonts w:ascii="David" w:hAnsi="David" w:cs="David" w:hint="cs"/>
          <w:b/>
          <w:bCs/>
          <w:sz w:val="24"/>
          <w:szCs w:val="24"/>
          <w:rtl/>
        </w:rPr>
        <w:t>תיאוריית העבודה הלוקיאנית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8"/>
      </w:r>
      <w:r w:rsidR="007529DC">
        <w:rPr>
          <w:rFonts w:ascii="David" w:hAnsi="David" w:cs="David" w:hint="cs"/>
          <w:sz w:val="24"/>
          <w:szCs w:val="24"/>
          <w:rtl/>
        </w:rPr>
        <w:t xml:space="preserve"> זכות הקניין</w:t>
      </w:r>
      <w:r w:rsidR="00D74A4D">
        <w:rPr>
          <w:rFonts w:ascii="David" w:hAnsi="David" w:cs="David" w:hint="cs"/>
          <w:sz w:val="24"/>
          <w:szCs w:val="24"/>
          <w:rtl/>
        </w:rPr>
        <w:t xml:space="preserve"> נגזרת </w:t>
      </w:r>
      <w:r w:rsidR="007529DC">
        <w:rPr>
          <w:rFonts w:ascii="David" w:hAnsi="David" w:cs="David" w:hint="cs"/>
          <w:sz w:val="24"/>
          <w:szCs w:val="24"/>
          <w:rtl/>
        </w:rPr>
        <w:t>מהעבודה</w:t>
      </w:r>
      <w:r w:rsidR="00D74A4D">
        <w:rPr>
          <w:rFonts w:ascii="David" w:hAnsi="David" w:cs="David" w:hint="cs"/>
          <w:sz w:val="24"/>
          <w:szCs w:val="24"/>
          <w:rtl/>
        </w:rPr>
        <w:t xml:space="preserve">. מצד אחד יוכלו </w:t>
      </w:r>
      <w:r w:rsidR="004F3A22">
        <w:rPr>
          <w:rFonts w:ascii="David" w:hAnsi="David" w:cs="David" w:hint="cs"/>
          <w:sz w:val="24"/>
          <w:szCs w:val="24"/>
          <w:rtl/>
        </w:rPr>
        <w:t>המבקשים להחליש זכותו</w:t>
      </w:r>
      <w:r w:rsidR="00D74A4D">
        <w:rPr>
          <w:rFonts w:ascii="David" w:hAnsi="David" w:cs="David" w:hint="cs"/>
          <w:sz w:val="24"/>
          <w:szCs w:val="24"/>
          <w:rtl/>
        </w:rPr>
        <w:t xml:space="preserve"> לטעון כי הארווי לא עבד למען הקמת המשרד אלא קיבלו בירושה. </w:t>
      </w:r>
      <w:r w:rsidR="007529DC">
        <w:rPr>
          <w:rFonts w:ascii="David" w:hAnsi="David" w:cs="David" w:hint="cs"/>
          <w:sz w:val="24"/>
          <w:szCs w:val="24"/>
          <w:rtl/>
        </w:rPr>
        <w:t xml:space="preserve">מנגד </w:t>
      </w:r>
      <w:r w:rsidR="00D74A4D">
        <w:rPr>
          <w:rFonts w:ascii="David" w:hAnsi="David" w:cs="David" w:hint="cs"/>
          <w:sz w:val="24"/>
          <w:szCs w:val="24"/>
          <w:rtl/>
        </w:rPr>
        <w:t xml:space="preserve">יטען </w:t>
      </w:r>
      <w:r w:rsidR="00D74A4D" w:rsidRPr="008A043B">
        <w:rPr>
          <w:rFonts w:ascii="David" w:hAnsi="David" w:cs="David" w:hint="cs"/>
          <w:b/>
          <w:bCs/>
          <w:sz w:val="24"/>
          <w:szCs w:val="24"/>
          <w:rtl/>
        </w:rPr>
        <w:t>הארווי</w:t>
      </w:r>
      <w:r w:rsidR="00D74A4D">
        <w:rPr>
          <w:rFonts w:ascii="David" w:hAnsi="David" w:cs="David" w:hint="cs"/>
          <w:sz w:val="24"/>
          <w:szCs w:val="24"/>
          <w:rtl/>
        </w:rPr>
        <w:t xml:space="preserve"> כי עבודתו, ימים כלילות, היא החשובה והמחזקת זכותו, וכן כי </w:t>
      </w:r>
      <w:r w:rsidR="00D74A4D" w:rsidRPr="00EA6A45">
        <w:rPr>
          <w:rFonts w:ascii="David" w:hAnsi="David" w:cs="David" w:hint="cs"/>
          <w:sz w:val="24"/>
          <w:szCs w:val="24"/>
          <w:rtl/>
        </w:rPr>
        <w:t>הערך המוסף</w:t>
      </w:r>
      <w:r w:rsidR="00EA6A45">
        <w:rPr>
          <w:rStyle w:val="FootnoteReference"/>
          <w:rFonts w:ascii="David" w:hAnsi="David" w:cs="David"/>
          <w:sz w:val="24"/>
          <w:szCs w:val="24"/>
          <w:rtl/>
        </w:rPr>
        <w:footnoteReference w:id="9"/>
      </w:r>
      <w:r w:rsidR="00D74A4D">
        <w:rPr>
          <w:rFonts w:ascii="David" w:hAnsi="David" w:cs="David" w:hint="cs"/>
          <w:sz w:val="24"/>
          <w:szCs w:val="24"/>
          <w:rtl/>
        </w:rPr>
        <w:t xml:space="preserve"> שהביא למשרד הוא </w:t>
      </w:r>
      <w:r w:rsidR="00595EF2">
        <w:rPr>
          <w:rFonts w:ascii="David" w:hAnsi="David" w:cs="David" w:hint="cs"/>
          <w:sz w:val="24"/>
          <w:szCs w:val="24"/>
          <w:rtl/>
        </w:rPr>
        <w:t>העיקר לפי תאוריה זו</w:t>
      </w:r>
      <w:r w:rsidR="001C508F">
        <w:rPr>
          <w:rFonts w:ascii="David" w:hAnsi="David" w:cs="David" w:hint="cs"/>
          <w:sz w:val="24"/>
          <w:szCs w:val="24"/>
          <w:rtl/>
        </w:rPr>
        <w:t>.</w:t>
      </w:r>
      <w:r w:rsidR="00DB2CA9">
        <w:rPr>
          <w:rFonts w:ascii="David" w:hAnsi="David" w:cs="David" w:hint="cs"/>
          <w:sz w:val="24"/>
          <w:szCs w:val="24"/>
          <w:rtl/>
        </w:rPr>
        <w:t xml:space="preserve"> </w:t>
      </w:r>
      <w:r w:rsidR="007529DC">
        <w:rPr>
          <w:rFonts w:ascii="David" w:hAnsi="David" w:cs="David" w:hint="cs"/>
          <w:sz w:val="24"/>
          <w:szCs w:val="24"/>
          <w:rtl/>
        </w:rPr>
        <w:t>נוסף</w:t>
      </w:r>
      <w:r w:rsidR="001C508F">
        <w:rPr>
          <w:rFonts w:ascii="David" w:hAnsi="David" w:cs="David" w:hint="cs"/>
          <w:sz w:val="24"/>
          <w:szCs w:val="24"/>
          <w:rtl/>
        </w:rPr>
        <w:t xml:space="preserve"> </w:t>
      </w:r>
      <w:r w:rsidR="004F3A22">
        <w:rPr>
          <w:rFonts w:ascii="David" w:hAnsi="David" w:cs="David" w:hint="cs"/>
          <w:sz w:val="24"/>
          <w:szCs w:val="24"/>
          <w:rtl/>
        </w:rPr>
        <w:t>ניתן לטעון</w:t>
      </w:r>
      <w:r w:rsidR="001C508F">
        <w:rPr>
          <w:rFonts w:ascii="David" w:hAnsi="David" w:cs="David" w:hint="cs"/>
          <w:sz w:val="24"/>
          <w:szCs w:val="24"/>
          <w:rtl/>
        </w:rPr>
        <w:t xml:space="preserve"> כי מצב בו ימכור הארווי קומה אחת למייק הוא מצב עדיף פארטו, ו</w:t>
      </w:r>
      <w:r w:rsidR="008A043B">
        <w:rPr>
          <w:rFonts w:ascii="David" w:hAnsi="David" w:cs="David" w:hint="cs"/>
          <w:sz w:val="24"/>
          <w:szCs w:val="24"/>
          <w:rtl/>
        </w:rPr>
        <w:t xml:space="preserve">כי </w:t>
      </w:r>
      <w:r w:rsidR="001C508F">
        <w:rPr>
          <w:rFonts w:ascii="David" w:hAnsi="David" w:cs="David" w:hint="cs"/>
          <w:sz w:val="24"/>
          <w:szCs w:val="24"/>
          <w:rtl/>
        </w:rPr>
        <w:t>כל מכירה מעבר לכך</w:t>
      </w:r>
      <w:r w:rsidR="004F3A22">
        <w:rPr>
          <w:rFonts w:ascii="David" w:hAnsi="David" w:cs="David" w:hint="cs"/>
          <w:sz w:val="24"/>
          <w:szCs w:val="24"/>
          <w:rtl/>
        </w:rPr>
        <w:t xml:space="preserve">, כגון מכירת קומת </w:t>
      </w:r>
      <w:r w:rsidR="007529DC">
        <w:rPr>
          <w:rFonts w:ascii="David" w:hAnsi="David" w:cs="David" w:hint="cs"/>
          <w:sz w:val="24"/>
          <w:szCs w:val="24"/>
          <w:rtl/>
        </w:rPr>
        <w:t>עוה"ד,</w:t>
      </w:r>
      <w:r w:rsidR="001C508F">
        <w:rPr>
          <w:rFonts w:ascii="David" w:hAnsi="David" w:cs="David" w:hint="cs"/>
          <w:sz w:val="24"/>
          <w:szCs w:val="24"/>
          <w:rtl/>
        </w:rPr>
        <w:t xml:space="preserve"> תהיה חריגה</w:t>
      </w:r>
      <w:r w:rsidR="00595EF2">
        <w:rPr>
          <w:rFonts w:ascii="David" w:hAnsi="David" w:cs="David" w:hint="cs"/>
          <w:sz w:val="24"/>
          <w:szCs w:val="24"/>
          <w:rtl/>
        </w:rPr>
        <w:t xml:space="preserve"> מהכלל</w:t>
      </w:r>
      <w:r w:rsidR="00255187">
        <w:rPr>
          <w:rFonts w:ascii="David" w:hAnsi="David" w:cs="David" w:hint="cs"/>
          <w:sz w:val="24"/>
          <w:szCs w:val="24"/>
          <w:rtl/>
        </w:rPr>
        <w:t xml:space="preserve"> אשר איננה </w:t>
      </w:r>
      <w:r w:rsidR="008D27EA">
        <w:rPr>
          <w:rFonts w:ascii="David" w:hAnsi="David" w:cs="David" w:hint="cs"/>
          <w:sz w:val="24"/>
          <w:szCs w:val="24"/>
          <w:rtl/>
        </w:rPr>
        <w:t xml:space="preserve">מקובלת לגישת </w:t>
      </w:r>
      <w:r w:rsidR="001C508F">
        <w:rPr>
          <w:rFonts w:ascii="David" w:hAnsi="David" w:cs="David" w:hint="cs"/>
          <w:sz w:val="24"/>
          <w:szCs w:val="24"/>
          <w:rtl/>
        </w:rPr>
        <w:t>לוק.</w:t>
      </w:r>
    </w:p>
    <w:p w:rsidR="004C7CE2" w:rsidRDefault="00D74A4D" w:rsidP="00094A1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82B09">
        <w:rPr>
          <w:rFonts w:ascii="David" w:hAnsi="David" w:cs="David" w:hint="cs"/>
          <w:b/>
          <w:bCs/>
          <w:sz w:val="24"/>
          <w:szCs w:val="24"/>
          <w:rtl/>
        </w:rPr>
        <w:t>תיאוריית החירות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10"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1C508F">
        <w:rPr>
          <w:rFonts w:ascii="David" w:hAnsi="David" w:cs="David" w:hint="cs"/>
          <w:sz w:val="24"/>
          <w:szCs w:val="24"/>
          <w:rtl/>
        </w:rPr>
        <w:t xml:space="preserve">נדונה </w:t>
      </w:r>
      <w:r w:rsidR="00094A12">
        <w:rPr>
          <w:rFonts w:ascii="David" w:hAnsi="David" w:cs="David" w:hint="cs"/>
          <w:sz w:val="24"/>
          <w:szCs w:val="24"/>
          <w:rtl/>
        </w:rPr>
        <w:t xml:space="preserve">ואף </w:t>
      </w:r>
      <w:r>
        <w:rPr>
          <w:rFonts w:ascii="David" w:hAnsi="David" w:cs="David" w:hint="cs"/>
          <w:sz w:val="24"/>
          <w:szCs w:val="24"/>
          <w:rtl/>
        </w:rPr>
        <w:t xml:space="preserve">קיבלה חיזוק ממאמרה של </w:t>
      </w:r>
      <w:r w:rsidR="005C1188" w:rsidRPr="005C1188">
        <w:rPr>
          <w:rFonts w:ascii="David" w:hAnsi="David" w:cs="David" w:hint="cs"/>
          <w:b/>
          <w:bCs/>
          <w:sz w:val="24"/>
          <w:szCs w:val="24"/>
          <w:rtl/>
        </w:rPr>
        <w:t>רדין</w:t>
      </w:r>
      <w:r w:rsidR="005C1188">
        <w:rPr>
          <w:rStyle w:val="FootnoteReference"/>
          <w:rFonts w:ascii="David" w:hAnsi="David" w:cs="David"/>
          <w:sz w:val="24"/>
          <w:szCs w:val="24"/>
          <w:rtl/>
        </w:rPr>
        <w:footnoteReference w:id="11"/>
      </w:r>
      <w:r w:rsidR="005C1188">
        <w:rPr>
          <w:rFonts w:ascii="David" w:hAnsi="David" w:cs="David" w:hint="cs"/>
          <w:sz w:val="24"/>
          <w:szCs w:val="24"/>
          <w:rtl/>
        </w:rPr>
        <w:t xml:space="preserve">, </w:t>
      </w:r>
      <w:r w:rsidR="00D51503">
        <w:rPr>
          <w:rFonts w:ascii="David" w:hAnsi="David" w:cs="David" w:hint="cs"/>
          <w:sz w:val="24"/>
          <w:szCs w:val="24"/>
          <w:rtl/>
        </w:rPr>
        <w:t xml:space="preserve">באומרה כי </w:t>
      </w:r>
      <w:r w:rsidR="003711BB">
        <w:rPr>
          <w:rFonts w:ascii="David" w:hAnsi="David" w:cs="David" w:hint="cs"/>
          <w:sz w:val="24"/>
          <w:szCs w:val="24"/>
          <w:rtl/>
        </w:rPr>
        <w:t>נכסים</w:t>
      </w:r>
      <w:r w:rsidR="003F3CD2">
        <w:rPr>
          <w:rFonts w:ascii="David" w:hAnsi="David" w:cs="David" w:hint="cs"/>
          <w:sz w:val="24"/>
          <w:szCs w:val="24"/>
          <w:rtl/>
        </w:rPr>
        <w:t xml:space="preserve"> </w:t>
      </w:r>
      <w:r w:rsidR="00F05972">
        <w:rPr>
          <w:rFonts w:ascii="David" w:hAnsi="David" w:cs="David" w:hint="cs"/>
          <w:sz w:val="24"/>
          <w:szCs w:val="24"/>
          <w:rtl/>
        </w:rPr>
        <w:t>הינם</w:t>
      </w:r>
      <w:r w:rsidR="003F3CD2">
        <w:rPr>
          <w:rFonts w:ascii="David" w:hAnsi="David" w:cs="David" w:hint="cs"/>
          <w:sz w:val="24"/>
          <w:szCs w:val="24"/>
          <w:rtl/>
        </w:rPr>
        <w:t xml:space="preserve"> חשו</w:t>
      </w:r>
      <w:r w:rsidR="00F05972">
        <w:rPr>
          <w:rFonts w:ascii="David" w:hAnsi="David" w:cs="David" w:hint="cs"/>
          <w:sz w:val="24"/>
          <w:szCs w:val="24"/>
          <w:rtl/>
        </w:rPr>
        <w:t xml:space="preserve">בים </w:t>
      </w:r>
      <w:r w:rsidR="00D51503">
        <w:rPr>
          <w:rFonts w:ascii="David" w:hAnsi="David" w:cs="David" w:hint="cs"/>
          <w:sz w:val="24"/>
          <w:szCs w:val="24"/>
          <w:rtl/>
        </w:rPr>
        <w:t>להתפתחות האישית של האדם, ו</w:t>
      </w:r>
      <w:r w:rsidR="003F3CD2">
        <w:rPr>
          <w:rFonts w:ascii="David" w:hAnsi="David" w:cs="David" w:hint="cs"/>
          <w:sz w:val="24"/>
          <w:szCs w:val="24"/>
          <w:rtl/>
        </w:rPr>
        <w:t>לפיכך</w:t>
      </w:r>
      <w:r w:rsidR="00D51503">
        <w:rPr>
          <w:rFonts w:ascii="David" w:hAnsi="David" w:cs="David" w:hint="cs"/>
          <w:sz w:val="24"/>
          <w:szCs w:val="24"/>
          <w:rtl/>
        </w:rPr>
        <w:t>,</w:t>
      </w:r>
      <w:r w:rsidR="003F3CD2">
        <w:rPr>
          <w:rFonts w:ascii="David" w:hAnsi="David" w:cs="David" w:hint="cs"/>
          <w:sz w:val="24"/>
          <w:szCs w:val="24"/>
          <w:rtl/>
        </w:rPr>
        <w:t xml:space="preserve"> יש לתת בכורה </w:t>
      </w:r>
      <w:r w:rsidR="00120E8C">
        <w:rPr>
          <w:rFonts w:ascii="David" w:hAnsi="David" w:cs="David" w:hint="cs"/>
          <w:sz w:val="24"/>
          <w:szCs w:val="24"/>
          <w:rtl/>
        </w:rPr>
        <w:t xml:space="preserve">לזכותו של הארווי </w:t>
      </w:r>
      <w:r w:rsidR="00481514">
        <w:rPr>
          <w:rFonts w:ascii="David" w:hAnsi="David" w:cs="David" w:hint="cs"/>
          <w:sz w:val="24"/>
          <w:szCs w:val="24"/>
          <w:rtl/>
        </w:rPr>
        <w:t>כ</w:t>
      </w:r>
      <w:r w:rsidR="003F3CD2">
        <w:rPr>
          <w:rFonts w:ascii="David" w:hAnsi="David" w:cs="David" w:hint="cs"/>
          <w:sz w:val="24"/>
          <w:szCs w:val="24"/>
          <w:rtl/>
        </w:rPr>
        <w:t>אשר המשרד אף כלול בתכניותי</w:t>
      </w:r>
      <w:r w:rsidR="00120E8C">
        <w:rPr>
          <w:rFonts w:ascii="David" w:hAnsi="David" w:cs="David" w:hint="cs"/>
          <w:sz w:val="24"/>
          <w:szCs w:val="24"/>
          <w:rtl/>
        </w:rPr>
        <w:t>ו</w:t>
      </w:r>
      <w:r w:rsidR="00481514">
        <w:rPr>
          <w:rFonts w:ascii="David" w:hAnsi="David" w:cs="David" w:hint="cs"/>
          <w:sz w:val="24"/>
          <w:szCs w:val="24"/>
          <w:rtl/>
        </w:rPr>
        <w:t xml:space="preserve"> לעתיד.</w:t>
      </w:r>
      <w:r w:rsidR="00094A12">
        <w:rPr>
          <w:rFonts w:ascii="David" w:hAnsi="David" w:cs="David" w:hint="cs"/>
          <w:sz w:val="24"/>
          <w:szCs w:val="24"/>
          <w:rtl/>
        </w:rPr>
        <w:t xml:space="preserve"> טענה זו כמובן תוכל לעמוד גם לעוה"ד.</w:t>
      </w:r>
      <w:r w:rsidR="00481514">
        <w:rPr>
          <w:rFonts w:ascii="David" w:hAnsi="David" w:cs="David" w:hint="cs"/>
          <w:sz w:val="24"/>
          <w:szCs w:val="24"/>
          <w:rtl/>
        </w:rPr>
        <w:t xml:space="preserve"> </w:t>
      </w:r>
      <w:r w:rsidR="004C7CE2">
        <w:rPr>
          <w:rFonts w:ascii="David" w:hAnsi="David" w:cs="David" w:hint="cs"/>
          <w:sz w:val="24"/>
          <w:szCs w:val="24"/>
          <w:rtl/>
        </w:rPr>
        <w:t xml:space="preserve">יש לציין כי תיאוריה זו שמה דגש על הקשר הסובייקטיבי שבין האדם לנכס ויתכן ותחזק ידו של הארווי במכירת הנכס למייק, </w:t>
      </w:r>
      <w:r w:rsidR="004C7CE2">
        <w:rPr>
          <w:rFonts w:ascii="David" w:hAnsi="David" w:cs="David" w:hint="cs"/>
          <w:sz w:val="24"/>
          <w:szCs w:val="24"/>
          <w:rtl/>
        </w:rPr>
        <w:lastRenderedPageBreak/>
        <w:t>שכן הוא תאומו האי</w:t>
      </w:r>
      <w:r w:rsidR="00601692">
        <w:rPr>
          <w:rFonts w:ascii="David" w:hAnsi="David" w:cs="David" w:hint="cs"/>
          <w:sz w:val="24"/>
          <w:szCs w:val="24"/>
          <w:rtl/>
        </w:rPr>
        <w:t>דיאולוגי והאדם הנוח לעסקה, במידה ויטען הארווי כי מדובר בקניין מכונן ולא בר חליפין.</w:t>
      </w:r>
    </w:p>
    <w:p w:rsidR="00B5106B" w:rsidRDefault="001C508F" w:rsidP="00ED07BC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עיסוק </w:t>
      </w:r>
      <w:r w:rsidRPr="00982B09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481514" w:rsidRPr="00982B09">
        <w:rPr>
          <w:rFonts w:ascii="David" w:hAnsi="David" w:cs="David" w:hint="cs"/>
          <w:b/>
          <w:bCs/>
          <w:sz w:val="24"/>
          <w:szCs w:val="24"/>
          <w:rtl/>
        </w:rPr>
        <w:t>תיאוריית התועלתיות</w:t>
      </w:r>
      <w:r w:rsidR="00481514">
        <w:rPr>
          <w:rStyle w:val="FootnoteReference"/>
          <w:rFonts w:ascii="David" w:hAnsi="David" w:cs="David"/>
          <w:sz w:val="24"/>
          <w:szCs w:val="24"/>
          <w:rtl/>
        </w:rPr>
        <w:footnoteReference w:id="12"/>
      </w:r>
      <w:r w:rsidR="00481514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י</w:t>
      </w:r>
      <w:r w:rsidR="00481514">
        <w:rPr>
          <w:rFonts w:ascii="David" w:hAnsi="David" w:cs="David" w:hint="cs"/>
          <w:sz w:val="24"/>
          <w:szCs w:val="24"/>
          <w:rtl/>
        </w:rPr>
        <w:t>פתח דיון פילוסופי מעמיק</w:t>
      </w:r>
      <w:r w:rsidR="00535E2C">
        <w:rPr>
          <w:rFonts w:ascii="David" w:hAnsi="David" w:cs="David" w:hint="cs"/>
          <w:sz w:val="24"/>
          <w:szCs w:val="24"/>
          <w:rtl/>
        </w:rPr>
        <w:t xml:space="preserve"> אשר במסגרתו </w:t>
      </w:r>
      <w:r w:rsidR="00094A12">
        <w:rPr>
          <w:rFonts w:ascii="David" w:hAnsi="David" w:cs="David" w:hint="cs"/>
          <w:sz w:val="24"/>
          <w:szCs w:val="24"/>
          <w:rtl/>
        </w:rPr>
        <w:t>נבחן</w:t>
      </w:r>
      <w:r w:rsidR="00535E2C">
        <w:rPr>
          <w:rFonts w:ascii="David" w:hAnsi="David" w:cs="David" w:hint="cs"/>
          <w:sz w:val="24"/>
          <w:szCs w:val="24"/>
          <w:rtl/>
        </w:rPr>
        <w:t xml:space="preserve"> מהו המהלך אשר יטיב יותר עם עוגת הרווחה המצרפית</w:t>
      </w:r>
      <w:r w:rsidR="00A10EF6">
        <w:rPr>
          <w:rFonts w:ascii="David" w:hAnsi="David" w:cs="David" w:hint="cs"/>
          <w:sz w:val="24"/>
          <w:szCs w:val="24"/>
          <w:rtl/>
        </w:rPr>
        <w:t xml:space="preserve"> (להלן</w:t>
      </w:r>
      <w:r w:rsidR="007F10D8">
        <w:rPr>
          <w:rFonts w:ascii="David" w:hAnsi="David" w:cs="David" w:hint="cs"/>
          <w:sz w:val="24"/>
          <w:szCs w:val="24"/>
          <w:rtl/>
        </w:rPr>
        <w:t xml:space="preserve">: </w:t>
      </w:r>
      <w:r w:rsidR="00A10EF6">
        <w:rPr>
          <w:rFonts w:ascii="David" w:hAnsi="David" w:cs="David" w:hint="cs"/>
          <w:sz w:val="24"/>
          <w:szCs w:val="24"/>
          <w:rtl/>
        </w:rPr>
        <w:t>רומ"צ)</w:t>
      </w:r>
      <w:r w:rsidR="00535E2C">
        <w:rPr>
          <w:rFonts w:ascii="David" w:hAnsi="David" w:cs="David" w:hint="cs"/>
          <w:sz w:val="24"/>
          <w:szCs w:val="24"/>
          <w:rtl/>
        </w:rPr>
        <w:t xml:space="preserve">. </w:t>
      </w:r>
      <w:r w:rsidR="00094A12">
        <w:rPr>
          <w:rFonts w:ascii="David" w:hAnsi="David" w:cs="David" w:hint="cs"/>
          <w:sz w:val="24"/>
          <w:szCs w:val="24"/>
          <w:rtl/>
        </w:rPr>
        <w:t>עוה"ד יטענו</w:t>
      </w:r>
      <w:r w:rsidR="00535E2C">
        <w:rPr>
          <w:rFonts w:ascii="David" w:hAnsi="David" w:cs="David" w:hint="cs"/>
          <w:sz w:val="24"/>
          <w:szCs w:val="24"/>
          <w:rtl/>
        </w:rPr>
        <w:t xml:space="preserve"> כי הפיכת המשרד לקומת מגורים ה</w:t>
      </w:r>
      <w:r w:rsidR="00B84CC6">
        <w:rPr>
          <w:rFonts w:ascii="David" w:hAnsi="David" w:cs="David" w:hint="cs"/>
          <w:sz w:val="24"/>
          <w:szCs w:val="24"/>
          <w:rtl/>
        </w:rPr>
        <w:t xml:space="preserve">וא מהלך אשר </w:t>
      </w:r>
      <w:r w:rsidR="00CA4522">
        <w:rPr>
          <w:rFonts w:ascii="David" w:hAnsi="David" w:cs="David" w:hint="cs"/>
          <w:sz w:val="24"/>
          <w:szCs w:val="24"/>
          <w:rtl/>
        </w:rPr>
        <w:t>פוגע</w:t>
      </w:r>
      <w:r w:rsidR="00A10EF6">
        <w:rPr>
          <w:rFonts w:ascii="David" w:hAnsi="David" w:cs="David" w:hint="cs"/>
          <w:sz w:val="24"/>
          <w:szCs w:val="24"/>
          <w:rtl/>
        </w:rPr>
        <w:t xml:space="preserve"> ברומ"צ</w:t>
      </w:r>
      <w:r w:rsidR="00B84CC6">
        <w:rPr>
          <w:rFonts w:ascii="David" w:hAnsi="David" w:cs="David" w:hint="cs"/>
          <w:sz w:val="24"/>
          <w:szCs w:val="24"/>
          <w:rtl/>
        </w:rPr>
        <w:t xml:space="preserve">. </w:t>
      </w:r>
      <w:r w:rsidR="00B84CC6" w:rsidRPr="00B84CC6">
        <w:rPr>
          <w:rFonts w:ascii="David" w:hAnsi="David" w:cs="David" w:hint="cs"/>
          <w:b/>
          <w:bCs/>
          <w:sz w:val="24"/>
          <w:szCs w:val="24"/>
          <w:rtl/>
        </w:rPr>
        <w:t>הארווי</w:t>
      </w:r>
      <w:r w:rsidR="00B84CC6">
        <w:rPr>
          <w:rFonts w:ascii="David" w:hAnsi="David" w:cs="David" w:hint="cs"/>
          <w:sz w:val="24"/>
          <w:szCs w:val="24"/>
          <w:rtl/>
        </w:rPr>
        <w:t xml:space="preserve"> יבקש לטעון כי המצב האידיאלי לרווחת השוק הוא מצב של מינימום התערבות מדינית</w:t>
      </w:r>
      <w:r w:rsidR="00CA4522">
        <w:rPr>
          <w:rFonts w:ascii="David" w:hAnsi="David" w:cs="David" w:hint="cs"/>
          <w:sz w:val="24"/>
          <w:szCs w:val="24"/>
          <w:rtl/>
        </w:rPr>
        <w:t xml:space="preserve"> (היד הנעלמה)</w:t>
      </w:r>
      <w:r w:rsidR="00B84CC6">
        <w:rPr>
          <w:rFonts w:ascii="David" w:hAnsi="David" w:cs="David" w:hint="cs"/>
          <w:sz w:val="24"/>
          <w:szCs w:val="24"/>
          <w:rtl/>
        </w:rPr>
        <w:t xml:space="preserve">, כמופיע בספרו של הפילוסוף והכלכלן </w:t>
      </w:r>
      <w:r w:rsidR="00B84CC6" w:rsidRPr="00CA4522">
        <w:rPr>
          <w:rFonts w:ascii="David" w:hAnsi="David" w:cs="David" w:hint="cs"/>
          <w:b/>
          <w:bCs/>
          <w:sz w:val="24"/>
          <w:szCs w:val="24"/>
          <w:rtl/>
        </w:rPr>
        <w:t>אדם סמית'</w:t>
      </w:r>
      <w:r w:rsidR="00B84CC6">
        <w:rPr>
          <w:rStyle w:val="FootnoteReference"/>
          <w:rFonts w:ascii="David" w:hAnsi="David" w:cs="David"/>
          <w:sz w:val="24"/>
          <w:szCs w:val="24"/>
          <w:rtl/>
        </w:rPr>
        <w:footnoteReference w:id="13"/>
      </w:r>
      <w:r w:rsidR="007E0B87">
        <w:rPr>
          <w:rFonts w:ascii="David" w:hAnsi="David" w:cs="David" w:hint="cs"/>
          <w:sz w:val="24"/>
          <w:szCs w:val="24"/>
          <w:rtl/>
        </w:rPr>
        <w:t xml:space="preserve">, </w:t>
      </w:r>
      <w:r w:rsidR="00CA4522">
        <w:rPr>
          <w:rFonts w:ascii="David" w:hAnsi="David" w:cs="David" w:hint="cs"/>
          <w:sz w:val="24"/>
          <w:szCs w:val="24"/>
          <w:rtl/>
        </w:rPr>
        <w:t>מצב המוכר כ</w:t>
      </w:r>
      <w:r w:rsidR="007E0B87">
        <w:rPr>
          <w:rFonts w:ascii="David" w:hAnsi="David" w:cs="David" w:hint="cs"/>
          <w:sz w:val="24"/>
          <w:szCs w:val="24"/>
          <w:rtl/>
        </w:rPr>
        <w:t>תיאוריית השוק החופשי הנודעת גם בשם "לסה-פר"</w:t>
      </w:r>
      <w:r w:rsidR="00B84CC6">
        <w:rPr>
          <w:rFonts w:ascii="David" w:hAnsi="David" w:cs="David" w:hint="cs"/>
          <w:sz w:val="24"/>
          <w:szCs w:val="24"/>
          <w:rtl/>
        </w:rPr>
        <w:t xml:space="preserve">. נוסף על כך </w:t>
      </w:r>
      <w:r w:rsidR="00A10EF6">
        <w:rPr>
          <w:rFonts w:ascii="David" w:hAnsi="David" w:cs="David" w:hint="cs"/>
          <w:sz w:val="24"/>
          <w:szCs w:val="24"/>
          <w:rtl/>
        </w:rPr>
        <w:t>יטען</w:t>
      </w:r>
      <w:r w:rsidR="00B84CC6">
        <w:rPr>
          <w:rFonts w:ascii="David" w:hAnsi="David" w:cs="David" w:hint="cs"/>
          <w:sz w:val="24"/>
          <w:szCs w:val="24"/>
          <w:rtl/>
        </w:rPr>
        <w:t xml:space="preserve"> </w:t>
      </w:r>
      <w:r w:rsidR="00B84CC6" w:rsidRPr="008B43B2">
        <w:rPr>
          <w:rFonts w:ascii="David" w:hAnsi="David" w:cs="David" w:hint="cs"/>
          <w:b/>
          <w:bCs/>
          <w:sz w:val="24"/>
          <w:szCs w:val="24"/>
          <w:rtl/>
        </w:rPr>
        <w:t>הארווי</w:t>
      </w:r>
      <w:r w:rsidR="00B84CC6">
        <w:rPr>
          <w:rFonts w:ascii="David" w:hAnsi="David" w:cs="David" w:hint="cs"/>
          <w:sz w:val="24"/>
          <w:szCs w:val="24"/>
          <w:rtl/>
        </w:rPr>
        <w:t xml:space="preserve"> כי למכירה השפעה על מצבו הכלכלי הרע, כאשר להוצאתו ממעג</w:t>
      </w:r>
      <w:r w:rsidR="00A10EF6">
        <w:rPr>
          <w:rFonts w:ascii="David" w:hAnsi="David" w:cs="David" w:hint="cs"/>
          <w:sz w:val="24"/>
          <w:szCs w:val="24"/>
          <w:rtl/>
        </w:rPr>
        <w:t>ל זה תהיה השפעה חיובית על הרומ"צ</w:t>
      </w:r>
      <w:r w:rsidR="00B84CC6">
        <w:rPr>
          <w:rFonts w:ascii="David" w:hAnsi="David" w:cs="David" w:hint="cs"/>
          <w:sz w:val="24"/>
          <w:szCs w:val="24"/>
          <w:rtl/>
        </w:rPr>
        <w:t>.</w:t>
      </w:r>
      <w:r w:rsidR="00282C27">
        <w:rPr>
          <w:rFonts w:ascii="David" w:hAnsi="David" w:cs="David" w:hint="cs"/>
          <w:sz w:val="24"/>
          <w:szCs w:val="24"/>
          <w:rtl/>
        </w:rPr>
        <w:t xml:space="preserve"> את תאוריות </w:t>
      </w:r>
      <w:r w:rsidR="00A10EF6">
        <w:rPr>
          <w:rFonts w:ascii="David" w:hAnsi="David" w:cs="David" w:hint="cs"/>
          <w:sz w:val="24"/>
          <w:szCs w:val="24"/>
          <w:rtl/>
        </w:rPr>
        <w:t>הרומ"צ</w:t>
      </w:r>
      <w:r w:rsidR="00282C27">
        <w:rPr>
          <w:rFonts w:ascii="David" w:hAnsi="David" w:cs="David" w:hint="cs"/>
          <w:sz w:val="24"/>
          <w:szCs w:val="24"/>
          <w:rtl/>
        </w:rPr>
        <w:t xml:space="preserve"> ניתן לראות כשמירה על האינטרס הציבורי ולצרף לכך את דעתו התומכת של </w:t>
      </w:r>
      <w:r w:rsidR="00282C27">
        <w:rPr>
          <w:rFonts w:ascii="David" w:hAnsi="David" w:cs="David" w:hint="cs"/>
          <w:b/>
          <w:bCs/>
          <w:sz w:val="24"/>
          <w:szCs w:val="24"/>
          <w:rtl/>
        </w:rPr>
        <w:t xml:space="preserve">ברק </w:t>
      </w:r>
      <w:r w:rsidR="00282C27">
        <w:rPr>
          <w:rFonts w:ascii="David" w:hAnsi="David" w:cs="David" w:hint="cs"/>
          <w:sz w:val="24"/>
          <w:szCs w:val="24"/>
          <w:rtl/>
        </w:rPr>
        <w:t xml:space="preserve">בפס"ד </w:t>
      </w:r>
      <w:r w:rsidR="00282C27">
        <w:rPr>
          <w:rFonts w:ascii="David" w:hAnsi="David" w:cs="David" w:hint="cs"/>
          <w:b/>
          <w:bCs/>
          <w:sz w:val="24"/>
          <w:szCs w:val="24"/>
          <w:rtl/>
        </w:rPr>
        <w:t>הורוויץ</w:t>
      </w:r>
      <w:r w:rsidR="00282C27">
        <w:rPr>
          <w:rStyle w:val="FootnoteReference"/>
          <w:rFonts w:ascii="David" w:hAnsi="David" w:cs="David"/>
          <w:b/>
          <w:bCs/>
          <w:sz w:val="24"/>
          <w:szCs w:val="24"/>
          <w:rtl/>
        </w:rPr>
        <w:footnoteReference w:id="14"/>
      </w:r>
      <w:r w:rsidR="00282C27">
        <w:rPr>
          <w:rFonts w:ascii="David" w:hAnsi="David" w:cs="David" w:hint="cs"/>
          <w:sz w:val="24"/>
          <w:szCs w:val="24"/>
          <w:rtl/>
        </w:rPr>
        <w:t>.</w:t>
      </w:r>
      <w:r w:rsidR="00B5106B">
        <w:rPr>
          <w:rFonts w:ascii="David" w:hAnsi="David" w:cs="David" w:hint="cs"/>
          <w:sz w:val="24"/>
          <w:szCs w:val="24"/>
          <w:rtl/>
        </w:rPr>
        <w:t xml:space="preserve"> </w:t>
      </w:r>
      <w:r w:rsidR="008B43B2">
        <w:rPr>
          <w:rFonts w:ascii="David" w:hAnsi="David" w:cs="David" w:hint="cs"/>
          <w:sz w:val="24"/>
          <w:szCs w:val="24"/>
          <w:rtl/>
        </w:rPr>
        <w:t xml:space="preserve">נוסף על כך, </w:t>
      </w:r>
      <w:r w:rsidR="00B01899">
        <w:rPr>
          <w:rFonts w:ascii="David" w:hAnsi="David" w:cs="David" w:hint="cs"/>
          <w:sz w:val="24"/>
          <w:szCs w:val="24"/>
          <w:rtl/>
        </w:rPr>
        <w:t xml:space="preserve">יטען </w:t>
      </w:r>
      <w:r w:rsidR="008B43B2" w:rsidRPr="008B43B2">
        <w:rPr>
          <w:rFonts w:ascii="David" w:hAnsi="David" w:cs="David" w:hint="cs"/>
          <w:b/>
          <w:bCs/>
          <w:sz w:val="24"/>
          <w:szCs w:val="24"/>
          <w:rtl/>
        </w:rPr>
        <w:t>הארווי</w:t>
      </w:r>
      <w:r w:rsidR="008B43B2">
        <w:rPr>
          <w:rFonts w:ascii="David" w:hAnsi="David" w:cs="David" w:hint="cs"/>
          <w:sz w:val="24"/>
          <w:szCs w:val="24"/>
          <w:rtl/>
        </w:rPr>
        <w:t xml:space="preserve"> כי לפי תיאוריית האחריות החברתית</w:t>
      </w:r>
      <w:r w:rsidR="008B43B2">
        <w:rPr>
          <w:rStyle w:val="FootnoteReference"/>
          <w:rFonts w:ascii="David" w:hAnsi="David" w:cs="David"/>
          <w:sz w:val="24"/>
          <w:szCs w:val="24"/>
          <w:rtl/>
        </w:rPr>
        <w:footnoteReference w:id="15"/>
      </w:r>
      <w:r w:rsidR="00980270">
        <w:rPr>
          <w:rFonts w:ascii="David" w:hAnsi="David" w:cs="David" w:hint="cs"/>
          <w:sz w:val="24"/>
          <w:szCs w:val="24"/>
          <w:rtl/>
        </w:rPr>
        <w:t xml:space="preserve"> אין להפיל נטל עודף חריג על כת</w:t>
      </w:r>
      <w:r w:rsidR="004F7397">
        <w:rPr>
          <w:rFonts w:ascii="David" w:hAnsi="David" w:cs="David" w:hint="cs"/>
          <w:sz w:val="24"/>
          <w:szCs w:val="24"/>
          <w:rtl/>
        </w:rPr>
        <w:t>פי</w:t>
      </w:r>
      <w:r w:rsidR="00980270">
        <w:rPr>
          <w:rFonts w:ascii="David" w:hAnsi="David" w:cs="David" w:hint="cs"/>
          <w:sz w:val="24"/>
          <w:szCs w:val="24"/>
          <w:rtl/>
        </w:rPr>
        <w:t xml:space="preserve"> הפרט, וכן כי מניעת עסקתו עם מייק תכנס לקטג</w:t>
      </w:r>
      <w:r w:rsidR="00282C27">
        <w:rPr>
          <w:rFonts w:ascii="David" w:hAnsi="David" w:cs="David" w:hint="cs"/>
          <w:sz w:val="24"/>
          <w:szCs w:val="24"/>
          <w:rtl/>
        </w:rPr>
        <w:t>וריית החריג</w:t>
      </w:r>
      <w:r w:rsidR="00B72692">
        <w:rPr>
          <w:rFonts w:ascii="David" w:hAnsi="David" w:cs="David" w:hint="cs"/>
          <w:sz w:val="24"/>
          <w:szCs w:val="24"/>
          <w:rtl/>
        </w:rPr>
        <w:t xml:space="preserve"> בשל ההתערבות היתרה</w:t>
      </w:r>
      <w:r w:rsidR="00282C27">
        <w:rPr>
          <w:rFonts w:ascii="David" w:hAnsi="David" w:cs="David" w:hint="cs"/>
          <w:sz w:val="24"/>
          <w:szCs w:val="24"/>
          <w:rtl/>
        </w:rPr>
        <w:t>,</w:t>
      </w:r>
      <w:r w:rsidR="004F7397">
        <w:rPr>
          <w:rFonts w:ascii="David" w:hAnsi="David" w:cs="David" w:hint="cs"/>
          <w:sz w:val="24"/>
          <w:szCs w:val="24"/>
          <w:rtl/>
        </w:rPr>
        <w:t xml:space="preserve"> תיאוריה אשר קיבלה משנה תוקף בפס"ד </w:t>
      </w:r>
      <w:r w:rsidR="004F7397">
        <w:rPr>
          <w:rFonts w:ascii="David" w:hAnsi="David" w:cs="David" w:hint="cs"/>
          <w:b/>
          <w:bCs/>
          <w:sz w:val="24"/>
          <w:szCs w:val="24"/>
          <w:rtl/>
        </w:rPr>
        <w:t>אתא</w:t>
      </w:r>
      <w:r w:rsidR="004F7397">
        <w:rPr>
          <w:rStyle w:val="FootnoteReference"/>
          <w:rFonts w:ascii="David" w:hAnsi="David" w:cs="David"/>
          <w:sz w:val="24"/>
          <w:szCs w:val="24"/>
          <w:rtl/>
        </w:rPr>
        <w:footnoteReference w:id="16"/>
      </w:r>
      <w:r w:rsidR="004F7397">
        <w:rPr>
          <w:rFonts w:ascii="David" w:hAnsi="David" w:cs="David" w:hint="cs"/>
          <w:sz w:val="24"/>
          <w:szCs w:val="24"/>
          <w:rtl/>
        </w:rPr>
        <w:t>.</w:t>
      </w:r>
      <w:r w:rsidR="004E4EC5">
        <w:rPr>
          <w:rFonts w:ascii="David" w:hAnsi="David" w:cs="David" w:hint="cs"/>
          <w:sz w:val="24"/>
          <w:szCs w:val="24"/>
          <w:rtl/>
        </w:rPr>
        <w:t xml:space="preserve"> </w:t>
      </w:r>
      <w:r w:rsidR="004F7397">
        <w:rPr>
          <w:rFonts w:ascii="David" w:hAnsi="David" w:cs="David" w:hint="cs"/>
          <w:sz w:val="24"/>
          <w:szCs w:val="24"/>
          <w:rtl/>
        </w:rPr>
        <w:t>ניתן</w:t>
      </w:r>
      <w:r w:rsidR="00282C27">
        <w:rPr>
          <w:rFonts w:ascii="David" w:hAnsi="David" w:cs="David" w:hint="cs"/>
          <w:sz w:val="24"/>
          <w:szCs w:val="24"/>
          <w:rtl/>
        </w:rPr>
        <w:t xml:space="preserve"> </w:t>
      </w:r>
      <w:r w:rsidR="00B045E0">
        <w:rPr>
          <w:rFonts w:ascii="David" w:hAnsi="David" w:cs="David" w:hint="cs"/>
          <w:sz w:val="24"/>
          <w:szCs w:val="24"/>
          <w:rtl/>
        </w:rPr>
        <w:t>להבין</w:t>
      </w:r>
      <w:r w:rsidR="00282C27">
        <w:rPr>
          <w:rFonts w:ascii="David" w:hAnsi="David" w:cs="David" w:hint="cs"/>
          <w:sz w:val="24"/>
          <w:szCs w:val="24"/>
          <w:rtl/>
        </w:rPr>
        <w:t xml:space="preserve"> כי</w:t>
      </w:r>
      <w:r w:rsidR="004E4EC5">
        <w:rPr>
          <w:rFonts w:ascii="David" w:hAnsi="David" w:cs="David" w:hint="cs"/>
          <w:sz w:val="24"/>
          <w:szCs w:val="24"/>
          <w:rtl/>
        </w:rPr>
        <w:t xml:space="preserve"> הגברת האחריות החברתית תיטיב עם </w:t>
      </w:r>
      <w:r w:rsidR="005E46E7">
        <w:rPr>
          <w:rFonts w:ascii="David" w:hAnsi="David" w:cs="David" w:hint="cs"/>
          <w:sz w:val="24"/>
          <w:szCs w:val="24"/>
          <w:rtl/>
        </w:rPr>
        <w:t>מתנגדי הארווי</w:t>
      </w:r>
      <w:r w:rsidR="00B045E0">
        <w:rPr>
          <w:rFonts w:ascii="David" w:hAnsi="David" w:cs="David" w:hint="cs"/>
          <w:sz w:val="24"/>
          <w:szCs w:val="24"/>
          <w:rtl/>
        </w:rPr>
        <w:t xml:space="preserve"> </w:t>
      </w:r>
      <w:r w:rsidR="00B5106B">
        <w:rPr>
          <w:rFonts w:ascii="David" w:hAnsi="David" w:cs="David" w:hint="cs"/>
          <w:sz w:val="24"/>
          <w:szCs w:val="24"/>
          <w:rtl/>
        </w:rPr>
        <w:t>אשר עלולים לאבד מקום עבודתם</w:t>
      </w:r>
      <w:r w:rsidR="00B045E0">
        <w:rPr>
          <w:rFonts w:ascii="David" w:hAnsi="David" w:cs="David" w:hint="cs"/>
          <w:sz w:val="24"/>
          <w:szCs w:val="24"/>
          <w:rtl/>
        </w:rPr>
        <w:t xml:space="preserve"> (עוה"ד) או </w:t>
      </w:r>
      <w:r w:rsidR="00ED07BC">
        <w:rPr>
          <w:rFonts w:ascii="David" w:hAnsi="David" w:cs="David" w:hint="cs"/>
          <w:sz w:val="24"/>
          <w:szCs w:val="24"/>
          <w:rtl/>
        </w:rPr>
        <w:t>הזדמנות</w:t>
      </w:r>
      <w:r w:rsidR="00B045E0">
        <w:rPr>
          <w:rFonts w:ascii="David" w:hAnsi="David" w:cs="David" w:hint="cs"/>
          <w:sz w:val="24"/>
          <w:szCs w:val="24"/>
          <w:rtl/>
        </w:rPr>
        <w:t xml:space="preserve"> לרכישת דירה (השלישייה)</w:t>
      </w:r>
      <w:r w:rsidR="00D6397F">
        <w:rPr>
          <w:rFonts w:ascii="David" w:hAnsi="David" w:cs="David" w:hint="cs"/>
          <w:sz w:val="24"/>
          <w:szCs w:val="24"/>
          <w:rtl/>
        </w:rPr>
        <w:t>.</w:t>
      </w:r>
    </w:p>
    <w:p w:rsidR="00D53A5A" w:rsidRDefault="00225DE4" w:rsidP="00D6397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לפי מאמרו של דגן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17"/>
      </w:r>
      <w:r>
        <w:rPr>
          <w:rFonts w:ascii="David" w:hAnsi="David" w:cs="David" w:hint="cs"/>
          <w:sz w:val="24"/>
          <w:szCs w:val="24"/>
          <w:rtl/>
        </w:rPr>
        <w:t xml:space="preserve"> טוב יעשה </w:t>
      </w:r>
      <w:r>
        <w:rPr>
          <w:rFonts w:ascii="David" w:hAnsi="David" w:cs="David" w:hint="cs"/>
          <w:b/>
          <w:bCs/>
          <w:sz w:val="24"/>
          <w:szCs w:val="24"/>
          <w:rtl/>
        </w:rPr>
        <w:t>הארווי</w:t>
      </w:r>
      <w:r>
        <w:rPr>
          <w:rFonts w:ascii="David" w:hAnsi="David" w:cs="David" w:hint="cs"/>
          <w:sz w:val="24"/>
          <w:szCs w:val="24"/>
          <w:rtl/>
        </w:rPr>
        <w:t xml:space="preserve"> אם יצדד בגישה </w:t>
      </w:r>
      <w:r w:rsidRPr="00D6397F">
        <w:rPr>
          <w:rFonts w:ascii="David" w:hAnsi="David" w:cs="David" w:hint="cs"/>
          <w:sz w:val="24"/>
          <w:szCs w:val="24"/>
          <w:rtl/>
        </w:rPr>
        <w:t>הבלקסטוניאנית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D6397F">
        <w:rPr>
          <w:rFonts w:ascii="David" w:hAnsi="David" w:cs="David" w:hint="cs"/>
          <w:sz w:val="24"/>
          <w:szCs w:val="24"/>
          <w:rtl/>
        </w:rPr>
        <w:t xml:space="preserve">כי </w:t>
      </w:r>
      <w:r w:rsidR="005113E9">
        <w:rPr>
          <w:rFonts w:ascii="David" w:hAnsi="David" w:cs="David" w:hint="cs"/>
          <w:sz w:val="24"/>
          <w:szCs w:val="24"/>
          <w:rtl/>
        </w:rPr>
        <w:t>"שלי-</w:t>
      </w:r>
      <w:r w:rsidR="008B3E17">
        <w:rPr>
          <w:rFonts w:ascii="David" w:hAnsi="David" w:cs="David" w:hint="cs"/>
          <w:sz w:val="24"/>
          <w:szCs w:val="24"/>
          <w:rtl/>
        </w:rPr>
        <w:t>שלי</w:t>
      </w:r>
      <w:r w:rsidR="005113E9">
        <w:rPr>
          <w:rFonts w:ascii="David" w:hAnsi="David" w:cs="David" w:hint="cs"/>
          <w:sz w:val="24"/>
          <w:szCs w:val="24"/>
          <w:rtl/>
        </w:rPr>
        <w:t>; שלך-שלך"</w:t>
      </w:r>
      <w:r w:rsidR="008B3E17">
        <w:rPr>
          <w:rFonts w:ascii="David" w:hAnsi="David" w:cs="David" w:hint="cs"/>
          <w:sz w:val="24"/>
          <w:szCs w:val="24"/>
          <w:rtl/>
        </w:rPr>
        <w:t>, תפיסה המשתלבת יפה עם הגישה הליברטריאנית, לפיה למדינה יש תפקיד של "שומר לילה" בעל אופי התערבות מינימלית.</w:t>
      </w:r>
      <w:r w:rsidR="00D6397F">
        <w:rPr>
          <w:rFonts w:ascii="David" w:hAnsi="David" w:cs="David" w:hint="cs"/>
          <w:sz w:val="24"/>
          <w:szCs w:val="24"/>
          <w:rtl/>
        </w:rPr>
        <w:t xml:space="preserve"> </w:t>
      </w:r>
      <w:r w:rsidR="0011646F">
        <w:rPr>
          <w:rFonts w:ascii="David" w:hAnsi="David" w:cs="David" w:hint="cs"/>
          <w:sz w:val="24"/>
          <w:szCs w:val="24"/>
          <w:rtl/>
        </w:rPr>
        <w:t xml:space="preserve"> </w:t>
      </w:r>
      <w:r w:rsidR="005E46E7">
        <w:rPr>
          <w:rFonts w:ascii="David" w:hAnsi="David" w:cs="David" w:hint="cs"/>
          <w:b/>
          <w:bCs/>
          <w:sz w:val="24"/>
          <w:szCs w:val="24"/>
          <w:rtl/>
        </w:rPr>
        <w:t xml:space="preserve">המתנגדים </w:t>
      </w:r>
      <w:r w:rsidR="0011646F">
        <w:rPr>
          <w:rFonts w:ascii="David" w:hAnsi="David" w:cs="David" w:hint="cs"/>
          <w:sz w:val="24"/>
          <w:szCs w:val="24"/>
          <w:rtl/>
        </w:rPr>
        <w:t xml:space="preserve">ינסו לטעון לגישה הפרוגרסיבית המקלה ואשר </w:t>
      </w:r>
      <w:r w:rsidR="005113E9">
        <w:rPr>
          <w:rFonts w:ascii="David" w:hAnsi="David" w:cs="David" w:hint="cs"/>
          <w:sz w:val="24"/>
          <w:szCs w:val="24"/>
          <w:rtl/>
        </w:rPr>
        <w:t>מאחדת כוחות</w:t>
      </w:r>
      <w:r w:rsidR="0011646F">
        <w:rPr>
          <w:rFonts w:ascii="David" w:hAnsi="David" w:cs="David" w:hint="cs"/>
          <w:sz w:val="24"/>
          <w:szCs w:val="24"/>
          <w:rtl/>
        </w:rPr>
        <w:t xml:space="preserve"> עם דעתו של הופלד</w:t>
      </w:r>
      <w:r w:rsidR="0011646F">
        <w:rPr>
          <w:rStyle w:val="FootnoteReference"/>
          <w:rFonts w:ascii="David" w:hAnsi="David" w:cs="David"/>
          <w:sz w:val="24"/>
          <w:szCs w:val="24"/>
          <w:rtl/>
        </w:rPr>
        <w:footnoteReference w:id="18"/>
      </w:r>
      <w:r w:rsidR="00242746">
        <w:rPr>
          <w:rFonts w:ascii="David" w:hAnsi="David" w:cs="David" w:hint="cs"/>
          <w:sz w:val="24"/>
          <w:szCs w:val="24"/>
          <w:rtl/>
        </w:rPr>
        <w:t>, לפיה לא כל גריעה</w:t>
      </w:r>
      <w:r w:rsidR="0011646F">
        <w:rPr>
          <w:rFonts w:ascii="David" w:hAnsi="David" w:cs="David" w:hint="cs"/>
          <w:sz w:val="24"/>
          <w:szCs w:val="24"/>
          <w:rtl/>
        </w:rPr>
        <w:t xml:space="preserve"> תחשב לפגיעה</w:t>
      </w:r>
      <w:r w:rsidR="00242746">
        <w:rPr>
          <w:rFonts w:ascii="David" w:hAnsi="David" w:cs="David" w:hint="cs"/>
          <w:sz w:val="24"/>
          <w:szCs w:val="24"/>
          <w:rtl/>
        </w:rPr>
        <w:t xml:space="preserve"> בזכות לקניין</w:t>
      </w:r>
      <w:r w:rsidR="00D6397F">
        <w:rPr>
          <w:rFonts w:ascii="David" w:hAnsi="David" w:cs="David" w:hint="cs"/>
          <w:sz w:val="24"/>
          <w:szCs w:val="24"/>
          <w:rtl/>
        </w:rPr>
        <w:t>, וכן גם לגישה הליברלית אשר מסתכלת על מכלול המרכיבים. בראות עיניי, הגישה הפלורליסטית יתכן ותבוא לטובת כל צד, כאשר היא מבקשת לבחון את הדברים בצורה סובייקטיבית</w:t>
      </w:r>
      <w:r w:rsidR="0011646F">
        <w:rPr>
          <w:rFonts w:ascii="David" w:hAnsi="David" w:cs="David" w:hint="cs"/>
          <w:sz w:val="24"/>
          <w:szCs w:val="24"/>
          <w:rtl/>
        </w:rPr>
        <w:t>.</w:t>
      </w:r>
      <w:r w:rsidR="00B800CC">
        <w:rPr>
          <w:rFonts w:ascii="David" w:hAnsi="David" w:cs="David" w:hint="cs"/>
          <w:sz w:val="24"/>
          <w:szCs w:val="24"/>
          <w:rtl/>
        </w:rPr>
        <w:t xml:space="preserve"> אל מול כל הדיונים הללו יטען </w:t>
      </w:r>
      <w:r w:rsidR="00B800CC">
        <w:rPr>
          <w:rFonts w:ascii="David" w:hAnsi="David" w:cs="David" w:hint="cs"/>
          <w:b/>
          <w:bCs/>
          <w:sz w:val="24"/>
          <w:szCs w:val="24"/>
          <w:rtl/>
        </w:rPr>
        <w:t>הארווי</w:t>
      </w:r>
      <w:r w:rsidR="00B800CC">
        <w:rPr>
          <w:rFonts w:ascii="David" w:hAnsi="David" w:cs="David" w:hint="cs"/>
          <w:sz w:val="24"/>
          <w:szCs w:val="24"/>
          <w:rtl/>
        </w:rPr>
        <w:t xml:space="preserve"> כי הזכות נוסדה כבר בימי סב-דודו הרדמן, ומשזו בוססה, האחרון העביר לו אותה. טיעון זה ישמוט את הקרקע מול הטיעונים התיאורתיים נגד הארווי עצמו. </w:t>
      </w:r>
    </w:p>
    <w:p w:rsidR="00376E9A" w:rsidRPr="00376E9A" w:rsidRDefault="00376E9A" w:rsidP="005048C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בסוגיית </w:t>
      </w:r>
      <w:r w:rsidRPr="00DF4205">
        <w:rPr>
          <w:rFonts w:ascii="David" w:hAnsi="David" w:cs="David" w:hint="cs"/>
          <w:b/>
          <w:bCs/>
          <w:sz w:val="24"/>
          <w:szCs w:val="24"/>
          <w:rtl/>
        </w:rPr>
        <w:t>עוה"ד</w:t>
      </w:r>
      <w:r>
        <w:rPr>
          <w:rFonts w:ascii="David" w:hAnsi="David" w:cs="David" w:hint="cs"/>
          <w:sz w:val="24"/>
          <w:szCs w:val="24"/>
          <w:rtl/>
        </w:rPr>
        <w:t xml:space="preserve">, יוכלו לטעון כי איבוד מקום עבודתם אל מול שימושו של הארווי בזכותו עונה להגדרה של החצנה, כאשר לפי </w:t>
      </w:r>
      <w:r w:rsidRPr="00D83692">
        <w:rPr>
          <w:rFonts w:ascii="David" w:hAnsi="David" w:cs="David" w:hint="cs"/>
          <w:b/>
          <w:bCs/>
          <w:sz w:val="24"/>
          <w:szCs w:val="24"/>
          <w:rtl/>
        </w:rPr>
        <w:t>דמשץ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19"/>
      </w:r>
      <w:r>
        <w:rPr>
          <w:rFonts w:ascii="David" w:hAnsi="David" w:cs="David" w:hint="cs"/>
          <w:sz w:val="24"/>
          <w:szCs w:val="24"/>
          <w:rtl/>
        </w:rPr>
        <w:t xml:space="preserve"> יש להשתמש בדיני הקניין כדי להלחם בהחצנות. נוסף על כך יטענו </w:t>
      </w:r>
      <w:r w:rsidRPr="00F241FC">
        <w:rPr>
          <w:rFonts w:ascii="David" w:hAnsi="David" w:cs="David" w:hint="cs"/>
          <w:b/>
          <w:bCs/>
          <w:sz w:val="24"/>
          <w:szCs w:val="24"/>
          <w:rtl/>
        </w:rPr>
        <w:t>עוה"ד</w:t>
      </w:r>
      <w:r>
        <w:rPr>
          <w:rFonts w:ascii="David" w:hAnsi="David" w:cs="David" w:hint="cs"/>
          <w:sz w:val="24"/>
          <w:szCs w:val="24"/>
          <w:rtl/>
        </w:rPr>
        <w:t xml:space="preserve"> כי למכירה אופי הפקעתי וכי זו פוגעת </w:t>
      </w:r>
      <w:r w:rsidRPr="00AE05B3">
        <w:rPr>
          <w:rFonts w:ascii="David" w:hAnsi="David" w:cs="David" w:hint="cs"/>
          <w:b/>
          <w:bCs/>
          <w:sz w:val="24"/>
          <w:szCs w:val="24"/>
          <w:rtl/>
        </w:rPr>
        <w:t>בערך הקהילתיות</w:t>
      </w:r>
      <w:r>
        <w:rPr>
          <w:rFonts w:ascii="David" w:hAnsi="David" w:cs="David" w:hint="cs"/>
          <w:sz w:val="24"/>
          <w:szCs w:val="24"/>
          <w:rtl/>
        </w:rPr>
        <w:t xml:space="preserve"> שלהם וכן כי לפי מאמרו של </w:t>
      </w:r>
      <w:r w:rsidRPr="00D83692">
        <w:rPr>
          <w:rFonts w:ascii="David" w:hAnsi="David" w:cs="David" w:hint="cs"/>
          <w:b/>
          <w:bCs/>
          <w:sz w:val="24"/>
          <w:szCs w:val="24"/>
          <w:rtl/>
        </w:rPr>
        <w:t>שטרן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20"/>
      </w:r>
      <w:r>
        <w:rPr>
          <w:rFonts w:ascii="David" w:hAnsi="David" w:cs="David" w:hint="cs"/>
          <w:sz w:val="24"/>
          <w:szCs w:val="24"/>
          <w:rtl/>
        </w:rPr>
        <w:t xml:space="preserve"> יש מקום לפצותם על </w:t>
      </w:r>
      <w:r w:rsidR="005048C6">
        <w:rPr>
          <w:rFonts w:ascii="David" w:hAnsi="David" w:cs="David" w:hint="cs"/>
          <w:sz w:val="24"/>
          <w:szCs w:val="24"/>
          <w:rtl/>
        </w:rPr>
        <w:t>אובדן זה</w:t>
      </w:r>
      <w:r>
        <w:rPr>
          <w:rFonts w:ascii="David" w:hAnsi="David" w:cs="David" w:hint="cs"/>
          <w:sz w:val="24"/>
          <w:szCs w:val="24"/>
          <w:rtl/>
        </w:rPr>
        <w:t xml:space="preserve">, כאשר הארווי יטען כי עוה"ד לא מאבדים את הקהילתיות אלא עוברים ביחד. טענה נוספת תהיה כי </w:t>
      </w:r>
      <w:r w:rsidRPr="00D83692">
        <w:rPr>
          <w:rFonts w:ascii="David" w:hAnsi="David" w:cs="David" w:hint="cs"/>
          <w:b/>
          <w:bCs/>
          <w:sz w:val="24"/>
          <w:szCs w:val="24"/>
          <w:rtl/>
        </w:rPr>
        <w:t>עוה</w:t>
      </w:r>
      <w:bookmarkStart w:id="0" w:name="_GoBack"/>
      <w:bookmarkEnd w:id="0"/>
      <w:r w:rsidRPr="00D83692">
        <w:rPr>
          <w:rFonts w:ascii="David" w:hAnsi="David" w:cs="David" w:hint="cs"/>
          <w:b/>
          <w:bCs/>
          <w:sz w:val="24"/>
          <w:szCs w:val="24"/>
          <w:rtl/>
        </w:rPr>
        <w:t>"ד</w:t>
      </w:r>
      <w:r>
        <w:rPr>
          <w:rFonts w:ascii="David" w:hAnsi="David" w:cs="David" w:hint="cs"/>
          <w:sz w:val="24"/>
          <w:szCs w:val="24"/>
          <w:rtl/>
        </w:rPr>
        <w:t xml:space="preserve"> הסתמכו על מקום העבודה ועל </w:t>
      </w:r>
      <w:r>
        <w:rPr>
          <w:rFonts w:ascii="David" w:hAnsi="David" w:cs="David" w:hint="cs"/>
          <w:sz w:val="24"/>
          <w:szCs w:val="24"/>
          <w:rtl/>
        </w:rPr>
        <w:lastRenderedPageBreak/>
        <w:t xml:space="preserve">המשרד ולכן יש לפצותם על אינטרס ההסתמכות לפי מאמרו של </w:t>
      </w:r>
      <w:r w:rsidRPr="00D83692">
        <w:rPr>
          <w:rFonts w:ascii="David" w:hAnsi="David" w:cs="David" w:hint="cs"/>
          <w:b/>
          <w:bCs/>
          <w:sz w:val="24"/>
          <w:szCs w:val="24"/>
          <w:rtl/>
        </w:rPr>
        <w:t>סינגר</w:t>
      </w:r>
      <w:r>
        <w:rPr>
          <w:rStyle w:val="FootnoteReference"/>
          <w:rFonts w:ascii="David" w:hAnsi="David" w:cs="David"/>
          <w:b/>
          <w:bCs/>
          <w:sz w:val="24"/>
          <w:szCs w:val="24"/>
          <w:rtl/>
        </w:rPr>
        <w:footnoteReference w:id="21"/>
      </w:r>
      <w:r>
        <w:rPr>
          <w:rFonts w:ascii="David" w:hAnsi="David" w:cs="David" w:hint="cs"/>
          <w:sz w:val="24"/>
          <w:szCs w:val="24"/>
          <w:rtl/>
        </w:rPr>
        <w:t xml:space="preserve">, כאשר מנגד יטען הארווי כי טענה זו לא תפסה בפסיקה הישראלית. טענה נוספת מצידם של </w:t>
      </w:r>
      <w:r>
        <w:rPr>
          <w:rFonts w:ascii="David" w:hAnsi="David" w:cs="David" w:hint="cs"/>
          <w:b/>
          <w:bCs/>
          <w:sz w:val="24"/>
          <w:szCs w:val="24"/>
          <w:rtl/>
        </w:rPr>
        <w:t>עוה"ד</w:t>
      </w:r>
      <w:r>
        <w:rPr>
          <w:rFonts w:ascii="David" w:hAnsi="David" w:cs="David" w:hint="cs"/>
          <w:sz w:val="24"/>
          <w:szCs w:val="24"/>
          <w:rtl/>
        </w:rPr>
        <w:t xml:space="preserve"> תהיה ההשוואה למצבם המשפטי של הבדואים, כאשר גרסתם תהיה ששהייתם הממושכת בנכס מעלה להם חזקה עליו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22"/>
      </w:r>
      <w:r>
        <w:rPr>
          <w:rFonts w:ascii="David" w:hAnsi="David" w:cs="David" w:hint="cs"/>
          <w:sz w:val="24"/>
          <w:szCs w:val="24"/>
          <w:rtl/>
        </w:rPr>
        <w:t xml:space="preserve">, ולכן להארווי אין את היכולת לסלקם כלאחר יד. טענה נוספת תהיה לדעתו של </w:t>
      </w:r>
      <w:r w:rsidRPr="00376E9A">
        <w:rPr>
          <w:rFonts w:ascii="David" w:hAnsi="David" w:cs="David" w:hint="cs"/>
          <w:b/>
          <w:bCs/>
          <w:sz w:val="24"/>
          <w:szCs w:val="24"/>
          <w:rtl/>
        </w:rPr>
        <w:t>גרגורי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23"/>
      </w:r>
      <w:r>
        <w:rPr>
          <w:rFonts w:ascii="David" w:hAnsi="David" w:cs="David" w:hint="cs"/>
          <w:sz w:val="24"/>
          <w:szCs w:val="24"/>
          <w:rtl/>
        </w:rPr>
        <w:t>, כי לבעל קניין יש חובות כלפי אחרים, ובכך גם לנהוג בהם בתו"ל ולא לסלקם בצורה כזו. במצבים משפטיים מסוג זה אשר אינם מקבלים פתרון הולם בחוק ניתן ע"פ חוק יסודות המשפט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24"/>
      </w:r>
      <w:r>
        <w:rPr>
          <w:rFonts w:ascii="David" w:hAnsi="David" w:cs="David" w:hint="cs"/>
          <w:sz w:val="24"/>
          <w:szCs w:val="24"/>
          <w:rtl/>
        </w:rPr>
        <w:t xml:space="preserve"> ללכת ולרעות בשדות המקורות ההלכתיים. </w:t>
      </w:r>
      <w:r>
        <w:rPr>
          <w:rFonts w:ascii="David" w:hAnsi="David" w:cs="David" w:hint="cs"/>
          <w:b/>
          <w:bCs/>
          <w:sz w:val="24"/>
          <w:szCs w:val="24"/>
          <w:rtl/>
        </w:rPr>
        <w:t>עוה"ד</w:t>
      </w:r>
      <w:r>
        <w:rPr>
          <w:rFonts w:ascii="David" w:hAnsi="David" w:cs="David" w:hint="cs"/>
          <w:sz w:val="24"/>
          <w:szCs w:val="24"/>
          <w:rtl/>
        </w:rPr>
        <w:t xml:space="preserve"> יוכלו לטעון להלכת "דינא דבר מצרא" המבוססת על הפסוק "ועשית הישר והטוב"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25"/>
      </w:r>
      <w:r>
        <w:rPr>
          <w:rFonts w:ascii="David" w:hAnsi="David" w:cs="David" w:hint="cs"/>
          <w:sz w:val="24"/>
          <w:szCs w:val="24"/>
          <w:rtl/>
        </w:rPr>
        <w:t>, לפיה בעסקת מקרקעין יש לשכן זכות קדימה בעת רכישה. טענה זו מורכבת מכיוון ואין דרך להכריע האם עוה"ד מוגדרים כשכנים.</w:t>
      </w:r>
    </w:p>
    <w:p w:rsidR="00EE433B" w:rsidRDefault="00EE433B" w:rsidP="005040D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דיון מקדמי נוסף יהיה אל מול סוג הקרקע. בעבודה לא נתון </w:t>
      </w:r>
      <w:r w:rsidR="00C874B6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אם הקרקע פרטית או ציבורית</w:t>
      </w:r>
      <w:r w:rsidR="00C874B6">
        <w:rPr>
          <w:rFonts w:ascii="David" w:hAnsi="David" w:cs="David" w:hint="cs"/>
          <w:sz w:val="24"/>
          <w:szCs w:val="24"/>
          <w:rtl/>
        </w:rPr>
        <w:t xml:space="preserve"> (93% מהקרקעות בידי המדינה)</w:t>
      </w:r>
      <w:r>
        <w:rPr>
          <w:rFonts w:ascii="David" w:hAnsi="David" w:cs="David" w:hint="cs"/>
          <w:sz w:val="24"/>
          <w:szCs w:val="24"/>
          <w:rtl/>
        </w:rPr>
        <w:t xml:space="preserve">. צוין כי להארווי בעלות על </w:t>
      </w:r>
      <w:r w:rsidR="009048E4">
        <w:rPr>
          <w:rFonts w:ascii="David" w:hAnsi="David" w:cs="David" w:hint="cs"/>
          <w:sz w:val="24"/>
          <w:szCs w:val="24"/>
          <w:rtl/>
        </w:rPr>
        <w:t>מחוברי הקרקע</w:t>
      </w:r>
      <w:r>
        <w:rPr>
          <w:rFonts w:ascii="David" w:hAnsi="David" w:cs="David" w:hint="cs"/>
          <w:sz w:val="24"/>
          <w:szCs w:val="24"/>
          <w:rtl/>
        </w:rPr>
        <w:t xml:space="preserve"> ולכן </w:t>
      </w:r>
      <w:r w:rsidR="00C03FE9">
        <w:rPr>
          <w:rFonts w:ascii="David" w:hAnsi="David" w:cs="David" w:hint="cs"/>
          <w:sz w:val="24"/>
          <w:szCs w:val="24"/>
          <w:rtl/>
        </w:rPr>
        <w:t>ניתן</w:t>
      </w:r>
      <w:r w:rsidR="009048E4">
        <w:rPr>
          <w:rFonts w:ascii="David" w:hAnsi="David" w:cs="David" w:hint="cs"/>
          <w:sz w:val="24"/>
          <w:szCs w:val="24"/>
          <w:rtl/>
        </w:rPr>
        <w:t xml:space="preserve"> להניח כי גם על הקרקע</w:t>
      </w:r>
      <w:r w:rsidR="004B39DC">
        <w:rPr>
          <w:rStyle w:val="FootnoteReference"/>
          <w:rFonts w:ascii="David" w:hAnsi="David" w:cs="David"/>
          <w:sz w:val="24"/>
          <w:szCs w:val="24"/>
          <w:rtl/>
        </w:rPr>
        <w:footnoteReference w:id="26"/>
      </w:r>
      <w:r w:rsidR="009048E4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דבר </w:t>
      </w:r>
      <w:r w:rsidR="009048E4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עלול לרמוז כי הקרקע פרטית</w:t>
      </w:r>
      <w:r w:rsidR="00BC1B0B">
        <w:rPr>
          <w:rFonts w:ascii="David" w:hAnsi="David" w:cs="David" w:hint="cs"/>
          <w:sz w:val="24"/>
          <w:szCs w:val="24"/>
          <w:rtl/>
        </w:rPr>
        <w:t xml:space="preserve"> בעזרת סילוגיזם פשוט.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02110">
        <w:rPr>
          <w:rFonts w:ascii="David" w:hAnsi="David" w:cs="David" w:hint="cs"/>
          <w:sz w:val="24"/>
          <w:szCs w:val="24"/>
          <w:rtl/>
        </w:rPr>
        <w:t xml:space="preserve">יש לציין כי </w:t>
      </w:r>
      <w:r w:rsidR="00BC1B0B">
        <w:rPr>
          <w:rFonts w:ascii="David" w:hAnsi="David" w:cs="David" w:hint="cs"/>
          <w:sz w:val="24"/>
          <w:szCs w:val="24"/>
          <w:rtl/>
        </w:rPr>
        <w:t>קביעה זו</w:t>
      </w:r>
      <w:r w:rsidR="00D02110">
        <w:rPr>
          <w:rFonts w:ascii="David" w:hAnsi="David" w:cs="David" w:hint="cs"/>
          <w:sz w:val="24"/>
          <w:szCs w:val="24"/>
          <w:rtl/>
        </w:rPr>
        <w:t xml:space="preserve"> איננ</w:t>
      </w:r>
      <w:r w:rsidR="00BC1B0B">
        <w:rPr>
          <w:rFonts w:ascii="David" w:hAnsi="David" w:cs="David" w:hint="cs"/>
          <w:sz w:val="24"/>
          <w:szCs w:val="24"/>
          <w:rtl/>
        </w:rPr>
        <w:t>ה</w:t>
      </w:r>
      <w:r w:rsidR="00D02110">
        <w:rPr>
          <w:rFonts w:ascii="David" w:hAnsi="David" w:cs="David" w:hint="cs"/>
          <w:sz w:val="24"/>
          <w:szCs w:val="24"/>
          <w:rtl/>
        </w:rPr>
        <w:t xml:space="preserve"> מוחלט</w:t>
      </w:r>
      <w:r w:rsidR="00BC1B0B">
        <w:rPr>
          <w:rFonts w:ascii="David" w:hAnsi="David" w:cs="David" w:hint="cs"/>
          <w:sz w:val="24"/>
          <w:szCs w:val="24"/>
          <w:rtl/>
        </w:rPr>
        <w:t>ת</w:t>
      </w:r>
      <w:r w:rsidR="005040D1">
        <w:rPr>
          <w:rFonts w:ascii="David" w:hAnsi="David" w:cs="David" w:hint="cs"/>
          <w:sz w:val="24"/>
          <w:szCs w:val="24"/>
          <w:rtl/>
        </w:rPr>
        <w:t xml:space="preserve"> אך בכ"א</w:t>
      </w:r>
      <w:r w:rsidR="00C874B6">
        <w:rPr>
          <w:rFonts w:ascii="David" w:hAnsi="David" w:cs="David" w:hint="cs"/>
          <w:sz w:val="24"/>
          <w:szCs w:val="24"/>
          <w:rtl/>
        </w:rPr>
        <w:t xml:space="preserve"> לפי </w:t>
      </w:r>
      <w:r w:rsidR="00C874B6" w:rsidRPr="005040D1">
        <w:rPr>
          <w:rFonts w:ascii="David" w:hAnsi="David" w:cs="David" w:hint="cs"/>
          <w:b/>
          <w:bCs/>
          <w:sz w:val="24"/>
          <w:szCs w:val="24"/>
          <w:rtl/>
        </w:rPr>
        <w:t>אלתרמן</w:t>
      </w:r>
      <w:r w:rsidR="005040D1">
        <w:rPr>
          <w:rStyle w:val="FootnoteReference"/>
          <w:rFonts w:ascii="David" w:hAnsi="David" w:cs="David"/>
          <w:sz w:val="24"/>
          <w:szCs w:val="24"/>
          <w:rtl/>
        </w:rPr>
        <w:footnoteReference w:id="27"/>
      </w:r>
      <w:r w:rsidR="00C874B6">
        <w:rPr>
          <w:rFonts w:ascii="David" w:hAnsi="David" w:cs="David" w:hint="cs"/>
          <w:sz w:val="24"/>
          <w:szCs w:val="24"/>
          <w:rtl/>
        </w:rPr>
        <w:t xml:space="preserve"> זכויות בעלי החכירה קרובות לאלו של הבעלים.</w:t>
      </w:r>
      <w:r w:rsidR="00D02110">
        <w:rPr>
          <w:rFonts w:ascii="David" w:hAnsi="David" w:cs="David" w:hint="cs"/>
          <w:sz w:val="24"/>
          <w:szCs w:val="24"/>
          <w:rtl/>
        </w:rPr>
        <w:t xml:space="preserve"> </w:t>
      </w:r>
      <w:r w:rsidR="00C874B6">
        <w:rPr>
          <w:rFonts w:ascii="David" w:hAnsi="David" w:cs="David" w:hint="cs"/>
          <w:sz w:val="24"/>
          <w:szCs w:val="24"/>
          <w:rtl/>
        </w:rPr>
        <w:t xml:space="preserve">בנוסף, </w:t>
      </w:r>
      <w:r w:rsidR="00D02110">
        <w:rPr>
          <w:rFonts w:ascii="David" w:hAnsi="David" w:cs="David" w:hint="cs"/>
          <w:sz w:val="24"/>
          <w:szCs w:val="24"/>
          <w:rtl/>
        </w:rPr>
        <w:t xml:space="preserve">ניתן יהיה לטעון כי שירותי </w:t>
      </w:r>
      <w:r w:rsidR="00C874B6">
        <w:rPr>
          <w:rFonts w:ascii="David" w:hAnsi="David" w:cs="David" w:hint="cs"/>
          <w:sz w:val="24"/>
          <w:szCs w:val="24"/>
          <w:rtl/>
        </w:rPr>
        <w:t>המשרד</w:t>
      </w:r>
      <w:r w:rsidR="00D02110">
        <w:rPr>
          <w:rFonts w:ascii="David" w:hAnsi="David" w:cs="David" w:hint="cs"/>
          <w:sz w:val="24"/>
          <w:szCs w:val="24"/>
          <w:rtl/>
        </w:rPr>
        <w:t xml:space="preserve"> הם מוצר ציבורי ועל כן המקרקעין בעלי אופי ציבורי. נבקש לבחון האם מדובר במקרקעין ייעוד. לפי </w:t>
      </w:r>
      <w:r w:rsidR="00F40E51">
        <w:rPr>
          <w:rFonts w:ascii="David" w:hAnsi="David" w:cs="David" w:hint="cs"/>
          <w:sz w:val="24"/>
          <w:szCs w:val="24"/>
          <w:rtl/>
        </w:rPr>
        <w:t>חוק המקרקעין</w:t>
      </w:r>
      <w:r w:rsidR="00F40E51">
        <w:rPr>
          <w:rStyle w:val="FootnoteReference"/>
          <w:rFonts w:ascii="David" w:hAnsi="David" w:cs="David"/>
          <w:sz w:val="24"/>
          <w:szCs w:val="24"/>
          <w:rtl/>
        </w:rPr>
        <w:footnoteReference w:id="28"/>
      </w:r>
      <w:r w:rsidR="00F40E51">
        <w:rPr>
          <w:rFonts w:ascii="David" w:hAnsi="David" w:cs="David" w:hint="cs"/>
          <w:sz w:val="24"/>
          <w:szCs w:val="24"/>
          <w:rtl/>
        </w:rPr>
        <w:t xml:space="preserve"> ו</w:t>
      </w:r>
      <w:r w:rsidR="00D02110">
        <w:rPr>
          <w:rFonts w:ascii="David" w:hAnsi="David" w:cs="David" w:hint="cs"/>
          <w:sz w:val="24"/>
          <w:szCs w:val="24"/>
          <w:rtl/>
        </w:rPr>
        <w:t xml:space="preserve">ספרו של </w:t>
      </w:r>
      <w:r w:rsidR="00D02110" w:rsidRPr="005040D1">
        <w:rPr>
          <w:rFonts w:ascii="David" w:hAnsi="David" w:cs="David" w:hint="cs"/>
          <w:b/>
          <w:bCs/>
          <w:sz w:val="24"/>
          <w:szCs w:val="24"/>
          <w:rtl/>
        </w:rPr>
        <w:t>ויסמן</w:t>
      </w:r>
      <w:r w:rsidR="00D02110">
        <w:rPr>
          <w:rStyle w:val="FootnoteReference"/>
          <w:rFonts w:ascii="David" w:hAnsi="David" w:cs="David"/>
          <w:sz w:val="24"/>
          <w:szCs w:val="24"/>
          <w:rtl/>
        </w:rPr>
        <w:footnoteReference w:id="29"/>
      </w:r>
      <w:r w:rsidR="00D02110">
        <w:rPr>
          <w:rFonts w:ascii="David" w:hAnsi="David" w:cs="David" w:hint="cs"/>
          <w:sz w:val="24"/>
          <w:szCs w:val="24"/>
          <w:rtl/>
        </w:rPr>
        <w:t xml:space="preserve"> ישנם שלושה תנאים מצטברים, </w:t>
      </w:r>
      <w:r w:rsidR="00F40E51">
        <w:rPr>
          <w:rFonts w:ascii="David" w:hAnsi="David" w:cs="David" w:hint="cs"/>
          <w:sz w:val="24"/>
          <w:szCs w:val="24"/>
          <w:rtl/>
        </w:rPr>
        <w:t xml:space="preserve">מקרקעין ציבור, לתועלת ציבור ואל מול הקטגוריות המופיעות בחוק. ניתן לראות כי הקרקע לא עולה בהגדרה של </w:t>
      </w:r>
      <w:r w:rsidR="007947CC">
        <w:rPr>
          <w:rFonts w:ascii="David" w:hAnsi="David" w:cs="David" w:hint="cs"/>
          <w:sz w:val="24"/>
          <w:szCs w:val="24"/>
          <w:rtl/>
        </w:rPr>
        <w:t>התנאי השלישי</w:t>
      </w:r>
      <w:r w:rsidR="00BA217F">
        <w:rPr>
          <w:rStyle w:val="FootnoteReference"/>
          <w:rFonts w:ascii="David" w:hAnsi="David" w:cs="David"/>
          <w:sz w:val="24"/>
          <w:szCs w:val="24"/>
          <w:rtl/>
        </w:rPr>
        <w:footnoteReference w:id="30"/>
      </w:r>
      <w:r w:rsidR="00F40E51">
        <w:rPr>
          <w:rFonts w:ascii="David" w:hAnsi="David" w:cs="David" w:hint="cs"/>
          <w:sz w:val="24"/>
          <w:szCs w:val="24"/>
          <w:rtl/>
        </w:rPr>
        <w:t xml:space="preserve"> ועל כן איננה מקרקעין ייעוד.</w:t>
      </w:r>
    </w:p>
    <w:p w:rsidR="00FC7E8F" w:rsidRDefault="006D0D2D" w:rsidP="006D0D2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נדון בסוגיית </w:t>
      </w:r>
      <w:r w:rsidR="00FC7E8F">
        <w:rPr>
          <w:rFonts w:ascii="David" w:hAnsi="David" w:cs="David" w:hint="cs"/>
          <w:sz w:val="24"/>
          <w:szCs w:val="24"/>
          <w:rtl/>
        </w:rPr>
        <w:t xml:space="preserve">איסור העברת בעלות </w:t>
      </w:r>
      <w:r w:rsidR="00396F6C">
        <w:rPr>
          <w:rFonts w:ascii="David" w:hAnsi="David" w:cs="David" w:hint="cs"/>
          <w:sz w:val="24"/>
          <w:szCs w:val="24"/>
          <w:rtl/>
        </w:rPr>
        <w:t>ב</w:t>
      </w:r>
      <w:r w:rsidR="00FC7E8F">
        <w:rPr>
          <w:rFonts w:ascii="David" w:hAnsi="David" w:cs="David" w:hint="cs"/>
          <w:sz w:val="24"/>
          <w:szCs w:val="24"/>
          <w:rtl/>
        </w:rPr>
        <w:t xml:space="preserve">חלק ממקרקעין. </w:t>
      </w:r>
      <w:r w:rsidR="00396F6C">
        <w:rPr>
          <w:rFonts w:ascii="David" w:hAnsi="David" w:cs="David" w:hint="cs"/>
          <w:sz w:val="24"/>
          <w:szCs w:val="24"/>
          <w:rtl/>
        </w:rPr>
        <w:t xml:space="preserve">ניתן לטעון כי מדובר </w:t>
      </w:r>
      <w:r w:rsidR="009048E4">
        <w:rPr>
          <w:rFonts w:ascii="David" w:hAnsi="David" w:cs="David" w:hint="cs"/>
          <w:sz w:val="24"/>
          <w:szCs w:val="24"/>
          <w:rtl/>
        </w:rPr>
        <w:t>בעסקת מכר</w:t>
      </w:r>
      <w:r w:rsidR="00396F6C">
        <w:rPr>
          <w:rFonts w:ascii="David" w:hAnsi="David" w:cs="David" w:hint="cs"/>
          <w:sz w:val="24"/>
          <w:szCs w:val="24"/>
          <w:rtl/>
        </w:rPr>
        <w:t xml:space="preserve"> בבניין דירות </w:t>
      </w:r>
      <w:r w:rsidR="00161670">
        <w:rPr>
          <w:rFonts w:ascii="David" w:hAnsi="David" w:cs="David" w:hint="cs"/>
          <w:sz w:val="24"/>
          <w:szCs w:val="24"/>
          <w:rtl/>
        </w:rPr>
        <w:t>או לחלופין</w:t>
      </w:r>
      <w:r w:rsidR="00396F6C">
        <w:rPr>
          <w:rFonts w:ascii="David" w:hAnsi="David" w:cs="David" w:hint="cs"/>
          <w:sz w:val="24"/>
          <w:szCs w:val="24"/>
          <w:rtl/>
        </w:rPr>
        <w:t xml:space="preserve"> כי מדובר בהעברת זכות החכירה, אשר מותרת לפי הפסיקה</w:t>
      </w:r>
      <w:r w:rsidR="00396F6C">
        <w:rPr>
          <w:rStyle w:val="FootnoteReference"/>
          <w:rFonts w:ascii="David" w:hAnsi="David" w:cs="David"/>
          <w:sz w:val="24"/>
          <w:szCs w:val="24"/>
          <w:rtl/>
        </w:rPr>
        <w:footnoteReference w:id="31"/>
      </w:r>
      <w:r w:rsidR="00396F6C">
        <w:rPr>
          <w:rFonts w:ascii="David" w:hAnsi="David" w:cs="David" w:hint="cs"/>
          <w:sz w:val="24"/>
          <w:szCs w:val="24"/>
          <w:rtl/>
        </w:rPr>
        <w:t xml:space="preserve">. </w:t>
      </w:r>
      <w:r w:rsidR="00AC2F83">
        <w:rPr>
          <w:rFonts w:ascii="David" w:hAnsi="David" w:cs="David" w:hint="cs"/>
          <w:sz w:val="24"/>
          <w:szCs w:val="24"/>
          <w:rtl/>
        </w:rPr>
        <w:t>בכל הנוגע לאיסור העברת בעלות בקרקע</w:t>
      </w:r>
      <w:r w:rsidR="00AC2F83">
        <w:rPr>
          <w:rStyle w:val="FootnoteReference"/>
          <w:rFonts w:ascii="David" w:hAnsi="David" w:cs="David"/>
          <w:sz w:val="24"/>
          <w:szCs w:val="24"/>
          <w:rtl/>
        </w:rPr>
        <w:footnoteReference w:id="32"/>
      </w:r>
      <w:r w:rsidR="00AC2F83">
        <w:rPr>
          <w:rFonts w:ascii="David" w:hAnsi="David" w:cs="David" w:hint="cs"/>
          <w:sz w:val="24"/>
          <w:szCs w:val="24"/>
          <w:rtl/>
        </w:rPr>
        <w:t>, ניתן לטעון כי העסקה נכנסת לחריג 7 הקבוע בחוק</w:t>
      </w:r>
      <w:r w:rsidR="00AC2F83">
        <w:rPr>
          <w:rStyle w:val="FootnoteReference"/>
          <w:rFonts w:ascii="David" w:hAnsi="David" w:cs="David"/>
          <w:sz w:val="24"/>
          <w:szCs w:val="24"/>
          <w:rtl/>
        </w:rPr>
        <w:footnoteReference w:id="33"/>
      </w:r>
      <w:r w:rsidR="00AC2F83">
        <w:rPr>
          <w:rFonts w:ascii="David" w:hAnsi="David" w:cs="David" w:hint="cs"/>
          <w:sz w:val="24"/>
          <w:szCs w:val="24"/>
          <w:rtl/>
        </w:rPr>
        <w:t xml:space="preserve">. </w:t>
      </w:r>
      <w:r w:rsidR="00396F6C">
        <w:rPr>
          <w:rFonts w:ascii="David" w:hAnsi="David" w:cs="David" w:hint="cs"/>
          <w:sz w:val="24"/>
          <w:szCs w:val="24"/>
          <w:rtl/>
        </w:rPr>
        <w:t>נוסף על כך יש לציין כי הפיכת משרד לדיר</w:t>
      </w:r>
      <w:r w:rsidR="004624E7">
        <w:rPr>
          <w:rFonts w:ascii="David" w:hAnsi="David" w:cs="David" w:hint="cs"/>
          <w:sz w:val="24"/>
          <w:szCs w:val="24"/>
          <w:rtl/>
        </w:rPr>
        <w:t>ת מגורים דורש שינוי ייעוד</w:t>
      </w:r>
      <w:r w:rsidR="00396F6C">
        <w:rPr>
          <w:rFonts w:ascii="David" w:hAnsi="David" w:cs="David" w:hint="cs"/>
          <w:sz w:val="24"/>
          <w:szCs w:val="24"/>
          <w:rtl/>
        </w:rPr>
        <w:t>.</w:t>
      </w:r>
    </w:p>
    <w:p w:rsidR="009420A0" w:rsidRDefault="009420A0" w:rsidP="009420A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האם איסור אכילת הבשר בכותלי המשרד כשלעצמו תקין? במידה וקבענו כי מדובר במוצר ציבורי נוכל להיעזר בחוק איסור הפליה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34"/>
      </w:r>
      <w:r>
        <w:rPr>
          <w:rFonts w:ascii="David" w:hAnsi="David" w:cs="David" w:hint="cs"/>
          <w:sz w:val="24"/>
          <w:szCs w:val="24"/>
          <w:rtl/>
        </w:rPr>
        <w:t xml:space="preserve"> בכדי לקבוע כי מדובר בקביעת תנאים שלא מן המניין בהספקת המוצר, אל מול הסתכלות פסולה על השקפת ה"קרניבורים".</w:t>
      </w:r>
    </w:p>
    <w:p w:rsidR="00EE433B" w:rsidRDefault="009420A0" w:rsidP="00AC2F8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כעת נעבור אל ג'סיקה, דונה ולואיס (להלן: השלישייה). כאמור, השלישייה</w:t>
      </w:r>
      <w:r w:rsidR="009048E4">
        <w:rPr>
          <w:rFonts w:ascii="David" w:hAnsi="David" w:cs="David" w:hint="cs"/>
          <w:sz w:val="24"/>
          <w:szCs w:val="24"/>
          <w:rtl/>
        </w:rPr>
        <w:t xml:space="preserve"> תוכל לטעון כי ההחלטה לא למכור להם הינה מנוגדת לחוק איסור </w:t>
      </w:r>
      <w:r>
        <w:rPr>
          <w:rFonts w:ascii="David" w:hAnsi="David" w:cs="David" w:hint="cs"/>
          <w:sz w:val="24"/>
          <w:szCs w:val="24"/>
          <w:rtl/>
        </w:rPr>
        <w:t>הפלייה</w:t>
      </w:r>
      <w:r>
        <w:rPr>
          <w:rStyle w:val="FootnoteReference"/>
          <w:rFonts w:ascii="David" w:hAnsi="David" w:cs="David"/>
          <w:sz w:val="24"/>
          <w:szCs w:val="24"/>
          <w:rtl/>
        </w:rPr>
        <w:footnoteReference w:id="35"/>
      </w:r>
      <w:r>
        <w:rPr>
          <w:rFonts w:ascii="David" w:hAnsi="David" w:cs="David" w:hint="cs"/>
          <w:sz w:val="24"/>
          <w:szCs w:val="24"/>
          <w:rtl/>
        </w:rPr>
        <w:t xml:space="preserve"> מכיוון ומדובר במניעה אל מול השקפתם. </w:t>
      </w:r>
      <w:r w:rsidRPr="006D0D2D">
        <w:rPr>
          <w:rFonts w:ascii="David" w:hAnsi="David" w:cs="David" w:hint="cs"/>
          <w:b/>
          <w:bCs/>
          <w:sz w:val="24"/>
          <w:szCs w:val="24"/>
          <w:rtl/>
        </w:rPr>
        <w:t>הארווי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C2F83">
        <w:rPr>
          <w:rFonts w:ascii="David" w:hAnsi="David" w:cs="David" w:hint="cs"/>
          <w:sz w:val="24"/>
          <w:szCs w:val="24"/>
          <w:rtl/>
        </w:rPr>
        <w:t xml:space="preserve">יוכל </w:t>
      </w:r>
      <w:r>
        <w:rPr>
          <w:rFonts w:ascii="David" w:hAnsi="David" w:cs="David" w:hint="cs"/>
          <w:sz w:val="24"/>
          <w:szCs w:val="24"/>
          <w:rtl/>
        </w:rPr>
        <w:t>לטעון כי אל מול תיא</w:t>
      </w:r>
      <w:r w:rsidR="009048E4">
        <w:rPr>
          <w:rFonts w:ascii="David" w:hAnsi="David" w:cs="David" w:hint="cs"/>
          <w:sz w:val="24"/>
          <w:szCs w:val="24"/>
          <w:rtl/>
        </w:rPr>
        <w:t>וריית החירות הדבר חשוב להתפתחות</w:t>
      </w:r>
      <w:r>
        <w:rPr>
          <w:rFonts w:ascii="David" w:hAnsi="David" w:cs="David" w:hint="cs"/>
          <w:sz w:val="24"/>
          <w:szCs w:val="24"/>
          <w:rtl/>
        </w:rPr>
        <w:t xml:space="preserve"> אישיותו. כמו כן יוכל לטעון לשיקולי צדק-חלוקתי שכן </w:t>
      </w:r>
      <w:r w:rsidR="00D70A59">
        <w:rPr>
          <w:rFonts w:ascii="David" w:hAnsi="David" w:cs="David" w:hint="cs"/>
          <w:sz w:val="24"/>
          <w:szCs w:val="24"/>
          <w:rtl/>
        </w:rPr>
        <w:t>ציבור הצמחונים הוא מיעוט הדורש הגנה</w:t>
      </w:r>
      <w:r w:rsidR="00D70A59">
        <w:rPr>
          <w:rStyle w:val="FootnoteReference"/>
          <w:rFonts w:ascii="David" w:hAnsi="David" w:cs="David"/>
          <w:sz w:val="24"/>
          <w:szCs w:val="24"/>
          <w:rtl/>
        </w:rPr>
        <w:footnoteReference w:id="36"/>
      </w:r>
      <w:r w:rsidR="00DC401F">
        <w:rPr>
          <w:rFonts w:ascii="David" w:hAnsi="David" w:cs="David" w:hint="cs"/>
          <w:sz w:val="24"/>
          <w:szCs w:val="24"/>
          <w:rtl/>
        </w:rPr>
        <w:t xml:space="preserve"> וכן קבוצה הדורשת יחס ייחודי</w:t>
      </w:r>
      <w:r w:rsidR="00DC401F">
        <w:rPr>
          <w:rStyle w:val="FootnoteReference"/>
          <w:rFonts w:ascii="David" w:hAnsi="David" w:cs="David"/>
          <w:sz w:val="24"/>
          <w:szCs w:val="24"/>
          <w:rtl/>
        </w:rPr>
        <w:footnoteReference w:id="37"/>
      </w:r>
      <w:r w:rsidR="00D70A59">
        <w:rPr>
          <w:rFonts w:ascii="David" w:hAnsi="David" w:cs="David" w:hint="cs"/>
          <w:sz w:val="24"/>
          <w:szCs w:val="24"/>
          <w:rtl/>
        </w:rPr>
        <w:t>. לטעמי מדובר בטענות חלשות, בעיקר אל מול חוסר השוויון הנעשה ואשר קיבל בכורה בקעדאן</w:t>
      </w:r>
      <w:r w:rsidR="00D70A59">
        <w:rPr>
          <w:rStyle w:val="FootnoteReference"/>
          <w:rFonts w:ascii="David" w:hAnsi="David" w:cs="David"/>
          <w:sz w:val="24"/>
          <w:szCs w:val="24"/>
          <w:rtl/>
        </w:rPr>
        <w:footnoteReference w:id="38"/>
      </w:r>
      <w:r w:rsidR="00D70A59">
        <w:rPr>
          <w:rFonts w:ascii="David" w:hAnsi="David" w:cs="David" w:hint="cs"/>
          <w:sz w:val="24"/>
          <w:szCs w:val="24"/>
          <w:rtl/>
        </w:rPr>
        <w:t>. נוסף על כך הפסיקה</w:t>
      </w:r>
      <w:r w:rsidR="00D70A59">
        <w:rPr>
          <w:rStyle w:val="FootnoteReference"/>
          <w:rFonts w:ascii="David" w:hAnsi="David" w:cs="David"/>
          <w:sz w:val="24"/>
          <w:szCs w:val="24"/>
          <w:rtl/>
        </w:rPr>
        <w:footnoteReference w:id="39"/>
      </w:r>
      <w:r w:rsidR="00D70A59">
        <w:rPr>
          <w:rFonts w:ascii="David" w:hAnsi="David" w:cs="David" w:hint="cs"/>
          <w:sz w:val="24"/>
          <w:szCs w:val="24"/>
          <w:rtl/>
        </w:rPr>
        <w:t xml:space="preserve"> הרחיבה את תחולת דין זה על נושא ההפלייה, דבר אשר ישחק לרעתו של הארווי.</w:t>
      </w:r>
    </w:p>
    <w:p w:rsidR="00251030" w:rsidRDefault="00251030" w:rsidP="00B7536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וקבענו כי מדובר </w:t>
      </w:r>
      <w:r w:rsidR="009048E4">
        <w:rPr>
          <w:rFonts w:ascii="David" w:hAnsi="David" w:cs="David" w:hint="cs"/>
          <w:sz w:val="24"/>
          <w:szCs w:val="24"/>
          <w:rtl/>
        </w:rPr>
        <w:t>בקרקע פרטית</w:t>
      </w:r>
      <w:r w:rsidR="007B5F96">
        <w:rPr>
          <w:rFonts w:ascii="David" w:hAnsi="David" w:cs="David" w:hint="cs"/>
          <w:sz w:val="24"/>
          <w:szCs w:val="24"/>
          <w:rtl/>
        </w:rPr>
        <w:t xml:space="preserve"> אין מדובר בסוף פסוק</w:t>
      </w:r>
      <w:r w:rsidR="00694AD8">
        <w:rPr>
          <w:rFonts w:ascii="David" w:hAnsi="David" w:cs="David" w:hint="cs"/>
          <w:sz w:val="24"/>
          <w:szCs w:val="24"/>
          <w:rtl/>
        </w:rPr>
        <w:t>, על אף החלל החקיקתי</w:t>
      </w:r>
      <w:r w:rsidR="007B5F96">
        <w:rPr>
          <w:rFonts w:ascii="David" w:hAnsi="David" w:cs="David" w:hint="cs"/>
          <w:sz w:val="24"/>
          <w:szCs w:val="24"/>
          <w:rtl/>
        </w:rPr>
        <w:t>. השלישייה תציג את הצעת חוק שוויון הזדמנויות במגורים</w:t>
      </w:r>
      <w:r w:rsidR="007B5F96">
        <w:rPr>
          <w:rStyle w:val="FootnoteReference"/>
          <w:rFonts w:ascii="David" w:hAnsi="David" w:cs="David"/>
          <w:sz w:val="24"/>
          <w:szCs w:val="24"/>
          <w:rtl/>
        </w:rPr>
        <w:footnoteReference w:id="40"/>
      </w:r>
      <w:r w:rsidR="007B5F96">
        <w:rPr>
          <w:rFonts w:ascii="David" w:hAnsi="David" w:cs="David" w:hint="cs"/>
          <w:sz w:val="24"/>
          <w:szCs w:val="24"/>
          <w:rtl/>
        </w:rPr>
        <w:t xml:space="preserve"> המזכיר את חוק איסור הפלייה במבנהו. נוסף על כך תוכל השלישייה להציג את המצב באמריקה בעזרת חוקים כגון </w:t>
      </w:r>
      <w:r w:rsidR="007B5F96">
        <w:rPr>
          <w:rFonts w:ascii="David" w:hAnsi="David" w:cs="David"/>
          <w:sz w:val="24"/>
          <w:szCs w:val="24"/>
        </w:rPr>
        <w:t>Fair Housing act</w:t>
      </w:r>
      <w:r w:rsidR="007B5F96">
        <w:rPr>
          <w:rStyle w:val="FootnoteReference"/>
          <w:rFonts w:ascii="David" w:hAnsi="David" w:cs="David"/>
          <w:sz w:val="24"/>
          <w:szCs w:val="24"/>
        </w:rPr>
        <w:footnoteReference w:id="41"/>
      </w:r>
      <w:r w:rsidR="007B5F96">
        <w:rPr>
          <w:rFonts w:ascii="David" w:hAnsi="David" w:cs="David" w:hint="cs"/>
          <w:sz w:val="24"/>
          <w:szCs w:val="24"/>
          <w:rtl/>
        </w:rPr>
        <w:t>, תיקון 14</w:t>
      </w:r>
      <w:r w:rsidR="007B5F96">
        <w:rPr>
          <w:rStyle w:val="FootnoteReference"/>
          <w:rFonts w:ascii="David" w:hAnsi="David" w:cs="David"/>
          <w:sz w:val="24"/>
          <w:szCs w:val="24"/>
          <w:rtl/>
        </w:rPr>
        <w:footnoteReference w:id="42"/>
      </w:r>
      <w:r w:rsidR="007B5F96">
        <w:rPr>
          <w:rFonts w:ascii="David" w:hAnsi="David" w:cs="David" w:hint="cs"/>
          <w:sz w:val="24"/>
          <w:szCs w:val="24"/>
          <w:rtl/>
        </w:rPr>
        <w:t xml:space="preserve"> המצדד בשוויון, וכן את הפסיקה ב</w:t>
      </w:r>
      <w:r w:rsidR="007B5F96">
        <w:rPr>
          <w:rFonts w:ascii="David" w:hAnsi="David" w:cs="David"/>
          <w:sz w:val="24"/>
          <w:szCs w:val="24"/>
        </w:rPr>
        <w:t>Jones</w:t>
      </w:r>
      <w:r w:rsidR="007B5F96">
        <w:rPr>
          <w:rStyle w:val="FootnoteReference"/>
          <w:rFonts w:ascii="David" w:hAnsi="David" w:cs="David"/>
          <w:sz w:val="24"/>
          <w:szCs w:val="24"/>
        </w:rPr>
        <w:footnoteReference w:id="43"/>
      </w:r>
      <w:r w:rsidR="007B5F96">
        <w:rPr>
          <w:rFonts w:ascii="David" w:hAnsi="David" w:cs="David" w:hint="cs"/>
          <w:sz w:val="24"/>
          <w:szCs w:val="24"/>
          <w:rtl/>
        </w:rPr>
        <w:t xml:space="preserve">, כולם מגבילים כוחו של בעל </w:t>
      </w:r>
      <w:r w:rsidR="00B75368">
        <w:rPr>
          <w:rFonts w:ascii="David" w:hAnsi="David" w:cs="David" w:hint="cs"/>
          <w:sz w:val="24"/>
          <w:szCs w:val="24"/>
          <w:rtl/>
        </w:rPr>
        <w:t>קרקע</w:t>
      </w:r>
      <w:r w:rsidR="007B5F96">
        <w:rPr>
          <w:rFonts w:ascii="David" w:hAnsi="David" w:cs="David" w:hint="cs"/>
          <w:sz w:val="24"/>
          <w:szCs w:val="24"/>
          <w:rtl/>
        </w:rPr>
        <w:t xml:space="preserve"> פרטי</w:t>
      </w:r>
      <w:r w:rsidR="00B75368">
        <w:rPr>
          <w:rFonts w:ascii="David" w:hAnsi="David" w:cs="David" w:hint="cs"/>
          <w:sz w:val="24"/>
          <w:szCs w:val="24"/>
          <w:rtl/>
        </w:rPr>
        <w:t>ת</w:t>
      </w:r>
      <w:r w:rsidR="007B5F96">
        <w:rPr>
          <w:rFonts w:ascii="David" w:hAnsi="David" w:cs="David" w:hint="cs"/>
          <w:sz w:val="24"/>
          <w:szCs w:val="24"/>
          <w:rtl/>
        </w:rPr>
        <w:t xml:space="preserve"> לעשות ככל העולה על רוחו בנכס.</w:t>
      </w:r>
      <w:r w:rsidR="006F228B">
        <w:rPr>
          <w:rFonts w:ascii="David" w:hAnsi="David" w:cs="David" w:hint="cs"/>
          <w:sz w:val="24"/>
          <w:szCs w:val="24"/>
          <w:rtl/>
        </w:rPr>
        <w:t xml:space="preserve"> הארווי מצידו יטען כי </w:t>
      </w:r>
      <w:r w:rsidR="008778E4">
        <w:rPr>
          <w:rFonts w:ascii="David" w:hAnsi="David" w:cs="David" w:hint="cs"/>
          <w:sz w:val="24"/>
          <w:szCs w:val="24"/>
          <w:rtl/>
        </w:rPr>
        <w:t xml:space="preserve">הזכות למנוע שימוש הוא חלק אינהרנטי מזכות הבעלות וכך יכוון אגב אורחא למאמרו של </w:t>
      </w:r>
      <w:r w:rsidR="008778E4" w:rsidRPr="008778E4">
        <w:rPr>
          <w:rFonts w:ascii="David" w:hAnsi="David" w:cs="David" w:hint="cs"/>
          <w:b/>
          <w:bCs/>
          <w:sz w:val="24"/>
          <w:szCs w:val="24"/>
          <w:rtl/>
        </w:rPr>
        <w:t>מריל</w:t>
      </w:r>
      <w:r w:rsidR="008778E4">
        <w:rPr>
          <w:rStyle w:val="FootnoteReference"/>
          <w:rFonts w:ascii="David" w:hAnsi="David" w:cs="David"/>
          <w:b/>
          <w:bCs/>
          <w:sz w:val="24"/>
          <w:szCs w:val="24"/>
          <w:rtl/>
        </w:rPr>
        <w:footnoteReference w:id="44"/>
      </w:r>
      <w:r w:rsidR="008778E4">
        <w:rPr>
          <w:rFonts w:ascii="David" w:hAnsi="David" w:cs="David" w:hint="cs"/>
          <w:sz w:val="24"/>
          <w:szCs w:val="24"/>
          <w:rtl/>
        </w:rPr>
        <w:t>, הטוען כי הזכות למנוע שימוש היא ה</w:t>
      </w:r>
      <w:r w:rsidR="00B75368">
        <w:rPr>
          <w:rFonts w:ascii="David" w:hAnsi="David" w:cs="David"/>
          <w:i/>
          <w:iCs/>
          <w:sz w:val="24"/>
          <w:szCs w:val="24"/>
        </w:rPr>
        <w:t>"</w:t>
      </w:r>
      <w:r w:rsidR="008778E4" w:rsidRPr="00B75368">
        <w:rPr>
          <w:rFonts w:ascii="David" w:hAnsi="David" w:cs="David"/>
          <w:i/>
          <w:iCs/>
          <w:sz w:val="24"/>
          <w:szCs w:val="24"/>
        </w:rPr>
        <w:t>Sine non qua</w:t>
      </w:r>
      <w:r w:rsidR="00B75368">
        <w:rPr>
          <w:rFonts w:ascii="David" w:hAnsi="David" w:cs="David"/>
          <w:sz w:val="24"/>
          <w:szCs w:val="24"/>
        </w:rPr>
        <w:t>"</w:t>
      </w:r>
      <w:r w:rsidR="008778E4">
        <w:rPr>
          <w:rFonts w:ascii="David" w:hAnsi="David" w:cs="David" w:hint="cs"/>
          <w:sz w:val="24"/>
          <w:szCs w:val="24"/>
          <w:rtl/>
        </w:rPr>
        <w:t>, סיבה בלעדיה אין, של זכות הבעלות.</w:t>
      </w:r>
    </w:p>
    <w:p w:rsidR="00251030" w:rsidRDefault="00251030" w:rsidP="00C874B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הארווי יוכל לטעון טענות אישיות כנגד השלישייה. ראשית יטען כי </w:t>
      </w:r>
      <w:r w:rsidRPr="00251030">
        <w:rPr>
          <w:rFonts w:ascii="David" w:hAnsi="David" w:cs="David" w:hint="cs"/>
          <w:b/>
          <w:bCs/>
          <w:sz w:val="24"/>
          <w:szCs w:val="24"/>
          <w:rtl/>
        </w:rPr>
        <w:t>ג'סיקה</w:t>
      </w:r>
      <w:r>
        <w:rPr>
          <w:rFonts w:ascii="David" w:hAnsi="David" w:cs="David" w:hint="cs"/>
          <w:sz w:val="24"/>
          <w:szCs w:val="24"/>
          <w:rtl/>
        </w:rPr>
        <w:t xml:space="preserve"> הינה</w:t>
      </w:r>
      <w:r w:rsidR="00A32DDB">
        <w:rPr>
          <w:rFonts w:ascii="David" w:hAnsi="David" w:cs="David" w:hint="cs"/>
          <w:sz w:val="24"/>
          <w:szCs w:val="24"/>
          <w:rtl/>
        </w:rPr>
        <w:t xml:space="preserve"> תושבת זרה וכן כי לפי חוק מקרקעי ישראל</w:t>
      </w:r>
      <w:r w:rsidR="00A32DDB">
        <w:rPr>
          <w:rStyle w:val="FootnoteReference"/>
          <w:rFonts w:ascii="David" w:hAnsi="David" w:cs="David"/>
          <w:sz w:val="24"/>
          <w:szCs w:val="24"/>
          <w:rtl/>
        </w:rPr>
        <w:footnoteReference w:id="45"/>
      </w:r>
      <w:r w:rsidR="002B63D2">
        <w:rPr>
          <w:rFonts w:ascii="David" w:hAnsi="David" w:cs="David" w:hint="cs"/>
          <w:sz w:val="24"/>
          <w:szCs w:val="24"/>
          <w:rtl/>
        </w:rPr>
        <w:t xml:space="preserve"> ישנן הגבלות על מכירת קרקע לזרים. ג'סיקה מכנגד תטען למאמרם של טרואן וגולדשמידט</w:t>
      </w:r>
      <w:r w:rsidR="002B63D2">
        <w:rPr>
          <w:rStyle w:val="FootnoteReference"/>
          <w:rFonts w:ascii="David" w:hAnsi="David" w:cs="David"/>
          <w:sz w:val="24"/>
          <w:szCs w:val="24"/>
          <w:rtl/>
        </w:rPr>
        <w:footnoteReference w:id="46"/>
      </w:r>
      <w:r w:rsidR="00691748">
        <w:rPr>
          <w:rFonts w:ascii="David" w:hAnsi="David" w:cs="David" w:hint="cs"/>
          <w:sz w:val="24"/>
          <w:szCs w:val="24"/>
          <w:rtl/>
        </w:rPr>
        <w:t xml:space="preserve"> ה</w:t>
      </w:r>
      <w:r w:rsidR="002B63D2">
        <w:rPr>
          <w:rFonts w:ascii="David" w:hAnsi="David" w:cs="David" w:hint="cs"/>
          <w:sz w:val="24"/>
          <w:szCs w:val="24"/>
          <w:rtl/>
        </w:rPr>
        <w:t>מציג את המצב בעולם ומראה כי ישנ</w:t>
      </w:r>
      <w:r w:rsidR="003D5374">
        <w:rPr>
          <w:rFonts w:ascii="David" w:hAnsi="David" w:cs="David" w:hint="cs"/>
          <w:sz w:val="24"/>
          <w:szCs w:val="24"/>
          <w:rtl/>
        </w:rPr>
        <w:t>ן</w:t>
      </w:r>
      <w:r w:rsidR="002B63D2">
        <w:rPr>
          <w:rFonts w:ascii="David" w:hAnsi="David" w:cs="David" w:hint="cs"/>
          <w:sz w:val="24"/>
          <w:szCs w:val="24"/>
          <w:rtl/>
        </w:rPr>
        <w:t xml:space="preserve"> הגבלות יותר מקלות על מכירת קרקע לזרים מאשר מניעת העסקה. הארווי </w:t>
      </w:r>
      <w:r w:rsidR="00C874B6">
        <w:rPr>
          <w:rFonts w:ascii="David" w:hAnsi="David" w:cs="David" w:hint="cs"/>
          <w:sz w:val="24"/>
          <w:szCs w:val="24"/>
          <w:rtl/>
        </w:rPr>
        <w:t xml:space="preserve">יטען </w:t>
      </w:r>
      <w:r w:rsidR="002B63D2">
        <w:rPr>
          <w:rFonts w:ascii="David" w:hAnsi="David" w:cs="David" w:hint="cs"/>
          <w:sz w:val="24"/>
          <w:szCs w:val="24"/>
          <w:rtl/>
        </w:rPr>
        <w:t>שמדובר בעבריינית הנרדפת ע"י ממשלתה, וכי איננו מעוניין להוציא שם רע ולשרוף קשרי משרדו ע"י העברת הבעלות לטיפוס שכמותה.</w:t>
      </w:r>
    </w:p>
    <w:p w:rsidR="005C3D46" w:rsidRDefault="005C3D46" w:rsidP="00C874B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דונה</w:t>
      </w:r>
      <w:r w:rsidR="00D37D51">
        <w:rPr>
          <w:rFonts w:ascii="David" w:hAnsi="David" w:cs="David" w:hint="cs"/>
          <w:sz w:val="24"/>
          <w:szCs w:val="24"/>
          <w:rtl/>
        </w:rPr>
        <w:t xml:space="preserve"> תוכל היא לטעון כי הם בני זוג</w:t>
      </w:r>
      <w:r w:rsidR="00B75368">
        <w:rPr>
          <w:rFonts w:ascii="David" w:hAnsi="David" w:cs="David" w:hint="cs"/>
          <w:sz w:val="24"/>
          <w:szCs w:val="24"/>
          <w:rtl/>
        </w:rPr>
        <w:t xml:space="preserve"> </w:t>
      </w:r>
      <w:r w:rsidR="008C00C2">
        <w:rPr>
          <w:rFonts w:ascii="David" w:hAnsi="David" w:cs="David" w:hint="cs"/>
          <w:sz w:val="24"/>
          <w:szCs w:val="24"/>
          <w:rtl/>
        </w:rPr>
        <w:t>ה</w:t>
      </w:r>
      <w:r w:rsidR="00D37D51">
        <w:rPr>
          <w:rFonts w:ascii="David" w:hAnsi="David" w:cs="David" w:hint="cs"/>
          <w:sz w:val="24"/>
          <w:szCs w:val="24"/>
          <w:rtl/>
        </w:rPr>
        <w:t xml:space="preserve">ידועים בציבור </w:t>
      </w:r>
      <w:r w:rsidR="003D5374">
        <w:rPr>
          <w:rFonts w:ascii="David" w:hAnsi="David" w:cs="David" w:hint="cs"/>
          <w:sz w:val="24"/>
          <w:szCs w:val="24"/>
          <w:rtl/>
        </w:rPr>
        <w:t>ו</w:t>
      </w:r>
      <w:r w:rsidR="00D37D51">
        <w:rPr>
          <w:rFonts w:ascii="David" w:hAnsi="David" w:cs="David" w:hint="cs"/>
          <w:sz w:val="24"/>
          <w:szCs w:val="24"/>
          <w:rtl/>
        </w:rPr>
        <w:t>כי אל מול התע</w:t>
      </w:r>
      <w:r w:rsidR="00B75368">
        <w:rPr>
          <w:rFonts w:ascii="David" w:hAnsi="David" w:cs="David" w:hint="cs"/>
          <w:sz w:val="24"/>
          <w:szCs w:val="24"/>
          <w:rtl/>
        </w:rPr>
        <w:t>רבותה בעסק עומדת לה זכות קדימה לרכישה</w:t>
      </w:r>
      <w:r w:rsidR="00D37D51">
        <w:rPr>
          <w:rStyle w:val="FootnoteReference"/>
          <w:rFonts w:ascii="David" w:hAnsi="David" w:cs="David"/>
          <w:sz w:val="24"/>
          <w:szCs w:val="24"/>
          <w:rtl/>
        </w:rPr>
        <w:footnoteReference w:id="47"/>
      </w:r>
      <w:r w:rsidR="00D37D51">
        <w:rPr>
          <w:rFonts w:ascii="David" w:hAnsi="David" w:cs="David" w:hint="cs"/>
          <w:sz w:val="24"/>
          <w:szCs w:val="24"/>
          <w:rtl/>
        </w:rPr>
        <w:t xml:space="preserve">. נוסף על כך תוכל לטעון להלכת השיתוף ולחלוקה צודקת של הנכס. יש </w:t>
      </w:r>
      <w:r w:rsidR="00D37D51">
        <w:rPr>
          <w:rFonts w:ascii="David" w:hAnsi="David" w:cs="David" w:hint="cs"/>
          <w:sz w:val="24"/>
          <w:szCs w:val="24"/>
          <w:rtl/>
        </w:rPr>
        <w:lastRenderedPageBreak/>
        <w:t xml:space="preserve">לציין כי טענה זו איננה חזקה, שכן הארווי </w:t>
      </w:r>
      <w:r w:rsidR="00BF4A9A">
        <w:rPr>
          <w:rFonts w:ascii="David" w:hAnsi="David" w:cs="David" w:hint="cs"/>
          <w:sz w:val="24"/>
          <w:szCs w:val="24"/>
          <w:rtl/>
        </w:rPr>
        <w:t xml:space="preserve">קיבל </w:t>
      </w:r>
      <w:r w:rsidR="00D37D51">
        <w:rPr>
          <w:rFonts w:ascii="David" w:hAnsi="David" w:cs="David" w:hint="cs"/>
          <w:sz w:val="24"/>
          <w:szCs w:val="24"/>
          <w:rtl/>
        </w:rPr>
        <w:t>המשרד בירושה ולא במאמץ משותף ולכן אין לראות את הנכס כדורש שיתוף</w:t>
      </w:r>
      <w:r w:rsidR="001C705E">
        <w:rPr>
          <w:rFonts w:ascii="David" w:hAnsi="David" w:cs="David" w:hint="cs"/>
          <w:sz w:val="24"/>
          <w:szCs w:val="24"/>
          <w:rtl/>
        </w:rPr>
        <w:t xml:space="preserve">, טענה </w:t>
      </w:r>
      <w:r w:rsidR="00031FCE">
        <w:rPr>
          <w:rFonts w:ascii="David" w:hAnsi="David" w:cs="David" w:hint="cs"/>
          <w:sz w:val="24"/>
          <w:szCs w:val="24"/>
          <w:rtl/>
        </w:rPr>
        <w:t>המחוזקת</w:t>
      </w:r>
      <w:r w:rsidR="001C705E">
        <w:rPr>
          <w:rFonts w:ascii="David" w:hAnsi="David" w:cs="David" w:hint="cs"/>
          <w:sz w:val="24"/>
          <w:szCs w:val="24"/>
          <w:rtl/>
        </w:rPr>
        <w:t xml:space="preserve"> ע"י </w:t>
      </w:r>
      <w:r w:rsidR="001C705E">
        <w:rPr>
          <w:rFonts w:ascii="David" w:hAnsi="David" w:cs="David" w:hint="cs"/>
          <w:b/>
          <w:bCs/>
          <w:sz w:val="24"/>
          <w:szCs w:val="24"/>
          <w:rtl/>
        </w:rPr>
        <w:t>ליפשיץ</w:t>
      </w:r>
      <w:r w:rsidR="001C705E">
        <w:rPr>
          <w:rFonts w:ascii="David" w:hAnsi="David" w:cs="David" w:hint="cs"/>
          <w:sz w:val="24"/>
          <w:szCs w:val="24"/>
          <w:rtl/>
        </w:rPr>
        <w:t xml:space="preserve"> במאמרו</w:t>
      </w:r>
      <w:r w:rsidR="00D37D51">
        <w:rPr>
          <w:rStyle w:val="FootnoteReference"/>
          <w:rFonts w:ascii="David" w:hAnsi="David" w:cs="David"/>
          <w:sz w:val="24"/>
          <w:szCs w:val="24"/>
          <w:rtl/>
        </w:rPr>
        <w:footnoteReference w:id="48"/>
      </w:r>
      <w:r w:rsidR="00D37D51">
        <w:rPr>
          <w:rFonts w:ascii="David" w:hAnsi="David" w:cs="David" w:hint="cs"/>
          <w:sz w:val="24"/>
          <w:szCs w:val="24"/>
          <w:rtl/>
        </w:rPr>
        <w:t>.</w:t>
      </w:r>
      <w:r w:rsidR="00510EF7">
        <w:rPr>
          <w:rFonts w:ascii="David" w:hAnsi="David" w:cs="David" w:hint="cs"/>
          <w:sz w:val="24"/>
          <w:szCs w:val="24"/>
          <w:rtl/>
        </w:rPr>
        <w:t xml:space="preserve">  נוסף </w:t>
      </w:r>
      <w:r w:rsidR="00642A49">
        <w:rPr>
          <w:rFonts w:ascii="David" w:hAnsi="David" w:cs="David" w:hint="cs"/>
          <w:sz w:val="24"/>
          <w:szCs w:val="24"/>
          <w:rtl/>
        </w:rPr>
        <w:t>ל</w:t>
      </w:r>
      <w:r w:rsidR="00510EF7">
        <w:rPr>
          <w:rFonts w:ascii="David" w:hAnsi="David" w:cs="David" w:hint="cs"/>
          <w:sz w:val="24"/>
          <w:szCs w:val="24"/>
          <w:rtl/>
        </w:rPr>
        <w:t xml:space="preserve">כך יוכל לטעון כי ע"י חוסר המכירה הוא נוהג בה "מידה כנגד מידה" על מערכת יחסיהם המורכבת, וכן יוכל לטעון לחששותיו </w:t>
      </w:r>
      <w:r w:rsidR="001A305E">
        <w:rPr>
          <w:rFonts w:ascii="David" w:hAnsi="David" w:cs="David" w:hint="cs"/>
          <w:sz w:val="24"/>
          <w:szCs w:val="24"/>
          <w:rtl/>
        </w:rPr>
        <w:t>משכן</w:t>
      </w:r>
      <w:r w:rsidR="00510EF7">
        <w:rPr>
          <w:rFonts w:ascii="David" w:hAnsi="David" w:cs="David" w:hint="cs"/>
          <w:sz w:val="24"/>
          <w:szCs w:val="24"/>
          <w:rtl/>
        </w:rPr>
        <w:t xml:space="preserve"> </w:t>
      </w:r>
      <w:r w:rsidR="001A305E">
        <w:rPr>
          <w:rFonts w:ascii="David" w:hAnsi="David" w:cs="David" w:hint="cs"/>
          <w:sz w:val="24"/>
          <w:szCs w:val="24"/>
          <w:rtl/>
        </w:rPr>
        <w:t>דתי אשר יפריע להתנהלות התקינה של העסק בשבת.</w:t>
      </w:r>
    </w:p>
    <w:p w:rsidR="00EE433B" w:rsidRDefault="00053A0D" w:rsidP="002535E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לואיס</w:t>
      </w:r>
      <w:r>
        <w:rPr>
          <w:rFonts w:ascii="David" w:hAnsi="David" w:cs="David" w:hint="cs"/>
          <w:sz w:val="24"/>
          <w:szCs w:val="24"/>
          <w:rtl/>
        </w:rPr>
        <w:t xml:space="preserve"> הינו תושב טייבה, הממוקמת נמוך מבחינה סוציו-אקונומית,</w:t>
      </w:r>
      <w:r w:rsidR="002535EB">
        <w:rPr>
          <w:rFonts w:ascii="David" w:hAnsi="David" w:cs="David" w:hint="cs"/>
          <w:sz w:val="24"/>
          <w:szCs w:val="24"/>
          <w:rtl/>
        </w:rPr>
        <w:t xml:space="preserve"> ועל כן יוכל לטעון הוא לשיקולי צדק חלוקתי</w:t>
      </w:r>
      <w:r>
        <w:rPr>
          <w:rFonts w:ascii="David" w:hAnsi="David" w:cs="David" w:hint="cs"/>
          <w:sz w:val="24"/>
          <w:szCs w:val="24"/>
          <w:rtl/>
        </w:rPr>
        <w:t xml:space="preserve"> בנושא. לואיס יטען</w:t>
      </w:r>
      <w:r w:rsidR="00370101">
        <w:rPr>
          <w:rFonts w:ascii="David" w:hAnsi="David" w:cs="David" w:hint="cs"/>
          <w:sz w:val="24"/>
          <w:szCs w:val="24"/>
          <w:rtl/>
        </w:rPr>
        <w:t xml:space="preserve"> בנוסף</w:t>
      </w:r>
      <w:r>
        <w:rPr>
          <w:rFonts w:ascii="David" w:hAnsi="David" w:cs="David" w:hint="cs"/>
          <w:sz w:val="24"/>
          <w:szCs w:val="24"/>
          <w:rtl/>
        </w:rPr>
        <w:t xml:space="preserve"> כי מניעתו של הארווי מלמכור לו באה ממקום של גזע או סטריאוטיפ. הארווי יוכל לטעון כי הוא מעוניין לשמור על ההתיישבות היהודית בשדרה בדומה לחזון קק"ל. טענה זו לא התקבלה בקעדאן</w:t>
      </w:r>
      <w:r w:rsidR="00F66E62">
        <w:rPr>
          <w:rStyle w:val="FootnoteReference"/>
          <w:rFonts w:ascii="David" w:hAnsi="David" w:cs="David"/>
          <w:sz w:val="24"/>
          <w:szCs w:val="24"/>
          <w:rtl/>
        </w:rPr>
        <w:footnoteReference w:id="49"/>
      </w:r>
      <w:r>
        <w:rPr>
          <w:rFonts w:ascii="David" w:hAnsi="David" w:cs="David" w:hint="cs"/>
          <w:sz w:val="24"/>
          <w:szCs w:val="24"/>
          <w:rtl/>
        </w:rPr>
        <w:t>, שכן אין גם במקרה שלנו שום דבר מיוחד בשדרה הדורש שמירה על אופיה היהודי (מלבד אולי שמו של הברון).</w:t>
      </w:r>
    </w:p>
    <w:sectPr w:rsidR="00EE433B" w:rsidSect="00ED77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10" w:rsidRDefault="00335510" w:rsidP="00B443E3">
      <w:pPr>
        <w:spacing w:after="0" w:line="240" w:lineRule="auto"/>
      </w:pPr>
      <w:r>
        <w:separator/>
      </w:r>
    </w:p>
  </w:endnote>
  <w:endnote w:type="continuationSeparator" w:id="0">
    <w:p w:rsidR="00335510" w:rsidRDefault="00335510" w:rsidP="00B4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10" w:rsidRDefault="00335510" w:rsidP="00B443E3">
      <w:pPr>
        <w:spacing w:after="0" w:line="240" w:lineRule="auto"/>
      </w:pPr>
      <w:r>
        <w:separator/>
      </w:r>
    </w:p>
  </w:footnote>
  <w:footnote w:type="continuationSeparator" w:id="0">
    <w:p w:rsidR="00335510" w:rsidRDefault="00335510" w:rsidP="00B443E3">
      <w:pPr>
        <w:spacing w:after="0" w:line="240" w:lineRule="auto"/>
      </w:pPr>
      <w:r>
        <w:continuationSeparator/>
      </w:r>
    </w:p>
  </w:footnote>
  <w:footnote w:id="1">
    <w:p w:rsidR="00386011" w:rsidRPr="00C717BF" w:rsidRDefault="00386011" w:rsidP="00C717BF">
      <w:pPr>
        <w:pStyle w:val="FootnoteText"/>
        <w:rPr>
          <w:rFonts w:cs="David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86011">
        <w:rPr>
          <w:rFonts w:cs="David" w:hint="cs"/>
          <w:rtl/>
        </w:rPr>
        <w:t>ס' 3 לחוק</w:t>
      </w:r>
      <w:r w:rsidR="00C717BF">
        <w:rPr>
          <w:rFonts w:cs="David" w:hint="cs"/>
          <w:rtl/>
        </w:rPr>
        <w:t>-</w:t>
      </w:r>
      <w:r w:rsidRPr="00386011">
        <w:rPr>
          <w:rFonts w:cs="David" w:hint="cs"/>
          <w:rtl/>
        </w:rPr>
        <w:t>יסוד: כבוד האדם וחירותו</w:t>
      </w:r>
      <w:r w:rsidR="00C717BF" w:rsidRPr="00C717BF">
        <w:rPr>
          <w:rFonts w:cs="David" w:hint="cs"/>
          <w:rtl/>
        </w:rPr>
        <w:t>, ס"ח התשנ"ב 150.</w:t>
      </w:r>
    </w:p>
  </w:footnote>
  <w:footnote w:id="2">
    <w:p w:rsidR="00B443E3" w:rsidRDefault="00B443E3" w:rsidP="0048044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cs="David" w:hint="cs"/>
          <w:rtl/>
        </w:rPr>
        <w:t xml:space="preserve"> </w:t>
      </w:r>
      <w:r w:rsidRPr="00B443E3">
        <w:rPr>
          <w:rFonts w:cs="David"/>
          <w:rtl/>
        </w:rPr>
        <w:t xml:space="preserve">ע"א </w:t>
      </w:r>
      <w:r w:rsidRPr="00B443E3">
        <w:rPr>
          <w:rFonts w:cs="David" w:hint="cs"/>
          <w:rtl/>
        </w:rPr>
        <w:t>2850/99</w:t>
      </w:r>
      <w:r w:rsidRPr="00B443E3">
        <w:rPr>
          <w:rFonts w:cs="David"/>
          <w:rtl/>
        </w:rPr>
        <w:t xml:space="preserve"> </w:t>
      </w:r>
      <w:r w:rsidRPr="00B443E3">
        <w:rPr>
          <w:rFonts w:cs="David"/>
          <w:b/>
          <w:bCs/>
          <w:rtl/>
        </w:rPr>
        <w:t>בן חמו נ' טנא נוגה בע"מ</w:t>
      </w:r>
      <w:r w:rsidRPr="00B443E3">
        <w:rPr>
          <w:rFonts w:cs="David"/>
          <w:rtl/>
        </w:rPr>
        <w:t>, פ"ד נד</w:t>
      </w:r>
      <w:r w:rsidRPr="00B443E3">
        <w:rPr>
          <w:rFonts w:cs="David" w:hint="cs"/>
          <w:rtl/>
        </w:rPr>
        <w:t>(4) 849, 855ז-857ה</w:t>
      </w:r>
      <w:r w:rsidR="00474D53">
        <w:rPr>
          <w:rFonts w:cs="David" w:hint="cs"/>
          <w:rtl/>
        </w:rPr>
        <w:t xml:space="preserve">, </w:t>
      </w:r>
      <w:r w:rsidR="00C717BF">
        <w:rPr>
          <w:rFonts w:cs="David" w:hint="cs"/>
          <w:rtl/>
        </w:rPr>
        <w:t>פסק</w:t>
      </w:r>
      <w:r w:rsidR="00480446">
        <w:rPr>
          <w:rFonts w:cs="David" w:hint="cs"/>
          <w:rtl/>
        </w:rPr>
        <w:t xml:space="preserve">ה 8 </w:t>
      </w:r>
      <w:r w:rsidRPr="00B443E3">
        <w:rPr>
          <w:rFonts w:cs="David"/>
          <w:rtl/>
        </w:rPr>
        <w:t>לפסק</w:t>
      </w:r>
      <w:r w:rsidR="00C717BF">
        <w:rPr>
          <w:rFonts w:cs="David" w:hint="cs"/>
          <w:rtl/>
        </w:rPr>
        <w:t xml:space="preserve"> </w:t>
      </w:r>
      <w:r w:rsidRPr="00B443E3">
        <w:rPr>
          <w:rFonts w:cs="David"/>
          <w:rtl/>
        </w:rPr>
        <w:t>דינה של השופטת שטרסברג-כהן</w:t>
      </w:r>
      <w:r w:rsidR="00C717BF" w:rsidRPr="00C717BF">
        <w:rPr>
          <w:rFonts w:cs="David" w:hint="cs"/>
          <w:rtl/>
        </w:rPr>
        <w:t xml:space="preserve"> (2000)</w:t>
      </w:r>
      <w:r w:rsidR="00572E86" w:rsidRPr="00C717BF">
        <w:rPr>
          <w:rFonts w:cs="David" w:hint="cs"/>
          <w:rtl/>
        </w:rPr>
        <w:t>.</w:t>
      </w:r>
    </w:p>
  </w:footnote>
  <w:footnote w:id="3">
    <w:p w:rsidR="003F3CD2" w:rsidRDefault="003F3CD2" w:rsidP="00DF420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9F7FDB">
        <w:rPr>
          <w:rFonts w:cs="David" w:hint="cs"/>
          <w:rtl/>
        </w:rPr>
        <w:t>שם, פסקה 15 לפסק דינה של השופטת שטרסברג-כהן.</w:t>
      </w:r>
    </w:p>
  </w:footnote>
  <w:footnote w:id="4">
    <w:p w:rsidR="00386011" w:rsidRDefault="00386011" w:rsidP="0038601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 xml:space="preserve">יהושע ויסמן </w:t>
      </w:r>
      <w:r w:rsidR="00C717BF">
        <w:rPr>
          <w:rFonts w:cs="David" w:hint="cs"/>
          <w:b/>
          <w:bCs/>
          <w:rtl/>
        </w:rPr>
        <w:t>דיני קניין - חלק כללי</w:t>
      </w:r>
      <w:r>
        <w:rPr>
          <w:rFonts w:cs="David" w:hint="cs"/>
          <w:b/>
          <w:bCs/>
          <w:rtl/>
        </w:rPr>
        <w:t xml:space="preserve"> </w:t>
      </w:r>
      <w:r w:rsidR="00C717BF">
        <w:rPr>
          <w:rFonts w:cs="David" w:hint="cs"/>
          <w:rtl/>
        </w:rPr>
        <w:t>(האוניברסיטה העברית 1993)</w:t>
      </w:r>
      <w:r w:rsidR="00474D53">
        <w:rPr>
          <w:rFonts w:cs="David" w:hint="cs"/>
          <w:rtl/>
        </w:rPr>
        <w:t>,</w:t>
      </w:r>
      <w:r w:rsidR="00C717BF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עמ' 48 (להלן: ויסמן).</w:t>
      </w:r>
    </w:p>
  </w:footnote>
  <w:footnote w:id="5">
    <w:p w:rsidR="00572E86" w:rsidRPr="00F00F06" w:rsidRDefault="00572E86" w:rsidP="004F3A2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386011">
        <w:rPr>
          <w:rFonts w:cs="David" w:hint="cs"/>
          <w:rtl/>
        </w:rPr>
        <w:t>ויסמן</w:t>
      </w:r>
      <w:r w:rsidR="00F00F06">
        <w:rPr>
          <w:rFonts w:cs="David" w:hint="cs"/>
          <w:b/>
          <w:bCs/>
          <w:rtl/>
        </w:rPr>
        <w:t xml:space="preserve">, </w:t>
      </w:r>
      <w:r w:rsidR="00535E2C">
        <w:rPr>
          <w:rFonts w:cs="David" w:hint="cs"/>
          <w:rtl/>
        </w:rPr>
        <w:t xml:space="preserve">עמ' </w:t>
      </w:r>
      <w:r w:rsidR="004F3A22">
        <w:rPr>
          <w:rFonts w:cs="David" w:hint="cs"/>
          <w:rtl/>
        </w:rPr>
        <w:t>25</w:t>
      </w:r>
      <w:r w:rsidR="004F3A22">
        <w:rPr>
          <w:rFonts w:hint="cs"/>
          <w:rtl/>
        </w:rPr>
        <w:t>.</w:t>
      </w:r>
    </w:p>
  </w:footnote>
  <w:footnote w:id="6">
    <w:p w:rsidR="00572E86" w:rsidRPr="004F3A22" w:rsidRDefault="00572E86" w:rsidP="00DF4205">
      <w:pPr>
        <w:pStyle w:val="FootnoteText"/>
        <w:rPr>
          <w:rFonts w:cs="David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4F3A22">
        <w:rPr>
          <w:rFonts w:cs="David" w:hint="cs"/>
          <w:rtl/>
        </w:rPr>
        <w:t xml:space="preserve">ויסמן, עמ' </w:t>
      </w:r>
      <w:r w:rsidR="004F3A22" w:rsidRPr="004F3A22">
        <w:rPr>
          <w:rFonts w:cs="David" w:hint="cs"/>
          <w:rtl/>
        </w:rPr>
        <w:t>16.</w:t>
      </w:r>
    </w:p>
  </w:footnote>
  <w:footnote w:id="7">
    <w:p w:rsidR="00FD76C9" w:rsidRDefault="00FD76C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474D53">
        <w:t xml:space="preserve">Henry J.S </w:t>
      </w:r>
      <w:r>
        <w:t xml:space="preserve">Maine, Ancient Law </w:t>
      </w:r>
      <w:r w:rsidR="00B577A1">
        <w:t>(</w:t>
      </w:r>
      <w:r>
        <w:t>Londo</w:t>
      </w:r>
      <w:r w:rsidR="004F3A22">
        <w:t xml:space="preserve">n, George </w:t>
      </w:r>
      <w:proofErr w:type="spellStart"/>
      <w:r w:rsidR="004F3A22">
        <w:t>Routledge</w:t>
      </w:r>
      <w:proofErr w:type="spellEnd"/>
      <w:r w:rsidR="004F3A22">
        <w:t xml:space="preserve"> &amp; Sons Ltd</w:t>
      </w:r>
      <w:r w:rsidR="00474D53">
        <w:t>, 1920</w:t>
      </w:r>
      <w:r w:rsidR="004F3A22">
        <w:t>)</w:t>
      </w:r>
      <w:r w:rsidR="004F3A22">
        <w:rPr>
          <w:rFonts w:hint="cs"/>
          <w:rtl/>
        </w:rPr>
        <w:t>.</w:t>
      </w:r>
    </w:p>
  </w:footnote>
  <w:footnote w:id="8">
    <w:p w:rsidR="00F00F06" w:rsidRDefault="00F00F06" w:rsidP="004F3A2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4F3A22">
        <w:rPr>
          <w:rFonts w:cs="David" w:hint="cs"/>
          <w:rtl/>
        </w:rPr>
        <w:t>ויסמן, עמ' 18</w:t>
      </w:r>
      <w:r w:rsidRPr="005C1188">
        <w:rPr>
          <w:rFonts w:cs="David" w:hint="cs"/>
          <w:rtl/>
        </w:rPr>
        <w:t>.</w:t>
      </w:r>
    </w:p>
  </w:footnote>
  <w:footnote w:id="9">
    <w:p w:rsidR="00EA6A45" w:rsidRDefault="00EA6A4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>ויסמן, עמ' 19.</w:t>
      </w:r>
    </w:p>
  </w:footnote>
  <w:footnote w:id="10">
    <w:p w:rsidR="00D74A4D" w:rsidRDefault="00D74A4D" w:rsidP="00982B0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982B09">
        <w:rPr>
          <w:rFonts w:cs="David" w:hint="cs"/>
          <w:rtl/>
        </w:rPr>
        <w:t>ויסמן, עמ' 19.</w:t>
      </w:r>
    </w:p>
  </w:footnote>
  <w:footnote w:id="11">
    <w:p w:rsidR="005C1188" w:rsidRPr="00DB2CA9" w:rsidRDefault="005C1188" w:rsidP="00DC401F">
      <w:pPr>
        <w:spacing w:after="0"/>
        <w:jc w:val="both"/>
        <w:rPr>
          <w:rFonts w:cs="David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gramStart"/>
      <w:r w:rsidR="00DC401F" w:rsidRPr="00DC401F">
        <w:rPr>
          <w:rFonts w:cs="David"/>
          <w:sz w:val="20"/>
          <w:szCs w:val="20"/>
        </w:rPr>
        <w:t xml:space="preserve">Margaret Jane </w:t>
      </w:r>
      <w:proofErr w:type="spellStart"/>
      <w:r w:rsidR="00DC401F" w:rsidRPr="00DC401F">
        <w:rPr>
          <w:rFonts w:cs="David"/>
          <w:sz w:val="20"/>
          <w:szCs w:val="20"/>
        </w:rPr>
        <w:t>Radin</w:t>
      </w:r>
      <w:proofErr w:type="spellEnd"/>
      <w:r w:rsidR="00DC401F" w:rsidRPr="00DC401F">
        <w:rPr>
          <w:rFonts w:cs="David"/>
          <w:sz w:val="20"/>
          <w:szCs w:val="20"/>
        </w:rPr>
        <w:t xml:space="preserve"> “Property and Personhood”, in Gregory Alexander and </w:t>
      </w:r>
      <w:proofErr w:type="spellStart"/>
      <w:r w:rsidR="00DC401F" w:rsidRPr="00DC401F">
        <w:rPr>
          <w:rFonts w:cs="David"/>
          <w:sz w:val="20"/>
          <w:szCs w:val="20"/>
        </w:rPr>
        <w:t>Hanoch</w:t>
      </w:r>
      <w:proofErr w:type="spellEnd"/>
      <w:r w:rsidR="00DC401F" w:rsidRPr="00DC401F">
        <w:rPr>
          <w:rFonts w:cs="David"/>
          <w:sz w:val="20"/>
          <w:szCs w:val="20"/>
        </w:rPr>
        <w:t xml:space="preserve"> Dagan, properties and property, pp. 17-27</w:t>
      </w:r>
      <w:r w:rsidRPr="00DC401F">
        <w:rPr>
          <w:rFonts w:cs="David"/>
          <w:sz w:val="20"/>
          <w:szCs w:val="20"/>
        </w:rPr>
        <w:t>.</w:t>
      </w:r>
      <w:proofErr w:type="gramEnd"/>
      <w:r>
        <w:rPr>
          <w:rFonts w:cs="David"/>
        </w:rPr>
        <w:t xml:space="preserve">  </w:t>
      </w:r>
    </w:p>
  </w:footnote>
  <w:footnote w:id="12">
    <w:p w:rsidR="00481514" w:rsidRDefault="00481514" w:rsidP="00DF420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535E2C">
        <w:rPr>
          <w:rFonts w:ascii="David" w:hAnsi="David" w:cs="David" w:hint="cs"/>
          <w:rtl/>
        </w:rPr>
        <w:t>ויסמן</w:t>
      </w:r>
      <w:r w:rsidR="00982B09">
        <w:rPr>
          <w:rFonts w:ascii="David" w:hAnsi="David" w:cs="David" w:hint="cs"/>
          <w:rtl/>
        </w:rPr>
        <w:t>, עמ' 20</w:t>
      </w:r>
      <w:r w:rsidR="00535E2C">
        <w:rPr>
          <w:rFonts w:ascii="David" w:hAnsi="David" w:cs="David" w:hint="cs"/>
          <w:rtl/>
        </w:rPr>
        <w:t>.</w:t>
      </w:r>
    </w:p>
  </w:footnote>
  <w:footnote w:id="13">
    <w:p w:rsidR="00B84CC6" w:rsidRPr="00B84CC6" w:rsidRDefault="00B84CC6" w:rsidP="008E3413">
      <w:pPr>
        <w:pStyle w:val="FootnoteText"/>
        <w:jc w:val="both"/>
        <w:rPr>
          <w:rFonts w:ascii="David" w:hAnsi="David" w:cs="David"/>
          <w:rtl/>
        </w:rPr>
      </w:pPr>
      <w:r w:rsidRPr="00B84CC6">
        <w:rPr>
          <w:rStyle w:val="FootnoteReference"/>
          <w:rFonts w:ascii="David" w:hAnsi="David" w:cs="David"/>
        </w:rPr>
        <w:footnoteRef/>
      </w:r>
      <w:r w:rsidRPr="00B84CC6">
        <w:rPr>
          <w:rFonts w:ascii="David" w:hAnsi="David" w:cs="David"/>
          <w:rtl/>
        </w:rPr>
        <w:t xml:space="preserve"> </w:t>
      </w:r>
      <w:r w:rsidRPr="00B84CC6">
        <w:rPr>
          <w:rFonts w:ascii="David" w:hAnsi="David" w:cs="David"/>
        </w:rPr>
        <w:t xml:space="preserve">Adam Smith, </w:t>
      </w:r>
      <w:r w:rsidR="00DC401F" w:rsidRPr="00B84CC6">
        <w:rPr>
          <w:rFonts w:ascii="David" w:hAnsi="David" w:cs="David"/>
        </w:rPr>
        <w:t>an</w:t>
      </w:r>
      <w:r w:rsidRPr="00B84CC6">
        <w:rPr>
          <w:rFonts w:ascii="David" w:hAnsi="David" w:cs="David"/>
        </w:rPr>
        <w:t xml:space="preserve"> Inquiry into the Nature and Causes of the Wealth of Nations</w:t>
      </w:r>
      <w:r>
        <w:rPr>
          <w:rFonts w:ascii="David" w:hAnsi="David" w:cs="David"/>
        </w:rPr>
        <w:t xml:space="preserve"> (</w:t>
      </w:r>
      <w:proofErr w:type="spellStart"/>
      <w:r w:rsidR="008C00C2">
        <w:rPr>
          <w:rFonts w:ascii="David" w:hAnsi="David" w:cs="David"/>
        </w:rPr>
        <w:t>Metalibri</w:t>
      </w:r>
      <w:proofErr w:type="spellEnd"/>
      <w:r w:rsidR="008C00C2">
        <w:rPr>
          <w:rFonts w:ascii="David" w:hAnsi="David" w:cs="David"/>
        </w:rPr>
        <w:t xml:space="preserve">, </w:t>
      </w:r>
      <w:r>
        <w:rPr>
          <w:rFonts w:ascii="David" w:hAnsi="David" w:cs="David"/>
        </w:rPr>
        <w:t>1776).</w:t>
      </w:r>
      <w:r w:rsidRPr="00B84CC6">
        <w:rPr>
          <w:rFonts w:ascii="David" w:hAnsi="David" w:cs="David"/>
          <w:rtl/>
        </w:rPr>
        <w:t>‏</w:t>
      </w:r>
    </w:p>
  </w:footnote>
  <w:footnote w:id="14">
    <w:p w:rsidR="00282C27" w:rsidRPr="00282C27" w:rsidRDefault="00282C27" w:rsidP="00DC401F">
      <w:pPr>
        <w:pStyle w:val="FootnoteText"/>
        <w:rPr>
          <w:rFonts w:ascii="David" w:hAnsi="David" w:cs="David"/>
          <w:rtl/>
        </w:rPr>
      </w:pPr>
      <w:r>
        <w:rPr>
          <w:rStyle w:val="FootnoteReference"/>
        </w:rPr>
        <w:footnoteRef/>
      </w:r>
      <w:r>
        <w:rPr>
          <w:rFonts w:ascii="David" w:hAnsi="David" w:cs="David" w:hint="cs"/>
          <w:rtl/>
        </w:rPr>
        <w:t xml:space="preserve"> </w:t>
      </w:r>
      <w:r w:rsidRPr="00282C27">
        <w:rPr>
          <w:rFonts w:ascii="David" w:hAnsi="David" w:cs="David" w:hint="cs"/>
          <w:rtl/>
        </w:rPr>
        <w:t xml:space="preserve">ע"א 3901/96 </w:t>
      </w:r>
      <w:r w:rsidRPr="00DC401F">
        <w:rPr>
          <w:rFonts w:ascii="David" w:hAnsi="David" w:cs="David" w:hint="cs"/>
          <w:b/>
          <w:bCs/>
          <w:rtl/>
        </w:rPr>
        <w:t>הוועדה</w:t>
      </w:r>
      <w:r w:rsidRPr="00DC401F">
        <w:rPr>
          <w:rFonts w:ascii="David" w:hAnsi="David" w:cs="David"/>
          <w:b/>
          <w:bCs/>
          <w:rtl/>
        </w:rPr>
        <w:t xml:space="preserve"> המקומית לתכנון ובנייה, רעננה נ' הורוויץ</w:t>
      </w:r>
      <w:r w:rsidRPr="00282C27">
        <w:rPr>
          <w:rFonts w:ascii="David" w:hAnsi="David" w:cs="David"/>
          <w:rtl/>
        </w:rPr>
        <w:t>, פ"ד נו(4) 913</w:t>
      </w:r>
      <w:r w:rsidR="004A5F7E">
        <w:rPr>
          <w:rFonts w:ascii="David" w:hAnsi="David" w:cs="David" w:hint="cs"/>
          <w:rtl/>
        </w:rPr>
        <w:t>,</w:t>
      </w:r>
      <w:r w:rsidRPr="00282C27">
        <w:rPr>
          <w:rFonts w:ascii="David" w:hAnsi="David" w:cs="David" w:hint="cs"/>
          <w:rtl/>
        </w:rPr>
        <w:t xml:space="preserve"> פסקה 8 </w:t>
      </w:r>
      <w:r w:rsidR="00DC401F">
        <w:rPr>
          <w:rFonts w:ascii="David" w:hAnsi="David" w:cs="David" w:hint="cs"/>
          <w:rtl/>
        </w:rPr>
        <w:t>לפסק דינו של</w:t>
      </w:r>
      <w:r w:rsidR="00E40113">
        <w:rPr>
          <w:rFonts w:ascii="David" w:hAnsi="David" w:cs="David" w:hint="cs"/>
          <w:rtl/>
        </w:rPr>
        <w:t xml:space="preserve"> השופט ברק (2002)</w:t>
      </w:r>
    </w:p>
  </w:footnote>
  <w:footnote w:id="15">
    <w:p w:rsidR="008B43B2" w:rsidRPr="0011646F" w:rsidRDefault="008B43B2" w:rsidP="004B39DC">
      <w:pPr>
        <w:spacing w:after="0" w:line="240" w:lineRule="auto"/>
        <w:rPr>
          <w:rFonts w:ascii="David" w:hAnsi="David" w:cs="David"/>
          <w:sz w:val="20"/>
          <w:szCs w:val="20"/>
          <w:rtl/>
        </w:rPr>
      </w:pPr>
      <w:r w:rsidRPr="0011646F">
        <w:rPr>
          <w:rStyle w:val="FootnoteReference"/>
          <w:rFonts w:ascii="David" w:hAnsi="David" w:cs="David"/>
          <w:sz w:val="20"/>
          <w:szCs w:val="20"/>
        </w:rPr>
        <w:footnoteRef/>
      </w:r>
      <w:r w:rsidRPr="0011646F">
        <w:rPr>
          <w:rFonts w:ascii="David" w:hAnsi="David" w:cs="David"/>
          <w:sz w:val="20"/>
          <w:szCs w:val="20"/>
          <w:rtl/>
        </w:rPr>
        <w:t xml:space="preserve"> חנוך דגן "קנ</w:t>
      </w:r>
      <w:r w:rsidR="00E40113">
        <w:rPr>
          <w:rFonts w:ascii="David" w:hAnsi="David" w:cs="David"/>
          <w:sz w:val="20"/>
          <w:szCs w:val="20"/>
          <w:rtl/>
        </w:rPr>
        <w:t>יין, אחריות חברתית וצדק חלוקתי"</w:t>
      </w:r>
      <w:r w:rsidRPr="0011646F">
        <w:rPr>
          <w:rFonts w:ascii="David" w:hAnsi="David" w:cs="David"/>
          <w:sz w:val="20"/>
          <w:szCs w:val="20"/>
          <w:rtl/>
        </w:rPr>
        <w:t xml:space="preserve"> </w:t>
      </w:r>
      <w:r w:rsidRPr="00E40113">
        <w:rPr>
          <w:rFonts w:ascii="David" w:hAnsi="David" w:cs="David"/>
          <w:b/>
          <w:bCs/>
          <w:sz w:val="20"/>
          <w:szCs w:val="20"/>
          <w:rtl/>
        </w:rPr>
        <w:t>צדק חלוקתי בישראל</w:t>
      </w:r>
      <w:r w:rsidR="00E40113">
        <w:rPr>
          <w:rFonts w:ascii="David" w:hAnsi="David" w:cs="David"/>
          <w:sz w:val="20"/>
          <w:szCs w:val="20"/>
          <w:rtl/>
        </w:rPr>
        <w:t xml:space="preserve"> (מנחם מאוטנר</w:t>
      </w:r>
      <w:r w:rsidR="00D02110">
        <w:rPr>
          <w:rFonts w:ascii="David" w:hAnsi="David" w:cs="David"/>
          <w:sz w:val="20"/>
          <w:szCs w:val="20"/>
          <w:rtl/>
        </w:rPr>
        <w:t xml:space="preserve">, </w:t>
      </w:r>
      <w:r w:rsidR="00E40113">
        <w:rPr>
          <w:rFonts w:ascii="David" w:hAnsi="David" w:cs="David" w:hint="cs"/>
          <w:sz w:val="20"/>
          <w:szCs w:val="20"/>
          <w:rtl/>
        </w:rPr>
        <w:t>התשס"א</w:t>
      </w:r>
      <w:r w:rsidR="00D02110">
        <w:rPr>
          <w:rFonts w:ascii="David" w:hAnsi="David" w:cs="David"/>
          <w:sz w:val="20"/>
          <w:szCs w:val="20"/>
          <w:rtl/>
        </w:rPr>
        <w:t xml:space="preserve">) 97, </w:t>
      </w:r>
      <w:r w:rsidR="00D02110">
        <w:rPr>
          <w:rFonts w:ascii="David" w:hAnsi="David" w:cs="David" w:hint="cs"/>
          <w:sz w:val="20"/>
          <w:szCs w:val="20"/>
          <w:rtl/>
        </w:rPr>
        <w:t xml:space="preserve">עמ' </w:t>
      </w:r>
      <w:r w:rsidR="004B39DC">
        <w:rPr>
          <w:rFonts w:ascii="David" w:hAnsi="David" w:cs="David" w:hint="cs"/>
          <w:sz w:val="20"/>
          <w:szCs w:val="20"/>
          <w:rtl/>
        </w:rPr>
        <w:t>122</w:t>
      </w:r>
      <w:r w:rsidR="00D02110">
        <w:rPr>
          <w:rFonts w:ascii="David" w:hAnsi="David" w:cs="David" w:hint="cs"/>
          <w:sz w:val="20"/>
          <w:szCs w:val="20"/>
          <w:rtl/>
        </w:rPr>
        <w:t>. (להלן: חנוך דגן).</w:t>
      </w:r>
    </w:p>
  </w:footnote>
  <w:footnote w:id="16">
    <w:p w:rsidR="004F7397" w:rsidRDefault="004F7397" w:rsidP="004A5F7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F7397">
        <w:rPr>
          <w:rFonts w:ascii="David" w:hAnsi="David" w:cs="David" w:hint="cs"/>
          <w:rtl/>
        </w:rPr>
        <w:t xml:space="preserve">ע"א 44/76 </w:t>
      </w:r>
      <w:r w:rsidRPr="004A5F7E">
        <w:rPr>
          <w:rFonts w:ascii="David" w:hAnsi="David" w:cs="David" w:hint="cs"/>
          <w:b/>
          <w:bCs/>
          <w:rtl/>
        </w:rPr>
        <w:t>אתא חברה לטקסטיל נ' שוורץ</w:t>
      </w:r>
      <w:r w:rsidRPr="004F7397">
        <w:rPr>
          <w:rFonts w:ascii="David" w:hAnsi="David" w:cs="David" w:hint="cs"/>
          <w:rtl/>
        </w:rPr>
        <w:t>, פ"ד ל (3) 785</w:t>
      </w:r>
      <w:r w:rsidR="004A5F7E">
        <w:rPr>
          <w:rFonts w:ascii="David" w:hAnsi="David" w:cs="David" w:hint="cs"/>
          <w:rtl/>
        </w:rPr>
        <w:t>,</w:t>
      </w:r>
      <w:r w:rsidRPr="004F7397">
        <w:rPr>
          <w:rFonts w:ascii="David" w:hAnsi="David" w:cs="David" w:hint="cs"/>
          <w:rtl/>
        </w:rPr>
        <w:t xml:space="preserve"> </w:t>
      </w:r>
      <w:r w:rsidR="004A5F7E">
        <w:rPr>
          <w:rFonts w:ascii="David" w:hAnsi="David" w:cs="David" w:hint="cs"/>
          <w:rtl/>
        </w:rPr>
        <w:t>פסק דינו של</w:t>
      </w:r>
      <w:r w:rsidRPr="004F7397">
        <w:rPr>
          <w:rFonts w:ascii="David" w:hAnsi="David" w:cs="David" w:hint="cs"/>
          <w:rtl/>
        </w:rPr>
        <w:t xml:space="preserve"> השופט זמיר</w:t>
      </w:r>
      <w:r w:rsidR="004A5F7E">
        <w:rPr>
          <w:rFonts w:ascii="David" w:hAnsi="David" w:cs="David" w:hint="cs"/>
          <w:rtl/>
        </w:rPr>
        <w:t xml:space="preserve"> (1976)</w:t>
      </w:r>
      <w:r w:rsidRPr="004F7397">
        <w:rPr>
          <w:rFonts w:ascii="David" w:hAnsi="David" w:cs="David" w:hint="cs"/>
          <w:rtl/>
        </w:rPr>
        <w:t>.</w:t>
      </w:r>
    </w:p>
  </w:footnote>
  <w:footnote w:id="17">
    <w:p w:rsidR="00225DE4" w:rsidRPr="0011646F" w:rsidRDefault="00225DE4" w:rsidP="00D02110">
      <w:pPr>
        <w:pStyle w:val="FootnoteText"/>
        <w:rPr>
          <w:rFonts w:ascii="David" w:hAnsi="David" w:cs="David"/>
          <w:rtl/>
        </w:rPr>
      </w:pPr>
      <w:r w:rsidRPr="0011646F">
        <w:rPr>
          <w:rStyle w:val="FootnoteReference"/>
          <w:rFonts w:ascii="David" w:hAnsi="David" w:cs="David"/>
        </w:rPr>
        <w:footnoteRef/>
      </w:r>
      <w:r w:rsidR="00D02110">
        <w:rPr>
          <w:rFonts w:ascii="David" w:hAnsi="David" w:cs="David"/>
          <w:rtl/>
        </w:rPr>
        <w:t xml:space="preserve"> </w:t>
      </w:r>
      <w:r w:rsidR="00F40E51">
        <w:rPr>
          <w:rFonts w:ascii="David" w:hAnsi="David" w:cs="David" w:hint="cs"/>
          <w:rtl/>
        </w:rPr>
        <w:t xml:space="preserve"> </w:t>
      </w:r>
      <w:r w:rsidR="00D02110">
        <w:rPr>
          <w:rFonts w:ascii="David" w:hAnsi="David" w:cs="David" w:hint="cs"/>
          <w:rtl/>
        </w:rPr>
        <w:t>חנוך דגן, עמ' 32.</w:t>
      </w:r>
    </w:p>
  </w:footnote>
  <w:footnote w:id="18">
    <w:p w:rsidR="0011646F" w:rsidRDefault="0011646F" w:rsidP="00DF4205">
      <w:pPr>
        <w:pStyle w:val="FootnoteText"/>
        <w:rPr>
          <w:rtl/>
        </w:rPr>
      </w:pPr>
      <w:r w:rsidRPr="0011646F">
        <w:rPr>
          <w:rStyle w:val="FootnoteReference"/>
          <w:rFonts w:ascii="David" w:hAnsi="David" w:cs="David"/>
        </w:rPr>
        <w:footnoteRef/>
      </w:r>
      <w:r>
        <w:rPr>
          <w:rtl/>
        </w:rPr>
        <w:t xml:space="preserve"> </w:t>
      </w:r>
      <w:r w:rsidR="00590B47">
        <w:t xml:space="preserve">Wesley </w:t>
      </w:r>
      <w:proofErr w:type="spellStart"/>
      <w:r w:rsidR="00590B47">
        <w:t>Hohfeld</w:t>
      </w:r>
      <w:proofErr w:type="spellEnd"/>
      <w:r w:rsidR="00590B47">
        <w:t>, Fundamental Legal Conceptions (Westport, Conn., Greenwood Press ,1978)</w:t>
      </w:r>
    </w:p>
  </w:footnote>
  <w:footnote w:id="19">
    <w:p w:rsidR="00376E9A" w:rsidRPr="00DF4205" w:rsidRDefault="00376E9A" w:rsidP="00DA247A">
      <w:pPr>
        <w:spacing w:after="0"/>
        <w:jc w:val="both"/>
        <w:rPr>
          <w:rFonts w:cs="David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800CC">
        <w:rPr>
          <w:rFonts w:ascii="David" w:hAnsi="David" w:cs="David"/>
          <w:sz w:val="20"/>
          <w:szCs w:val="20"/>
        </w:rPr>
        <w:t xml:space="preserve">Harold </w:t>
      </w:r>
      <w:proofErr w:type="spellStart"/>
      <w:r w:rsidRPr="00B800CC">
        <w:rPr>
          <w:rFonts w:ascii="David" w:hAnsi="David" w:cs="David"/>
          <w:sz w:val="20"/>
          <w:szCs w:val="20"/>
        </w:rPr>
        <w:t>Demsetz</w:t>
      </w:r>
      <w:proofErr w:type="spellEnd"/>
      <w:r w:rsidRPr="00B800CC">
        <w:rPr>
          <w:rFonts w:ascii="David" w:hAnsi="David" w:cs="David"/>
          <w:sz w:val="20"/>
          <w:szCs w:val="20"/>
        </w:rPr>
        <w:t xml:space="preserve"> “Towards a Theory of Property Rights”, in Gregory Alexander and </w:t>
      </w:r>
      <w:proofErr w:type="spellStart"/>
      <w:r w:rsidRPr="00B800CC">
        <w:rPr>
          <w:rFonts w:ascii="David" w:hAnsi="David" w:cs="David"/>
          <w:sz w:val="20"/>
          <w:szCs w:val="20"/>
        </w:rPr>
        <w:t>Hanoch</w:t>
      </w:r>
      <w:proofErr w:type="spellEnd"/>
      <w:r w:rsidRPr="00B800CC">
        <w:rPr>
          <w:rFonts w:ascii="David" w:hAnsi="David" w:cs="David"/>
          <w:sz w:val="20"/>
          <w:szCs w:val="20"/>
        </w:rPr>
        <w:t xml:space="preserve"> Dagan,</w:t>
      </w:r>
      <w:r w:rsidR="00DA247A">
        <w:rPr>
          <w:rFonts w:ascii="David" w:hAnsi="David" w:cs="David"/>
          <w:sz w:val="20"/>
          <w:szCs w:val="20"/>
        </w:rPr>
        <w:t xml:space="preserve"> properties and property</w:t>
      </w:r>
      <w:r w:rsidRPr="00B800CC">
        <w:rPr>
          <w:rFonts w:ascii="David" w:hAnsi="David" w:cs="David"/>
          <w:sz w:val="20"/>
          <w:szCs w:val="20"/>
        </w:rPr>
        <w:t>.</w:t>
      </w:r>
    </w:p>
  </w:footnote>
  <w:footnote w:id="20">
    <w:p w:rsidR="00376E9A" w:rsidRPr="00DF4205" w:rsidRDefault="00376E9A" w:rsidP="00DA247A">
      <w:pPr>
        <w:spacing w:after="0"/>
        <w:jc w:val="both"/>
        <w:rPr>
          <w:rFonts w:cs="David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 w:rsidRPr="00DF4205">
        <w:rPr>
          <w:rFonts w:ascii="David" w:hAnsi="David" w:cs="David"/>
          <w:sz w:val="20"/>
          <w:szCs w:val="20"/>
        </w:rPr>
        <w:t>Shai</w:t>
      </w:r>
      <w:proofErr w:type="spellEnd"/>
      <w:r w:rsidRPr="00DF4205">
        <w:rPr>
          <w:rFonts w:ascii="David" w:hAnsi="David" w:cs="David"/>
          <w:sz w:val="20"/>
          <w:szCs w:val="20"/>
        </w:rPr>
        <w:t xml:space="preserve"> Stern, Taking Community Seriously: Lessons from the Israeli Disen</w:t>
      </w:r>
      <w:r w:rsidR="00DA247A">
        <w:rPr>
          <w:rFonts w:ascii="David" w:hAnsi="David" w:cs="David"/>
          <w:sz w:val="20"/>
          <w:szCs w:val="20"/>
        </w:rPr>
        <w:t>gagement Plan, 47 Israel L. Rev</w:t>
      </w:r>
      <w:r w:rsidRPr="00DF4205">
        <w:rPr>
          <w:rFonts w:ascii="David" w:hAnsi="David" w:cs="David"/>
          <w:sz w:val="20"/>
          <w:szCs w:val="20"/>
        </w:rPr>
        <w:t>.</w:t>
      </w:r>
      <w:r>
        <w:rPr>
          <w:rFonts w:cs="David"/>
        </w:rPr>
        <w:t xml:space="preserve">  </w:t>
      </w:r>
    </w:p>
  </w:footnote>
  <w:footnote w:id="21">
    <w:p w:rsidR="00376E9A" w:rsidRPr="00D83692" w:rsidRDefault="00376E9A" w:rsidP="005D4285">
      <w:pPr>
        <w:pStyle w:val="FootnoteText"/>
        <w:rPr>
          <w:rFonts w:ascii="David" w:hAnsi="David" w:cs="David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A3F87">
        <w:rPr>
          <w:rFonts w:ascii="David" w:hAnsi="David" w:cs="David"/>
        </w:rPr>
        <w:t>Joseph William Singer</w:t>
      </w:r>
      <w:r w:rsidR="000A3F87" w:rsidRPr="000A3F87">
        <w:rPr>
          <w:rFonts w:ascii="David" w:hAnsi="David" w:cs="David"/>
          <w:i/>
          <w:iCs/>
        </w:rPr>
        <w:t xml:space="preserve">, </w:t>
      </w:r>
      <w:proofErr w:type="gramStart"/>
      <w:r w:rsidRPr="000A3F87">
        <w:rPr>
          <w:rFonts w:ascii="David" w:hAnsi="David" w:cs="David"/>
          <w:i/>
          <w:iCs/>
        </w:rPr>
        <w:t>Th</w:t>
      </w:r>
      <w:r w:rsidR="000A3F87" w:rsidRPr="000A3F87">
        <w:rPr>
          <w:rFonts w:ascii="David" w:hAnsi="David" w:cs="David"/>
          <w:i/>
          <w:iCs/>
        </w:rPr>
        <w:t>e</w:t>
      </w:r>
      <w:proofErr w:type="gramEnd"/>
      <w:r w:rsidR="000A3F87" w:rsidRPr="000A3F87">
        <w:rPr>
          <w:rFonts w:ascii="David" w:hAnsi="David" w:cs="David"/>
          <w:i/>
          <w:iCs/>
        </w:rPr>
        <w:t xml:space="preserve"> Reliance Interest in Property, in</w:t>
      </w:r>
      <w:r w:rsidRPr="00D83692">
        <w:rPr>
          <w:rFonts w:ascii="David" w:hAnsi="David" w:cs="David"/>
        </w:rPr>
        <w:t xml:space="preserve"> A Property Anthology (Richard H. Chused, ed., Anderson Publishing Co., 1993)</w:t>
      </w:r>
      <w:r w:rsidR="005D4285">
        <w:rPr>
          <w:rFonts w:ascii="David" w:hAnsi="David" w:cs="David"/>
        </w:rPr>
        <w:t>.</w:t>
      </w:r>
    </w:p>
  </w:footnote>
  <w:footnote w:id="22">
    <w:p w:rsidR="00376E9A" w:rsidRDefault="00376E9A" w:rsidP="00376E9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E3413">
        <w:rPr>
          <w:rFonts w:ascii="David" w:hAnsi="David" w:cs="David" w:hint="cs"/>
          <w:rtl/>
        </w:rPr>
        <w:t>הצעת חוק להסדרת התיישבות בדואים בנגב, התשע"ג-2013</w:t>
      </w:r>
      <w:r w:rsidR="000A3F87">
        <w:rPr>
          <w:rFonts w:hint="cs"/>
          <w:rtl/>
        </w:rPr>
        <w:t>.</w:t>
      </w:r>
    </w:p>
  </w:footnote>
  <w:footnote w:id="23">
    <w:p w:rsidR="00376E9A" w:rsidRPr="000A3F87" w:rsidRDefault="00376E9A" w:rsidP="000A3F87">
      <w:pPr>
        <w:pStyle w:val="FootnoteText"/>
        <w:jc w:val="both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18291B">
        <w:t>Gregory S.</w:t>
      </w:r>
      <w:r>
        <w:t xml:space="preserve"> </w:t>
      </w:r>
      <w:r w:rsidRPr="0018291B">
        <w:t xml:space="preserve">Alexander and Eduardo M. </w:t>
      </w:r>
      <w:proofErr w:type="spellStart"/>
      <w:r w:rsidRPr="0018291B">
        <w:t>Peñalver</w:t>
      </w:r>
      <w:proofErr w:type="spellEnd"/>
      <w:r w:rsidRPr="0018291B">
        <w:t>, "Properties of Community" (</w:t>
      </w:r>
      <w:r w:rsidR="000A3F87">
        <w:t xml:space="preserve">Cornell </w:t>
      </w:r>
      <w:r w:rsidR="00747903">
        <w:t>L</w:t>
      </w:r>
      <w:r w:rsidR="000A3F87" w:rsidRPr="00747903">
        <w:t>aw</w:t>
      </w:r>
      <w:r w:rsidR="00747903">
        <w:t xml:space="preserve"> S</w:t>
      </w:r>
      <w:r w:rsidR="000A3F87">
        <w:t xml:space="preserve">chool, </w:t>
      </w:r>
      <w:r w:rsidRPr="0018291B">
        <w:t>2009</w:t>
      </w:r>
      <w:r w:rsidR="000A3F87">
        <w:t>)</w:t>
      </w:r>
    </w:p>
  </w:footnote>
  <w:footnote w:id="24">
    <w:p w:rsidR="00376E9A" w:rsidRDefault="00376E9A" w:rsidP="00AC0A4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A5C9A">
        <w:rPr>
          <w:rFonts w:ascii="David" w:hAnsi="David" w:cs="David" w:hint="cs"/>
          <w:rtl/>
        </w:rPr>
        <w:t>ס'</w:t>
      </w:r>
      <w:r w:rsidR="00AC0A4E">
        <w:rPr>
          <w:rFonts w:ascii="David" w:hAnsi="David" w:cs="David" w:hint="cs"/>
          <w:rtl/>
        </w:rPr>
        <w:t xml:space="preserve"> 1 לחוק יסודות המשפט, </w:t>
      </w:r>
      <w:r w:rsidR="00303779">
        <w:rPr>
          <w:rFonts w:ascii="David" w:hAnsi="David" w:cs="David" w:hint="cs"/>
          <w:rtl/>
        </w:rPr>
        <w:t>ה</w:t>
      </w:r>
      <w:r w:rsidR="00AC0A4E">
        <w:rPr>
          <w:rFonts w:ascii="David" w:hAnsi="David" w:cs="David" w:hint="cs"/>
          <w:rtl/>
        </w:rPr>
        <w:t>תש"ם-1980, ס"ח תש"ם 173.</w:t>
      </w:r>
    </w:p>
  </w:footnote>
  <w:footnote w:id="25">
    <w:p w:rsidR="00376E9A" w:rsidRDefault="00376E9A" w:rsidP="00376E9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A5C9A">
        <w:rPr>
          <w:rFonts w:ascii="David" w:hAnsi="David" w:cs="David" w:hint="cs"/>
          <w:rtl/>
        </w:rPr>
        <w:t>דברים ו 18.</w:t>
      </w:r>
    </w:p>
  </w:footnote>
  <w:footnote w:id="26">
    <w:p w:rsidR="004B39DC" w:rsidRPr="004B39DC" w:rsidRDefault="004B39DC">
      <w:pPr>
        <w:pStyle w:val="FootnoteText"/>
        <w:rPr>
          <w:rFonts w:ascii="David" w:hAnsi="David" w:cs="David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B39DC">
        <w:rPr>
          <w:rFonts w:ascii="David" w:hAnsi="David" w:cs="David" w:hint="cs"/>
          <w:rtl/>
        </w:rPr>
        <w:t xml:space="preserve">רחל אלתרמן "מי ימלל גבורות מקרקעי ישראל" </w:t>
      </w:r>
      <w:r w:rsidRPr="00062EFD">
        <w:rPr>
          <w:rFonts w:ascii="David" w:hAnsi="David" w:cs="David" w:hint="cs"/>
          <w:b/>
          <w:bCs/>
          <w:rtl/>
        </w:rPr>
        <w:t>עיוני משפט</w:t>
      </w:r>
      <w:r>
        <w:rPr>
          <w:rFonts w:ascii="David" w:hAnsi="David" w:cs="David" w:hint="cs"/>
          <w:rtl/>
        </w:rPr>
        <w:t xml:space="preserve"> כא(3) (1998), עמ' 543-545.</w:t>
      </w:r>
    </w:p>
  </w:footnote>
  <w:footnote w:id="27">
    <w:p w:rsidR="005040D1" w:rsidRDefault="005040D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David" w:hAnsi="David" w:cs="David" w:hint="cs"/>
          <w:rtl/>
        </w:rPr>
        <w:t>שם.</w:t>
      </w:r>
    </w:p>
  </w:footnote>
  <w:footnote w:id="28">
    <w:p w:rsidR="00F40E51" w:rsidRDefault="00F40E5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40E51">
        <w:rPr>
          <w:rFonts w:ascii="David" w:hAnsi="David" w:cs="David" w:hint="cs"/>
          <w:rtl/>
        </w:rPr>
        <w:t xml:space="preserve">ס' 107 לחוק </w:t>
      </w:r>
      <w:r w:rsidR="00AC0A4E">
        <w:rPr>
          <w:rFonts w:ascii="David" w:hAnsi="David" w:cs="David" w:hint="cs"/>
          <w:rtl/>
        </w:rPr>
        <w:t>המקרקעין, תשכ"ט-1969, ס"ח תשע"א 639.</w:t>
      </w:r>
    </w:p>
  </w:footnote>
  <w:footnote w:id="29">
    <w:p w:rsidR="00D02110" w:rsidRDefault="00D0211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40E51">
        <w:rPr>
          <w:rFonts w:ascii="David" w:hAnsi="David" w:cs="David" w:hint="cs"/>
          <w:rtl/>
        </w:rPr>
        <w:t>ויסמן, עמ' 278-273.</w:t>
      </w:r>
    </w:p>
  </w:footnote>
  <w:footnote w:id="30">
    <w:p w:rsidR="00BA217F" w:rsidRDefault="00BA217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40E51">
        <w:rPr>
          <w:rFonts w:ascii="David" w:hAnsi="David" w:cs="David" w:hint="cs"/>
          <w:rtl/>
        </w:rPr>
        <w:t xml:space="preserve">ס' 107 לחוק </w:t>
      </w:r>
      <w:r w:rsidR="00AC0A4E">
        <w:rPr>
          <w:rFonts w:ascii="David" w:hAnsi="David" w:cs="David" w:hint="cs"/>
          <w:rtl/>
        </w:rPr>
        <w:t>המקרקעין, תשכ"ט-1969, ס"ח תשע"א 639.</w:t>
      </w:r>
    </w:p>
  </w:footnote>
  <w:footnote w:id="31">
    <w:p w:rsidR="00396F6C" w:rsidRPr="00396F6C" w:rsidRDefault="00396F6C" w:rsidP="00396F6C">
      <w:pPr>
        <w:spacing w:after="0"/>
        <w:jc w:val="both"/>
        <w:rPr>
          <w:rFonts w:cs="David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96F6C">
        <w:rPr>
          <w:rFonts w:ascii="David" w:hAnsi="David" w:cs="David" w:hint="cs"/>
          <w:sz w:val="20"/>
          <w:szCs w:val="20"/>
          <w:rtl/>
        </w:rPr>
        <w:t xml:space="preserve">ע"א 119/01 </w:t>
      </w:r>
      <w:r w:rsidRPr="000A3F87">
        <w:rPr>
          <w:rFonts w:ascii="David" w:hAnsi="David" w:cs="David" w:hint="cs"/>
          <w:b/>
          <w:bCs/>
          <w:sz w:val="20"/>
          <w:szCs w:val="20"/>
          <w:rtl/>
        </w:rPr>
        <w:t>אקונס נ' מדינת ישראל</w:t>
      </w:r>
      <w:r w:rsidRPr="00396F6C">
        <w:rPr>
          <w:rFonts w:ascii="David" w:hAnsi="David" w:cs="David" w:hint="cs"/>
          <w:sz w:val="20"/>
          <w:szCs w:val="20"/>
          <w:rtl/>
        </w:rPr>
        <w:t>, פ"ד נז(1) 817: 817, 842א-844א, 856א-858ה,</w:t>
      </w:r>
      <w:r w:rsidR="005475CD">
        <w:rPr>
          <w:rFonts w:ascii="David" w:hAnsi="David" w:cs="David" w:hint="cs"/>
          <w:sz w:val="20"/>
          <w:szCs w:val="20"/>
          <w:rtl/>
        </w:rPr>
        <w:t xml:space="preserve"> פסקאות 50-53 לדברי השופטת נאור (2003).</w:t>
      </w:r>
    </w:p>
  </w:footnote>
  <w:footnote w:id="32">
    <w:p w:rsidR="00AC2F83" w:rsidRPr="00D13791" w:rsidRDefault="00AC2F83" w:rsidP="00C874B6">
      <w:pPr>
        <w:pStyle w:val="FootnoteText"/>
        <w:rPr>
          <w:rFonts w:ascii="David" w:hAnsi="David" w:cs="David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75368">
        <w:rPr>
          <w:rFonts w:ascii="David" w:hAnsi="David" w:cs="David" w:hint="cs"/>
          <w:rtl/>
        </w:rPr>
        <w:t>ס' 1 לחוק יסוד:מקרקעי ישראל</w:t>
      </w:r>
      <w:r w:rsidR="00050945">
        <w:rPr>
          <w:rFonts w:ascii="David" w:hAnsi="David" w:cs="David" w:hint="cs"/>
          <w:rtl/>
        </w:rPr>
        <w:t xml:space="preserve">, </w:t>
      </w:r>
      <w:r w:rsidR="00D13791" w:rsidRPr="00D13791">
        <w:rPr>
          <w:rFonts w:ascii="David" w:hAnsi="David" w:cs="David" w:hint="cs"/>
          <w:rtl/>
        </w:rPr>
        <w:t>ס"ח תש"כ 56.</w:t>
      </w:r>
    </w:p>
  </w:footnote>
  <w:footnote w:id="33">
    <w:p w:rsidR="00AC2F83" w:rsidRDefault="00AC2F83" w:rsidP="00AC2F8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D13791">
        <w:rPr>
          <w:rFonts w:ascii="David" w:hAnsi="David" w:cs="David" w:hint="cs"/>
          <w:rtl/>
        </w:rPr>
        <w:t>ס' 2(7) לחוק מקרקעי ישראל</w:t>
      </w:r>
      <w:r w:rsidR="00984D79">
        <w:rPr>
          <w:rFonts w:ascii="David" w:hAnsi="David" w:cs="David" w:hint="cs"/>
          <w:rtl/>
        </w:rPr>
        <w:t>, התש"כ-1960</w:t>
      </w:r>
      <w:r w:rsidR="00D13791">
        <w:rPr>
          <w:rFonts w:ascii="David" w:hAnsi="David" w:cs="David" w:hint="cs"/>
          <w:rtl/>
        </w:rPr>
        <w:t>, ס"ח תש"כ 56.</w:t>
      </w:r>
    </w:p>
  </w:footnote>
  <w:footnote w:id="34">
    <w:p w:rsidR="009420A0" w:rsidRPr="009420A0" w:rsidRDefault="009420A0" w:rsidP="009420A0">
      <w:pPr>
        <w:spacing w:after="0"/>
        <w:jc w:val="both"/>
        <w:rPr>
          <w:rFonts w:cs="David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420A0">
        <w:rPr>
          <w:rFonts w:ascii="David" w:hAnsi="David" w:cs="David" w:hint="cs"/>
          <w:sz w:val="20"/>
          <w:szCs w:val="20"/>
          <w:rtl/>
        </w:rPr>
        <w:t>סעיף 3 לחוק איסור הפלייה במוצרים, בשירותים ובכניסה למקומות בידור</w:t>
      </w:r>
      <w:r w:rsidR="00582F7A">
        <w:rPr>
          <w:rFonts w:ascii="David" w:hAnsi="David" w:cs="David" w:hint="cs"/>
          <w:sz w:val="20"/>
          <w:szCs w:val="20"/>
          <w:rtl/>
        </w:rPr>
        <w:t xml:space="preserve"> ולמקומות ציבוריים, התשס"א-2000, ס"ח תשע"ד 594.</w:t>
      </w:r>
    </w:p>
  </w:footnote>
  <w:footnote w:id="35">
    <w:p w:rsidR="009420A0" w:rsidRDefault="009420A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70A59">
        <w:rPr>
          <w:rFonts w:ascii="David" w:hAnsi="David" w:cs="David" w:hint="cs"/>
          <w:rtl/>
        </w:rPr>
        <w:t>שם.</w:t>
      </w:r>
    </w:p>
  </w:footnote>
  <w:footnote w:id="36">
    <w:p w:rsidR="00D70A59" w:rsidRPr="00E353AE" w:rsidRDefault="00D70A59" w:rsidP="00C75F36">
      <w:pPr>
        <w:pStyle w:val="FootnoteText"/>
        <w:rPr>
          <w:rFonts w:ascii="David" w:hAnsi="David" w:cs="David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70A59">
        <w:rPr>
          <w:rFonts w:ascii="David" w:hAnsi="David" w:cs="David" w:hint="cs"/>
          <w:rtl/>
        </w:rPr>
        <w:t xml:space="preserve">רע"א 8821/09 </w:t>
      </w:r>
      <w:r w:rsidRPr="00C75F36">
        <w:rPr>
          <w:rFonts w:ascii="David" w:hAnsi="David" w:cs="David" w:hint="cs"/>
          <w:b/>
          <w:bCs/>
          <w:rtl/>
        </w:rPr>
        <w:t>פבל פרוז'אנסקי נ' חברת לילה טוב הפקות בע"מ</w:t>
      </w:r>
      <w:r w:rsidR="00C75F36">
        <w:rPr>
          <w:rFonts w:ascii="David" w:hAnsi="David" w:cs="David" w:hint="cs"/>
          <w:b/>
          <w:bCs/>
          <w:rtl/>
        </w:rPr>
        <w:t xml:space="preserve"> </w:t>
      </w:r>
      <w:r w:rsidR="00C75F36">
        <w:rPr>
          <w:rFonts w:ascii="David" w:hAnsi="David" w:cs="David" w:hint="cs"/>
          <w:rtl/>
        </w:rPr>
        <w:t>(פורסם בנבו),</w:t>
      </w:r>
      <w:r>
        <w:rPr>
          <w:rFonts w:ascii="David" w:hAnsi="David" w:cs="David" w:hint="cs"/>
          <w:rtl/>
        </w:rPr>
        <w:t xml:space="preserve"> פסקאות </w:t>
      </w:r>
      <w:r w:rsidR="00A141FE">
        <w:rPr>
          <w:rFonts w:ascii="David" w:hAnsi="David" w:cs="David" w:hint="cs"/>
          <w:rtl/>
        </w:rPr>
        <w:t xml:space="preserve">30-35 </w:t>
      </w:r>
      <w:r w:rsidR="00C75F36">
        <w:rPr>
          <w:rFonts w:ascii="David" w:hAnsi="David" w:cs="David" w:hint="cs"/>
          <w:rtl/>
        </w:rPr>
        <w:t>לדברי השופט דנציגר (2011).</w:t>
      </w:r>
      <w:r w:rsidR="00E353AE" w:rsidRPr="00E353AE">
        <w:rPr>
          <w:rFonts w:ascii="David" w:hAnsi="David" w:cs="David" w:hint="cs"/>
          <w:rtl/>
        </w:rPr>
        <w:t xml:space="preserve"> (להלן: פרוז'אנסקי)</w:t>
      </w:r>
    </w:p>
  </w:footnote>
  <w:footnote w:id="37">
    <w:p w:rsidR="00DC401F" w:rsidRDefault="00DC401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David"/>
          <w:rtl/>
        </w:rPr>
        <w:t xml:space="preserve">בג"ץ 528/88, </w:t>
      </w:r>
      <w:r>
        <w:rPr>
          <w:rFonts w:cs="David"/>
          <w:b/>
          <w:bCs/>
          <w:rtl/>
        </w:rPr>
        <w:t>אביטן נ' מינהל מקרקעי ישראל</w:t>
      </w:r>
      <w:r>
        <w:rPr>
          <w:rFonts w:cs="David"/>
          <w:rtl/>
        </w:rPr>
        <w:t>, פ"ד מג(4), 297, פסקה 9 לפסק דינו של השופט אור</w:t>
      </w:r>
      <w:r w:rsidR="00F831D0" w:rsidRPr="00633B6D">
        <w:rPr>
          <w:rFonts w:cs="David" w:hint="cs"/>
          <w:rtl/>
        </w:rPr>
        <w:t xml:space="preserve"> (1989).</w:t>
      </w:r>
    </w:p>
  </w:footnote>
  <w:footnote w:id="38">
    <w:p w:rsidR="00D70A59" w:rsidRPr="00D70A59" w:rsidRDefault="00D70A59" w:rsidP="00D70A59">
      <w:pPr>
        <w:spacing w:after="0"/>
        <w:jc w:val="both"/>
        <w:rPr>
          <w:rFonts w:cs="David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70A59">
        <w:rPr>
          <w:rFonts w:ascii="David" w:hAnsi="David" w:cs="David" w:hint="cs"/>
          <w:sz w:val="20"/>
          <w:szCs w:val="20"/>
          <w:rtl/>
        </w:rPr>
        <w:t xml:space="preserve">בג"ץ 6698/95 </w:t>
      </w:r>
      <w:r w:rsidRPr="00E353AE">
        <w:rPr>
          <w:rFonts w:ascii="David" w:hAnsi="David" w:cs="David" w:hint="cs"/>
          <w:b/>
          <w:bCs/>
          <w:sz w:val="20"/>
          <w:szCs w:val="20"/>
          <w:rtl/>
        </w:rPr>
        <w:t>עאדל קעדאן נ' מנהל מקרקעי ישראל</w:t>
      </w:r>
      <w:r w:rsidRPr="00D70A59">
        <w:rPr>
          <w:rFonts w:ascii="David" w:hAnsi="David" w:cs="David" w:hint="cs"/>
          <w:sz w:val="20"/>
          <w:szCs w:val="20"/>
          <w:rtl/>
        </w:rPr>
        <w:t>, פ"ד נד(1) 258, 264ג-265ו, 268ו-27</w:t>
      </w:r>
      <w:r w:rsidR="00633B6D">
        <w:rPr>
          <w:rFonts w:ascii="David" w:hAnsi="David" w:cs="David" w:hint="cs"/>
          <w:sz w:val="20"/>
          <w:szCs w:val="20"/>
          <w:rtl/>
        </w:rPr>
        <w:t>2ב פסקאות 13-14 לדברי השופט ברק (2000).</w:t>
      </w:r>
      <w:r w:rsidR="00F66E62">
        <w:rPr>
          <w:rFonts w:cs="David" w:hint="cs"/>
          <w:rtl/>
        </w:rPr>
        <w:t xml:space="preserve"> </w:t>
      </w:r>
      <w:r w:rsidR="00F66E62" w:rsidRPr="00F66E62">
        <w:rPr>
          <w:rFonts w:ascii="David" w:hAnsi="David" w:cs="David" w:hint="cs"/>
          <w:sz w:val="20"/>
          <w:szCs w:val="20"/>
          <w:rtl/>
        </w:rPr>
        <w:t>(להלן: קעדאן)</w:t>
      </w:r>
    </w:p>
  </w:footnote>
  <w:footnote w:id="39">
    <w:p w:rsidR="00D70A59" w:rsidRPr="00E353AE" w:rsidRDefault="00D70A59" w:rsidP="00E353AE">
      <w:pPr>
        <w:spacing w:after="0"/>
        <w:rPr>
          <w:rFonts w:ascii="David" w:hAnsi="David" w:cs="David"/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E353AE" w:rsidRPr="00E353AE">
        <w:rPr>
          <w:rFonts w:ascii="David" w:hAnsi="David" w:cs="David" w:hint="cs"/>
          <w:sz w:val="20"/>
          <w:szCs w:val="20"/>
          <w:rtl/>
        </w:rPr>
        <w:t>פרוז'אנסקי, פס' 19-23.</w:t>
      </w:r>
    </w:p>
  </w:footnote>
  <w:footnote w:id="40">
    <w:p w:rsidR="007B5F96" w:rsidRDefault="007B5F9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353AE">
        <w:rPr>
          <w:rFonts w:ascii="David" w:hAnsi="David" w:cs="David" w:hint="cs"/>
          <w:rtl/>
        </w:rPr>
        <w:t>הצעת חוק שוויון הזדמנויות במגורים, תשע"ג-2013.</w:t>
      </w:r>
    </w:p>
  </w:footnote>
  <w:footnote w:id="41">
    <w:p w:rsidR="007B5F96" w:rsidRDefault="007B5F96" w:rsidP="00E353A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E353AE">
        <w:t>.</w:t>
      </w:r>
      <w:r>
        <w:t xml:space="preserve">Fair </w:t>
      </w:r>
      <w:r w:rsidR="00E353AE">
        <w:t>H</w:t>
      </w:r>
      <w:r>
        <w:t xml:space="preserve">ousing </w:t>
      </w:r>
      <w:r w:rsidR="00E353AE">
        <w:t>A</w:t>
      </w:r>
      <w:r>
        <w:t>ct</w:t>
      </w:r>
      <w:r w:rsidR="00E353AE">
        <w:t>, 161.02 U.S.C.A (1976)</w:t>
      </w:r>
    </w:p>
  </w:footnote>
  <w:footnote w:id="42">
    <w:p w:rsidR="007B5F96" w:rsidRDefault="007B5F96" w:rsidP="005201C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E353AE">
        <w:t xml:space="preserve">U.S. Const. </w:t>
      </w:r>
      <w:proofErr w:type="gramStart"/>
      <w:r w:rsidR="00E353AE">
        <w:t>amend</w:t>
      </w:r>
      <w:proofErr w:type="gramEnd"/>
      <w:r w:rsidR="00E353AE">
        <w:t xml:space="preserve">. </w:t>
      </w:r>
      <w:proofErr w:type="gramStart"/>
      <w:r w:rsidR="00E353AE">
        <w:t>XIV.</w:t>
      </w:r>
      <w:proofErr w:type="gramEnd"/>
    </w:p>
  </w:footnote>
  <w:footnote w:id="43">
    <w:p w:rsidR="007B5F96" w:rsidRDefault="007B5F9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50945" w:rsidRPr="00050945">
        <w:rPr>
          <w:rFonts w:ascii="David" w:hAnsi="David" w:cs="David"/>
        </w:rPr>
        <w:t>(1968)</w:t>
      </w:r>
      <w:r w:rsidR="00050945" w:rsidRPr="00050945">
        <w:rPr>
          <w:rFonts w:ascii="David" w:hAnsi="David" w:cs="David" w:hint="cs"/>
          <w:rtl/>
        </w:rPr>
        <w:t xml:space="preserve"> </w:t>
      </w:r>
      <w:r w:rsidR="00050945" w:rsidRPr="00050945">
        <w:rPr>
          <w:rFonts w:ascii="David" w:hAnsi="David" w:cs="David"/>
        </w:rPr>
        <w:t>390 U.S. 1019</w:t>
      </w:r>
      <w:r w:rsidR="00050945" w:rsidRPr="00050945">
        <w:rPr>
          <w:rFonts w:ascii="David" w:hAnsi="David" w:cs="David" w:hint="cs"/>
          <w:rtl/>
        </w:rPr>
        <w:t xml:space="preserve"> </w:t>
      </w:r>
      <w:r w:rsidRPr="00050945">
        <w:rPr>
          <w:rFonts w:ascii="David" w:hAnsi="David" w:cs="David"/>
        </w:rPr>
        <w:t xml:space="preserve">Jones </w:t>
      </w:r>
      <w:proofErr w:type="spellStart"/>
      <w:r w:rsidRPr="00050945">
        <w:rPr>
          <w:rFonts w:ascii="David" w:hAnsi="David" w:cs="David"/>
        </w:rPr>
        <w:t>vs</w:t>
      </w:r>
      <w:proofErr w:type="spellEnd"/>
      <w:r w:rsidRPr="00050945">
        <w:rPr>
          <w:rFonts w:ascii="David" w:hAnsi="David" w:cs="David"/>
        </w:rPr>
        <w:t xml:space="preserve"> </w:t>
      </w:r>
      <w:r w:rsidR="00050945" w:rsidRPr="00050945">
        <w:rPr>
          <w:rFonts w:ascii="David" w:hAnsi="David" w:cs="David"/>
        </w:rPr>
        <w:t>Alfred,</w:t>
      </w:r>
    </w:p>
  </w:footnote>
  <w:footnote w:id="44">
    <w:p w:rsidR="008778E4" w:rsidRDefault="008778E4" w:rsidP="008778E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, Nebraska Law Review. </w:t>
      </w:r>
      <w:r>
        <w:rPr>
          <w:rFonts w:hint="cs"/>
          <w:rtl/>
        </w:rPr>
        <w:t>"</w:t>
      </w:r>
      <w:r>
        <w:t xml:space="preserve">Thomas </w:t>
      </w:r>
      <w:proofErr w:type="spellStart"/>
      <w:r>
        <w:t>W.Merrill</w:t>
      </w:r>
      <w:proofErr w:type="spellEnd"/>
      <w:r>
        <w:t>, "Property and the right to exclude</w:t>
      </w:r>
    </w:p>
  </w:footnote>
  <w:footnote w:id="45">
    <w:p w:rsidR="00A32DDB" w:rsidRPr="0049606B" w:rsidRDefault="00A32DDB" w:rsidP="00303779">
      <w:pPr>
        <w:pStyle w:val="FootnoteText"/>
        <w:rPr>
          <w:rFonts w:ascii="David" w:hAnsi="David" w:cs="David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32DDB">
        <w:rPr>
          <w:rFonts w:ascii="David" w:hAnsi="David" w:cs="David" w:hint="cs"/>
          <w:rtl/>
        </w:rPr>
        <w:t xml:space="preserve">סעיף 2א </w:t>
      </w:r>
      <w:r w:rsidR="00E47ACB">
        <w:rPr>
          <w:rFonts w:ascii="David" w:hAnsi="David" w:cs="David" w:hint="cs"/>
          <w:rtl/>
        </w:rPr>
        <w:t xml:space="preserve">לחוק </w:t>
      </w:r>
      <w:r w:rsidRPr="00A32DDB">
        <w:rPr>
          <w:rFonts w:ascii="David" w:hAnsi="David" w:cs="David" w:hint="cs"/>
          <w:rtl/>
        </w:rPr>
        <w:t xml:space="preserve">מקרקעי ישראל, </w:t>
      </w:r>
      <w:r w:rsidR="0049606B">
        <w:rPr>
          <w:rFonts w:ascii="David" w:hAnsi="David" w:cs="David" w:hint="cs"/>
          <w:rtl/>
        </w:rPr>
        <w:t>ה</w:t>
      </w:r>
      <w:r w:rsidRPr="00A32DDB">
        <w:rPr>
          <w:rFonts w:ascii="David" w:hAnsi="David" w:cs="David" w:hint="cs"/>
          <w:rtl/>
        </w:rPr>
        <w:t>תש"</w:t>
      </w:r>
      <w:r w:rsidR="00303779">
        <w:rPr>
          <w:rFonts w:ascii="David" w:hAnsi="David" w:cs="David" w:hint="cs"/>
          <w:rtl/>
        </w:rPr>
        <w:t>כ</w:t>
      </w:r>
      <w:r w:rsidRPr="00A32DDB">
        <w:rPr>
          <w:rFonts w:ascii="David" w:hAnsi="David" w:cs="David" w:hint="cs"/>
          <w:rtl/>
        </w:rPr>
        <w:t>-1960</w:t>
      </w:r>
      <w:r w:rsidR="0049606B" w:rsidRPr="0049606B">
        <w:rPr>
          <w:rFonts w:ascii="David" w:hAnsi="David" w:cs="David" w:hint="cs"/>
          <w:rtl/>
        </w:rPr>
        <w:t>, ס"ח תש"כ 56</w:t>
      </w:r>
      <w:r w:rsidRPr="0049606B">
        <w:rPr>
          <w:rFonts w:ascii="David" w:hAnsi="David" w:cs="David" w:hint="cs"/>
          <w:rtl/>
        </w:rPr>
        <w:t>.</w:t>
      </w:r>
    </w:p>
  </w:footnote>
  <w:footnote w:id="46">
    <w:p w:rsidR="002B63D2" w:rsidRDefault="002B63D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B63D2">
        <w:rPr>
          <w:rFonts w:ascii="David" w:hAnsi="David" w:cs="David" w:hint="cs"/>
          <w:rtl/>
        </w:rPr>
        <w:t>יהודה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טרואן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ורועי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גולדשמידט</w:t>
      </w:r>
      <w:r w:rsidRPr="002B63D2">
        <w:rPr>
          <w:rFonts w:ascii="David" w:hAnsi="David" w:cs="David"/>
          <w:rtl/>
        </w:rPr>
        <w:t xml:space="preserve"> "</w:t>
      </w:r>
      <w:r w:rsidRPr="002B63D2">
        <w:rPr>
          <w:rFonts w:ascii="David" w:hAnsi="David" w:cs="David" w:hint="cs"/>
          <w:rtl/>
        </w:rPr>
        <w:t>הגבלות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על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מכירת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קרקע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פרטית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לזרים</w:t>
      </w:r>
      <w:r w:rsidRPr="002B63D2">
        <w:rPr>
          <w:rFonts w:ascii="David" w:hAnsi="David" w:cs="David"/>
          <w:rtl/>
        </w:rPr>
        <w:t xml:space="preserve">" </w:t>
      </w:r>
      <w:r w:rsidRPr="002B63D2">
        <w:rPr>
          <w:rFonts w:ascii="David" w:hAnsi="David" w:cs="David" w:hint="cs"/>
          <w:rtl/>
        </w:rPr>
        <w:t>פרסומי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הכנסת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מרכז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המחקר</w:t>
      </w:r>
      <w:r w:rsidRPr="002B63D2">
        <w:rPr>
          <w:rFonts w:ascii="David" w:hAnsi="David" w:cs="David"/>
          <w:rtl/>
        </w:rPr>
        <w:t xml:space="preserve"> </w:t>
      </w:r>
      <w:r w:rsidRPr="002B63D2">
        <w:rPr>
          <w:rFonts w:ascii="David" w:hAnsi="David" w:cs="David" w:hint="cs"/>
          <w:rtl/>
        </w:rPr>
        <w:t>והמידע</w:t>
      </w:r>
      <w:r>
        <w:rPr>
          <w:rFonts w:hint="cs"/>
          <w:rtl/>
        </w:rPr>
        <w:t>.</w:t>
      </w:r>
    </w:p>
  </w:footnote>
  <w:footnote w:id="47">
    <w:p w:rsidR="00D37D51" w:rsidRDefault="00D37D51" w:rsidP="00D37D5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40E51">
        <w:rPr>
          <w:rFonts w:ascii="David" w:hAnsi="David" w:cs="David" w:hint="cs"/>
          <w:rtl/>
        </w:rPr>
        <w:t>ס' 10</w:t>
      </w:r>
      <w:r>
        <w:rPr>
          <w:rFonts w:ascii="David" w:hAnsi="David" w:cs="David" w:hint="cs"/>
          <w:rtl/>
        </w:rPr>
        <w:t>1</w:t>
      </w:r>
      <w:r w:rsidR="0049606B">
        <w:rPr>
          <w:rFonts w:ascii="David" w:hAnsi="David" w:cs="David" w:hint="cs"/>
          <w:rtl/>
        </w:rPr>
        <w:t xml:space="preserve"> לחוק המקרקעין, תשכ"ט-1969, ס"ח תשע"א 639.</w:t>
      </w:r>
    </w:p>
  </w:footnote>
  <w:footnote w:id="48">
    <w:p w:rsidR="00D37D51" w:rsidRPr="00F66E62" w:rsidRDefault="00D37D51" w:rsidP="00F53035">
      <w:pPr>
        <w:pStyle w:val="FootnoteText"/>
        <w:rPr>
          <w:rFonts w:ascii="David" w:hAnsi="David" w:cs="David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551C8" w:rsidRPr="00F66E62">
        <w:rPr>
          <w:rFonts w:ascii="David" w:hAnsi="David" w:cs="David"/>
          <w:rtl/>
        </w:rPr>
        <w:t xml:space="preserve">שחר ליפשיץ </w:t>
      </w:r>
      <w:r w:rsidR="00F53035">
        <w:rPr>
          <w:rFonts w:ascii="David" w:hAnsi="David" w:cs="David" w:hint="cs"/>
          <w:rtl/>
        </w:rPr>
        <w:t>"</w:t>
      </w:r>
      <w:r w:rsidR="002551C8" w:rsidRPr="00F66E62">
        <w:rPr>
          <w:rFonts w:ascii="David" w:hAnsi="David" w:cs="David"/>
          <w:rtl/>
        </w:rPr>
        <w:t>על נכסי עבר, על נכסי עתיד ועל הפילוסופיה של חזקת השיתוף</w:t>
      </w:r>
      <w:r w:rsidR="00F53035">
        <w:rPr>
          <w:rFonts w:ascii="David" w:hAnsi="David" w:cs="David" w:hint="cs"/>
          <w:rtl/>
        </w:rPr>
        <w:t xml:space="preserve">" </w:t>
      </w:r>
      <w:r w:rsidR="002551C8" w:rsidRPr="00F53035">
        <w:rPr>
          <w:rFonts w:ascii="David" w:hAnsi="David" w:cs="David" w:hint="cs"/>
          <w:b/>
          <w:bCs/>
          <w:rtl/>
        </w:rPr>
        <w:t>משפטים</w:t>
      </w:r>
      <w:r w:rsidR="00F53035">
        <w:rPr>
          <w:rFonts w:ascii="David" w:hAnsi="David" w:cs="David" w:hint="cs"/>
          <w:rtl/>
        </w:rPr>
        <w:t>, 689 ה"ש 215 (2005).</w:t>
      </w:r>
    </w:p>
  </w:footnote>
  <w:footnote w:id="49">
    <w:p w:rsidR="00F66E62" w:rsidRPr="00F66E62" w:rsidRDefault="00F66E62">
      <w:pPr>
        <w:pStyle w:val="FootnoteText"/>
        <w:rPr>
          <w:rFonts w:ascii="David" w:hAnsi="David" w:cs="David"/>
          <w:rtl/>
        </w:rPr>
      </w:pPr>
      <w:r w:rsidRPr="0018291B">
        <w:rPr>
          <w:rStyle w:val="FootnoteReference"/>
          <w:sz w:val="22"/>
          <w:szCs w:val="22"/>
        </w:rPr>
        <w:footnoteRef/>
      </w:r>
      <w:r w:rsidRPr="00F66E62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קעדאן</w:t>
      </w:r>
      <w:r w:rsidR="006E4874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פס' 15-19.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B6"/>
    <w:rsid w:val="00012717"/>
    <w:rsid w:val="00031FCE"/>
    <w:rsid w:val="00050945"/>
    <w:rsid w:val="00053A0D"/>
    <w:rsid w:val="00062EFD"/>
    <w:rsid w:val="00094A12"/>
    <w:rsid w:val="000A3F87"/>
    <w:rsid w:val="0011646F"/>
    <w:rsid w:val="00120E8C"/>
    <w:rsid w:val="00161670"/>
    <w:rsid w:val="0018291B"/>
    <w:rsid w:val="001A305E"/>
    <w:rsid w:val="001A5C9A"/>
    <w:rsid w:val="001C508F"/>
    <w:rsid w:val="001C705E"/>
    <w:rsid w:val="001D459E"/>
    <w:rsid w:val="001F727A"/>
    <w:rsid w:val="00225DE4"/>
    <w:rsid w:val="00234286"/>
    <w:rsid w:val="00242746"/>
    <w:rsid w:val="00251030"/>
    <w:rsid w:val="002535EB"/>
    <w:rsid w:val="00255187"/>
    <w:rsid w:val="002551C8"/>
    <w:rsid w:val="00282C27"/>
    <w:rsid w:val="00290761"/>
    <w:rsid w:val="002B63D2"/>
    <w:rsid w:val="002C515D"/>
    <w:rsid w:val="00303779"/>
    <w:rsid w:val="003337D9"/>
    <w:rsid w:val="00335510"/>
    <w:rsid w:val="00357835"/>
    <w:rsid w:val="0036287C"/>
    <w:rsid w:val="00370101"/>
    <w:rsid w:val="003711BB"/>
    <w:rsid w:val="00376E9A"/>
    <w:rsid w:val="00386011"/>
    <w:rsid w:val="00396F6C"/>
    <w:rsid w:val="003C01A8"/>
    <w:rsid w:val="003D5374"/>
    <w:rsid w:val="003F3CD2"/>
    <w:rsid w:val="00423526"/>
    <w:rsid w:val="004624E7"/>
    <w:rsid w:val="00474D53"/>
    <w:rsid w:val="00480446"/>
    <w:rsid w:val="00481514"/>
    <w:rsid w:val="0049606B"/>
    <w:rsid w:val="004972AA"/>
    <w:rsid w:val="004A5F7E"/>
    <w:rsid w:val="004B39DC"/>
    <w:rsid w:val="004C7CE2"/>
    <w:rsid w:val="004E4EC5"/>
    <w:rsid w:val="004F3A22"/>
    <w:rsid w:val="004F7397"/>
    <w:rsid w:val="0050286E"/>
    <w:rsid w:val="005040D1"/>
    <w:rsid w:val="005048C6"/>
    <w:rsid w:val="00510EF7"/>
    <w:rsid w:val="005113E9"/>
    <w:rsid w:val="005201CC"/>
    <w:rsid w:val="00535E2C"/>
    <w:rsid w:val="005475CD"/>
    <w:rsid w:val="00572E86"/>
    <w:rsid w:val="00582F7A"/>
    <w:rsid w:val="00590B47"/>
    <w:rsid w:val="00592992"/>
    <w:rsid w:val="00595EF2"/>
    <w:rsid w:val="005A337E"/>
    <w:rsid w:val="005B60F5"/>
    <w:rsid w:val="005C1188"/>
    <w:rsid w:val="005C3D46"/>
    <w:rsid w:val="005D4285"/>
    <w:rsid w:val="005E46E7"/>
    <w:rsid w:val="00601692"/>
    <w:rsid w:val="0060775C"/>
    <w:rsid w:val="00633B6D"/>
    <w:rsid w:val="00642A49"/>
    <w:rsid w:val="00656007"/>
    <w:rsid w:val="0066365C"/>
    <w:rsid w:val="00691748"/>
    <w:rsid w:val="00694AD8"/>
    <w:rsid w:val="006D0D2D"/>
    <w:rsid w:val="006E4874"/>
    <w:rsid w:val="006F228B"/>
    <w:rsid w:val="00747903"/>
    <w:rsid w:val="007529DC"/>
    <w:rsid w:val="007947CC"/>
    <w:rsid w:val="007B5F96"/>
    <w:rsid w:val="007C4C98"/>
    <w:rsid w:val="007E0B87"/>
    <w:rsid w:val="007F10D8"/>
    <w:rsid w:val="00805E3C"/>
    <w:rsid w:val="008217A6"/>
    <w:rsid w:val="00843D40"/>
    <w:rsid w:val="008778E4"/>
    <w:rsid w:val="008A043B"/>
    <w:rsid w:val="008B3E17"/>
    <w:rsid w:val="008B43B2"/>
    <w:rsid w:val="008C00C2"/>
    <w:rsid w:val="008D27EA"/>
    <w:rsid w:val="008E3413"/>
    <w:rsid w:val="009048E4"/>
    <w:rsid w:val="009420A0"/>
    <w:rsid w:val="00980270"/>
    <w:rsid w:val="00982B09"/>
    <w:rsid w:val="00984D79"/>
    <w:rsid w:val="009F7FDB"/>
    <w:rsid w:val="00A10EF6"/>
    <w:rsid w:val="00A141FE"/>
    <w:rsid w:val="00A32DDB"/>
    <w:rsid w:val="00AC0A4E"/>
    <w:rsid w:val="00AC19BF"/>
    <w:rsid w:val="00AC2F83"/>
    <w:rsid w:val="00AD44C5"/>
    <w:rsid w:val="00AE05B3"/>
    <w:rsid w:val="00AF725A"/>
    <w:rsid w:val="00B01899"/>
    <w:rsid w:val="00B03A7E"/>
    <w:rsid w:val="00B045E0"/>
    <w:rsid w:val="00B306B6"/>
    <w:rsid w:val="00B443E3"/>
    <w:rsid w:val="00B4440F"/>
    <w:rsid w:val="00B5106B"/>
    <w:rsid w:val="00B577A1"/>
    <w:rsid w:val="00B72692"/>
    <w:rsid w:val="00B75368"/>
    <w:rsid w:val="00B800CC"/>
    <w:rsid w:val="00B84CC6"/>
    <w:rsid w:val="00BA217F"/>
    <w:rsid w:val="00BC1B0B"/>
    <w:rsid w:val="00BF4A9A"/>
    <w:rsid w:val="00C03FE9"/>
    <w:rsid w:val="00C60148"/>
    <w:rsid w:val="00C715BC"/>
    <w:rsid w:val="00C717BF"/>
    <w:rsid w:val="00C75F36"/>
    <w:rsid w:val="00C874B6"/>
    <w:rsid w:val="00CA4522"/>
    <w:rsid w:val="00CA5F59"/>
    <w:rsid w:val="00D02110"/>
    <w:rsid w:val="00D13791"/>
    <w:rsid w:val="00D31E93"/>
    <w:rsid w:val="00D37D51"/>
    <w:rsid w:val="00D44A44"/>
    <w:rsid w:val="00D51503"/>
    <w:rsid w:val="00D53A5A"/>
    <w:rsid w:val="00D53F42"/>
    <w:rsid w:val="00D6397F"/>
    <w:rsid w:val="00D70A59"/>
    <w:rsid w:val="00D74A4D"/>
    <w:rsid w:val="00D83692"/>
    <w:rsid w:val="00DA247A"/>
    <w:rsid w:val="00DB09EF"/>
    <w:rsid w:val="00DB2CA9"/>
    <w:rsid w:val="00DC401F"/>
    <w:rsid w:val="00DF0D4A"/>
    <w:rsid w:val="00DF4205"/>
    <w:rsid w:val="00E353AE"/>
    <w:rsid w:val="00E40113"/>
    <w:rsid w:val="00E40C0B"/>
    <w:rsid w:val="00E46639"/>
    <w:rsid w:val="00E47ACB"/>
    <w:rsid w:val="00E52080"/>
    <w:rsid w:val="00E972B1"/>
    <w:rsid w:val="00EA6A45"/>
    <w:rsid w:val="00ED07BC"/>
    <w:rsid w:val="00ED23F2"/>
    <w:rsid w:val="00ED77E5"/>
    <w:rsid w:val="00EE433B"/>
    <w:rsid w:val="00F00F06"/>
    <w:rsid w:val="00F05972"/>
    <w:rsid w:val="00F16C04"/>
    <w:rsid w:val="00F241FC"/>
    <w:rsid w:val="00F40E51"/>
    <w:rsid w:val="00F53035"/>
    <w:rsid w:val="00F66E62"/>
    <w:rsid w:val="00F831D0"/>
    <w:rsid w:val="00FB3721"/>
    <w:rsid w:val="00FC7E8F"/>
    <w:rsid w:val="00FD380A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4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3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4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1382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Tuval Levanon</dc:creator>
  <cp:keywords/>
  <dc:description/>
  <cp:lastModifiedBy>Tuval Levanon</cp:lastModifiedBy>
  <cp:revision>131</cp:revision>
  <dcterms:created xsi:type="dcterms:W3CDTF">2015-11-15T16:22:00Z</dcterms:created>
  <dcterms:modified xsi:type="dcterms:W3CDTF">2015-11-18T23:12:00Z</dcterms:modified>
</cp:coreProperties>
</file>