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3B" w:rsidRPr="004F5669" w:rsidRDefault="00022B2B" w:rsidP="001916B1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4F5669">
        <w:rPr>
          <w:rFonts w:ascii="David" w:hAnsi="David" w:cs="David"/>
          <w:b/>
          <w:bCs/>
          <w:sz w:val="24"/>
          <w:szCs w:val="24"/>
          <w:u w:val="single"/>
          <w:rtl/>
        </w:rPr>
        <w:t>רישום הבית</w:t>
      </w:r>
    </w:p>
    <w:p w:rsidR="00022B2B" w:rsidRPr="004F5669" w:rsidRDefault="00022B2B" w:rsidP="00575622">
      <w:pPr>
        <w:spacing w:line="360" w:lineRule="auto"/>
        <w:jc w:val="both"/>
        <w:rPr>
          <w:rFonts w:ascii="David" w:hAnsi="David" w:cs="David"/>
          <w:color w:val="000000" w:themeColor="text1"/>
          <w:sz w:val="24"/>
          <w:szCs w:val="24"/>
          <w:rtl/>
        </w:rPr>
      </w:pPr>
      <w:r w:rsidRPr="004F5669">
        <w:rPr>
          <w:rFonts w:ascii="David" w:hAnsi="David" w:cs="David"/>
          <w:sz w:val="24"/>
          <w:szCs w:val="24"/>
          <w:rtl/>
        </w:rPr>
        <w:t>ניתן לראות הבית כראוי לרישום מכוח ס' 142(ג)</w:t>
      </w:r>
      <w:r w:rsidRPr="004F5669">
        <w:rPr>
          <w:rStyle w:val="FootnoteReference"/>
          <w:rFonts w:ascii="David" w:hAnsi="David" w:cs="David"/>
          <w:sz w:val="24"/>
          <w:szCs w:val="24"/>
          <w:rtl/>
        </w:rPr>
        <w:footnoteReference w:id="1"/>
      </w:r>
      <w:r w:rsidRPr="004F5669">
        <w:rPr>
          <w:rFonts w:ascii="David" w:hAnsi="David" w:cs="David"/>
          <w:sz w:val="24"/>
          <w:szCs w:val="24"/>
          <w:rtl/>
        </w:rPr>
        <w:t xml:space="preserve"> </w:t>
      </w:r>
      <w:r w:rsidR="00703B2C">
        <w:rPr>
          <w:rFonts w:ascii="David" w:hAnsi="David" w:cs="David" w:hint="cs"/>
          <w:sz w:val="24"/>
          <w:szCs w:val="24"/>
          <w:rtl/>
        </w:rPr>
        <w:t xml:space="preserve">לחוק המקרקעין (להלן: החוק) </w:t>
      </w:r>
      <w:r w:rsidR="00830543" w:rsidRPr="004F5669">
        <w:rPr>
          <w:rFonts w:ascii="David" w:hAnsi="David" w:cs="David"/>
          <w:sz w:val="24"/>
          <w:szCs w:val="24"/>
          <w:rtl/>
        </w:rPr>
        <w:t>שכן</w:t>
      </w:r>
      <w:r w:rsidRPr="004F5669">
        <w:rPr>
          <w:rFonts w:ascii="David" w:hAnsi="David" w:cs="David"/>
          <w:sz w:val="24"/>
          <w:szCs w:val="24"/>
          <w:rtl/>
        </w:rPr>
        <w:t xml:space="preserve"> מדובר </w:t>
      </w:r>
      <w:r w:rsidR="00830543" w:rsidRPr="004F5669">
        <w:rPr>
          <w:rFonts w:ascii="David" w:hAnsi="David" w:cs="David"/>
          <w:sz w:val="24"/>
          <w:szCs w:val="24"/>
          <w:rtl/>
        </w:rPr>
        <w:t>ב15</w:t>
      </w:r>
      <w:r w:rsidRPr="004F5669">
        <w:rPr>
          <w:rFonts w:ascii="David" w:hAnsi="David" w:cs="David"/>
          <w:sz w:val="24"/>
          <w:szCs w:val="24"/>
          <w:rtl/>
        </w:rPr>
        <w:t xml:space="preserve"> </w:t>
      </w:r>
      <w:r w:rsidR="00830543" w:rsidRPr="004F5669">
        <w:rPr>
          <w:rFonts w:ascii="David" w:hAnsi="David" w:cs="David"/>
          <w:sz w:val="24"/>
          <w:szCs w:val="24"/>
          <w:rtl/>
        </w:rPr>
        <w:t>דירות</w:t>
      </w:r>
      <w:r w:rsidRPr="004F5669">
        <w:rPr>
          <w:rFonts w:ascii="David" w:hAnsi="David" w:cs="David"/>
          <w:sz w:val="24"/>
          <w:szCs w:val="24"/>
          <w:rtl/>
        </w:rPr>
        <w:t xml:space="preserve"> </w:t>
      </w:r>
      <w:r w:rsidR="00830543" w:rsidRPr="004F5669">
        <w:rPr>
          <w:rFonts w:ascii="David" w:hAnsi="David" w:cs="David"/>
          <w:sz w:val="24"/>
          <w:szCs w:val="24"/>
          <w:rtl/>
        </w:rPr>
        <w:t>החולקות</w:t>
      </w:r>
      <w:r w:rsidRPr="004F5669">
        <w:rPr>
          <w:rFonts w:ascii="David" w:hAnsi="David" w:cs="David"/>
          <w:sz w:val="24"/>
          <w:szCs w:val="24"/>
          <w:rtl/>
        </w:rPr>
        <w:t xml:space="preserve"> מתקנים משותפים.</w:t>
      </w:r>
      <w:r w:rsidR="00DF029E" w:rsidRPr="004F5669">
        <w:rPr>
          <w:rFonts w:ascii="David" w:hAnsi="David" w:cs="David"/>
          <w:sz w:val="24"/>
          <w:szCs w:val="24"/>
          <w:rtl/>
        </w:rPr>
        <w:t xml:space="preserve"> הרישום דורש </w:t>
      </w:r>
      <w:r w:rsidR="003B1327" w:rsidRPr="004F5669">
        <w:rPr>
          <w:rFonts w:ascii="David" w:hAnsi="David" w:cs="David"/>
          <w:sz w:val="24"/>
          <w:szCs w:val="24"/>
          <w:rtl/>
        </w:rPr>
        <w:t>רוב בעלות בשטח הרצפה</w:t>
      </w:r>
      <w:r w:rsidR="003B1327" w:rsidRPr="004F5669">
        <w:rPr>
          <w:rStyle w:val="FootnoteReference"/>
          <w:rFonts w:ascii="David" w:hAnsi="David" w:cs="David"/>
          <w:sz w:val="24"/>
          <w:szCs w:val="24"/>
          <w:rtl/>
        </w:rPr>
        <w:footnoteReference w:id="2"/>
      </w:r>
      <w:r w:rsidR="00141728" w:rsidRPr="004F5669">
        <w:rPr>
          <w:rFonts w:ascii="David" w:hAnsi="David" w:cs="David"/>
          <w:sz w:val="24"/>
          <w:szCs w:val="24"/>
          <w:rtl/>
        </w:rPr>
        <w:t>.</w:t>
      </w:r>
      <w:r w:rsidR="003B1327" w:rsidRPr="004F5669">
        <w:rPr>
          <w:rFonts w:ascii="David" w:hAnsi="David" w:cs="David"/>
          <w:sz w:val="24"/>
          <w:szCs w:val="24"/>
          <w:rtl/>
        </w:rPr>
        <w:t xml:space="preserve"> </w:t>
      </w:r>
      <w:r w:rsidR="00141728" w:rsidRPr="004F5669">
        <w:rPr>
          <w:rFonts w:ascii="David" w:hAnsi="David" w:cs="David"/>
          <w:sz w:val="24"/>
          <w:szCs w:val="24"/>
          <w:rtl/>
        </w:rPr>
        <w:t>מכיוון</w:t>
      </w:r>
      <w:r w:rsidR="003B1327" w:rsidRPr="004F5669">
        <w:rPr>
          <w:rFonts w:ascii="David" w:hAnsi="David" w:cs="David"/>
          <w:sz w:val="24"/>
          <w:szCs w:val="24"/>
          <w:rtl/>
        </w:rPr>
        <w:t xml:space="preserve"> </w:t>
      </w:r>
      <w:r w:rsidR="00141728" w:rsidRPr="004F5669">
        <w:rPr>
          <w:rFonts w:ascii="David" w:hAnsi="David" w:cs="David"/>
          <w:sz w:val="24"/>
          <w:szCs w:val="24"/>
          <w:rtl/>
        </w:rPr>
        <w:t>ו</w:t>
      </w:r>
      <w:r w:rsidR="003B1327" w:rsidRPr="004F5669">
        <w:rPr>
          <w:rFonts w:ascii="David" w:hAnsi="David" w:cs="David"/>
          <w:sz w:val="24"/>
          <w:szCs w:val="24"/>
          <w:rtl/>
        </w:rPr>
        <w:t>אין אנו יודעים את שטח הרצפה בדירות דניאל</w:t>
      </w:r>
      <w:r w:rsidR="00141728" w:rsidRPr="004F5669">
        <w:rPr>
          <w:rFonts w:ascii="David" w:hAnsi="David" w:cs="David"/>
          <w:sz w:val="24"/>
          <w:szCs w:val="24"/>
          <w:rtl/>
        </w:rPr>
        <w:t>, איננו יודעים באם עומד לו רוב</w:t>
      </w:r>
      <w:r w:rsidR="003B1327" w:rsidRPr="004F5669">
        <w:rPr>
          <w:rFonts w:ascii="David" w:hAnsi="David" w:cs="David"/>
          <w:sz w:val="24"/>
          <w:szCs w:val="24"/>
          <w:rtl/>
        </w:rPr>
        <w:t>. בנוסף, במידה ודירותיו מוחכרות לאחר</w:t>
      </w:r>
      <w:r w:rsidR="00A513D1" w:rsidRPr="004F5669">
        <w:rPr>
          <w:rFonts w:ascii="David" w:hAnsi="David" w:cs="David"/>
          <w:sz w:val="24"/>
          <w:szCs w:val="24"/>
          <w:rtl/>
        </w:rPr>
        <w:t>ים</w:t>
      </w:r>
      <w:r w:rsidR="003B1327" w:rsidRPr="004F5669">
        <w:rPr>
          <w:rFonts w:ascii="David" w:hAnsi="David" w:cs="David"/>
          <w:sz w:val="24"/>
          <w:szCs w:val="24"/>
          <w:rtl/>
        </w:rPr>
        <w:t xml:space="preserve"> אז יש לצרף גם את בקשתם</w:t>
      </w:r>
      <w:r w:rsidR="006E10B0" w:rsidRPr="004F5669">
        <w:rPr>
          <w:rStyle w:val="FootnoteReference"/>
          <w:rFonts w:ascii="David" w:hAnsi="David" w:cs="David"/>
          <w:sz w:val="24"/>
          <w:szCs w:val="24"/>
          <w:rtl/>
        </w:rPr>
        <w:footnoteReference w:id="3"/>
      </w:r>
      <w:r w:rsidR="003B1327" w:rsidRPr="004F5669">
        <w:rPr>
          <w:rFonts w:ascii="David" w:hAnsi="David" w:cs="David"/>
          <w:sz w:val="24"/>
          <w:szCs w:val="24"/>
          <w:rtl/>
        </w:rPr>
        <w:t>.</w:t>
      </w:r>
      <w:r w:rsidR="00830543" w:rsidRPr="004F5669">
        <w:rPr>
          <w:rFonts w:ascii="David" w:hAnsi="David" w:cs="David"/>
          <w:sz w:val="24"/>
          <w:szCs w:val="24"/>
          <w:rtl/>
        </w:rPr>
        <w:t xml:space="preserve"> </w:t>
      </w:r>
      <w:r w:rsidR="00575622">
        <w:rPr>
          <w:rFonts w:ascii="David" w:hAnsi="David" w:cs="David" w:hint="cs"/>
          <w:sz w:val="24"/>
          <w:szCs w:val="24"/>
          <w:rtl/>
        </w:rPr>
        <w:t xml:space="preserve">אל </w:t>
      </w:r>
      <w:r w:rsidR="003B1327" w:rsidRPr="004F5669">
        <w:rPr>
          <w:rFonts w:ascii="David" w:hAnsi="David" w:cs="David"/>
          <w:sz w:val="24"/>
          <w:szCs w:val="24"/>
          <w:rtl/>
        </w:rPr>
        <w:t xml:space="preserve">מול </w:t>
      </w:r>
      <w:r w:rsidR="00141728" w:rsidRPr="004F5669">
        <w:rPr>
          <w:rFonts w:ascii="David" w:hAnsi="David" w:cs="David"/>
          <w:sz w:val="24"/>
          <w:szCs w:val="24"/>
          <w:rtl/>
        </w:rPr>
        <w:t>אלו</w:t>
      </w:r>
      <w:r w:rsidR="003B1327" w:rsidRPr="004F5669">
        <w:rPr>
          <w:rFonts w:ascii="David" w:hAnsi="David" w:cs="David"/>
          <w:sz w:val="24"/>
          <w:szCs w:val="24"/>
          <w:rtl/>
        </w:rPr>
        <w:t>, יתכן ובקשת</w:t>
      </w:r>
      <w:r w:rsidR="00830543" w:rsidRPr="004F5669">
        <w:rPr>
          <w:rFonts w:ascii="David" w:hAnsi="David" w:cs="David"/>
          <w:sz w:val="24"/>
          <w:szCs w:val="24"/>
          <w:rtl/>
        </w:rPr>
        <w:t xml:space="preserve"> יאיר </w:t>
      </w:r>
      <w:r w:rsidR="00830543" w:rsidRPr="004F5669">
        <w:rPr>
          <w:rFonts w:ascii="David" w:hAnsi="David" w:cs="David"/>
          <w:b/>
          <w:bCs/>
          <w:sz w:val="24"/>
          <w:szCs w:val="24"/>
          <w:rtl/>
        </w:rPr>
        <w:t>לתיקון הצו</w:t>
      </w:r>
      <w:r w:rsidR="00DB4D77" w:rsidRPr="004F5669">
        <w:rPr>
          <w:rStyle w:val="FootnoteReference"/>
          <w:rFonts w:ascii="David" w:hAnsi="David" w:cs="David"/>
          <w:sz w:val="24"/>
          <w:szCs w:val="24"/>
          <w:rtl/>
        </w:rPr>
        <w:footnoteReference w:id="4"/>
      </w:r>
      <w:r w:rsidR="00830543" w:rsidRPr="004F5669">
        <w:rPr>
          <w:rFonts w:ascii="David" w:hAnsi="David" w:cs="David"/>
          <w:sz w:val="24"/>
          <w:szCs w:val="24"/>
          <w:rtl/>
        </w:rPr>
        <w:t xml:space="preserve"> לגיטימית</w:t>
      </w:r>
      <w:r w:rsidR="00141728" w:rsidRPr="004F5669">
        <w:rPr>
          <w:rFonts w:ascii="David" w:hAnsi="David" w:cs="David"/>
          <w:sz w:val="24"/>
          <w:szCs w:val="24"/>
          <w:rtl/>
        </w:rPr>
        <w:t>, אך אין היא קשורה להודעה מוקדמת, שכן זו לא קשורה לעניין רישום</w:t>
      </w:r>
      <w:r w:rsidR="00830543" w:rsidRPr="004F5669">
        <w:rPr>
          <w:rFonts w:ascii="David" w:hAnsi="David" w:cs="David"/>
          <w:sz w:val="24"/>
          <w:szCs w:val="24"/>
          <w:rtl/>
        </w:rPr>
        <w:t xml:space="preserve">. התייחסותו של דניאל נגעה </w:t>
      </w:r>
      <w:r w:rsidR="00830543" w:rsidRPr="004F5669">
        <w:rPr>
          <w:rFonts w:ascii="David" w:hAnsi="David" w:cs="David"/>
          <w:b/>
          <w:bCs/>
          <w:sz w:val="24"/>
          <w:szCs w:val="24"/>
          <w:rtl/>
        </w:rPr>
        <w:t>לביטול</w:t>
      </w:r>
      <w:r w:rsidR="00830543" w:rsidRPr="004F5669">
        <w:rPr>
          <w:rFonts w:ascii="David" w:hAnsi="David" w:cs="David"/>
          <w:sz w:val="24"/>
          <w:szCs w:val="24"/>
          <w:rtl/>
        </w:rPr>
        <w:t xml:space="preserve"> צו, דבר אשר יאיר לא דרש, אך אכן ביטול נעשה ע"י בקשת כל בעלי הדירות</w:t>
      </w:r>
      <w:r w:rsidR="00830543" w:rsidRPr="004F5669">
        <w:rPr>
          <w:rStyle w:val="FootnoteReference"/>
          <w:rFonts w:ascii="David" w:hAnsi="David" w:cs="David"/>
          <w:sz w:val="24"/>
          <w:szCs w:val="24"/>
          <w:rtl/>
        </w:rPr>
        <w:footnoteReference w:id="5"/>
      </w:r>
      <w:r w:rsidR="00830543" w:rsidRPr="004F5669">
        <w:rPr>
          <w:rFonts w:ascii="David" w:hAnsi="David" w:cs="David"/>
          <w:sz w:val="24"/>
          <w:szCs w:val="24"/>
          <w:rtl/>
        </w:rPr>
        <w:t xml:space="preserve"> ולא ע''י בעלים בודד. </w:t>
      </w:r>
      <w:r w:rsidR="001916B1" w:rsidRPr="004F5669">
        <w:rPr>
          <w:rFonts w:ascii="David" w:hAnsi="David" w:cs="David"/>
          <w:sz w:val="24"/>
          <w:szCs w:val="24"/>
          <w:rtl/>
        </w:rPr>
        <w:t>תיקון הצו יוכל לעזור ליאיר לטובת המלצה מסודרת על נציגות זמנית, שכן כרגע זו נבחרה ע''י המפקח. המפקח בחר את שני, שוכרת, כאשר הוא נדרש לבחור בעל דירה</w:t>
      </w:r>
      <w:r w:rsidR="001916B1" w:rsidRPr="004F5669">
        <w:rPr>
          <w:rStyle w:val="FootnoteReference"/>
          <w:rFonts w:ascii="David" w:hAnsi="David" w:cs="David"/>
          <w:sz w:val="24"/>
          <w:szCs w:val="24"/>
          <w:rtl/>
        </w:rPr>
        <w:footnoteReference w:id="6"/>
      </w:r>
      <w:r w:rsidR="001916B1" w:rsidRPr="004F5669">
        <w:rPr>
          <w:rFonts w:ascii="David" w:hAnsi="David" w:cs="David"/>
          <w:sz w:val="24"/>
          <w:szCs w:val="24"/>
          <w:rtl/>
        </w:rPr>
        <w:t xml:space="preserve"> כל עוד יש אפשרות מעשית וזו בעיה נוספת.</w:t>
      </w:r>
      <w:r w:rsidR="00DF029E" w:rsidRPr="004F5669">
        <w:rPr>
          <w:rFonts w:ascii="David" w:hAnsi="David" w:cs="David"/>
          <w:sz w:val="24"/>
          <w:szCs w:val="24"/>
          <w:rtl/>
        </w:rPr>
        <w:t xml:space="preserve"> </w:t>
      </w:r>
      <w:r w:rsidR="004742F6" w:rsidRPr="004F5669">
        <w:rPr>
          <w:rFonts w:ascii="David" w:hAnsi="David" w:cs="David"/>
          <w:color w:val="000000" w:themeColor="text1"/>
          <w:sz w:val="24"/>
          <w:szCs w:val="24"/>
          <w:rtl/>
        </w:rPr>
        <w:t>נציין כי יאיר נחשב בעל דירה לפי סעיף 52</w:t>
      </w:r>
      <w:r w:rsidR="004742F6" w:rsidRPr="004F5669">
        <w:rPr>
          <w:rStyle w:val="FootnoteReference"/>
          <w:rFonts w:ascii="David" w:hAnsi="David" w:cs="David"/>
          <w:color w:val="000000" w:themeColor="text1"/>
          <w:sz w:val="24"/>
          <w:szCs w:val="24"/>
          <w:rtl/>
        </w:rPr>
        <w:footnoteReference w:id="7"/>
      </w:r>
      <w:r w:rsidR="004742F6" w:rsidRPr="004F5669">
        <w:rPr>
          <w:rFonts w:ascii="David" w:hAnsi="David" w:cs="David"/>
          <w:color w:val="000000" w:themeColor="text1"/>
          <w:sz w:val="24"/>
          <w:szCs w:val="24"/>
          <w:rtl/>
        </w:rPr>
        <w:t>.</w:t>
      </w:r>
      <w:r w:rsidR="00141728" w:rsidRPr="004F5669">
        <w:rPr>
          <w:rFonts w:ascii="David" w:hAnsi="David" w:cs="David"/>
          <w:color w:val="000000" w:themeColor="text1"/>
          <w:sz w:val="24"/>
          <w:szCs w:val="24"/>
          <w:rtl/>
        </w:rPr>
        <w:t xml:space="preserve"> מכיוון ויאיר לא ניגש למפקח אניח כי הבית נרשם.</w:t>
      </w:r>
    </w:p>
    <w:p w:rsidR="001916B1" w:rsidRPr="004F5669" w:rsidRDefault="001916B1" w:rsidP="006E10B0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</w:rPr>
      </w:pPr>
      <w:r w:rsidRPr="004F5669">
        <w:rPr>
          <w:rFonts w:ascii="David" w:hAnsi="David" w:cs="David"/>
          <w:b/>
          <w:bCs/>
          <w:sz w:val="24"/>
          <w:szCs w:val="24"/>
          <w:u w:val="single"/>
          <w:rtl/>
        </w:rPr>
        <w:t>האסיפה הראשונה</w:t>
      </w:r>
    </w:p>
    <w:p w:rsidR="00C81D33" w:rsidRPr="004F5669" w:rsidRDefault="008C0332" w:rsidP="00575622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4F5669">
        <w:rPr>
          <w:rFonts w:ascii="David" w:hAnsi="David" w:cs="David"/>
          <w:sz w:val="24"/>
          <w:szCs w:val="24"/>
          <w:rtl/>
        </w:rPr>
        <w:t xml:space="preserve">האסיפה הראשונה נתקיימה כעבור ארבעה חודשים, </w:t>
      </w:r>
      <w:r w:rsidRPr="004F5669">
        <w:rPr>
          <w:rFonts w:ascii="David" w:hAnsi="David" w:cs="David"/>
          <w:b/>
          <w:bCs/>
          <w:sz w:val="24"/>
          <w:szCs w:val="24"/>
          <w:rtl/>
        </w:rPr>
        <w:t>שלא</w:t>
      </w:r>
      <w:r w:rsidRPr="004F5669">
        <w:rPr>
          <w:rFonts w:ascii="David" w:hAnsi="David" w:cs="David"/>
          <w:sz w:val="24"/>
          <w:szCs w:val="24"/>
          <w:rtl/>
        </w:rPr>
        <w:t xml:space="preserve"> כנדרש בחוק</w:t>
      </w:r>
      <w:r w:rsidRPr="004F5669">
        <w:rPr>
          <w:rStyle w:val="FootnoteReference"/>
          <w:rFonts w:ascii="David" w:hAnsi="David" w:cs="David"/>
          <w:sz w:val="24"/>
          <w:szCs w:val="24"/>
          <w:rtl/>
        </w:rPr>
        <w:footnoteReference w:id="8"/>
      </w:r>
      <w:r w:rsidR="004F5463" w:rsidRPr="004F5669">
        <w:rPr>
          <w:rFonts w:ascii="David" w:hAnsi="David" w:cs="David"/>
          <w:sz w:val="24"/>
          <w:szCs w:val="24"/>
          <w:rtl/>
        </w:rPr>
        <w:t>,</w:t>
      </w:r>
      <w:r w:rsidR="005B6523" w:rsidRPr="004F5669">
        <w:rPr>
          <w:rFonts w:ascii="David" w:hAnsi="David" w:cs="David"/>
          <w:sz w:val="24"/>
          <w:szCs w:val="24"/>
          <w:rtl/>
        </w:rPr>
        <w:t xml:space="preserve"> אך במניין חוקי</w:t>
      </w:r>
      <w:r w:rsidR="004F5463" w:rsidRPr="004F5669">
        <w:rPr>
          <w:rFonts w:ascii="David" w:hAnsi="David" w:cs="David"/>
          <w:sz w:val="24"/>
          <w:szCs w:val="24"/>
          <w:rtl/>
        </w:rPr>
        <w:t>, שכן השתתפו</w:t>
      </w:r>
      <w:r w:rsidR="005B6523" w:rsidRPr="004F5669">
        <w:rPr>
          <w:rFonts w:ascii="David" w:hAnsi="David" w:cs="David"/>
          <w:sz w:val="24"/>
          <w:szCs w:val="24"/>
          <w:rtl/>
        </w:rPr>
        <w:t xml:space="preserve"> </w:t>
      </w:r>
      <w:r w:rsidR="009435EE">
        <w:rPr>
          <w:rFonts w:ascii="David" w:hAnsi="David" w:cs="David" w:hint="cs"/>
          <w:sz w:val="24"/>
          <w:szCs w:val="24"/>
          <w:rtl/>
        </w:rPr>
        <w:t>למעלה</w:t>
      </w:r>
      <w:r w:rsidR="005B6523" w:rsidRPr="004F5669">
        <w:rPr>
          <w:rFonts w:ascii="David" w:hAnsi="David" w:cs="David"/>
          <w:sz w:val="24"/>
          <w:szCs w:val="24"/>
          <w:rtl/>
        </w:rPr>
        <w:t xml:space="preserve"> </w:t>
      </w:r>
      <w:r w:rsidR="009435EE">
        <w:rPr>
          <w:rFonts w:ascii="David" w:hAnsi="David" w:cs="David" w:hint="cs"/>
          <w:sz w:val="24"/>
          <w:szCs w:val="24"/>
          <w:rtl/>
        </w:rPr>
        <w:t>מ</w:t>
      </w:r>
      <w:r w:rsidR="005B6523" w:rsidRPr="004F5669">
        <w:rPr>
          <w:rFonts w:ascii="David" w:hAnsi="David" w:cs="David"/>
          <w:sz w:val="24"/>
          <w:szCs w:val="24"/>
          <w:rtl/>
        </w:rPr>
        <w:t>מחצית בעלי הדירות</w:t>
      </w:r>
      <w:r w:rsidR="005B6523" w:rsidRPr="004F5669">
        <w:rPr>
          <w:rStyle w:val="FootnoteReference"/>
          <w:rFonts w:ascii="David" w:hAnsi="David" w:cs="David"/>
          <w:sz w:val="24"/>
          <w:szCs w:val="24"/>
          <w:rtl/>
        </w:rPr>
        <w:footnoteReference w:id="9"/>
      </w:r>
      <w:r w:rsidR="005B6523" w:rsidRPr="004F5669">
        <w:rPr>
          <w:rFonts w:ascii="David" w:hAnsi="David" w:cs="David"/>
          <w:sz w:val="24"/>
          <w:szCs w:val="24"/>
          <w:rtl/>
        </w:rPr>
        <w:t>.</w:t>
      </w:r>
      <w:r w:rsidR="00982365" w:rsidRPr="004F5669">
        <w:rPr>
          <w:rFonts w:ascii="David" w:hAnsi="David" w:cs="David"/>
          <w:sz w:val="24"/>
          <w:szCs w:val="24"/>
          <w:rtl/>
        </w:rPr>
        <w:t xml:space="preserve"> יש לשים לב שבאסיפה השתתפו 12 </w:t>
      </w:r>
      <w:r w:rsidR="00BD7843" w:rsidRPr="004F5669">
        <w:rPr>
          <w:rFonts w:ascii="David" w:hAnsi="David" w:cs="David"/>
          <w:sz w:val="24"/>
          <w:szCs w:val="24"/>
          <w:rtl/>
        </w:rPr>
        <w:t>נציגים</w:t>
      </w:r>
      <w:r w:rsidR="00982365" w:rsidRPr="004F5669">
        <w:rPr>
          <w:rFonts w:ascii="David" w:hAnsi="David" w:cs="David"/>
          <w:sz w:val="24"/>
          <w:szCs w:val="24"/>
          <w:rtl/>
        </w:rPr>
        <w:t>, דבר המרמז על החכרת דירותיו של דניאל.</w:t>
      </w:r>
      <w:r w:rsidR="000E3F30" w:rsidRPr="004F5669">
        <w:rPr>
          <w:rFonts w:ascii="David" w:hAnsi="David" w:cs="David"/>
          <w:sz w:val="24"/>
          <w:szCs w:val="24"/>
          <w:rtl/>
        </w:rPr>
        <w:t xml:space="preserve"> </w:t>
      </w:r>
      <w:r w:rsidR="009D6737" w:rsidRPr="004F5669">
        <w:rPr>
          <w:rFonts w:ascii="David" w:hAnsi="David" w:cs="David"/>
          <w:sz w:val="24"/>
          <w:szCs w:val="24"/>
          <w:rtl/>
        </w:rPr>
        <w:t>האסיפה הבאה נקבעה לסילבסטר 2016, כ20 חודשים לאחר האסיפה הראשונה ולא כנדרש</w:t>
      </w:r>
      <w:r w:rsidR="004F5463" w:rsidRPr="004F5669">
        <w:rPr>
          <w:rFonts w:ascii="David" w:hAnsi="David" w:cs="David"/>
          <w:sz w:val="24"/>
          <w:szCs w:val="24"/>
          <w:rtl/>
        </w:rPr>
        <w:t xml:space="preserve"> בחוק</w:t>
      </w:r>
      <w:r w:rsidR="009D6737" w:rsidRPr="004F5669">
        <w:rPr>
          <w:rFonts w:ascii="David" w:hAnsi="David" w:cs="David"/>
          <w:sz w:val="24"/>
          <w:szCs w:val="24"/>
          <w:rtl/>
        </w:rPr>
        <w:t>, לא יאוחר מ15 חודשים לאחר מכן</w:t>
      </w:r>
      <w:r w:rsidR="004F5463" w:rsidRPr="004F5669">
        <w:rPr>
          <w:rStyle w:val="FootnoteReference"/>
          <w:rFonts w:ascii="David" w:hAnsi="David" w:cs="David"/>
          <w:sz w:val="24"/>
          <w:szCs w:val="24"/>
          <w:rtl/>
        </w:rPr>
        <w:footnoteReference w:id="10"/>
      </w:r>
      <w:r w:rsidR="009D6737" w:rsidRPr="004F5669">
        <w:rPr>
          <w:rFonts w:ascii="David" w:hAnsi="David" w:cs="David"/>
          <w:sz w:val="24"/>
          <w:szCs w:val="24"/>
          <w:rtl/>
        </w:rPr>
        <w:t>.</w:t>
      </w:r>
      <w:r w:rsidR="00902E05" w:rsidRPr="004F5669">
        <w:rPr>
          <w:rFonts w:ascii="David" w:hAnsi="David" w:cs="David"/>
          <w:sz w:val="24"/>
          <w:szCs w:val="24"/>
          <w:rtl/>
        </w:rPr>
        <w:t xml:space="preserve"> בבחירת הנציגות, כאשר </w:t>
      </w:r>
      <w:r w:rsidR="004F5463" w:rsidRPr="004F5669">
        <w:rPr>
          <w:rFonts w:ascii="David" w:hAnsi="David" w:cs="David"/>
          <w:sz w:val="24"/>
          <w:szCs w:val="24"/>
          <w:rtl/>
        </w:rPr>
        <w:t xml:space="preserve">היה מספר קולות שקול, דניאל טען שאין צורך בשני שליש קולות מכיוון והוא כיו"ר מכריע. ראשית, יש טעות </w:t>
      </w:r>
      <w:r w:rsidR="00BD7843" w:rsidRPr="004F5669">
        <w:rPr>
          <w:rFonts w:ascii="David" w:hAnsi="David" w:cs="David"/>
          <w:sz w:val="24"/>
          <w:szCs w:val="24"/>
          <w:rtl/>
        </w:rPr>
        <w:t xml:space="preserve">טכנית </w:t>
      </w:r>
      <w:r w:rsidR="004F5463" w:rsidRPr="004F5669">
        <w:rPr>
          <w:rFonts w:ascii="David" w:hAnsi="David" w:cs="David"/>
          <w:sz w:val="24"/>
          <w:szCs w:val="24"/>
          <w:rtl/>
        </w:rPr>
        <w:t>בדבריו מכיוון ונדרש רוב רגיל</w:t>
      </w:r>
      <w:r w:rsidR="004F5463" w:rsidRPr="004F5669">
        <w:rPr>
          <w:rStyle w:val="FootnoteReference"/>
          <w:rFonts w:ascii="David" w:hAnsi="David" w:cs="David"/>
          <w:sz w:val="24"/>
          <w:szCs w:val="24"/>
          <w:rtl/>
        </w:rPr>
        <w:footnoteReference w:id="11"/>
      </w:r>
      <w:r w:rsidR="004F5463" w:rsidRPr="004F5669">
        <w:rPr>
          <w:rFonts w:ascii="David" w:hAnsi="David" w:cs="David"/>
          <w:sz w:val="24"/>
          <w:szCs w:val="24"/>
          <w:rtl/>
        </w:rPr>
        <w:t>. שנית, דניאל לא נבחר ליו"ר כמתבקש לפי ס' 10</w:t>
      </w:r>
      <w:r w:rsidR="004F5463" w:rsidRPr="004F5669">
        <w:rPr>
          <w:rStyle w:val="FootnoteReference"/>
          <w:rFonts w:ascii="David" w:hAnsi="David" w:cs="David"/>
          <w:sz w:val="24"/>
          <w:szCs w:val="24"/>
          <w:rtl/>
        </w:rPr>
        <w:footnoteReference w:id="12"/>
      </w:r>
      <w:r w:rsidR="004F5463" w:rsidRPr="004F5669">
        <w:rPr>
          <w:rFonts w:ascii="David" w:hAnsi="David" w:cs="David"/>
          <w:sz w:val="24"/>
          <w:szCs w:val="24"/>
          <w:rtl/>
        </w:rPr>
        <w:t xml:space="preserve">, אך במידה והיה נבחר </w:t>
      </w:r>
      <w:r w:rsidR="004F5463" w:rsidRPr="004F5669">
        <w:rPr>
          <w:rFonts w:ascii="David" w:hAnsi="David" w:cs="David"/>
          <w:b/>
          <w:bCs/>
          <w:sz w:val="24"/>
          <w:szCs w:val="24"/>
          <w:rtl/>
        </w:rPr>
        <w:t>יכול היה</w:t>
      </w:r>
      <w:r w:rsidR="004F5463" w:rsidRPr="004F5669">
        <w:rPr>
          <w:rFonts w:ascii="David" w:hAnsi="David" w:cs="David"/>
          <w:sz w:val="24"/>
          <w:szCs w:val="24"/>
          <w:rtl/>
        </w:rPr>
        <w:t xml:space="preserve"> להכריע</w:t>
      </w:r>
      <w:r w:rsidR="004F5463" w:rsidRPr="004F5669">
        <w:rPr>
          <w:rStyle w:val="FootnoteReference"/>
          <w:rFonts w:ascii="David" w:hAnsi="David" w:cs="David"/>
          <w:sz w:val="24"/>
          <w:szCs w:val="24"/>
          <w:rtl/>
        </w:rPr>
        <w:footnoteReference w:id="13"/>
      </w:r>
      <w:r w:rsidR="004F5463" w:rsidRPr="004F5669">
        <w:rPr>
          <w:rFonts w:ascii="David" w:hAnsi="David" w:cs="David"/>
          <w:sz w:val="24"/>
          <w:szCs w:val="24"/>
          <w:rtl/>
        </w:rPr>
        <w:t xml:space="preserve">. לנציגות נבחרו 6 </w:t>
      </w:r>
      <w:r w:rsidR="00902E05" w:rsidRPr="004F5669">
        <w:rPr>
          <w:rFonts w:ascii="David" w:hAnsi="David" w:cs="David"/>
          <w:sz w:val="24"/>
          <w:szCs w:val="24"/>
          <w:rtl/>
        </w:rPr>
        <w:t>נציגים</w:t>
      </w:r>
      <w:r w:rsidR="004F5463" w:rsidRPr="004F5669">
        <w:rPr>
          <w:rFonts w:ascii="David" w:hAnsi="David" w:cs="David"/>
          <w:sz w:val="24"/>
          <w:szCs w:val="24"/>
          <w:rtl/>
        </w:rPr>
        <w:t>, כאשר בחוק ישנה תקרה של 5 נציגים</w:t>
      </w:r>
      <w:r w:rsidR="004F5463" w:rsidRPr="004F5669">
        <w:rPr>
          <w:rStyle w:val="FootnoteReference"/>
          <w:rFonts w:ascii="David" w:hAnsi="David" w:cs="David"/>
          <w:sz w:val="24"/>
          <w:szCs w:val="24"/>
          <w:rtl/>
        </w:rPr>
        <w:footnoteReference w:id="14"/>
      </w:r>
      <w:r w:rsidR="004F5463" w:rsidRPr="004F5669">
        <w:rPr>
          <w:rFonts w:ascii="David" w:hAnsi="David" w:cs="David"/>
          <w:sz w:val="24"/>
          <w:szCs w:val="24"/>
          <w:rtl/>
        </w:rPr>
        <w:t xml:space="preserve">. </w:t>
      </w:r>
      <w:r w:rsidR="00902E05" w:rsidRPr="004F5669">
        <w:rPr>
          <w:rFonts w:ascii="David" w:hAnsi="David" w:cs="David"/>
          <w:sz w:val="24"/>
          <w:szCs w:val="24"/>
          <w:rtl/>
        </w:rPr>
        <w:t>יש לציין ששוכרים כמו שני צריכים ייפוי כוח בשביל להשתתף ולהצביע באסיפה</w:t>
      </w:r>
      <w:r w:rsidR="00902E05" w:rsidRPr="004F5669">
        <w:rPr>
          <w:rStyle w:val="FootnoteReference"/>
          <w:rFonts w:ascii="David" w:hAnsi="David" w:cs="David"/>
          <w:sz w:val="24"/>
          <w:szCs w:val="24"/>
          <w:rtl/>
        </w:rPr>
        <w:footnoteReference w:id="15"/>
      </w:r>
      <w:r w:rsidR="00703B2C">
        <w:rPr>
          <w:rFonts w:ascii="David" w:hAnsi="David" w:cs="David" w:hint="cs"/>
          <w:sz w:val="24"/>
          <w:szCs w:val="24"/>
          <w:rtl/>
        </w:rPr>
        <w:t>, כאשר במידה ולא קיבלה, כוח ההצבעה של הדירה איננו בחזקתה</w:t>
      </w:r>
      <w:r w:rsidR="00902E05" w:rsidRPr="004F5669">
        <w:rPr>
          <w:rFonts w:ascii="David" w:hAnsi="David" w:cs="David"/>
          <w:sz w:val="24"/>
          <w:szCs w:val="24"/>
          <w:rtl/>
        </w:rPr>
        <w:t>.</w:t>
      </w:r>
      <w:r w:rsidR="004742F6" w:rsidRPr="004F5669">
        <w:rPr>
          <w:rFonts w:ascii="David" w:hAnsi="David" w:cs="David"/>
          <w:sz w:val="24"/>
          <w:szCs w:val="24"/>
          <w:rtl/>
        </w:rPr>
        <w:t xml:space="preserve"> </w:t>
      </w:r>
      <w:r w:rsidR="0091301C" w:rsidRPr="004F5669">
        <w:rPr>
          <w:rFonts w:ascii="David" w:hAnsi="David" w:cs="David"/>
          <w:sz w:val="24"/>
          <w:szCs w:val="24"/>
          <w:rtl/>
        </w:rPr>
        <w:t>אישור תקנון</w:t>
      </w:r>
      <w:r w:rsidR="004742F6" w:rsidRPr="004F5669">
        <w:rPr>
          <w:rFonts w:ascii="David" w:hAnsi="David" w:cs="David"/>
          <w:sz w:val="24"/>
          <w:szCs w:val="24"/>
          <w:rtl/>
        </w:rPr>
        <w:t xml:space="preserve"> דורש רוב בעלי דירות</w:t>
      </w:r>
      <w:r w:rsidR="00A2631F" w:rsidRPr="004F5669">
        <w:rPr>
          <w:rFonts w:ascii="David" w:hAnsi="David" w:cs="David"/>
          <w:sz w:val="24"/>
          <w:szCs w:val="24"/>
          <w:rtl/>
        </w:rPr>
        <w:t>, כולל מחכירים</w:t>
      </w:r>
      <w:r w:rsidR="00A2631F" w:rsidRPr="004F5669">
        <w:rPr>
          <w:rStyle w:val="FootnoteReference"/>
          <w:rFonts w:ascii="David" w:hAnsi="David" w:cs="David"/>
          <w:sz w:val="24"/>
          <w:szCs w:val="24"/>
          <w:rtl/>
        </w:rPr>
        <w:footnoteReference w:id="16"/>
      </w:r>
      <w:r w:rsidR="00A2631F" w:rsidRPr="004F5669">
        <w:rPr>
          <w:rFonts w:ascii="David" w:hAnsi="David" w:cs="David"/>
          <w:sz w:val="24"/>
          <w:szCs w:val="24"/>
          <w:rtl/>
        </w:rPr>
        <w:t>,</w:t>
      </w:r>
      <w:r w:rsidR="004742F6" w:rsidRPr="004F5669">
        <w:rPr>
          <w:rFonts w:ascii="David" w:hAnsi="David" w:cs="David"/>
          <w:sz w:val="24"/>
          <w:szCs w:val="24"/>
          <w:rtl/>
        </w:rPr>
        <w:t xml:space="preserve"> </w:t>
      </w:r>
      <w:r w:rsidR="00703B2C">
        <w:rPr>
          <w:rFonts w:ascii="David" w:hAnsi="David" w:cs="David" w:hint="cs"/>
          <w:sz w:val="24"/>
          <w:szCs w:val="24"/>
          <w:rtl/>
        </w:rPr>
        <w:t>אשר שני</w:t>
      </w:r>
      <w:r w:rsidR="004742F6" w:rsidRPr="004F5669">
        <w:rPr>
          <w:rFonts w:ascii="David" w:hAnsi="David" w:cs="David"/>
          <w:sz w:val="24"/>
          <w:szCs w:val="24"/>
          <w:rtl/>
        </w:rPr>
        <w:t xml:space="preserve"> שליש </w:t>
      </w:r>
      <w:r w:rsidR="0091301C" w:rsidRPr="004F5669">
        <w:rPr>
          <w:rFonts w:ascii="David" w:hAnsi="David" w:cs="David"/>
          <w:sz w:val="24"/>
          <w:szCs w:val="24"/>
          <w:rtl/>
        </w:rPr>
        <w:t>מה</w:t>
      </w:r>
      <w:r w:rsidR="004742F6" w:rsidRPr="004F5669">
        <w:rPr>
          <w:rFonts w:ascii="David" w:hAnsi="David" w:cs="David"/>
          <w:sz w:val="24"/>
          <w:szCs w:val="24"/>
          <w:rtl/>
        </w:rPr>
        <w:t xml:space="preserve">רכוש </w:t>
      </w:r>
      <w:r w:rsidR="0091301C" w:rsidRPr="004F5669">
        <w:rPr>
          <w:rFonts w:ascii="David" w:hAnsi="David" w:cs="David"/>
          <w:sz w:val="24"/>
          <w:szCs w:val="24"/>
          <w:rtl/>
        </w:rPr>
        <w:t>ה</w:t>
      </w:r>
      <w:r w:rsidR="004742F6" w:rsidRPr="004F5669">
        <w:rPr>
          <w:rFonts w:ascii="David" w:hAnsi="David" w:cs="David"/>
          <w:sz w:val="24"/>
          <w:szCs w:val="24"/>
          <w:rtl/>
        </w:rPr>
        <w:t>משותף מוצמד לדירותיהם</w:t>
      </w:r>
      <w:r w:rsidR="004742F6" w:rsidRPr="004F5669">
        <w:rPr>
          <w:rStyle w:val="FootnoteReference"/>
          <w:rFonts w:ascii="David" w:hAnsi="David" w:cs="David"/>
          <w:sz w:val="24"/>
          <w:szCs w:val="24"/>
          <w:rtl/>
        </w:rPr>
        <w:footnoteReference w:id="17"/>
      </w:r>
      <w:r w:rsidR="004742F6" w:rsidRPr="004F5669">
        <w:rPr>
          <w:rFonts w:ascii="David" w:hAnsi="David" w:cs="David"/>
          <w:sz w:val="24"/>
          <w:szCs w:val="24"/>
          <w:rtl/>
        </w:rPr>
        <w:t>. מנתו של כל בעל דירה ברכוש המשותף נקבעת לפי שטח רצפתו, כמופיע בחוק</w:t>
      </w:r>
      <w:r w:rsidR="004742F6" w:rsidRPr="004F5669">
        <w:rPr>
          <w:rStyle w:val="FootnoteReference"/>
          <w:rFonts w:ascii="David" w:hAnsi="David" w:cs="David"/>
          <w:sz w:val="24"/>
          <w:szCs w:val="24"/>
          <w:rtl/>
        </w:rPr>
        <w:footnoteReference w:id="18"/>
      </w:r>
      <w:r w:rsidR="004742F6" w:rsidRPr="004F5669">
        <w:rPr>
          <w:rFonts w:ascii="David" w:hAnsi="David" w:cs="David"/>
          <w:sz w:val="24"/>
          <w:szCs w:val="24"/>
          <w:rtl/>
        </w:rPr>
        <w:t xml:space="preserve"> ובהצעת הקודקס</w:t>
      </w:r>
      <w:r w:rsidR="004742F6" w:rsidRPr="004F5669">
        <w:rPr>
          <w:rStyle w:val="FootnoteReference"/>
          <w:rFonts w:ascii="David" w:hAnsi="David" w:cs="David"/>
          <w:sz w:val="24"/>
          <w:szCs w:val="24"/>
          <w:rtl/>
        </w:rPr>
        <w:footnoteReference w:id="19"/>
      </w:r>
      <w:r w:rsidR="004742F6" w:rsidRPr="004F5669">
        <w:rPr>
          <w:rFonts w:ascii="David" w:hAnsi="David" w:cs="David"/>
          <w:sz w:val="24"/>
          <w:szCs w:val="24"/>
          <w:rtl/>
        </w:rPr>
        <w:t xml:space="preserve">. אין לדעת אם התקנון אושר כראוי מכיוון </w:t>
      </w:r>
      <w:r w:rsidR="00703B2C">
        <w:rPr>
          <w:rFonts w:ascii="David" w:hAnsi="David" w:cs="David" w:hint="cs"/>
          <w:sz w:val="24"/>
          <w:szCs w:val="24"/>
          <w:rtl/>
        </w:rPr>
        <w:t>ואין</w:t>
      </w:r>
      <w:r w:rsidR="0091301C" w:rsidRPr="004F5669">
        <w:rPr>
          <w:rFonts w:ascii="David" w:hAnsi="David" w:cs="David"/>
          <w:sz w:val="24"/>
          <w:szCs w:val="24"/>
          <w:rtl/>
        </w:rPr>
        <w:t xml:space="preserve"> אנו חשופים לנתוני שטח הרצפה</w:t>
      </w:r>
      <w:r w:rsidR="00456057" w:rsidRPr="004F5669">
        <w:rPr>
          <w:rFonts w:ascii="David" w:hAnsi="David" w:cs="David"/>
          <w:sz w:val="24"/>
          <w:szCs w:val="24"/>
          <w:rtl/>
        </w:rPr>
        <w:t xml:space="preserve"> של המצביעים</w:t>
      </w:r>
      <w:r w:rsidR="004742F6" w:rsidRPr="004F5669">
        <w:rPr>
          <w:rFonts w:ascii="David" w:hAnsi="David" w:cs="David"/>
          <w:sz w:val="24"/>
          <w:szCs w:val="24"/>
          <w:rtl/>
        </w:rPr>
        <w:t>.</w:t>
      </w:r>
      <w:r w:rsidR="00141728" w:rsidRPr="004F5669">
        <w:rPr>
          <w:rFonts w:ascii="David" w:hAnsi="David" w:cs="David"/>
          <w:sz w:val="24"/>
          <w:szCs w:val="24"/>
          <w:rtl/>
        </w:rPr>
        <w:t xml:space="preserve"> </w:t>
      </w:r>
      <w:r w:rsidR="00A2631F" w:rsidRPr="004F5669">
        <w:rPr>
          <w:rFonts w:ascii="David" w:hAnsi="David" w:cs="David"/>
          <w:sz w:val="24"/>
          <w:szCs w:val="24"/>
          <w:rtl/>
        </w:rPr>
        <w:t>נדון בסעיפי התקנון – סעיף הניקיון משית עלות קבוע</w:t>
      </w:r>
      <w:r w:rsidR="0059550C" w:rsidRPr="004F5669">
        <w:rPr>
          <w:rFonts w:ascii="David" w:hAnsi="David" w:cs="David"/>
          <w:sz w:val="24"/>
          <w:szCs w:val="24"/>
          <w:rtl/>
        </w:rPr>
        <w:t>ה</w:t>
      </w:r>
      <w:r w:rsidR="00A2631F" w:rsidRPr="004F5669">
        <w:rPr>
          <w:rFonts w:ascii="David" w:hAnsi="David" w:cs="David"/>
          <w:sz w:val="24"/>
          <w:szCs w:val="24"/>
          <w:rtl/>
        </w:rPr>
        <w:t xml:space="preserve"> לכ</w:t>
      </w:r>
      <w:r w:rsidR="0059550C" w:rsidRPr="004F5669">
        <w:rPr>
          <w:rFonts w:ascii="David" w:hAnsi="David" w:cs="David"/>
          <w:sz w:val="24"/>
          <w:szCs w:val="24"/>
          <w:rtl/>
        </w:rPr>
        <w:t>ל</w:t>
      </w:r>
      <w:r w:rsidR="00A2631F" w:rsidRPr="004F5669">
        <w:rPr>
          <w:rFonts w:ascii="David" w:hAnsi="David" w:cs="David"/>
          <w:sz w:val="24"/>
          <w:szCs w:val="24"/>
          <w:rtl/>
        </w:rPr>
        <w:t xml:space="preserve">ל הדיירים, כאשר לפי </w:t>
      </w:r>
      <w:r w:rsidR="00812C4F">
        <w:rPr>
          <w:rFonts w:ascii="David" w:hAnsi="David" w:cs="David" w:hint="cs"/>
          <w:sz w:val="24"/>
          <w:szCs w:val="24"/>
          <w:rtl/>
        </w:rPr>
        <w:t>ההסדר בסעיף 58</w:t>
      </w:r>
      <w:r w:rsidR="00A2631F" w:rsidRPr="004F5669">
        <w:rPr>
          <w:rStyle w:val="FootnoteReference"/>
          <w:rFonts w:ascii="David" w:hAnsi="David" w:cs="David"/>
          <w:sz w:val="24"/>
          <w:szCs w:val="24"/>
          <w:rtl/>
        </w:rPr>
        <w:footnoteReference w:id="20"/>
      </w:r>
      <w:r w:rsidR="00A2631F" w:rsidRPr="004F5669">
        <w:rPr>
          <w:rFonts w:ascii="David" w:hAnsi="David" w:cs="David"/>
          <w:sz w:val="24"/>
          <w:szCs w:val="24"/>
          <w:rtl/>
        </w:rPr>
        <w:t xml:space="preserve"> הסכום אמור להיות מחושב לפי שטח רצפה.</w:t>
      </w:r>
      <w:r w:rsidR="00B851CA" w:rsidRPr="004F5669">
        <w:rPr>
          <w:rFonts w:ascii="David" w:hAnsi="David" w:cs="David"/>
          <w:sz w:val="24"/>
          <w:szCs w:val="24"/>
          <w:rtl/>
        </w:rPr>
        <w:t xml:space="preserve"> תנאי זה ניתן לשינוי </w:t>
      </w:r>
      <w:r w:rsidR="00B851CA" w:rsidRPr="004F5669">
        <w:rPr>
          <w:rFonts w:ascii="David" w:hAnsi="David" w:cs="David"/>
          <w:sz w:val="24"/>
          <w:szCs w:val="24"/>
          <w:rtl/>
        </w:rPr>
        <w:lastRenderedPageBreak/>
        <w:t xml:space="preserve">בתקנון בהסכמת </w:t>
      </w:r>
      <w:r w:rsidR="00CD0DCE" w:rsidRPr="004F5669">
        <w:rPr>
          <w:rFonts w:ascii="David" w:hAnsi="David" w:cs="David"/>
          <w:b/>
          <w:bCs/>
          <w:sz w:val="24"/>
          <w:szCs w:val="24"/>
          <w:rtl/>
        </w:rPr>
        <w:t>אותם</w:t>
      </w:r>
      <w:r w:rsidR="00B851CA" w:rsidRPr="004F5669">
        <w:rPr>
          <w:rFonts w:ascii="David" w:hAnsi="David" w:cs="David"/>
          <w:sz w:val="24"/>
          <w:szCs w:val="24"/>
          <w:rtl/>
        </w:rPr>
        <w:t xml:space="preserve"> הדיירים אשר סובלים מהתיקון</w:t>
      </w:r>
      <w:r w:rsidR="00B851CA" w:rsidRPr="004F5669">
        <w:rPr>
          <w:rStyle w:val="FootnoteReference"/>
          <w:rFonts w:ascii="David" w:hAnsi="David" w:cs="David"/>
          <w:sz w:val="24"/>
          <w:szCs w:val="24"/>
          <w:rtl/>
        </w:rPr>
        <w:footnoteReference w:id="21"/>
      </w:r>
      <w:r w:rsidR="00B851CA" w:rsidRPr="004F5669">
        <w:rPr>
          <w:rFonts w:ascii="David" w:hAnsi="David" w:cs="David"/>
          <w:sz w:val="24"/>
          <w:szCs w:val="24"/>
          <w:rtl/>
        </w:rPr>
        <w:t xml:space="preserve">, </w:t>
      </w:r>
      <w:r w:rsidR="00B851CA" w:rsidRPr="004F5669">
        <w:rPr>
          <w:rFonts w:ascii="David" w:hAnsi="David" w:cs="David"/>
          <w:b/>
          <w:bCs/>
          <w:sz w:val="24"/>
          <w:szCs w:val="24"/>
          <w:rtl/>
        </w:rPr>
        <w:t>ולא</w:t>
      </w:r>
      <w:r w:rsidR="00B851CA" w:rsidRPr="004F5669">
        <w:rPr>
          <w:rFonts w:ascii="David" w:hAnsi="David" w:cs="David"/>
          <w:sz w:val="24"/>
          <w:szCs w:val="24"/>
          <w:rtl/>
        </w:rPr>
        <w:t xml:space="preserve"> </w:t>
      </w:r>
      <w:r w:rsidR="00922A3B" w:rsidRPr="00922A3B">
        <w:rPr>
          <w:rFonts w:ascii="David" w:hAnsi="David" w:cs="David" w:hint="cs"/>
          <w:b/>
          <w:bCs/>
          <w:sz w:val="24"/>
          <w:szCs w:val="24"/>
          <w:rtl/>
        </w:rPr>
        <w:t>רק</w:t>
      </w:r>
      <w:r w:rsidR="00922A3B">
        <w:rPr>
          <w:rFonts w:ascii="David" w:hAnsi="David" w:cs="David" w:hint="cs"/>
          <w:sz w:val="24"/>
          <w:szCs w:val="24"/>
          <w:rtl/>
        </w:rPr>
        <w:t xml:space="preserve"> ברוב</w:t>
      </w:r>
      <w:r w:rsidR="00B851CA" w:rsidRPr="004F5669">
        <w:rPr>
          <w:rFonts w:ascii="David" w:hAnsi="David" w:cs="David"/>
          <w:sz w:val="24"/>
          <w:szCs w:val="24"/>
          <w:rtl/>
        </w:rPr>
        <w:t xml:space="preserve"> הרגיל</w:t>
      </w:r>
      <w:r w:rsidR="0091301C" w:rsidRPr="004F5669">
        <w:rPr>
          <w:rFonts w:ascii="David" w:hAnsi="David" w:cs="David"/>
          <w:sz w:val="24"/>
          <w:szCs w:val="24"/>
          <w:rtl/>
        </w:rPr>
        <w:t xml:space="preserve"> לפיו אושר</w:t>
      </w:r>
      <w:r w:rsidR="00CD0DCE" w:rsidRPr="004F5669">
        <w:rPr>
          <w:rFonts w:ascii="David" w:hAnsi="David" w:cs="David"/>
          <w:sz w:val="24"/>
          <w:szCs w:val="24"/>
          <w:rtl/>
        </w:rPr>
        <w:t xml:space="preserve">. אציין כי </w:t>
      </w:r>
      <w:r w:rsidR="00703B2C">
        <w:rPr>
          <w:rFonts w:ascii="David" w:hAnsi="David" w:cs="David" w:hint="cs"/>
          <w:sz w:val="24"/>
          <w:szCs w:val="24"/>
          <w:rtl/>
        </w:rPr>
        <w:t>הסייג ב</w:t>
      </w:r>
      <w:r w:rsidR="00CD0DCE" w:rsidRPr="004F5669">
        <w:rPr>
          <w:rFonts w:ascii="David" w:hAnsi="David" w:cs="David"/>
          <w:sz w:val="24"/>
          <w:szCs w:val="24"/>
          <w:rtl/>
        </w:rPr>
        <w:t>סעיף 58</w:t>
      </w:r>
      <w:r w:rsidR="00703B2C">
        <w:rPr>
          <w:rFonts w:ascii="David" w:hAnsi="David" w:cs="David" w:hint="cs"/>
          <w:sz w:val="24"/>
          <w:szCs w:val="24"/>
          <w:rtl/>
        </w:rPr>
        <w:t xml:space="preserve"> לחוק </w:t>
      </w:r>
      <w:r w:rsidR="00CD0DCE" w:rsidRPr="004F5669">
        <w:rPr>
          <w:rFonts w:ascii="David" w:hAnsi="David" w:cs="David"/>
          <w:sz w:val="24"/>
          <w:szCs w:val="24"/>
          <w:rtl/>
        </w:rPr>
        <w:t>מדבר על מקרה בו אושר כבר התקנון</w:t>
      </w:r>
      <w:r w:rsidR="00CD0DCE" w:rsidRPr="004F5669">
        <w:rPr>
          <w:rStyle w:val="FootnoteReference"/>
          <w:rFonts w:ascii="David" w:hAnsi="David" w:cs="David"/>
          <w:sz w:val="24"/>
          <w:szCs w:val="24"/>
          <w:rtl/>
        </w:rPr>
        <w:footnoteReference w:id="22"/>
      </w:r>
      <w:r w:rsidR="00CD0DCE" w:rsidRPr="004F5669">
        <w:rPr>
          <w:rFonts w:ascii="David" w:hAnsi="David" w:cs="David"/>
          <w:sz w:val="24"/>
          <w:szCs w:val="24"/>
          <w:rtl/>
        </w:rPr>
        <w:t xml:space="preserve">, כאשר אנו תוקפים את </w:t>
      </w:r>
      <w:r w:rsidR="00703B2C">
        <w:rPr>
          <w:rFonts w:ascii="David" w:hAnsi="David" w:cs="David" w:hint="cs"/>
          <w:sz w:val="24"/>
          <w:szCs w:val="24"/>
          <w:rtl/>
        </w:rPr>
        <w:t>הליך</w:t>
      </w:r>
      <w:r w:rsidR="00CD0DCE" w:rsidRPr="004F5669">
        <w:rPr>
          <w:rFonts w:ascii="David" w:hAnsi="David" w:cs="David"/>
          <w:sz w:val="24"/>
          <w:szCs w:val="24"/>
          <w:rtl/>
        </w:rPr>
        <w:t xml:space="preserve"> אישורו</w:t>
      </w:r>
      <w:r w:rsidR="00B851CA" w:rsidRPr="004F5669">
        <w:rPr>
          <w:rFonts w:ascii="David" w:hAnsi="David" w:cs="David"/>
          <w:sz w:val="24"/>
          <w:szCs w:val="24"/>
          <w:rtl/>
        </w:rPr>
        <w:t>.</w:t>
      </w:r>
      <w:r w:rsidR="00C81D33" w:rsidRPr="004F5669">
        <w:rPr>
          <w:rFonts w:ascii="David" w:hAnsi="David" w:cs="David"/>
          <w:sz w:val="24"/>
          <w:szCs w:val="24"/>
          <w:rtl/>
        </w:rPr>
        <w:t xml:space="preserve"> בעניין סעיף השכר –</w:t>
      </w:r>
      <w:r w:rsidR="00703B2C">
        <w:rPr>
          <w:rFonts w:ascii="David" w:hAnsi="David" w:cs="David" w:hint="cs"/>
          <w:sz w:val="24"/>
          <w:szCs w:val="24"/>
          <w:rtl/>
        </w:rPr>
        <w:t xml:space="preserve"> דרך המלך לקביעת שכר היא ע"י המפקח</w:t>
      </w:r>
      <w:r w:rsidR="00703B2C">
        <w:rPr>
          <w:rStyle w:val="FootnoteReference"/>
          <w:rFonts w:ascii="David" w:hAnsi="David" w:cs="David"/>
          <w:sz w:val="24"/>
          <w:szCs w:val="24"/>
          <w:rtl/>
        </w:rPr>
        <w:footnoteReference w:id="23"/>
      </w:r>
      <w:r w:rsidR="00703B2C">
        <w:rPr>
          <w:rFonts w:ascii="David" w:hAnsi="David" w:cs="David" w:hint="cs"/>
          <w:sz w:val="24"/>
          <w:szCs w:val="24"/>
          <w:rtl/>
        </w:rPr>
        <w:t xml:space="preserve"> ולא ע"י האסיפה.</w:t>
      </w:r>
      <w:r w:rsidR="00C81D33" w:rsidRPr="004F5669">
        <w:rPr>
          <w:rFonts w:ascii="David" w:hAnsi="David" w:cs="David"/>
          <w:sz w:val="24"/>
          <w:szCs w:val="24"/>
          <w:rtl/>
        </w:rPr>
        <w:t xml:space="preserve"> </w:t>
      </w:r>
      <w:r w:rsidR="00841D60">
        <w:rPr>
          <w:rFonts w:ascii="David" w:hAnsi="David" w:cs="David" w:hint="cs"/>
          <w:sz w:val="24"/>
          <w:szCs w:val="24"/>
          <w:rtl/>
        </w:rPr>
        <w:t>דרכים נוספות</w:t>
      </w:r>
      <w:r w:rsidR="00841D60">
        <w:rPr>
          <w:rFonts w:ascii="David" w:hAnsi="David" w:cs="David"/>
          <w:sz w:val="24"/>
          <w:szCs w:val="24"/>
          <w:rtl/>
        </w:rPr>
        <w:t xml:space="preserve"> בה</w:t>
      </w:r>
      <w:r w:rsidR="00841D60">
        <w:rPr>
          <w:rFonts w:ascii="David" w:hAnsi="David" w:cs="David" w:hint="cs"/>
          <w:sz w:val="24"/>
          <w:szCs w:val="24"/>
          <w:rtl/>
        </w:rPr>
        <w:t>ן</w:t>
      </w:r>
      <w:r w:rsidR="00C81D33" w:rsidRPr="004F5669">
        <w:rPr>
          <w:rFonts w:ascii="David" w:hAnsi="David" w:cs="David"/>
          <w:sz w:val="24"/>
          <w:szCs w:val="24"/>
          <w:rtl/>
        </w:rPr>
        <w:t xml:space="preserve"> ניתן לשלם לנציגים הן דרך מינוי </w:t>
      </w:r>
      <w:r w:rsidR="00841D60">
        <w:rPr>
          <w:rFonts w:ascii="David" w:hAnsi="David" w:cs="David" w:hint="cs"/>
          <w:sz w:val="24"/>
          <w:szCs w:val="24"/>
          <w:rtl/>
        </w:rPr>
        <w:t>נציגות זמנית</w:t>
      </w:r>
      <w:r w:rsidR="00C81D33" w:rsidRPr="004F566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575622">
        <w:rPr>
          <w:rFonts w:ascii="David" w:hAnsi="David" w:cs="David"/>
          <w:sz w:val="24"/>
          <w:szCs w:val="24"/>
          <w:rtl/>
        </w:rPr>
        <w:t xml:space="preserve">ע"י המפקח או </w:t>
      </w:r>
      <w:r w:rsidR="00C81D33" w:rsidRPr="004F5669">
        <w:rPr>
          <w:rFonts w:ascii="David" w:hAnsi="David" w:cs="David"/>
          <w:sz w:val="24"/>
          <w:szCs w:val="24"/>
          <w:rtl/>
        </w:rPr>
        <w:t>קביעת הנציגים כמתחזקים נושאי שכר</w:t>
      </w:r>
      <w:r w:rsidR="00C81D33" w:rsidRPr="004F5669">
        <w:rPr>
          <w:rStyle w:val="FootnoteReference"/>
          <w:rFonts w:ascii="David" w:hAnsi="David" w:cs="David"/>
          <w:sz w:val="24"/>
          <w:szCs w:val="24"/>
          <w:rtl/>
        </w:rPr>
        <w:footnoteReference w:id="24"/>
      </w:r>
      <w:r w:rsidR="00C81D33" w:rsidRPr="004F5669">
        <w:rPr>
          <w:rFonts w:ascii="David" w:hAnsi="David" w:cs="David"/>
          <w:sz w:val="24"/>
          <w:szCs w:val="24"/>
          <w:rtl/>
        </w:rPr>
        <w:t>. לא צוין כי אחד מהנ"ל קרה, אלא נקבע</w:t>
      </w:r>
      <w:r w:rsidR="00832BF9" w:rsidRPr="004F5669">
        <w:rPr>
          <w:rFonts w:ascii="David" w:hAnsi="David" w:cs="David"/>
          <w:sz w:val="24"/>
          <w:szCs w:val="24"/>
          <w:rtl/>
        </w:rPr>
        <w:t xml:space="preserve"> סעיף תשלום שכר לנציגים הרגילים, ובהתאם לחוק לא נוכל לאשר זאת מבלי </w:t>
      </w:r>
      <w:r w:rsidR="00841D60">
        <w:rPr>
          <w:rFonts w:ascii="David" w:hAnsi="David" w:cs="David" w:hint="cs"/>
          <w:sz w:val="24"/>
          <w:szCs w:val="24"/>
          <w:rtl/>
        </w:rPr>
        <w:t>לקב</w:t>
      </w:r>
      <w:r w:rsidR="00575622">
        <w:rPr>
          <w:rFonts w:ascii="David" w:hAnsi="David" w:cs="David" w:hint="cs"/>
          <w:sz w:val="24"/>
          <w:szCs w:val="24"/>
          <w:rtl/>
        </w:rPr>
        <w:t>וע כי מדובר בהחזקה וניהול</w:t>
      </w:r>
      <w:r w:rsidR="008926B9">
        <w:rPr>
          <w:rStyle w:val="FootnoteReference"/>
          <w:rFonts w:ascii="David" w:hAnsi="David" w:cs="David"/>
          <w:sz w:val="24"/>
          <w:szCs w:val="24"/>
          <w:rtl/>
        </w:rPr>
        <w:footnoteReference w:id="25"/>
      </w:r>
      <w:r w:rsidR="00575622">
        <w:rPr>
          <w:rFonts w:ascii="David" w:hAnsi="David" w:cs="David" w:hint="cs"/>
          <w:sz w:val="24"/>
          <w:szCs w:val="24"/>
          <w:rtl/>
        </w:rPr>
        <w:t xml:space="preserve"> הדורשים</w:t>
      </w:r>
      <w:r w:rsidR="00841D60">
        <w:rPr>
          <w:rFonts w:ascii="David" w:hAnsi="David" w:cs="David" w:hint="cs"/>
          <w:sz w:val="24"/>
          <w:szCs w:val="24"/>
          <w:rtl/>
        </w:rPr>
        <w:t xml:space="preserve"> הסכמת בעלי הדירה הנפגעים</w:t>
      </w:r>
      <w:r w:rsidR="00841D60">
        <w:rPr>
          <w:rStyle w:val="FootnoteReference"/>
          <w:rFonts w:ascii="David" w:hAnsi="David" w:cs="David"/>
          <w:sz w:val="24"/>
          <w:szCs w:val="24"/>
          <w:rtl/>
        </w:rPr>
        <w:footnoteReference w:id="26"/>
      </w:r>
      <w:r w:rsidR="00841D60">
        <w:rPr>
          <w:rFonts w:ascii="David" w:hAnsi="David" w:cs="David" w:hint="cs"/>
          <w:sz w:val="24"/>
          <w:szCs w:val="24"/>
          <w:rtl/>
        </w:rPr>
        <w:t>.</w:t>
      </w:r>
      <w:r w:rsidR="007218C5">
        <w:rPr>
          <w:rFonts w:ascii="David" w:hAnsi="David" w:cs="David" w:hint="cs"/>
          <w:sz w:val="24"/>
          <w:szCs w:val="24"/>
          <w:rtl/>
        </w:rPr>
        <w:t xml:space="preserve"> נציין כי החלטה באסיפה מחייבת גם את </w:t>
      </w:r>
      <w:r w:rsidR="00575622">
        <w:rPr>
          <w:rFonts w:ascii="David" w:hAnsi="David" w:cs="David" w:hint="cs"/>
          <w:sz w:val="24"/>
          <w:szCs w:val="24"/>
          <w:rtl/>
        </w:rPr>
        <w:t>הנעדרים מהאסיפה</w:t>
      </w:r>
      <w:r w:rsidR="007218C5">
        <w:rPr>
          <w:rFonts w:ascii="David" w:hAnsi="David" w:cs="David" w:hint="cs"/>
          <w:sz w:val="24"/>
          <w:szCs w:val="24"/>
          <w:rtl/>
        </w:rPr>
        <w:t xml:space="preserve">, במידה </w:t>
      </w:r>
      <w:r w:rsidR="00922A3B">
        <w:rPr>
          <w:rFonts w:ascii="David" w:hAnsi="David" w:cs="David" w:hint="cs"/>
          <w:sz w:val="24"/>
          <w:szCs w:val="24"/>
          <w:rtl/>
        </w:rPr>
        <w:t>ו</w:t>
      </w:r>
      <w:r w:rsidR="007218C5">
        <w:rPr>
          <w:rFonts w:ascii="David" w:hAnsi="David" w:cs="David" w:hint="cs"/>
          <w:sz w:val="24"/>
          <w:szCs w:val="24"/>
          <w:rtl/>
        </w:rPr>
        <w:t>עברה בצורה תקינה</w:t>
      </w:r>
      <w:r w:rsidR="007218C5">
        <w:rPr>
          <w:rStyle w:val="FootnoteReference"/>
          <w:rFonts w:ascii="David" w:hAnsi="David" w:cs="David"/>
          <w:sz w:val="24"/>
          <w:szCs w:val="24"/>
          <w:rtl/>
        </w:rPr>
        <w:footnoteReference w:id="27"/>
      </w:r>
      <w:r w:rsidR="007218C5">
        <w:rPr>
          <w:rFonts w:ascii="David" w:hAnsi="David" w:cs="David" w:hint="cs"/>
          <w:sz w:val="24"/>
          <w:szCs w:val="24"/>
          <w:rtl/>
        </w:rPr>
        <w:t>.</w:t>
      </w:r>
    </w:p>
    <w:p w:rsidR="0091301C" w:rsidRPr="004F5669" w:rsidRDefault="0091301C" w:rsidP="0091301C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</w:rPr>
      </w:pPr>
      <w:r w:rsidRPr="004F5669">
        <w:rPr>
          <w:rFonts w:ascii="David" w:hAnsi="David" w:cs="David"/>
          <w:b/>
          <w:bCs/>
          <w:sz w:val="24"/>
          <w:szCs w:val="24"/>
          <w:u w:val="single"/>
          <w:rtl/>
        </w:rPr>
        <w:t>פגישת הנציגות</w:t>
      </w:r>
    </w:p>
    <w:p w:rsidR="001916B1" w:rsidRDefault="006D021A" w:rsidP="00264DB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4F5669">
        <w:rPr>
          <w:rFonts w:ascii="David" w:hAnsi="David" w:cs="David"/>
          <w:sz w:val="24"/>
          <w:szCs w:val="24"/>
          <w:rtl/>
        </w:rPr>
        <w:t xml:space="preserve">בפגישה הראשונה עלה </w:t>
      </w:r>
      <w:r w:rsidR="00841D60">
        <w:rPr>
          <w:rFonts w:ascii="David" w:hAnsi="David" w:cs="David"/>
          <w:sz w:val="24"/>
          <w:szCs w:val="24"/>
          <w:rtl/>
        </w:rPr>
        <w:t>שינוי י</w:t>
      </w:r>
      <w:r w:rsidR="00456057" w:rsidRPr="004F5669">
        <w:rPr>
          <w:rFonts w:ascii="David" w:hAnsi="David" w:cs="David"/>
          <w:sz w:val="24"/>
          <w:szCs w:val="24"/>
          <w:rtl/>
        </w:rPr>
        <w:t>עוד הדירה לפאב</w:t>
      </w:r>
      <w:r w:rsidRPr="004F5669">
        <w:rPr>
          <w:rFonts w:ascii="David" w:hAnsi="David" w:cs="David"/>
          <w:sz w:val="24"/>
          <w:szCs w:val="24"/>
          <w:rtl/>
        </w:rPr>
        <w:t xml:space="preserve">, כאשר הקולות שקולים. </w:t>
      </w:r>
      <w:r w:rsidR="00575622">
        <w:rPr>
          <w:rFonts w:ascii="David" w:hAnsi="David" w:cs="David" w:hint="cs"/>
          <w:sz w:val="24"/>
          <w:szCs w:val="24"/>
          <w:rtl/>
        </w:rPr>
        <w:t>הצבעה</w:t>
      </w:r>
      <w:r w:rsidRPr="004F5669">
        <w:rPr>
          <w:rFonts w:ascii="David" w:hAnsi="David" w:cs="David"/>
          <w:sz w:val="24"/>
          <w:szCs w:val="24"/>
          <w:rtl/>
        </w:rPr>
        <w:t xml:space="preserve"> שקולה</w:t>
      </w:r>
      <w:r w:rsidR="00575622">
        <w:rPr>
          <w:rFonts w:ascii="David" w:hAnsi="David" w:cs="David" w:hint="cs"/>
          <w:sz w:val="24"/>
          <w:szCs w:val="24"/>
          <w:rtl/>
        </w:rPr>
        <w:t xml:space="preserve"> בנציגות</w:t>
      </w:r>
      <w:r w:rsidRPr="004F5669">
        <w:rPr>
          <w:rFonts w:ascii="David" w:hAnsi="David" w:cs="David"/>
          <w:sz w:val="24"/>
          <w:szCs w:val="24"/>
          <w:rtl/>
        </w:rPr>
        <w:t xml:space="preserve"> מסתיימת בדחייה</w:t>
      </w:r>
      <w:r w:rsidRPr="004F5669">
        <w:rPr>
          <w:rStyle w:val="FootnoteReference"/>
          <w:rFonts w:ascii="David" w:hAnsi="David" w:cs="David"/>
          <w:sz w:val="24"/>
          <w:szCs w:val="24"/>
          <w:rtl/>
        </w:rPr>
        <w:footnoteReference w:id="28"/>
      </w:r>
      <w:r w:rsidRPr="004F5669">
        <w:rPr>
          <w:rFonts w:ascii="David" w:hAnsi="David" w:cs="David"/>
          <w:sz w:val="24"/>
          <w:szCs w:val="24"/>
          <w:rtl/>
        </w:rPr>
        <w:t xml:space="preserve"> ולא בהכרעת יו"ר</w:t>
      </w:r>
      <w:r w:rsidR="00841D60">
        <w:rPr>
          <w:rFonts w:ascii="David" w:hAnsi="David" w:cs="David" w:hint="cs"/>
          <w:sz w:val="24"/>
          <w:szCs w:val="24"/>
          <w:rtl/>
        </w:rPr>
        <w:t xml:space="preserve">, מה גם שמה עניין יו"ר </w:t>
      </w:r>
      <w:r w:rsidR="00841D60" w:rsidRPr="00841D60">
        <w:rPr>
          <w:rFonts w:ascii="David" w:hAnsi="David" w:cs="David" w:hint="cs"/>
          <w:b/>
          <w:bCs/>
          <w:sz w:val="24"/>
          <w:szCs w:val="24"/>
          <w:rtl/>
        </w:rPr>
        <w:t>אסיפה</w:t>
      </w:r>
      <w:r w:rsidR="00841D60">
        <w:rPr>
          <w:rFonts w:ascii="David" w:hAnsi="David" w:cs="David" w:hint="cs"/>
          <w:sz w:val="24"/>
          <w:szCs w:val="24"/>
          <w:rtl/>
        </w:rPr>
        <w:t xml:space="preserve"> לפגישת </w:t>
      </w:r>
      <w:r w:rsidR="00841D60" w:rsidRPr="00841D60">
        <w:rPr>
          <w:rFonts w:ascii="David" w:hAnsi="David" w:cs="David" w:hint="cs"/>
          <w:b/>
          <w:bCs/>
          <w:sz w:val="24"/>
          <w:szCs w:val="24"/>
          <w:rtl/>
        </w:rPr>
        <w:t>נציגות</w:t>
      </w:r>
      <w:r w:rsidR="0078262B">
        <w:rPr>
          <w:rFonts w:ascii="David" w:hAnsi="David" w:cs="David" w:hint="cs"/>
          <w:sz w:val="24"/>
          <w:szCs w:val="24"/>
          <w:rtl/>
        </w:rPr>
        <w:t>.</w:t>
      </w:r>
      <w:r w:rsidR="0061767B" w:rsidRPr="004F5669">
        <w:rPr>
          <w:rFonts w:ascii="David" w:hAnsi="David" w:cs="David"/>
          <w:sz w:val="24"/>
          <w:szCs w:val="24"/>
          <w:rtl/>
        </w:rPr>
        <w:t xml:space="preserve"> בעניין המחסן</w:t>
      </w:r>
      <w:r w:rsidR="00982365" w:rsidRPr="004F5669">
        <w:rPr>
          <w:rFonts w:ascii="David" w:hAnsi="David" w:cs="David"/>
          <w:sz w:val="24"/>
          <w:szCs w:val="24"/>
          <w:rtl/>
        </w:rPr>
        <w:t>, הנחשב כרכוש משותף</w:t>
      </w:r>
      <w:r w:rsidR="00982365" w:rsidRPr="004F5669">
        <w:rPr>
          <w:rStyle w:val="FootnoteReference"/>
          <w:rFonts w:ascii="David" w:hAnsi="David" w:cs="David"/>
          <w:sz w:val="24"/>
          <w:szCs w:val="24"/>
          <w:rtl/>
        </w:rPr>
        <w:footnoteReference w:id="29"/>
      </w:r>
      <w:r w:rsidR="0061767B" w:rsidRPr="004F5669">
        <w:rPr>
          <w:rFonts w:ascii="David" w:hAnsi="David" w:cs="David"/>
          <w:sz w:val="24"/>
          <w:szCs w:val="24"/>
          <w:rtl/>
        </w:rPr>
        <w:t xml:space="preserve"> -</w:t>
      </w:r>
      <w:r w:rsidRPr="004F5669">
        <w:rPr>
          <w:rFonts w:ascii="David" w:hAnsi="David" w:cs="David"/>
          <w:sz w:val="24"/>
          <w:szCs w:val="24"/>
          <w:rtl/>
        </w:rPr>
        <w:t xml:space="preserve"> </w:t>
      </w:r>
      <w:r w:rsidR="0061767B" w:rsidRPr="004F5669">
        <w:rPr>
          <w:rFonts w:ascii="David" w:hAnsi="David" w:cs="David"/>
          <w:sz w:val="24"/>
          <w:szCs w:val="24"/>
          <w:rtl/>
        </w:rPr>
        <w:t xml:space="preserve">מצד אחד </w:t>
      </w:r>
      <w:r w:rsidR="003B487D" w:rsidRPr="004F5669">
        <w:rPr>
          <w:rFonts w:ascii="David" w:hAnsi="David" w:cs="David"/>
          <w:sz w:val="24"/>
          <w:szCs w:val="24"/>
          <w:rtl/>
        </w:rPr>
        <w:t xml:space="preserve">השימוש נראה סביר ולכן כל עוד לא נועד למטרה אחרת </w:t>
      </w:r>
      <w:r w:rsidR="00307CF2" w:rsidRPr="004F5669">
        <w:rPr>
          <w:rFonts w:ascii="David" w:hAnsi="David" w:cs="David"/>
          <w:sz w:val="24"/>
          <w:szCs w:val="24"/>
          <w:rtl/>
        </w:rPr>
        <w:t xml:space="preserve">ימצא תקין לגרסת זוסמן </w:t>
      </w:r>
      <w:r w:rsidR="00307CF2" w:rsidRPr="004F5669">
        <w:rPr>
          <w:rFonts w:ascii="David" w:hAnsi="David" w:cs="David"/>
          <w:b/>
          <w:bCs/>
          <w:sz w:val="24"/>
          <w:szCs w:val="24"/>
          <w:rtl/>
        </w:rPr>
        <w:t>בפרשקר</w:t>
      </w:r>
      <w:r w:rsidR="003B487D" w:rsidRPr="004F5669">
        <w:rPr>
          <w:rStyle w:val="FootnoteReference"/>
          <w:rFonts w:ascii="David" w:hAnsi="David" w:cs="David"/>
          <w:sz w:val="24"/>
          <w:szCs w:val="24"/>
          <w:rtl/>
        </w:rPr>
        <w:footnoteReference w:id="30"/>
      </w:r>
      <w:r w:rsidR="0061767B" w:rsidRPr="004F5669">
        <w:rPr>
          <w:rFonts w:ascii="David" w:hAnsi="David" w:cs="David"/>
          <w:sz w:val="24"/>
          <w:szCs w:val="24"/>
          <w:rtl/>
        </w:rPr>
        <w:t xml:space="preserve">, אך </w:t>
      </w:r>
      <w:r w:rsidR="00575622">
        <w:rPr>
          <w:rFonts w:ascii="David" w:hAnsi="David" w:cs="David" w:hint="cs"/>
          <w:sz w:val="24"/>
          <w:szCs w:val="24"/>
          <w:rtl/>
        </w:rPr>
        <w:t>במקרה ו</w:t>
      </w:r>
      <w:r w:rsidR="0061767B" w:rsidRPr="004F5669">
        <w:rPr>
          <w:rFonts w:ascii="David" w:hAnsi="David" w:cs="David"/>
          <w:sz w:val="24"/>
          <w:szCs w:val="24"/>
          <w:rtl/>
        </w:rPr>
        <w:t>מדובר בחריגה משטחו של דניאל</w:t>
      </w:r>
      <w:r w:rsidR="00292929">
        <w:rPr>
          <w:rStyle w:val="FootnoteReference"/>
          <w:rFonts w:ascii="David" w:hAnsi="David" w:cs="David"/>
          <w:sz w:val="24"/>
          <w:szCs w:val="24"/>
          <w:rtl/>
        </w:rPr>
        <w:footnoteReference w:id="31"/>
      </w:r>
      <w:r w:rsidR="0061767B" w:rsidRPr="004F5669">
        <w:rPr>
          <w:rFonts w:ascii="David" w:hAnsi="David" w:cs="David"/>
          <w:sz w:val="24"/>
          <w:szCs w:val="24"/>
          <w:rtl/>
        </w:rPr>
        <w:t xml:space="preserve"> מדובר </w:t>
      </w:r>
      <w:r w:rsidR="001F7244" w:rsidRPr="004F5669">
        <w:rPr>
          <w:rFonts w:ascii="David" w:hAnsi="David" w:cs="David"/>
          <w:sz w:val="24"/>
          <w:szCs w:val="24"/>
          <w:rtl/>
        </w:rPr>
        <w:t xml:space="preserve">בשימוש </w:t>
      </w:r>
      <w:r w:rsidR="00841D60">
        <w:rPr>
          <w:rFonts w:ascii="David" w:hAnsi="David" w:cs="David" w:hint="cs"/>
          <w:sz w:val="24"/>
          <w:szCs w:val="24"/>
          <w:rtl/>
        </w:rPr>
        <w:t>לא סביר הדורש</w:t>
      </w:r>
      <w:r w:rsidR="0061767B" w:rsidRPr="004F5669">
        <w:rPr>
          <w:rFonts w:ascii="David" w:hAnsi="David" w:cs="David"/>
          <w:sz w:val="24"/>
          <w:szCs w:val="24"/>
          <w:rtl/>
        </w:rPr>
        <w:t xml:space="preserve"> החלטה של האסיפה הכללית, </w:t>
      </w:r>
      <w:r w:rsidR="0061767B" w:rsidRPr="004F5669">
        <w:rPr>
          <w:rFonts w:ascii="David" w:hAnsi="David" w:cs="David"/>
          <w:b/>
          <w:bCs/>
          <w:sz w:val="24"/>
          <w:szCs w:val="24"/>
          <w:rtl/>
        </w:rPr>
        <w:t>ולא</w:t>
      </w:r>
      <w:r w:rsidR="0061767B" w:rsidRPr="004F5669">
        <w:rPr>
          <w:rFonts w:ascii="David" w:hAnsi="David" w:cs="David"/>
          <w:sz w:val="24"/>
          <w:szCs w:val="24"/>
          <w:rtl/>
        </w:rPr>
        <w:t xml:space="preserve"> של הנציגות.</w:t>
      </w:r>
      <w:r w:rsidR="003B487D" w:rsidRPr="004F5669">
        <w:rPr>
          <w:rFonts w:ascii="David" w:hAnsi="David" w:cs="David"/>
          <w:sz w:val="24"/>
          <w:szCs w:val="24"/>
          <w:rtl/>
        </w:rPr>
        <w:t xml:space="preserve"> </w:t>
      </w:r>
      <w:r w:rsidRPr="004F5669">
        <w:rPr>
          <w:rFonts w:ascii="David" w:hAnsi="David" w:cs="David"/>
          <w:sz w:val="24"/>
          <w:szCs w:val="24"/>
          <w:rtl/>
        </w:rPr>
        <w:t xml:space="preserve">נדון בטענות – טענת יאיר סובבת את נושא </w:t>
      </w:r>
      <w:r w:rsidR="00EB3E03" w:rsidRPr="004F5669">
        <w:rPr>
          <w:rFonts w:ascii="David" w:hAnsi="David" w:cs="David"/>
          <w:sz w:val="24"/>
          <w:szCs w:val="24"/>
          <w:rtl/>
        </w:rPr>
        <w:t>מיותרות הפאב</w:t>
      </w:r>
      <w:r w:rsidRPr="004F5669">
        <w:rPr>
          <w:rFonts w:ascii="David" w:hAnsi="David" w:cs="David"/>
          <w:sz w:val="24"/>
          <w:szCs w:val="24"/>
          <w:rtl/>
        </w:rPr>
        <w:t xml:space="preserve"> </w:t>
      </w:r>
      <w:r w:rsidR="00B655F5" w:rsidRPr="004F5669">
        <w:rPr>
          <w:rFonts w:ascii="David" w:hAnsi="David" w:cs="David"/>
          <w:sz w:val="24"/>
          <w:szCs w:val="24"/>
          <w:rtl/>
        </w:rPr>
        <w:t>ו</w:t>
      </w:r>
      <w:r w:rsidR="00EB3E03" w:rsidRPr="004F5669">
        <w:rPr>
          <w:rFonts w:ascii="David" w:hAnsi="David" w:cs="David"/>
          <w:sz w:val="24"/>
          <w:szCs w:val="24"/>
          <w:rtl/>
        </w:rPr>
        <w:t xml:space="preserve">ירידת </w:t>
      </w:r>
      <w:r w:rsidR="00B655F5" w:rsidRPr="004F5669">
        <w:rPr>
          <w:rFonts w:ascii="David" w:hAnsi="David" w:cs="David"/>
          <w:sz w:val="24"/>
          <w:szCs w:val="24"/>
          <w:rtl/>
        </w:rPr>
        <w:t>ערך הדירה</w:t>
      </w:r>
      <w:r w:rsidRPr="004F5669">
        <w:rPr>
          <w:rFonts w:ascii="David" w:hAnsi="David" w:cs="David"/>
          <w:sz w:val="24"/>
          <w:szCs w:val="24"/>
          <w:rtl/>
        </w:rPr>
        <w:t>.</w:t>
      </w:r>
      <w:r w:rsidR="00B655F5" w:rsidRPr="004F5669">
        <w:rPr>
          <w:rFonts w:ascii="David" w:hAnsi="David" w:cs="David"/>
          <w:sz w:val="24"/>
          <w:szCs w:val="24"/>
          <w:rtl/>
        </w:rPr>
        <w:t xml:space="preserve"> </w:t>
      </w:r>
      <w:r w:rsidR="00EB3E03" w:rsidRPr="004F5669">
        <w:rPr>
          <w:rFonts w:ascii="David" w:hAnsi="David" w:cs="David"/>
          <w:sz w:val="24"/>
          <w:szCs w:val="24"/>
          <w:rtl/>
        </w:rPr>
        <w:t>ראשית טוען יאיר כי הפאב לא רלוונטי לדיירים מסוימים ובשל כך מדובר בנושא הראוי לעלות באסיפה כללית</w:t>
      </w:r>
      <w:r w:rsidR="000913EF">
        <w:rPr>
          <w:rFonts w:ascii="David" w:hAnsi="David" w:cs="David" w:hint="cs"/>
          <w:sz w:val="24"/>
          <w:szCs w:val="24"/>
          <w:rtl/>
        </w:rPr>
        <w:t>, זולת אם נקבע כי מדובר בהחלטה הנוגעת לענייני ניהול הבית</w:t>
      </w:r>
      <w:r w:rsidR="000913EF">
        <w:rPr>
          <w:rStyle w:val="FootnoteReference"/>
          <w:rFonts w:ascii="David" w:hAnsi="David" w:cs="David"/>
          <w:sz w:val="24"/>
          <w:szCs w:val="24"/>
          <w:rtl/>
        </w:rPr>
        <w:footnoteReference w:id="32"/>
      </w:r>
      <w:r w:rsidR="00EB3E03" w:rsidRPr="004F5669">
        <w:rPr>
          <w:rFonts w:ascii="David" w:hAnsi="David" w:cs="David"/>
          <w:sz w:val="24"/>
          <w:szCs w:val="24"/>
          <w:rtl/>
        </w:rPr>
        <w:t>. שנית</w:t>
      </w:r>
      <w:r w:rsidR="00B655F5" w:rsidRPr="004F5669">
        <w:rPr>
          <w:rFonts w:ascii="David" w:hAnsi="David" w:cs="David"/>
          <w:sz w:val="24"/>
          <w:szCs w:val="24"/>
          <w:rtl/>
        </w:rPr>
        <w:t>,</w:t>
      </w:r>
      <w:r w:rsidRPr="004F5669">
        <w:rPr>
          <w:rFonts w:ascii="David" w:hAnsi="David" w:cs="David"/>
          <w:sz w:val="24"/>
          <w:szCs w:val="24"/>
          <w:rtl/>
        </w:rPr>
        <w:t xml:space="preserve"> </w:t>
      </w:r>
      <w:r w:rsidR="00EB3E03" w:rsidRPr="004F5669">
        <w:rPr>
          <w:rFonts w:ascii="David" w:hAnsi="David" w:cs="David"/>
          <w:sz w:val="24"/>
          <w:szCs w:val="24"/>
          <w:rtl/>
        </w:rPr>
        <w:t>טוען יאיר לפגיעה</w:t>
      </w:r>
      <w:r w:rsidRPr="004F5669">
        <w:rPr>
          <w:rFonts w:ascii="David" w:hAnsi="David" w:cs="David"/>
          <w:sz w:val="24"/>
          <w:szCs w:val="24"/>
          <w:rtl/>
        </w:rPr>
        <w:t xml:space="preserve"> בערך </w:t>
      </w:r>
      <w:r w:rsidR="00841D60">
        <w:rPr>
          <w:rFonts w:ascii="David" w:hAnsi="David" w:cs="David" w:hint="cs"/>
          <w:sz w:val="24"/>
          <w:szCs w:val="24"/>
          <w:rtl/>
        </w:rPr>
        <w:t xml:space="preserve">הדירה </w:t>
      </w:r>
      <w:r w:rsidR="00EB3E03" w:rsidRPr="004F5669">
        <w:rPr>
          <w:rFonts w:ascii="David" w:hAnsi="David" w:cs="David"/>
          <w:sz w:val="24"/>
          <w:szCs w:val="24"/>
          <w:rtl/>
        </w:rPr>
        <w:t>כפי שמעוגן</w:t>
      </w:r>
      <w:r w:rsidRPr="004F5669">
        <w:rPr>
          <w:rFonts w:ascii="David" w:hAnsi="David" w:cs="David"/>
          <w:sz w:val="24"/>
          <w:szCs w:val="24"/>
          <w:rtl/>
        </w:rPr>
        <w:t xml:space="preserve"> בחוק</w:t>
      </w:r>
      <w:r w:rsidRPr="004F5669">
        <w:rPr>
          <w:rStyle w:val="FootnoteReference"/>
          <w:rFonts w:ascii="David" w:hAnsi="David" w:cs="David"/>
          <w:sz w:val="24"/>
          <w:szCs w:val="24"/>
          <w:rtl/>
        </w:rPr>
        <w:footnoteReference w:id="33"/>
      </w:r>
      <w:r w:rsidR="00B655F5" w:rsidRPr="004F5669">
        <w:rPr>
          <w:rFonts w:ascii="David" w:hAnsi="David" w:cs="David"/>
          <w:sz w:val="24"/>
          <w:szCs w:val="24"/>
          <w:rtl/>
        </w:rPr>
        <w:t>.</w:t>
      </w:r>
      <w:r w:rsidRPr="004F5669">
        <w:rPr>
          <w:rFonts w:ascii="David" w:hAnsi="David" w:cs="David"/>
          <w:sz w:val="24"/>
          <w:szCs w:val="24"/>
          <w:rtl/>
        </w:rPr>
        <w:t xml:space="preserve"> </w:t>
      </w:r>
      <w:r w:rsidR="00B655F5" w:rsidRPr="004F5669">
        <w:rPr>
          <w:rFonts w:ascii="David" w:hAnsi="David" w:cs="David"/>
          <w:sz w:val="24"/>
          <w:szCs w:val="24"/>
          <w:rtl/>
        </w:rPr>
        <w:t>על אף הסעיף</w:t>
      </w:r>
      <w:r w:rsidRPr="004F5669">
        <w:rPr>
          <w:rFonts w:ascii="David" w:hAnsi="David" w:cs="David"/>
          <w:sz w:val="24"/>
          <w:szCs w:val="24"/>
          <w:rtl/>
        </w:rPr>
        <w:t xml:space="preserve"> </w:t>
      </w:r>
      <w:r w:rsidR="00575622">
        <w:rPr>
          <w:rFonts w:ascii="David" w:hAnsi="David" w:cs="David" w:hint="cs"/>
          <w:sz w:val="24"/>
          <w:szCs w:val="24"/>
          <w:rtl/>
        </w:rPr>
        <w:t>נציין</w:t>
      </w:r>
      <w:r w:rsidRPr="004F5669">
        <w:rPr>
          <w:rFonts w:ascii="David" w:hAnsi="David" w:cs="David"/>
          <w:sz w:val="24"/>
          <w:szCs w:val="24"/>
          <w:rtl/>
        </w:rPr>
        <w:t xml:space="preserve"> </w:t>
      </w:r>
      <w:r w:rsidR="00B655F5" w:rsidRPr="004F5669">
        <w:rPr>
          <w:rFonts w:ascii="David" w:hAnsi="David" w:cs="David"/>
          <w:sz w:val="24"/>
          <w:szCs w:val="24"/>
          <w:rtl/>
        </w:rPr>
        <w:t>את הפסיקה בנושא. יאיר יבנה מדעת המיעוט ב</w:t>
      </w:r>
      <w:r w:rsidR="00B655F5" w:rsidRPr="004F5669">
        <w:rPr>
          <w:rFonts w:ascii="David" w:hAnsi="David" w:cs="David"/>
          <w:b/>
          <w:bCs/>
          <w:sz w:val="24"/>
          <w:szCs w:val="24"/>
          <w:rtl/>
        </w:rPr>
        <w:t>שמע</w:t>
      </w:r>
      <w:r w:rsidR="00B655F5" w:rsidRPr="004F5669">
        <w:rPr>
          <w:rStyle w:val="FootnoteReference"/>
          <w:rFonts w:ascii="David" w:hAnsi="David" w:cs="David"/>
          <w:b/>
          <w:bCs/>
          <w:sz w:val="24"/>
          <w:szCs w:val="24"/>
          <w:rtl/>
        </w:rPr>
        <w:footnoteReference w:id="34"/>
      </w:r>
      <w:r w:rsidRPr="004F5669">
        <w:rPr>
          <w:rFonts w:ascii="David" w:hAnsi="David" w:cs="David"/>
          <w:sz w:val="24"/>
          <w:szCs w:val="24"/>
          <w:rtl/>
        </w:rPr>
        <w:t xml:space="preserve"> </w:t>
      </w:r>
      <w:r w:rsidR="00841D60">
        <w:rPr>
          <w:rFonts w:ascii="David" w:hAnsi="David" w:cs="David"/>
          <w:sz w:val="24"/>
          <w:szCs w:val="24"/>
          <w:rtl/>
        </w:rPr>
        <w:t>ה</w:t>
      </w:r>
      <w:r w:rsidR="00841D60">
        <w:rPr>
          <w:rFonts w:ascii="David" w:hAnsi="David" w:cs="David" w:hint="cs"/>
          <w:sz w:val="24"/>
          <w:szCs w:val="24"/>
          <w:rtl/>
        </w:rPr>
        <w:t xml:space="preserve">כוללת בתוך סעיף 2 את נושא שינוי היעוד </w:t>
      </w:r>
      <w:r w:rsidR="003B487D" w:rsidRPr="004F5669">
        <w:rPr>
          <w:rFonts w:ascii="David" w:hAnsi="David" w:cs="David"/>
          <w:sz w:val="24"/>
          <w:szCs w:val="24"/>
          <w:rtl/>
        </w:rPr>
        <w:t>וכן מ</w:t>
      </w:r>
      <w:r w:rsidR="00B655F5" w:rsidRPr="004F5669">
        <w:rPr>
          <w:rFonts w:ascii="David" w:hAnsi="David" w:cs="David"/>
          <w:sz w:val="24"/>
          <w:szCs w:val="24"/>
          <w:rtl/>
        </w:rPr>
        <w:t>דעת גולדברג ב</w:t>
      </w:r>
      <w:r w:rsidR="00B655F5" w:rsidRPr="004F5669">
        <w:rPr>
          <w:rFonts w:ascii="David" w:hAnsi="David" w:cs="David"/>
          <w:b/>
          <w:bCs/>
          <w:sz w:val="24"/>
          <w:szCs w:val="24"/>
          <w:rtl/>
        </w:rPr>
        <w:t>אליאס</w:t>
      </w:r>
      <w:r w:rsidR="00B655F5" w:rsidRPr="004F5669">
        <w:rPr>
          <w:rStyle w:val="FootnoteReference"/>
          <w:rFonts w:ascii="David" w:hAnsi="David" w:cs="David"/>
          <w:sz w:val="24"/>
          <w:szCs w:val="24"/>
          <w:rtl/>
        </w:rPr>
        <w:footnoteReference w:id="35"/>
      </w:r>
      <w:r w:rsidR="00B655F5" w:rsidRPr="004F5669">
        <w:rPr>
          <w:rFonts w:ascii="David" w:hAnsi="David" w:cs="David"/>
          <w:sz w:val="24"/>
          <w:szCs w:val="24"/>
          <w:rtl/>
        </w:rPr>
        <w:t xml:space="preserve">, </w:t>
      </w:r>
      <w:r w:rsidR="003B487D" w:rsidRPr="004F5669">
        <w:rPr>
          <w:rFonts w:ascii="David" w:hAnsi="David" w:cs="David"/>
          <w:sz w:val="24"/>
          <w:szCs w:val="24"/>
          <w:rtl/>
        </w:rPr>
        <w:t xml:space="preserve">אשר גורס </w:t>
      </w:r>
      <w:r w:rsidR="00841D60">
        <w:rPr>
          <w:rFonts w:ascii="David" w:hAnsi="David" w:cs="David" w:hint="cs"/>
          <w:sz w:val="24"/>
          <w:szCs w:val="24"/>
          <w:rtl/>
        </w:rPr>
        <w:t xml:space="preserve">כי </w:t>
      </w:r>
      <w:r w:rsidR="00264DB9">
        <w:rPr>
          <w:rFonts w:ascii="David" w:hAnsi="David" w:cs="David" w:hint="cs"/>
          <w:sz w:val="24"/>
          <w:szCs w:val="24"/>
          <w:rtl/>
        </w:rPr>
        <w:t>למרות</w:t>
      </w:r>
      <w:r w:rsidR="00841D60">
        <w:rPr>
          <w:rFonts w:ascii="David" w:hAnsi="David" w:cs="David" w:hint="cs"/>
          <w:sz w:val="24"/>
          <w:szCs w:val="24"/>
          <w:rtl/>
        </w:rPr>
        <w:t xml:space="preserve"> שק"ד המצומצם של ביהמ"ש, </w:t>
      </w:r>
      <w:r w:rsidR="00841D60">
        <w:rPr>
          <w:rFonts w:ascii="David" w:hAnsi="David" w:cs="David"/>
          <w:sz w:val="24"/>
          <w:szCs w:val="24"/>
          <w:rtl/>
        </w:rPr>
        <w:t xml:space="preserve">גם נזק פעוט </w:t>
      </w:r>
      <w:r w:rsidR="00292929">
        <w:rPr>
          <w:rFonts w:ascii="David" w:hAnsi="David" w:cs="David" w:hint="cs"/>
          <w:sz w:val="24"/>
          <w:szCs w:val="24"/>
          <w:rtl/>
        </w:rPr>
        <w:t>עולה לכדי נזק</w:t>
      </w:r>
      <w:r w:rsidR="00B655F5" w:rsidRPr="004F5669">
        <w:rPr>
          <w:rFonts w:ascii="David" w:hAnsi="David" w:cs="David"/>
          <w:sz w:val="24"/>
          <w:szCs w:val="24"/>
          <w:rtl/>
        </w:rPr>
        <w:t xml:space="preserve">. דניאל יוכל להיעזר בדעת הרוב </w:t>
      </w:r>
      <w:r w:rsidR="00B655F5" w:rsidRPr="004F5669">
        <w:rPr>
          <w:rFonts w:ascii="David" w:hAnsi="David" w:cs="David"/>
          <w:b/>
          <w:bCs/>
          <w:sz w:val="24"/>
          <w:szCs w:val="24"/>
          <w:rtl/>
        </w:rPr>
        <w:t>בשמע</w:t>
      </w:r>
      <w:r w:rsidR="00B655F5" w:rsidRPr="004F5669">
        <w:rPr>
          <w:rStyle w:val="FootnoteReference"/>
          <w:rFonts w:ascii="David" w:hAnsi="David" w:cs="David"/>
          <w:sz w:val="24"/>
          <w:szCs w:val="24"/>
          <w:rtl/>
        </w:rPr>
        <w:footnoteReference w:id="36"/>
      </w:r>
      <w:r w:rsidR="00B655F5" w:rsidRPr="004F5669">
        <w:rPr>
          <w:rFonts w:ascii="David" w:hAnsi="David" w:cs="David"/>
          <w:sz w:val="24"/>
          <w:szCs w:val="24"/>
          <w:rtl/>
        </w:rPr>
        <w:t xml:space="preserve"> הגורסת כי </w:t>
      </w:r>
      <w:r w:rsidR="00841D60">
        <w:rPr>
          <w:rFonts w:ascii="David" w:hAnsi="David" w:cs="David" w:hint="cs"/>
          <w:sz w:val="24"/>
          <w:szCs w:val="24"/>
          <w:rtl/>
        </w:rPr>
        <w:t>סעיף 2</w:t>
      </w:r>
      <w:r w:rsidR="00B655F5" w:rsidRPr="004F5669">
        <w:rPr>
          <w:rFonts w:ascii="David" w:hAnsi="David" w:cs="David"/>
          <w:sz w:val="24"/>
          <w:szCs w:val="24"/>
          <w:rtl/>
        </w:rPr>
        <w:t xml:space="preserve"> איננו מדבר על שינוי ייעוד וכן מדבריו של חשין ב</w:t>
      </w:r>
      <w:r w:rsidR="00B655F5" w:rsidRPr="004F5669">
        <w:rPr>
          <w:rFonts w:ascii="David" w:hAnsi="David" w:cs="David"/>
          <w:b/>
          <w:bCs/>
          <w:sz w:val="24"/>
          <w:szCs w:val="24"/>
          <w:rtl/>
        </w:rPr>
        <w:t>צודלר</w:t>
      </w:r>
      <w:r w:rsidR="00B655F5" w:rsidRPr="004F5669">
        <w:rPr>
          <w:rStyle w:val="FootnoteReference"/>
          <w:rFonts w:ascii="David" w:hAnsi="David" w:cs="David"/>
          <w:sz w:val="24"/>
          <w:szCs w:val="24"/>
          <w:rtl/>
        </w:rPr>
        <w:footnoteReference w:id="37"/>
      </w:r>
      <w:r w:rsidR="00841D60">
        <w:rPr>
          <w:rFonts w:ascii="David" w:hAnsi="David" w:cs="David"/>
          <w:sz w:val="24"/>
          <w:szCs w:val="24"/>
          <w:rtl/>
        </w:rPr>
        <w:t>, אשר מצביע</w:t>
      </w:r>
      <w:r w:rsidR="00B655F5" w:rsidRPr="004F5669">
        <w:rPr>
          <w:rFonts w:ascii="David" w:hAnsi="David" w:cs="David"/>
          <w:sz w:val="24"/>
          <w:szCs w:val="24"/>
          <w:rtl/>
        </w:rPr>
        <w:t xml:space="preserve"> על חובת הויתור ההדדי בחיים בבית משותף, שכן לטענתו הרעש איננו חמור </w:t>
      </w:r>
      <w:r w:rsidR="003B487D" w:rsidRPr="004F5669">
        <w:rPr>
          <w:rFonts w:ascii="David" w:hAnsi="David" w:cs="David"/>
          <w:sz w:val="24"/>
          <w:szCs w:val="24"/>
          <w:rtl/>
        </w:rPr>
        <w:t>וההתנגדות נובעת</w:t>
      </w:r>
      <w:r w:rsidR="00B655F5" w:rsidRPr="004F5669">
        <w:rPr>
          <w:rFonts w:ascii="David" w:hAnsi="David" w:cs="David"/>
          <w:sz w:val="24"/>
          <w:szCs w:val="24"/>
          <w:rtl/>
        </w:rPr>
        <w:t xml:space="preserve"> </w:t>
      </w:r>
      <w:r w:rsidR="003B487D" w:rsidRPr="004F5669">
        <w:rPr>
          <w:rFonts w:ascii="David" w:hAnsi="David" w:cs="David"/>
          <w:sz w:val="24"/>
          <w:szCs w:val="24"/>
          <w:rtl/>
        </w:rPr>
        <w:t>מ</w:t>
      </w:r>
      <w:r w:rsidR="00B655F5" w:rsidRPr="004F5669">
        <w:rPr>
          <w:rFonts w:ascii="David" w:hAnsi="David" w:cs="David"/>
          <w:sz w:val="24"/>
          <w:szCs w:val="24"/>
          <w:rtl/>
        </w:rPr>
        <w:t xml:space="preserve">גחמות פוליטיות. </w:t>
      </w:r>
      <w:r w:rsidR="00307CF2" w:rsidRPr="004F5669">
        <w:rPr>
          <w:rFonts w:ascii="David" w:hAnsi="David" w:cs="David"/>
          <w:sz w:val="24"/>
          <w:szCs w:val="24"/>
          <w:rtl/>
        </w:rPr>
        <w:t xml:space="preserve">את טענת איתי ננתח בשני מישורים – ראשית, </w:t>
      </w:r>
      <w:r w:rsidR="00FC1508">
        <w:rPr>
          <w:rFonts w:ascii="David" w:hAnsi="David" w:cs="David" w:hint="cs"/>
          <w:sz w:val="24"/>
          <w:szCs w:val="24"/>
          <w:rtl/>
        </w:rPr>
        <w:t xml:space="preserve">נציין כי </w:t>
      </w:r>
      <w:r w:rsidR="00307CF2" w:rsidRPr="004F5669">
        <w:rPr>
          <w:rFonts w:ascii="David" w:hAnsi="David" w:cs="David"/>
          <w:sz w:val="24"/>
          <w:szCs w:val="24"/>
          <w:rtl/>
        </w:rPr>
        <w:t>איתי איננו נציג</w:t>
      </w:r>
      <w:r w:rsidR="00405443" w:rsidRPr="004F5669">
        <w:rPr>
          <w:rFonts w:ascii="David" w:hAnsi="David" w:cs="David"/>
          <w:sz w:val="24"/>
          <w:szCs w:val="24"/>
          <w:rtl/>
        </w:rPr>
        <w:t xml:space="preserve"> שכן לא נבחר בהליך תקין באסיפה, ולכן התנגדותו </w:t>
      </w:r>
      <w:r w:rsidR="00405443" w:rsidRPr="004F5669">
        <w:rPr>
          <w:rFonts w:ascii="David" w:hAnsi="David" w:cs="David"/>
          <w:b/>
          <w:bCs/>
          <w:sz w:val="24"/>
          <w:szCs w:val="24"/>
          <w:rtl/>
        </w:rPr>
        <w:t>כנציג</w:t>
      </w:r>
      <w:r w:rsidR="00405443" w:rsidRPr="004F5669">
        <w:rPr>
          <w:rFonts w:ascii="David" w:hAnsi="David" w:cs="David"/>
          <w:sz w:val="24"/>
          <w:szCs w:val="24"/>
          <w:rtl/>
        </w:rPr>
        <w:t xml:space="preserve"> א</w:t>
      </w:r>
      <w:r w:rsidR="0061767B" w:rsidRPr="004F5669">
        <w:rPr>
          <w:rFonts w:ascii="David" w:hAnsi="David" w:cs="David"/>
          <w:sz w:val="24"/>
          <w:szCs w:val="24"/>
          <w:rtl/>
        </w:rPr>
        <w:t>יננה רלוונטית, אלא רק כבעל דירה</w:t>
      </w:r>
      <w:r w:rsidR="00B216F5" w:rsidRPr="004F5669">
        <w:rPr>
          <w:rFonts w:ascii="David" w:hAnsi="David" w:cs="David"/>
          <w:sz w:val="24"/>
          <w:szCs w:val="24"/>
          <w:rtl/>
        </w:rPr>
        <w:t xml:space="preserve"> היכול להעיד באסיפה כללית</w:t>
      </w:r>
      <w:r w:rsidR="0061767B" w:rsidRPr="004F5669">
        <w:rPr>
          <w:rFonts w:ascii="David" w:hAnsi="David" w:cs="David"/>
          <w:sz w:val="24"/>
          <w:szCs w:val="24"/>
          <w:rtl/>
        </w:rPr>
        <w:t xml:space="preserve">. שנית, התנגדות איתי לאורח חיים </w:t>
      </w:r>
      <w:r w:rsidR="0002319E" w:rsidRPr="004F5669">
        <w:rPr>
          <w:rFonts w:ascii="David" w:hAnsi="David" w:cs="David"/>
          <w:sz w:val="24"/>
          <w:szCs w:val="24"/>
          <w:rtl/>
        </w:rPr>
        <w:t>של הוללות</w:t>
      </w:r>
      <w:r w:rsidR="0061767B" w:rsidRPr="004F5669">
        <w:rPr>
          <w:rFonts w:ascii="David" w:hAnsi="David" w:cs="David"/>
          <w:sz w:val="24"/>
          <w:szCs w:val="24"/>
          <w:rtl/>
        </w:rPr>
        <w:t xml:space="preserve"> תתקל בקשיים בשל </w:t>
      </w:r>
      <w:r w:rsidR="00FC1508">
        <w:rPr>
          <w:rFonts w:ascii="David" w:hAnsi="David" w:cs="David" w:hint="cs"/>
          <w:sz w:val="24"/>
          <w:szCs w:val="24"/>
          <w:rtl/>
        </w:rPr>
        <w:t>פסיקת השלום המנחה</w:t>
      </w:r>
      <w:r w:rsidR="0061767B" w:rsidRPr="004F5669">
        <w:rPr>
          <w:rFonts w:ascii="David" w:hAnsi="David" w:cs="David"/>
          <w:sz w:val="24"/>
          <w:szCs w:val="24"/>
          <w:rtl/>
        </w:rPr>
        <w:t xml:space="preserve"> </w:t>
      </w:r>
      <w:r w:rsidR="00235035" w:rsidRPr="004F5669">
        <w:rPr>
          <w:rFonts w:ascii="David" w:hAnsi="David" w:cs="David"/>
          <w:b/>
          <w:bCs/>
          <w:sz w:val="24"/>
          <w:szCs w:val="24"/>
          <w:rtl/>
        </w:rPr>
        <w:t>באדלר</w:t>
      </w:r>
      <w:r w:rsidR="0061767B" w:rsidRPr="004F5669">
        <w:rPr>
          <w:rStyle w:val="FootnoteReference"/>
          <w:rFonts w:ascii="David" w:hAnsi="David" w:cs="David"/>
          <w:sz w:val="24"/>
          <w:szCs w:val="24"/>
          <w:rtl/>
        </w:rPr>
        <w:footnoteReference w:id="38"/>
      </w:r>
      <w:r w:rsidR="0061767B" w:rsidRPr="004F5669">
        <w:rPr>
          <w:rFonts w:ascii="David" w:hAnsi="David" w:cs="David"/>
          <w:sz w:val="24"/>
          <w:szCs w:val="24"/>
          <w:rtl/>
        </w:rPr>
        <w:t xml:space="preserve"> הקובעת כי ניהול אורח חיים מסוים איננו עניין של חזקה או שימוש </w:t>
      </w:r>
      <w:r w:rsidR="0061767B" w:rsidRPr="004F5669">
        <w:rPr>
          <w:rFonts w:ascii="David" w:hAnsi="David" w:cs="David"/>
          <w:sz w:val="24"/>
          <w:szCs w:val="24"/>
          <w:rtl/>
        </w:rPr>
        <w:lastRenderedPageBreak/>
        <w:t xml:space="preserve">במקרקעין אפילו אל מול הסכמה. </w:t>
      </w:r>
      <w:r w:rsidR="00575622">
        <w:rPr>
          <w:rFonts w:ascii="David" w:hAnsi="David" w:cs="David" w:hint="cs"/>
          <w:sz w:val="24"/>
          <w:szCs w:val="24"/>
          <w:rtl/>
        </w:rPr>
        <w:t>אציין כי אין זו סרבנות, שכן לא מדובר באינטרס רחב אלא פרטי</w:t>
      </w:r>
      <w:r w:rsidR="00575622">
        <w:rPr>
          <w:rStyle w:val="FootnoteReference"/>
          <w:rFonts w:ascii="David" w:hAnsi="David" w:cs="David"/>
          <w:sz w:val="24"/>
          <w:szCs w:val="24"/>
          <w:rtl/>
        </w:rPr>
        <w:footnoteReference w:id="39"/>
      </w:r>
      <w:r w:rsidR="00575622">
        <w:rPr>
          <w:rFonts w:ascii="David" w:hAnsi="David" w:cs="David" w:hint="cs"/>
          <w:sz w:val="24"/>
          <w:szCs w:val="24"/>
          <w:rtl/>
        </w:rPr>
        <w:t>.</w:t>
      </w:r>
    </w:p>
    <w:p w:rsidR="007218C5" w:rsidRDefault="007218C5" w:rsidP="00841D60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7218C5" w:rsidRPr="004F5669" w:rsidRDefault="007218C5" w:rsidP="00841D60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2D79B9" w:rsidRPr="004F5669" w:rsidRDefault="002D79B9" w:rsidP="002D79B9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</w:rPr>
      </w:pPr>
      <w:r w:rsidRPr="004F5669">
        <w:rPr>
          <w:rFonts w:ascii="David" w:hAnsi="David" w:cs="David"/>
          <w:b/>
          <w:bCs/>
          <w:sz w:val="24"/>
          <w:szCs w:val="24"/>
          <w:u w:val="single"/>
          <w:rtl/>
        </w:rPr>
        <w:t>האסיפה השנייה</w:t>
      </w:r>
    </w:p>
    <w:p w:rsidR="003334B7" w:rsidRDefault="00B216F5" w:rsidP="00DC7D5C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4F5669">
        <w:rPr>
          <w:rFonts w:ascii="David" w:hAnsi="David" w:cs="David"/>
          <w:sz w:val="24"/>
          <w:szCs w:val="24"/>
          <w:rtl/>
        </w:rPr>
        <w:t>דניאל כבעלי למעלה משליש מהדירות יכול לדרוש קיום אסיפה</w:t>
      </w:r>
      <w:r w:rsidRPr="004F5669">
        <w:rPr>
          <w:rStyle w:val="FootnoteReference"/>
          <w:rFonts w:ascii="David" w:hAnsi="David" w:cs="David"/>
          <w:sz w:val="24"/>
          <w:szCs w:val="24"/>
          <w:rtl/>
        </w:rPr>
        <w:footnoteReference w:id="40"/>
      </w:r>
      <w:r w:rsidRPr="004F5669">
        <w:rPr>
          <w:rFonts w:ascii="David" w:hAnsi="David" w:cs="David"/>
          <w:sz w:val="24"/>
          <w:szCs w:val="24"/>
          <w:rtl/>
        </w:rPr>
        <w:t>, אך משסירבה הנציגות הוא חייב לתת התראה של 14 יום, ולא של יום בודד</w:t>
      </w:r>
      <w:r w:rsidRPr="004F5669">
        <w:rPr>
          <w:rStyle w:val="FootnoteReference"/>
          <w:rFonts w:ascii="David" w:hAnsi="David" w:cs="David"/>
          <w:sz w:val="24"/>
          <w:szCs w:val="24"/>
          <w:rtl/>
        </w:rPr>
        <w:footnoteReference w:id="41"/>
      </w:r>
      <w:r w:rsidRPr="004F5669">
        <w:rPr>
          <w:rFonts w:ascii="David" w:hAnsi="David" w:cs="David"/>
          <w:sz w:val="24"/>
          <w:szCs w:val="24"/>
          <w:rtl/>
        </w:rPr>
        <w:t xml:space="preserve">. </w:t>
      </w:r>
      <w:r w:rsidR="00DC7D5C">
        <w:rPr>
          <w:rFonts w:ascii="David" w:hAnsi="David" w:cs="David" w:hint="cs"/>
          <w:sz w:val="24"/>
          <w:szCs w:val="24"/>
          <w:rtl/>
        </w:rPr>
        <w:t>יש לבחון האם</w:t>
      </w:r>
      <w:r w:rsidR="00EC3087">
        <w:rPr>
          <w:rFonts w:ascii="David" w:hAnsi="David" w:cs="David" w:hint="cs"/>
          <w:sz w:val="24"/>
          <w:szCs w:val="24"/>
          <w:rtl/>
        </w:rPr>
        <w:t xml:space="preserve"> עמדה האסיפה</w:t>
      </w:r>
      <w:r w:rsidRPr="004F5669">
        <w:rPr>
          <w:rFonts w:ascii="David" w:hAnsi="David" w:cs="David"/>
          <w:sz w:val="24"/>
          <w:szCs w:val="24"/>
          <w:rtl/>
        </w:rPr>
        <w:t xml:space="preserve"> בתנאי </w:t>
      </w:r>
      <w:r w:rsidR="00B95394">
        <w:rPr>
          <w:rFonts w:ascii="David" w:hAnsi="David" w:cs="David" w:hint="cs"/>
          <w:sz w:val="24"/>
          <w:szCs w:val="24"/>
          <w:rtl/>
        </w:rPr>
        <w:t>המניין</w:t>
      </w:r>
      <w:r w:rsidRPr="004F5669">
        <w:rPr>
          <w:rStyle w:val="FootnoteReference"/>
          <w:rFonts w:ascii="David" w:hAnsi="David" w:cs="David"/>
          <w:sz w:val="24"/>
          <w:szCs w:val="24"/>
          <w:rtl/>
        </w:rPr>
        <w:footnoteReference w:id="42"/>
      </w:r>
      <w:r w:rsidR="00DC7D5C">
        <w:rPr>
          <w:rFonts w:ascii="David" w:hAnsi="David" w:cs="David" w:hint="cs"/>
          <w:sz w:val="24"/>
          <w:szCs w:val="24"/>
          <w:rtl/>
        </w:rPr>
        <w:t xml:space="preserve">, שכן לא הוזכר מספר המשתתפים, וכן בתנאי </w:t>
      </w:r>
      <w:r w:rsidR="00B95394">
        <w:rPr>
          <w:rFonts w:ascii="David" w:hAnsi="David" w:cs="David" w:hint="cs"/>
          <w:sz w:val="24"/>
          <w:szCs w:val="24"/>
          <w:rtl/>
        </w:rPr>
        <w:t>הכינוס</w:t>
      </w:r>
      <w:r w:rsidRPr="004F5669">
        <w:rPr>
          <w:rStyle w:val="FootnoteReference"/>
          <w:rFonts w:ascii="David" w:hAnsi="David" w:cs="David"/>
          <w:sz w:val="24"/>
          <w:szCs w:val="24"/>
          <w:rtl/>
        </w:rPr>
        <w:footnoteReference w:id="43"/>
      </w:r>
      <w:r w:rsidR="00B95394">
        <w:rPr>
          <w:rFonts w:ascii="David" w:hAnsi="David" w:cs="David" w:hint="cs"/>
          <w:sz w:val="24"/>
          <w:szCs w:val="24"/>
          <w:rtl/>
        </w:rPr>
        <w:t xml:space="preserve">, כאשר </w:t>
      </w:r>
      <w:r w:rsidR="007D3500">
        <w:rPr>
          <w:rFonts w:ascii="David" w:hAnsi="David" w:cs="David" w:hint="cs"/>
          <w:sz w:val="24"/>
          <w:szCs w:val="24"/>
          <w:rtl/>
        </w:rPr>
        <w:t xml:space="preserve">נתון כי </w:t>
      </w:r>
      <w:r w:rsidR="00B95394">
        <w:rPr>
          <w:rFonts w:ascii="David" w:hAnsi="David" w:cs="David" w:hint="cs"/>
          <w:sz w:val="24"/>
          <w:szCs w:val="24"/>
          <w:rtl/>
        </w:rPr>
        <w:t xml:space="preserve">דניאל הודיע לדיירי הבניין, </w:t>
      </w:r>
      <w:r w:rsidR="007D3500">
        <w:rPr>
          <w:rFonts w:ascii="David" w:hAnsi="David" w:cs="David" w:hint="cs"/>
          <w:sz w:val="24"/>
          <w:szCs w:val="24"/>
          <w:rtl/>
        </w:rPr>
        <w:t>בעוד ש</w:t>
      </w:r>
      <w:r w:rsidR="00B95394">
        <w:rPr>
          <w:rFonts w:ascii="David" w:hAnsi="David" w:cs="David" w:hint="cs"/>
          <w:sz w:val="24"/>
          <w:szCs w:val="24"/>
          <w:rtl/>
        </w:rPr>
        <w:t xml:space="preserve">לא נתון אם כל הדיירים נמצאים באותו </w:t>
      </w:r>
      <w:r w:rsidR="00B95394" w:rsidRPr="00DC7D5C">
        <w:rPr>
          <w:rFonts w:ascii="David" w:hAnsi="David" w:cs="David" w:hint="cs"/>
          <w:b/>
          <w:bCs/>
          <w:sz w:val="24"/>
          <w:szCs w:val="24"/>
          <w:rtl/>
        </w:rPr>
        <w:t>הבניין</w:t>
      </w:r>
      <w:r w:rsidR="007D3500">
        <w:rPr>
          <w:rFonts w:ascii="David" w:hAnsi="David" w:cs="David" w:hint="cs"/>
          <w:sz w:val="24"/>
          <w:szCs w:val="24"/>
          <w:rtl/>
        </w:rPr>
        <w:t xml:space="preserve">, וכן כי הוא לא נתן </w:t>
      </w:r>
      <w:r w:rsidR="00DC7D5C">
        <w:rPr>
          <w:rFonts w:ascii="David" w:hAnsi="David" w:cs="David" w:hint="cs"/>
          <w:sz w:val="24"/>
          <w:szCs w:val="24"/>
          <w:rtl/>
        </w:rPr>
        <w:t>התראה</w:t>
      </w:r>
      <w:r w:rsidR="007D3500">
        <w:rPr>
          <w:rFonts w:ascii="David" w:hAnsi="David" w:cs="David" w:hint="cs"/>
          <w:sz w:val="24"/>
          <w:szCs w:val="24"/>
          <w:rtl/>
        </w:rPr>
        <w:t xml:space="preserve"> של 4 ימים</w:t>
      </w:r>
      <w:r w:rsidR="00D92DEC">
        <w:rPr>
          <w:rStyle w:val="FootnoteReference"/>
          <w:rFonts w:ascii="David" w:hAnsi="David" w:cs="David"/>
          <w:sz w:val="24"/>
          <w:szCs w:val="24"/>
          <w:rtl/>
        </w:rPr>
        <w:footnoteReference w:id="44"/>
      </w:r>
      <w:r w:rsidRPr="004F5669">
        <w:rPr>
          <w:rFonts w:ascii="David" w:hAnsi="David" w:cs="David"/>
          <w:sz w:val="24"/>
          <w:szCs w:val="24"/>
          <w:rtl/>
        </w:rPr>
        <w:t>.</w:t>
      </w:r>
      <w:r w:rsidR="00456057" w:rsidRPr="004F5669">
        <w:rPr>
          <w:rFonts w:ascii="David" w:hAnsi="David" w:cs="David"/>
          <w:sz w:val="24"/>
          <w:szCs w:val="24"/>
          <w:rtl/>
        </w:rPr>
        <w:t xml:space="preserve"> </w:t>
      </w:r>
      <w:r w:rsidR="00894A06" w:rsidRPr="004F5669">
        <w:rPr>
          <w:rFonts w:ascii="David" w:hAnsi="David" w:cs="David"/>
          <w:sz w:val="24"/>
          <w:szCs w:val="24"/>
          <w:rtl/>
        </w:rPr>
        <w:t>בנושא הצמדת המקלט נתקל בכמה קשיים. ראשית, החוק קבע כי לא ניתן להצמיד חלק ממקלט</w:t>
      </w:r>
      <w:r w:rsidR="00894A06" w:rsidRPr="004F5669">
        <w:rPr>
          <w:rStyle w:val="FootnoteReference"/>
          <w:rFonts w:ascii="David" w:hAnsi="David" w:cs="David"/>
          <w:sz w:val="24"/>
          <w:szCs w:val="24"/>
          <w:rtl/>
        </w:rPr>
        <w:footnoteReference w:id="45"/>
      </w:r>
      <w:r w:rsidR="00894A06" w:rsidRPr="004F5669">
        <w:rPr>
          <w:rFonts w:ascii="David" w:hAnsi="David" w:cs="David"/>
          <w:sz w:val="24"/>
          <w:szCs w:val="24"/>
          <w:rtl/>
        </w:rPr>
        <w:t xml:space="preserve">, כאשר גם אם נכון </w:t>
      </w:r>
      <w:r w:rsidR="00FC1508">
        <w:rPr>
          <w:rFonts w:ascii="David" w:hAnsi="David" w:cs="David"/>
          <w:sz w:val="24"/>
          <w:szCs w:val="24"/>
          <w:rtl/>
        </w:rPr>
        <w:t>היה החוק לאשר זאת, פעולה מסוג ז</w:t>
      </w:r>
      <w:r w:rsidR="00FC1508">
        <w:rPr>
          <w:rFonts w:ascii="David" w:hAnsi="David" w:cs="David" w:hint="cs"/>
          <w:sz w:val="24"/>
          <w:szCs w:val="24"/>
          <w:rtl/>
        </w:rPr>
        <w:t>ה</w:t>
      </w:r>
      <w:r w:rsidR="00894A06" w:rsidRPr="004F5669">
        <w:rPr>
          <w:rFonts w:ascii="David" w:hAnsi="David" w:cs="David"/>
          <w:sz w:val="24"/>
          <w:szCs w:val="24"/>
          <w:rtl/>
        </w:rPr>
        <w:t xml:space="preserve"> צריכה להיקבע בתקנון ולהיות מאושרת ע"י </w:t>
      </w:r>
      <w:r w:rsidR="00894A06" w:rsidRPr="004F5669">
        <w:rPr>
          <w:rFonts w:ascii="David" w:hAnsi="David" w:cs="David"/>
          <w:b/>
          <w:bCs/>
          <w:sz w:val="24"/>
          <w:szCs w:val="24"/>
          <w:rtl/>
        </w:rPr>
        <w:t>כלל</w:t>
      </w:r>
      <w:r w:rsidR="00894A06" w:rsidRPr="004F5669">
        <w:rPr>
          <w:rFonts w:ascii="David" w:hAnsi="David" w:cs="David"/>
          <w:sz w:val="24"/>
          <w:szCs w:val="24"/>
          <w:rtl/>
        </w:rPr>
        <w:t xml:space="preserve"> </w:t>
      </w:r>
      <w:r w:rsidR="00894A06" w:rsidRPr="004F5669">
        <w:rPr>
          <w:rFonts w:ascii="David" w:hAnsi="David" w:cs="David"/>
          <w:b/>
          <w:bCs/>
          <w:sz w:val="24"/>
          <w:szCs w:val="24"/>
          <w:rtl/>
        </w:rPr>
        <w:t>בעלי הדירות</w:t>
      </w:r>
      <w:r w:rsidR="00894A06" w:rsidRPr="004F5669">
        <w:rPr>
          <w:rStyle w:val="FootnoteReference"/>
          <w:rFonts w:ascii="David" w:hAnsi="David" w:cs="David"/>
          <w:b/>
          <w:bCs/>
          <w:sz w:val="24"/>
          <w:szCs w:val="24"/>
          <w:rtl/>
        </w:rPr>
        <w:footnoteReference w:id="46"/>
      </w:r>
      <w:r w:rsidR="00894A06" w:rsidRPr="004F5669">
        <w:rPr>
          <w:rFonts w:ascii="David" w:hAnsi="David" w:cs="David"/>
          <w:sz w:val="24"/>
          <w:szCs w:val="24"/>
          <w:rtl/>
        </w:rPr>
        <w:t xml:space="preserve">. </w:t>
      </w:r>
      <w:r w:rsidR="00F94254" w:rsidRPr="004F5669">
        <w:rPr>
          <w:rFonts w:ascii="David" w:hAnsi="David" w:cs="David"/>
          <w:sz w:val="24"/>
          <w:szCs w:val="24"/>
          <w:rtl/>
        </w:rPr>
        <w:t>דניאל יוכל לטעון כי מדובר בבנייה לשם הרחבה</w:t>
      </w:r>
      <w:r w:rsidR="00F94254" w:rsidRPr="004F5669">
        <w:rPr>
          <w:rStyle w:val="FootnoteReference"/>
          <w:rFonts w:ascii="David" w:hAnsi="David" w:cs="David"/>
          <w:sz w:val="24"/>
          <w:szCs w:val="24"/>
          <w:rtl/>
        </w:rPr>
        <w:footnoteReference w:id="47"/>
      </w:r>
      <w:r w:rsidR="00F94254" w:rsidRPr="004F5669">
        <w:rPr>
          <w:rFonts w:ascii="David" w:hAnsi="David" w:cs="David"/>
          <w:sz w:val="24"/>
          <w:szCs w:val="24"/>
          <w:rtl/>
        </w:rPr>
        <w:t xml:space="preserve">, </w:t>
      </w:r>
      <w:r w:rsidR="0002319E" w:rsidRPr="004F5669">
        <w:rPr>
          <w:rFonts w:ascii="David" w:hAnsi="David" w:cs="David"/>
          <w:sz w:val="24"/>
          <w:szCs w:val="24"/>
          <w:rtl/>
        </w:rPr>
        <w:t>אך יש לשים לב כי גם כאן אין סימוכין לכך שהתקיים תנאי הבע</w:t>
      </w:r>
      <w:r w:rsidR="00233611" w:rsidRPr="004F5669">
        <w:rPr>
          <w:rFonts w:ascii="David" w:hAnsi="David" w:cs="David"/>
          <w:sz w:val="24"/>
          <w:szCs w:val="24"/>
          <w:rtl/>
        </w:rPr>
        <w:t>לות על שני שליש מן הרכוש המשותף</w:t>
      </w:r>
      <w:r w:rsidR="004F5669">
        <w:rPr>
          <w:rFonts w:ascii="David" w:hAnsi="David" w:cs="David" w:hint="cs"/>
          <w:sz w:val="24"/>
          <w:szCs w:val="24"/>
          <w:rtl/>
        </w:rPr>
        <w:t>, אל מול חוסר המידע לנתוני שטח הרצפה</w:t>
      </w:r>
      <w:r w:rsidR="003334B7">
        <w:rPr>
          <w:rFonts w:ascii="David" w:hAnsi="David" w:cs="David" w:hint="cs"/>
          <w:sz w:val="24"/>
          <w:szCs w:val="24"/>
          <w:rtl/>
        </w:rPr>
        <w:t>, וכן על 75% מבעלי הדירות, שכן לא נתון לנו את כמות המשתתפים באסיפה</w:t>
      </w:r>
      <w:r w:rsidR="00233611" w:rsidRPr="004F5669">
        <w:rPr>
          <w:rFonts w:ascii="David" w:hAnsi="David" w:cs="David"/>
          <w:sz w:val="24"/>
          <w:szCs w:val="24"/>
          <w:rtl/>
        </w:rPr>
        <w:t xml:space="preserve">. </w:t>
      </w:r>
      <w:r w:rsidR="00EB3E03" w:rsidRPr="004F5669">
        <w:rPr>
          <w:rFonts w:ascii="David" w:hAnsi="David" w:cs="David"/>
          <w:sz w:val="24"/>
          <w:szCs w:val="24"/>
          <w:rtl/>
        </w:rPr>
        <w:t xml:space="preserve">בצמוד </w:t>
      </w:r>
      <w:r w:rsidR="003334B7">
        <w:rPr>
          <w:rFonts w:ascii="David" w:hAnsi="David" w:cs="David" w:hint="cs"/>
          <w:sz w:val="24"/>
          <w:szCs w:val="24"/>
          <w:rtl/>
        </w:rPr>
        <w:t xml:space="preserve">לפסיקה </w:t>
      </w:r>
      <w:r w:rsidR="003334B7" w:rsidRPr="003334B7">
        <w:rPr>
          <w:rFonts w:ascii="David" w:hAnsi="David" w:cs="David" w:hint="cs"/>
          <w:b/>
          <w:bCs/>
          <w:sz w:val="24"/>
          <w:szCs w:val="24"/>
          <w:rtl/>
        </w:rPr>
        <w:t>בשטנג</w:t>
      </w:r>
      <w:r w:rsidR="003334B7" w:rsidRPr="004F5669">
        <w:rPr>
          <w:rStyle w:val="FootnoteReference"/>
          <w:rFonts w:ascii="David" w:hAnsi="David" w:cs="David"/>
          <w:sz w:val="24"/>
          <w:szCs w:val="24"/>
          <w:rtl/>
        </w:rPr>
        <w:footnoteReference w:id="48"/>
      </w:r>
      <w:r w:rsidR="00FC1508">
        <w:rPr>
          <w:rFonts w:ascii="David" w:hAnsi="David" w:cs="David" w:hint="cs"/>
          <w:sz w:val="24"/>
          <w:szCs w:val="24"/>
          <w:rtl/>
        </w:rPr>
        <w:t>, הדנה במקרה דומה,</w:t>
      </w:r>
      <w:r w:rsidR="00EB3E03" w:rsidRPr="004F5669">
        <w:rPr>
          <w:rFonts w:ascii="David" w:hAnsi="David" w:cs="David"/>
          <w:sz w:val="24"/>
          <w:szCs w:val="24"/>
          <w:rtl/>
        </w:rPr>
        <w:t xml:space="preserve"> נדרש לשאול האם מדובר בפגיעה מהותית</w:t>
      </w:r>
      <w:r w:rsidR="00325075">
        <w:rPr>
          <w:rStyle w:val="FootnoteReference"/>
          <w:rFonts w:ascii="David" w:hAnsi="David" w:cs="David"/>
          <w:sz w:val="24"/>
          <w:szCs w:val="24"/>
          <w:rtl/>
        </w:rPr>
        <w:footnoteReference w:id="49"/>
      </w:r>
      <w:r w:rsidR="003334B7">
        <w:rPr>
          <w:rFonts w:ascii="David" w:hAnsi="David" w:cs="David" w:hint="cs"/>
          <w:sz w:val="24"/>
          <w:szCs w:val="24"/>
          <w:rtl/>
        </w:rPr>
        <w:t xml:space="preserve">. מצד אחד מדובר במניעת שימוש ברכוש המיועד לכלל הדיירים, כאשר מצד שני מדובר בגגון אשר לא ימנע שימוש במקלט, וכן כי הלכה למעשה הגגון יבוא לשימוש הדיירים בעת קיום הפאב. </w:t>
      </w:r>
      <w:r w:rsidR="00233611" w:rsidRPr="004F5669">
        <w:rPr>
          <w:rFonts w:ascii="David" w:hAnsi="David" w:cs="David"/>
          <w:sz w:val="24"/>
          <w:szCs w:val="24"/>
          <w:rtl/>
        </w:rPr>
        <w:t>יש לציין כי ניצול הכוח של דניאל בשל כמות דירותיו יכול לעלות גם לידי חוסר תו"ל</w:t>
      </w:r>
      <w:r w:rsidR="00233611" w:rsidRPr="004F5669">
        <w:rPr>
          <w:rStyle w:val="FootnoteReference"/>
          <w:rFonts w:ascii="David" w:hAnsi="David" w:cs="David"/>
          <w:sz w:val="24"/>
          <w:szCs w:val="24"/>
          <w:rtl/>
        </w:rPr>
        <w:footnoteReference w:id="50"/>
      </w:r>
      <w:r w:rsidR="00233611" w:rsidRPr="004F5669">
        <w:rPr>
          <w:rFonts w:ascii="David" w:hAnsi="David" w:cs="David"/>
          <w:sz w:val="24"/>
          <w:szCs w:val="24"/>
          <w:rtl/>
        </w:rPr>
        <w:t>.</w:t>
      </w:r>
      <w:r w:rsidR="003334B7">
        <w:rPr>
          <w:rFonts w:ascii="David" w:hAnsi="David" w:cs="David" w:hint="cs"/>
          <w:sz w:val="24"/>
          <w:szCs w:val="24"/>
          <w:rtl/>
        </w:rPr>
        <w:t xml:space="preserve"> במידה ונאשר את ההצמדה</w:t>
      </w:r>
      <w:r w:rsidR="00B7151B">
        <w:rPr>
          <w:rFonts w:ascii="David" w:hAnsi="David" w:cs="David" w:hint="cs"/>
          <w:sz w:val="24"/>
          <w:szCs w:val="24"/>
          <w:rtl/>
        </w:rPr>
        <w:t xml:space="preserve"> ונקבע כי מדובר בהרחבה</w:t>
      </w:r>
      <w:r w:rsidR="003334B7">
        <w:rPr>
          <w:rFonts w:ascii="David" w:hAnsi="David" w:cs="David" w:hint="cs"/>
          <w:sz w:val="24"/>
          <w:szCs w:val="24"/>
          <w:rtl/>
        </w:rPr>
        <w:t xml:space="preserve">, </w:t>
      </w:r>
      <w:r w:rsidR="00B51DDB">
        <w:rPr>
          <w:rFonts w:ascii="David" w:hAnsi="David" w:cs="David" w:hint="cs"/>
          <w:sz w:val="24"/>
          <w:szCs w:val="24"/>
          <w:rtl/>
        </w:rPr>
        <w:t xml:space="preserve">ובמידה ושיעור </w:t>
      </w:r>
      <w:r w:rsidR="00B7151B">
        <w:rPr>
          <w:rFonts w:ascii="David" w:hAnsi="David" w:cs="David" w:hint="cs"/>
          <w:sz w:val="24"/>
          <w:szCs w:val="24"/>
          <w:rtl/>
        </w:rPr>
        <w:t xml:space="preserve">ההרחבה המבוקש של דניאל (שליש) עולה על חלקו ברכוש המשותף, ידרש הוא בתשלומי איזון לאלו </w:t>
      </w:r>
      <w:r w:rsidR="00DC7D5C">
        <w:rPr>
          <w:rFonts w:ascii="David" w:hAnsi="David" w:cs="David" w:hint="cs"/>
          <w:sz w:val="24"/>
          <w:szCs w:val="24"/>
          <w:rtl/>
        </w:rPr>
        <w:t>ש</w:t>
      </w:r>
      <w:r w:rsidR="00B7151B">
        <w:rPr>
          <w:rFonts w:ascii="David" w:hAnsi="David" w:cs="David" w:hint="cs"/>
          <w:sz w:val="24"/>
          <w:szCs w:val="24"/>
          <w:rtl/>
        </w:rPr>
        <w:t>אין ביכולתם להרחיב</w:t>
      </w:r>
      <w:r w:rsidR="0017654A">
        <w:rPr>
          <w:rStyle w:val="FootnoteReference"/>
          <w:rFonts w:ascii="David" w:hAnsi="David" w:cs="David"/>
          <w:sz w:val="24"/>
          <w:szCs w:val="24"/>
          <w:rtl/>
        </w:rPr>
        <w:footnoteReference w:id="51"/>
      </w:r>
      <w:r w:rsidR="00B7151B">
        <w:rPr>
          <w:rFonts w:ascii="David" w:hAnsi="David" w:cs="David" w:hint="cs"/>
          <w:sz w:val="24"/>
          <w:szCs w:val="24"/>
          <w:rtl/>
        </w:rPr>
        <w:t>.</w:t>
      </w:r>
    </w:p>
    <w:p w:rsidR="00716D0A" w:rsidRPr="004F5669" w:rsidRDefault="00716D0A" w:rsidP="00716D0A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סוגיית ההינתקות</w:t>
      </w:r>
    </w:p>
    <w:p w:rsidR="00716D0A" w:rsidRDefault="00716D0A" w:rsidP="00575622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4F5669">
        <w:rPr>
          <w:rFonts w:ascii="David" w:hAnsi="David" w:cs="David"/>
          <w:sz w:val="24"/>
          <w:szCs w:val="24"/>
          <w:rtl/>
        </w:rPr>
        <w:t xml:space="preserve">דניאל </w:t>
      </w:r>
      <w:r w:rsidR="004067C1">
        <w:rPr>
          <w:rFonts w:ascii="David" w:hAnsi="David" w:cs="David" w:hint="cs"/>
          <w:sz w:val="24"/>
          <w:szCs w:val="24"/>
          <w:rtl/>
        </w:rPr>
        <w:t>מתנתק ממערכת חימום המים, חלק מהמערכת המרכזית</w:t>
      </w:r>
      <w:r w:rsidR="004067C1">
        <w:rPr>
          <w:rStyle w:val="FootnoteReference"/>
          <w:rFonts w:ascii="David" w:hAnsi="David" w:cs="David"/>
          <w:sz w:val="24"/>
          <w:szCs w:val="24"/>
          <w:rtl/>
        </w:rPr>
        <w:footnoteReference w:id="52"/>
      </w:r>
      <w:r w:rsidR="004067C1">
        <w:rPr>
          <w:rFonts w:ascii="David" w:hAnsi="David" w:cs="David" w:hint="cs"/>
          <w:sz w:val="24"/>
          <w:szCs w:val="24"/>
          <w:rtl/>
        </w:rPr>
        <w:t>,</w:t>
      </w:r>
      <w:r>
        <w:rPr>
          <w:rFonts w:ascii="David" w:hAnsi="David" w:cs="David" w:hint="cs"/>
          <w:sz w:val="24"/>
          <w:szCs w:val="24"/>
          <w:rtl/>
        </w:rPr>
        <w:t xml:space="preserve"> וגורם לבעיות רבות. ראשית, </w:t>
      </w:r>
      <w:r w:rsidR="00325075">
        <w:rPr>
          <w:rFonts w:ascii="David" w:hAnsi="David" w:cs="David" w:hint="cs"/>
          <w:sz w:val="24"/>
          <w:szCs w:val="24"/>
          <w:rtl/>
        </w:rPr>
        <w:t>בכפוף לתקנות,</w:t>
      </w:r>
      <w:r w:rsidR="00AC341F">
        <w:rPr>
          <w:rFonts w:ascii="David" w:hAnsi="David" w:cs="David" w:hint="cs"/>
          <w:sz w:val="24"/>
          <w:szCs w:val="24"/>
          <w:rtl/>
        </w:rPr>
        <w:t xml:space="preserve"> מחויב הוא בהודעה מקדמית לנציגות</w:t>
      </w:r>
      <w:r w:rsidR="00AC341F">
        <w:rPr>
          <w:rStyle w:val="FootnoteReference"/>
          <w:rFonts w:ascii="David" w:hAnsi="David" w:cs="David"/>
          <w:sz w:val="24"/>
          <w:szCs w:val="24"/>
          <w:rtl/>
        </w:rPr>
        <w:footnoteReference w:id="53"/>
      </w:r>
      <w:r w:rsidR="00AC341F">
        <w:rPr>
          <w:rFonts w:ascii="David" w:hAnsi="David" w:cs="David" w:hint="cs"/>
          <w:sz w:val="24"/>
          <w:szCs w:val="24"/>
          <w:rtl/>
        </w:rPr>
        <w:t xml:space="preserve">. שנית, </w:t>
      </w:r>
      <w:r w:rsidR="00D24407">
        <w:rPr>
          <w:rFonts w:ascii="David" w:hAnsi="David" w:cs="David" w:hint="cs"/>
          <w:sz w:val="24"/>
          <w:szCs w:val="24"/>
          <w:rtl/>
        </w:rPr>
        <w:t>דניאל לא עומד בתנאים המוכתבים בתקנות</w:t>
      </w:r>
      <w:r w:rsidR="00D24407">
        <w:rPr>
          <w:rStyle w:val="FootnoteReference"/>
          <w:rFonts w:ascii="David" w:hAnsi="David" w:cs="David"/>
          <w:sz w:val="24"/>
          <w:szCs w:val="24"/>
          <w:rtl/>
        </w:rPr>
        <w:footnoteReference w:id="54"/>
      </w:r>
      <w:r w:rsidR="00D24407">
        <w:rPr>
          <w:rFonts w:ascii="David" w:hAnsi="David" w:cs="David" w:hint="cs"/>
          <w:sz w:val="24"/>
          <w:szCs w:val="24"/>
          <w:rtl/>
        </w:rPr>
        <w:t>, שכן גרם לנזילה</w:t>
      </w:r>
      <w:r w:rsidR="00AC341F">
        <w:rPr>
          <w:rFonts w:ascii="David" w:hAnsi="David" w:cs="David" w:hint="cs"/>
          <w:sz w:val="24"/>
          <w:szCs w:val="24"/>
          <w:rtl/>
        </w:rPr>
        <w:t xml:space="preserve">, </w:t>
      </w:r>
      <w:r w:rsidR="00D24407">
        <w:rPr>
          <w:rFonts w:ascii="David" w:hAnsi="David" w:cs="David" w:hint="cs"/>
          <w:sz w:val="24"/>
          <w:szCs w:val="24"/>
          <w:rtl/>
        </w:rPr>
        <w:t xml:space="preserve">ואף </w:t>
      </w:r>
      <w:r w:rsidR="00AC341F">
        <w:rPr>
          <w:rFonts w:ascii="David" w:hAnsi="David" w:cs="David" w:hint="cs"/>
          <w:sz w:val="24"/>
          <w:szCs w:val="24"/>
          <w:rtl/>
        </w:rPr>
        <w:t>לא בתנאי סעיף 59ב(א)</w:t>
      </w:r>
      <w:r w:rsidR="00AC341F">
        <w:rPr>
          <w:rStyle w:val="FootnoteReference"/>
          <w:rFonts w:ascii="David" w:hAnsi="David" w:cs="David"/>
          <w:sz w:val="24"/>
          <w:szCs w:val="24"/>
          <w:rtl/>
        </w:rPr>
        <w:footnoteReference w:id="55"/>
      </w:r>
      <w:r w:rsidR="00AC341F">
        <w:rPr>
          <w:rFonts w:ascii="David" w:hAnsi="David" w:cs="David" w:hint="cs"/>
          <w:sz w:val="24"/>
          <w:szCs w:val="24"/>
          <w:rtl/>
        </w:rPr>
        <w:t xml:space="preserve"> האוסרים התנתקות חלקית </w:t>
      </w:r>
      <w:r w:rsidR="00AC341F">
        <w:rPr>
          <w:rFonts w:ascii="David" w:hAnsi="David" w:cs="David" w:hint="cs"/>
          <w:sz w:val="24"/>
          <w:szCs w:val="24"/>
          <w:rtl/>
        </w:rPr>
        <w:lastRenderedPageBreak/>
        <w:t xml:space="preserve">ממערכת משולבת. </w:t>
      </w:r>
      <w:r w:rsidR="00E83B33">
        <w:rPr>
          <w:rFonts w:ascii="David" w:hAnsi="David" w:cs="David" w:hint="cs"/>
          <w:sz w:val="24"/>
          <w:szCs w:val="24"/>
          <w:rtl/>
        </w:rPr>
        <w:t xml:space="preserve">לפי תקנות השר </w:t>
      </w:r>
      <w:r w:rsidR="00AC341F">
        <w:rPr>
          <w:rFonts w:ascii="David" w:hAnsi="David" w:cs="David" w:hint="cs"/>
          <w:sz w:val="24"/>
          <w:szCs w:val="24"/>
          <w:rtl/>
        </w:rPr>
        <w:t>את התשלום לאינסטלטור דניאל היה אמור לשלם בעצמו</w:t>
      </w:r>
      <w:r w:rsidR="00AC341F">
        <w:rPr>
          <w:rStyle w:val="FootnoteReference"/>
          <w:rFonts w:ascii="David" w:hAnsi="David" w:cs="David"/>
          <w:sz w:val="24"/>
          <w:szCs w:val="24"/>
          <w:rtl/>
        </w:rPr>
        <w:footnoteReference w:id="56"/>
      </w:r>
      <w:r w:rsidR="009C6D66">
        <w:rPr>
          <w:rFonts w:ascii="David" w:hAnsi="David" w:cs="David" w:hint="cs"/>
          <w:sz w:val="24"/>
          <w:szCs w:val="24"/>
          <w:rtl/>
        </w:rPr>
        <w:t>,</w:t>
      </w:r>
      <w:r w:rsidR="00E83B33">
        <w:rPr>
          <w:rFonts w:ascii="David" w:hAnsi="David" w:cs="David" w:hint="cs"/>
          <w:sz w:val="24"/>
          <w:szCs w:val="24"/>
          <w:rtl/>
        </w:rPr>
        <w:t xml:space="preserve"> </w:t>
      </w:r>
      <w:r w:rsidR="009C6D66">
        <w:rPr>
          <w:rFonts w:ascii="David" w:hAnsi="David" w:cs="David" w:hint="cs"/>
          <w:sz w:val="24"/>
          <w:szCs w:val="24"/>
          <w:rtl/>
        </w:rPr>
        <w:t xml:space="preserve">כאשר </w:t>
      </w:r>
      <w:r w:rsidR="00D33DE6">
        <w:rPr>
          <w:rFonts w:ascii="David" w:hAnsi="David" w:cs="David" w:hint="cs"/>
          <w:sz w:val="24"/>
          <w:szCs w:val="24"/>
          <w:rtl/>
        </w:rPr>
        <w:t xml:space="preserve">במקרה </w:t>
      </w:r>
      <w:r w:rsidR="00DC7D5C">
        <w:rPr>
          <w:rFonts w:ascii="David" w:hAnsi="David" w:cs="David" w:hint="cs"/>
          <w:sz w:val="24"/>
          <w:szCs w:val="24"/>
          <w:rtl/>
        </w:rPr>
        <w:t>ונחליט ש</w:t>
      </w:r>
      <w:r w:rsidR="009C6D66">
        <w:rPr>
          <w:rFonts w:ascii="David" w:hAnsi="David" w:cs="David" w:hint="cs"/>
          <w:sz w:val="24"/>
          <w:szCs w:val="24"/>
          <w:rtl/>
        </w:rPr>
        <w:t>מדובר בבודק</w:t>
      </w:r>
      <w:r w:rsidR="009C6D66">
        <w:rPr>
          <w:rStyle w:val="FootnoteReference"/>
          <w:rFonts w:ascii="David" w:hAnsi="David" w:cs="David"/>
          <w:sz w:val="24"/>
          <w:szCs w:val="24"/>
          <w:rtl/>
        </w:rPr>
        <w:footnoteReference w:id="57"/>
      </w:r>
      <w:r w:rsidR="009C6D66">
        <w:rPr>
          <w:rFonts w:ascii="David" w:hAnsi="David" w:cs="David" w:hint="cs"/>
          <w:sz w:val="24"/>
          <w:szCs w:val="24"/>
          <w:rtl/>
        </w:rPr>
        <w:t>, על התעריף היה להיות</w:t>
      </w:r>
      <w:r w:rsidR="00E83B33">
        <w:rPr>
          <w:rFonts w:ascii="David" w:hAnsi="David" w:cs="David" w:hint="cs"/>
          <w:sz w:val="24"/>
          <w:szCs w:val="24"/>
          <w:rtl/>
        </w:rPr>
        <w:t xml:space="preserve"> נמוך יותר</w:t>
      </w:r>
      <w:r w:rsidR="00E83B33">
        <w:rPr>
          <w:rStyle w:val="FootnoteReference"/>
          <w:rFonts w:ascii="David" w:hAnsi="David" w:cs="David"/>
          <w:sz w:val="24"/>
          <w:szCs w:val="24"/>
          <w:rtl/>
        </w:rPr>
        <w:footnoteReference w:id="58"/>
      </w:r>
      <w:r w:rsidR="00E83B33">
        <w:rPr>
          <w:rFonts w:ascii="David" w:hAnsi="David" w:cs="David" w:hint="cs"/>
          <w:sz w:val="24"/>
          <w:szCs w:val="24"/>
          <w:rtl/>
        </w:rPr>
        <w:t>. בעקבות ההרס הנציגות מבקשת להיכנס לדירה. מחד, לנציגות עומד החוק</w:t>
      </w:r>
      <w:r w:rsidR="00E83B33">
        <w:rPr>
          <w:rStyle w:val="FootnoteReference"/>
          <w:rFonts w:ascii="David" w:hAnsi="David" w:cs="David"/>
          <w:sz w:val="24"/>
          <w:szCs w:val="24"/>
          <w:rtl/>
        </w:rPr>
        <w:footnoteReference w:id="59"/>
      </w:r>
      <w:r w:rsidR="00E83B33">
        <w:rPr>
          <w:rFonts w:ascii="David" w:hAnsi="David" w:cs="David" w:hint="cs"/>
          <w:sz w:val="24"/>
          <w:szCs w:val="24"/>
          <w:rtl/>
        </w:rPr>
        <w:t xml:space="preserve"> המאפשר כניסה ובדיקה בדירה, אך </w:t>
      </w:r>
      <w:r w:rsidR="0043120D">
        <w:rPr>
          <w:rFonts w:ascii="David" w:hAnsi="David" w:cs="David" w:hint="cs"/>
          <w:sz w:val="24"/>
          <w:szCs w:val="24"/>
          <w:rtl/>
        </w:rPr>
        <w:t xml:space="preserve">מאידך </w:t>
      </w:r>
      <w:r w:rsidR="00E83B33">
        <w:rPr>
          <w:rFonts w:ascii="David" w:hAnsi="David" w:cs="David" w:hint="cs"/>
          <w:sz w:val="24"/>
          <w:szCs w:val="24"/>
          <w:rtl/>
        </w:rPr>
        <w:t xml:space="preserve">יש לבדוק כי </w:t>
      </w:r>
      <w:r w:rsidR="00AE1061">
        <w:rPr>
          <w:rFonts w:ascii="David" w:hAnsi="David" w:cs="David" w:hint="cs"/>
          <w:sz w:val="24"/>
          <w:szCs w:val="24"/>
          <w:rtl/>
        </w:rPr>
        <w:t>שלל</w:t>
      </w:r>
      <w:r w:rsidR="00E83B33">
        <w:rPr>
          <w:rFonts w:ascii="David" w:hAnsi="David" w:cs="David" w:hint="cs"/>
          <w:sz w:val="24"/>
          <w:szCs w:val="24"/>
          <w:rtl/>
        </w:rPr>
        <w:t xml:space="preserve"> </w:t>
      </w:r>
      <w:r w:rsidR="00AE1061">
        <w:rPr>
          <w:rFonts w:ascii="David" w:hAnsi="David" w:cs="David" w:hint="cs"/>
          <w:sz w:val="24"/>
          <w:szCs w:val="24"/>
          <w:rtl/>
        </w:rPr>
        <w:t>תנאי הסעיף</w:t>
      </w:r>
      <w:r w:rsidR="00E83B33">
        <w:rPr>
          <w:rFonts w:ascii="David" w:hAnsi="David" w:cs="David" w:hint="cs"/>
          <w:sz w:val="24"/>
          <w:szCs w:val="24"/>
          <w:rtl/>
        </w:rPr>
        <w:t xml:space="preserve"> מתקיימים</w:t>
      </w:r>
      <w:r w:rsidR="00DF3B00">
        <w:rPr>
          <w:rStyle w:val="FootnoteReference"/>
          <w:rFonts w:ascii="David" w:hAnsi="David" w:cs="David"/>
          <w:sz w:val="24"/>
          <w:szCs w:val="24"/>
          <w:rtl/>
        </w:rPr>
        <w:footnoteReference w:id="60"/>
      </w:r>
      <w:r w:rsidR="00E83B33">
        <w:rPr>
          <w:rFonts w:ascii="David" w:hAnsi="David" w:cs="David" w:hint="cs"/>
          <w:sz w:val="24"/>
          <w:szCs w:val="24"/>
          <w:rtl/>
        </w:rPr>
        <w:t xml:space="preserve"> </w:t>
      </w:r>
      <w:r w:rsidR="00E83B33">
        <w:rPr>
          <w:rFonts w:ascii="David" w:hAnsi="David" w:cs="David"/>
          <w:sz w:val="24"/>
          <w:szCs w:val="24"/>
          <w:rtl/>
        </w:rPr>
        <w:t>–</w:t>
      </w:r>
      <w:r w:rsidR="00E83B33">
        <w:rPr>
          <w:rFonts w:ascii="David" w:hAnsi="David" w:cs="David" w:hint="cs"/>
          <w:sz w:val="24"/>
          <w:szCs w:val="24"/>
          <w:rtl/>
        </w:rPr>
        <w:t xml:space="preserve"> ראשית </w:t>
      </w:r>
      <w:r w:rsidR="00DC7D5C">
        <w:rPr>
          <w:rFonts w:ascii="David" w:hAnsi="David" w:cs="David" w:hint="cs"/>
          <w:sz w:val="24"/>
          <w:szCs w:val="24"/>
          <w:rtl/>
        </w:rPr>
        <w:t>האם המועד</w:t>
      </w:r>
      <w:r w:rsidR="00E83B33">
        <w:rPr>
          <w:rFonts w:ascii="David" w:hAnsi="David" w:cs="David" w:hint="cs"/>
          <w:sz w:val="24"/>
          <w:szCs w:val="24"/>
          <w:rtl/>
        </w:rPr>
        <w:t xml:space="preserve"> סביר. בענייננו מדובר בשעה טיפה מאוחרת </w:t>
      </w:r>
      <w:r w:rsidR="00DF3B00">
        <w:rPr>
          <w:rFonts w:ascii="David" w:hAnsi="David" w:cs="David" w:hint="cs"/>
          <w:sz w:val="24"/>
          <w:szCs w:val="24"/>
          <w:rtl/>
        </w:rPr>
        <w:t>ו</w:t>
      </w:r>
      <w:r w:rsidR="00E83B33">
        <w:rPr>
          <w:rFonts w:ascii="David" w:hAnsi="David" w:cs="David" w:hint="cs"/>
          <w:sz w:val="24"/>
          <w:szCs w:val="24"/>
          <w:rtl/>
        </w:rPr>
        <w:t xml:space="preserve">לכן ניתן </w:t>
      </w:r>
      <w:r w:rsidR="0043120D">
        <w:rPr>
          <w:rFonts w:ascii="David" w:hAnsi="David" w:cs="David" w:hint="cs"/>
          <w:sz w:val="24"/>
          <w:szCs w:val="24"/>
          <w:rtl/>
        </w:rPr>
        <w:t>לטעון</w:t>
      </w:r>
      <w:r w:rsidR="00E83B33">
        <w:rPr>
          <w:rFonts w:ascii="David" w:hAnsi="David" w:cs="David" w:hint="cs"/>
          <w:sz w:val="24"/>
          <w:szCs w:val="24"/>
          <w:rtl/>
        </w:rPr>
        <w:t xml:space="preserve"> לכאן </w:t>
      </w:r>
      <w:r w:rsidR="00DF3B00">
        <w:rPr>
          <w:rFonts w:ascii="David" w:hAnsi="David" w:cs="David" w:hint="cs"/>
          <w:sz w:val="24"/>
          <w:szCs w:val="24"/>
          <w:rtl/>
        </w:rPr>
        <w:t>ולכאן</w:t>
      </w:r>
      <w:r w:rsidR="00771A71">
        <w:rPr>
          <w:rFonts w:ascii="David" w:hAnsi="David" w:cs="David" w:hint="cs"/>
          <w:sz w:val="24"/>
          <w:szCs w:val="24"/>
          <w:rtl/>
        </w:rPr>
        <w:t>, אך ארצה</w:t>
      </w:r>
      <w:r w:rsidR="0043120D">
        <w:rPr>
          <w:rFonts w:ascii="David" w:hAnsi="David" w:cs="David" w:hint="cs"/>
          <w:sz w:val="24"/>
          <w:szCs w:val="24"/>
          <w:rtl/>
        </w:rPr>
        <w:t xml:space="preserve"> לציין </w:t>
      </w:r>
      <w:r w:rsidR="00771A71">
        <w:rPr>
          <w:rFonts w:ascii="David" w:hAnsi="David" w:cs="David" w:hint="cs"/>
          <w:sz w:val="24"/>
          <w:szCs w:val="24"/>
          <w:rtl/>
        </w:rPr>
        <w:t>כי ה7</w:t>
      </w:r>
      <w:r w:rsidR="0043120D">
        <w:rPr>
          <w:rFonts w:ascii="David" w:hAnsi="David" w:cs="David" w:hint="cs"/>
          <w:sz w:val="24"/>
          <w:szCs w:val="24"/>
          <w:rtl/>
        </w:rPr>
        <w:t xml:space="preserve">.8.15 </w:t>
      </w:r>
      <w:r w:rsidR="00292929">
        <w:rPr>
          <w:rFonts w:ascii="David" w:hAnsi="David" w:cs="David" w:hint="cs"/>
          <w:sz w:val="24"/>
          <w:szCs w:val="24"/>
          <w:rtl/>
        </w:rPr>
        <w:t>הוא</w:t>
      </w:r>
      <w:r w:rsidR="0043120D">
        <w:rPr>
          <w:rFonts w:ascii="David" w:hAnsi="David" w:cs="David" w:hint="cs"/>
          <w:sz w:val="24"/>
          <w:szCs w:val="24"/>
          <w:rtl/>
        </w:rPr>
        <w:t xml:space="preserve"> יום שישי</w:t>
      </w:r>
      <w:r w:rsidR="00B95394">
        <w:rPr>
          <w:rFonts w:ascii="David" w:hAnsi="David" w:cs="David" w:hint="cs"/>
          <w:sz w:val="24"/>
          <w:szCs w:val="24"/>
          <w:rtl/>
        </w:rPr>
        <w:t>, דבר המעיד על מועד לא סביר</w:t>
      </w:r>
      <w:r w:rsidR="00D92DEC">
        <w:rPr>
          <w:rFonts w:ascii="David" w:hAnsi="David" w:cs="David" w:hint="cs"/>
          <w:sz w:val="24"/>
          <w:szCs w:val="24"/>
          <w:rtl/>
        </w:rPr>
        <w:t xml:space="preserve"> בשל השעה</w:t>
      </w:r>
      <w:r w:rsidR="00DF3B00">
        <w:rPr>
          <w:rFonts w:ascii="David" w:hAnsi="David" w:cs="David" w:hint="cs"/>
          <w:sz w:val="24"/>
          <w:szCs w:val="24"/>
          <w:rtl/>
        </w:rPr>
        <w:t xml:space="preserve">. התנאי השני הוא כי ההינתקות אכן נעשתה בתוך הדירה, כאשר במקרה שלנו </w:t>
      </w:r>
      <w:r w:rsidR="00AE1061">
        <w:rPr>
          <w:rFonts w:ascii="David" w:hAnsi="David" w:cs="David" w:hint="cs"/>
          <w:sz w:val="24"/>
          <w:szCs w:val="24"/>
          <w:rtl/>
        </w:rPr>
        <w:t>לא סופר היכן בוצעה היא</w:t>
      </w:r>
      <w:r w:rsidR="00DF3B00">
        <w:rPr>
          <w:rFonts w:ascii="David" w:hAnsi="David" w:cs="David" w:hint="cs"/>
          <w:sz w:val="24"/>
          <w:szCs w:val="24"/>
          <w:rtl/>
        </w:rPr>
        <w:t>. התנאי השלישי הוא כי המועד יקבע בתוך 4 ימים מיום מתן ההודעה, כאשר במ</w:t>
      </w:r>
      <w:r w:rsidR="000B0D0F">
        <w:rPr>
          <w:rFonts w:ascii="David" w:hAnsi="David" w:cs="David" w:hint="cs"/>
          <w:sz w:val="24"/>
          <w:szCs w:val="24"/>
          <w:rtl/>
        </w:rPr>
        <w:t>קרה שלנו קיים פער של 6 ימים, ולכן ההודעה בעייתית</w:t>
      </w:r>
      <w:r w:rsidR="001B1D50">
        <w:rPr>
          <w:rFonts w:ascii="David" w:hAnsi="David" w:cs="David" w:hint="cs"/>
          <w:sz w:val="24"/>
          <w:szCs w:val="24"/>
          <w:rtl/>
        </w:rPr>
        <w:t>.</w:t>
      </w:r>
      <w:r w:rsidR="00AE1061">
        <w:rPr>
          <w:rFonts w:ascii="David" w:hAnsi="David" w:cs="David" w:hint="cs"/>
          <w:sz w:val="24"/>
          <w:szCs w:val="24"/>
          <w:rtl/>
        </w:rPr>
        <w:t xml:space="preserve"> </w:t>
      </w:r>
      <w:r w:rsidR="00052F6D">
        <w:rPr>
          <w:rFonts w:ascii="David" w:hAnsi="David" w:cs="David" w:hint="cs"/>
          <w:sz w:val="24"/>
          <w:szCs w:val="24"/>
          <w:rtl/>
        </w:rPr>
        <w:t>בנוסף</w:t>
      </w:r>
      <w:r w:rsidR="00AE1061">
        <w:rPr>
          <w:rFonts w:ascii="David" w:hAnsi="David" w:cs="David" w:hint="cs"/>
          <w:sz w:val="24"/>
          <w:szCs w:val="24"/>
          <w:rtl/>
        </w:rPr>
        <w:t xml:space="preserve">, ההודעה צריכה להימסר בכתב בצמוד לתאריך, כאשר </w:t>
      </w:r>
      <w:r w:rsidR="00052F6D">
        <w:rPr>
          <w:rFonts w:ascii="David" w:hAnsi="David" w:cs="David" w:hint="cs"/>
          <w:sz w:val="24"/>
          <w:szCs w:val="24"/>
          <w:rtl/>
        </w:rPr>
        <w:t>מלשון העבודה, "מכתיבים", ניתן ללמוד לכאן ולכאן.</w:t>
      </w:r>
    </w:p>
    <w:p w:rsidR="001B1D50" w:rsidRPr="00FC1508" w:rsidRDefault="00FC1508" w:rsidP="00CC0CB3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על יאיר לשים לב כי חלק רב מתלונותיו ראוי להפנות למפקח ולא לביהמ"ש</w:t>
      </w:r>
      <w:r>
        <w:rPr>
          <w:rStyle w:val="FootnoteReference"/>
          <w:rFonts w:ascii="David" w:hAnsi="David" w:cs="David"/>
          <w:sz w:val="24"/>
          <w:szCs w:val="24"/>
          <w:rtl/>
        </w:rPr>
        <w:footnoteReference w:id="61"/>
      </w:r>
      <w:r w:rsidR="00CC0CB3">
        <w:rPr>
          <w:rFonts w:ascii="David" w:hAnsi="David" w:cs="David" w:hint="cs"/>
          <w:sz w:val="24"/>
          <w:szCs w:val="24"/>
          <w:rtl/>
        </w:rPr>
        <w:t>, וכן כי קיימת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CC0CB3">
        <w:rPr>
          <w:rFonts w:ascii="David" w:hAnsi="David" w:cs="David" w:hint="cs"/>
          <w:sz w:val="24"/>
          <w:szCs w:val="24"/>
          <w:rtl/>
        </w:rPr>
        <w:t>מגבלת זמן</w:t>
      </w:r>
      <w:r>
        <w:rPr>
          <w:rFonts w:ascii="David" w:hAnsi="David" w:cs="David" w:hint="cs"/>
          <w:sz w:val="24"/>
          <w:szCs w:val="24"/>
          <w:rtl/>
        </w:rPr>
        <w:t xml:space="preserve"> על חלק מאותן תלונות</w:t>
      </w:r>
      <w:r>
        <w:rPr>
          <w:rStyle w:val="FootnoteReference"/>
          <w:rFonts w:ascii="David" w:hAnsi="David" w:cs="David"/>
          <w:sz w:val="24"/>
          <w:szCs w:val="24"/>
          <w:rtl/>
        </w:rPr>
        <w:footnoteReference w:id="62"/>
      </w:r>
      <w:r>
        <w:rPr>
          <w:rFonts w:ascii="David" w:hAnsi="David" w:cs="David" w:hint="cs"/>
          <w:sz w:val="24"/>
          <w:szCs w:val="24"/>
          <w:rtl/>
        </w:rPr>
        <w:t xml:space="preserve">. </w:t>
      </w:r>
    </w:p>
    <w:sectPr w:rsidR="001B1D50" w:rsidRPr="00FC1508" w:rsidSect="00ED77E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994" w:rsidRDefault="00CD2994" w:rsidP="00B443E3">
      <w:pPr>
        <w:spacing w:after="0" w:line="240" w:lineRule="auto"/>
      </w:pPr>
      <w:r>
        <w:separator/>
      </w:r>
    </w:p>
  </w:endnote>
  <w:endnote w:type="continuationSeparator" w:id="0">
    <w:p w:rsidR="00CD2994" w:rsidRDefault="00CD2994" w:rsidP="00B44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994" w:rsidRDefault="00CD2994" w:rsidP="00B443E3">
      <w:pPr>
        <w:spacing w:after="0" w:line="240" w:lineRule="auto"/>
      </w:pPr>
      <w:r>
        <w:separator/>
      </w:r>
    </w:p>
  </w:footnote>
  <w:footnote w:type="continuationSeparator" w:id="0">
    <w:p w:rsidR="00CD2994" w:rsidRDefault="00CD2994" w:rsidP="00B443E3">
      <w:pPr>
        <w:spacing w:after="0" w:line="240" w:lineRule="auto"/>
      </w:pPr>
      <w:r>
        <w:continuationSeparator/>
      </w:r>
    </w:p>
  </w:footnote>
  <w:footnote w:id="1">
    <w:p w:rsidR="00022B2B" w:rsidRPr="008926B9" w:rsidRDefault="00022B2B">
      <w:pPr>
        <w:pStyle w:val="FootnoteText"/>
        <w:rPr>
          <w:rFonts w:ascii="David" w:hAnsi="David" w:cs="David"/>
        </w:rPr>
      </w:pPr>
      <w:r w:rsidRPr="008926B9">
        <w:rPr>
          <w:rStyle w:val="FootnoteReference"/>
          <w:rFonts w:ascii="David" w:hAnsi="David" w:cs="David"/>
        </w:rPr>
        <w:footnoteRef/>
      </w:r>
      <w:r w:rsidRPr="008926B9">
        <w:rPr>
          <w:rFonts w:ascii="David" w:hAnsi="David" w:cs="David"/>
          <w:rtl/>
        </w:rPr>
        <w:t xml:space="preserve"> </w:t>
      </w:r>
      <w:r w:rsidR="00BA388B" w:rsidRPr="008926B9">
        <w:rPr>
          <w:rFonts w:ascii="David" w:hAnsi="David" w:cs="David"/>
          <w:rtl/>
        </w:rPr>
        <w:t>ס' 142(ג) לחוק המקרקעין</w:t>
      </w:r>
      <w:r w:rsidR="00356AD9" w:rsidRPr="008926B9">
        <w:rPr>
          <w:rFonts w:ascii="David" w:hAnsi="David" w:cs="David"/>
          <w:rtl/>
        </w:rPr>
        <w:t>, התשכ"ט-1969, ס"ח 575.</w:t>
      </w:r>
      <w:r w:rsidR="00BA388B" w:rsidRPr="008926B9">
        <w:rPr>
          <w:rFonts w:ascii="David" w:hAnsi="David" w:cs="David"/>
          <w:rtl/>
        </w:rPr>
        <w:t xml:space="preserve"> (להלן: החוק)</w:t>
      </w:r>
      <w:r w:rsidR="00356AD9" w:rsidRPr="008926B9">
        <w:rPr>
          <w:rFonts w:ascii="David" w:hAnsi="David" w:cs="David"/>
          <w:rtl/>
        </w:rPr>
        <w:t>.</w:t>
      </w:r>
    </w:p>
  </w:footnote>
  <w:footnote w:id="2">
    <w:p w:rsidR="003B1327" w:rsidRPr="008926B9" w:rsidRDefault="003B1327" w:rsidP="00575622">
      <w:pPr>
        <w:pStyle w:val="FootnoteText"/>
        <w:rPr>
          <w:rFonts w:ascii="David" w:hAnsi="David" w:cs="David"/>
        </w:rPr>
      </w:pPr>
      <w:r w:rsidRPr="008926B9">
        <w:rPr>
          <w:rStyle w:val="FootnoteReference"/>
          <w:rFonts w:ascii="David" w:hAnsi="David" w:cs="David"/>
        </w:rPr>
        <w:footnoteRef/>
      </w:r>
      <w:r w:rsidRPr="008926B9">
        <w:rPr>
          <w:rFonts w:ascii="David" w:hAnsi="David" w:cs="David"/>
          <w:rtl/>
        </w:rPr>
        <w:t xml:space="preserve"> </w:t>
      </w:r>
      <w:r w:rsidR="00575622" w:rsidRPr="008926B9">
        <w:rPr>
          <w:rFonts w:ascii="David" w:hAnsi="David" w:cs="David"/>
          <w:rtl/>
        </w:rPr>
        <w:t>ס' 143(א) לחוק.</w:t>
      </w:r>
    </w:p>
  </w:footnote>
  <w:footnote w:id="3">
    <w:p w:rsidR="006E10B0" w:rsidRPr="008926B9" w:rsidRDefault="006E10B0" w:rsidP="00575622">
      <w:pPr>
        <w:pStyle w:val="FootnoteText"/>
        <w:rPr>
          <w:rFonts w:ascii="David" w:hAnsi="David" w:cs="David"/>
        </w:rPr>
      </w:pPr>
      <w:r w:rsidRPr="008926B9">
        <w:rPr>
          <w:rStyle w:val="FootnoteReference"/>
          <w:rFonts w:ascii="David" w:hAnsi="David" w:cs="David"/>
        </w:rPr>
        <w:footnoteRef/>
      </w:r>
      <w:r w:rsidRPr="008926B9">
        <w:rPr>
          <w:rFonts w:ascii="David" w:hAnsi="David" w:cs="David"/>
          <w:rtl/>
        </w:rPr>
        <w:t xml:space="preserve"> </w:t>
      </w:r>
      <w:r w:rsidR="00575622" w:rsidRPr="008926B9">
        <w:rPr>
          <w:rFonts w:ascii="David" w:hAnsi="David" w:cs="David"/>
          <w:rtl/>
        </w:rPr>
        <w:t>שם.</w:t>
      </w:r>
    </w:p>
  </w:footnote>
  <w:footnote w:id="4">
    <w:p w:rsidR="00DB4D77" w:rsidRPr="008926B9" w:rsidRDefault="00DB4D77" w:rsidP="00575622">
      <w:pPr>
        <w:pStyle w:val="FootnoteText"/>
        <w:rPr>
          <w:rFonts w:ascii="David" w:hAnsi="David" w:cs="David"/>
          <w:rtl/>
        </w:rPr>
      </w:pPr>
      <w:r w:rsidRPr="008926B9">
        <w:rPr>
          <w:rStyle w:val="FootnoteReference"/>
          <w:rFonts w:ascii="David" w:hAnsi="David" w:cs="David"/>
        </w:rPr>
        <w:footnoteRef/>
      </w:r>
      <w:r w:rsidRPr="008926B9">
        <w:rPr>
          <w:rFonts w:ascii="David" w:hAnsi="David" w:cs="David"/>
          <w:rtl/>
        </w:rPr>
        <w:t xml:space="preserve"> </w:t>
      </w:r>
      <w:r w:rsidR="00356AD9" w:rsidRPr="008926B9">
        <w:rPr>
          <w:rFonts w:ascii="David" w:hAnsi="David" w:cs="David"/>
          <w:rtl/>
        </w:rPr>
        <w:t>ס'</w:t>
      </w:r>
      <w:r w:rsidRPr="008926B9">
        <w:rPr>
          <w:rFonts w:ascii="David" w:hAnsi="David" w:cs="David"/>
          <w:rtl/>
        </w:rPr>
        <w:t xml:space="preserve"> 145(א)</w:t>
      </w:r>
      <w:r w:rsidR="00575622" w:rsidRPr="008926B9">
        <w:rPr>
          <w:rFonts w:ascii="David" w:hAnsi="David" w:cs="David"/>
          <w:rtl/>
        </w:rPr>
        <w:t xml:space="preserve"> לחוק.</w:t>
      </w:r>
    </w:p>
  </w:footnote>
  <w:footnote w:id="5">
    <w:p w:rsidR="00830543" w:rsidRPr="008926B9" w:rsidRDefault="00830543" w:rsidP="00575622">
      <w:pPr>
        <w:pStyle w:val="FootnoteText"/>
        <w:rPr>
          <w:rFonts w:ascii="David" w:hAnsi="David" w:cs="David"/>
          <w:rtl/>
        </w:rPr>
      </w:pPr>
      <w:r w:rsidRPr="008926B9">
        <w:rPr>
          <w:rStyle w:val="FootnoteReference"/>
          <w:rFonts w:ascii="David" w:hAnsi="David" w:cs="David"/>
        </w:rPr>
        <w:footnoteRef/>
      </w:r>
      <w:r w:rsidRPr="008926B9">
        <w:rPr>
          <w:rFonts w:ascii="David" w:hAnsi="David" w:cs="David"/>
          <w:rtl/>
        </w:rPr>
        <w:t xml:space="preserve"> </w:t>
      </w:r>
      <w:r w:rsidR="00356AD9" w:rsidRPr="008926B9">
        <w:rPr>
          <w:rFonts w:ascii="David" w:hAnsi="David" w:cs="David"/>
          <w:rtl/>
        </w:rPr>
        <w:t>ס'</w:t>
      </w:r>
      <w:r w:rsidR="00BA388B" w:rsidRPr="008926B9">
        <w:rPr>
          <w:rFonts w:ascii="David" w:hAnsi="David" w:cs="David"/>
          <w:rtl/>
        </w:rPr>
        <w:t xml:space="preserve"> 146(א)</w:t>
      </w:r>
      <w:r w:rsidR="00575622" w:rsidRPr="008926B9">
        <w:rPr>
          <w:rFonts w:ascii="David" w:hAnsi="David" w:cs="David"/>
          <w:rtl/>
        </w:rPr>
        <w:t xml:space="preserve"> לחוק.</w:t>
      </w:r>
    </w:p>
  </w:footnote>
  <w:footnote w:id="6">
    <w:p w:rsidR="001916B1" w:rsidRPr="008926B9" w:rsidRDefault="001916B1" w:rsidP="00575622">
      <w:pPr>
        <w:pStyle w:val="FootnoteText"/>
        <w:rPr>
          <w:rFonts w:ascii="David" w:hAnsi="David" w:cs="David"/>
          <w:rtl/>
        </w:rPr>
      </w:pPr>
      <w:r w:rsidRPr="008926B9">
        <w:rPr>
          <w:rStyle w:val="FootnoteReference"/>
          <w:rFonts w:ascii="David" w:hAnsi="David" w:cs="David"/>
        </w:rPr>
        <w:footnoteRef/>
      </w:r>
      <w:r w:rsidRPr="008926B9">
        <w:rPr>
          <w:rFonts w:ascii="David" w:hAnsi="David" w:cs="David"/>
          <w:rtl/>
        </w:rPr>
        <w:t xml:space="preserve"> </w:t>
      </w:r>
      <w:r w:rsidR="00356AD9" w:rsidRPr="008926B9">
        <w:rPr>
          <w:rFonts w:ascii="David" w:hAnsi="David" w:cs="David"/>
          <w:rtl/>
        </w:rPr>
        <w:t>ס'</w:t>
      </w:r>
      <w:r w:rsidR="00BA388B" w:rsidRPr="008926B9">
        <w:rPr>
          <w:rFonts w:ascii="David" w:hAnsi="David" w:cs="David"/>
          <w:rtl/>
        </w:rPr>
        <w:t xml:space="preserve"> 66(א)</w:t>
      </w:r>
      <w:r w:rsidR="00575622" w:rsidRPr="008926B9">
        <w:rPr>
          <w:rFonts w:ascii="David" w:hAnsi="David" w:cs="David"/>
          <w:rtl/>
        </w:rPr>
        <w:t xml:space="preserve"> לחוק.</w:t>
      </w:r>
    </w:p>
  </w:footnote>
  <w:footnote w:id="7">
    <w:p w:rsidR="004742F6" w:rsidRPr="008926B9" w:rsidRDefault="004742F6" w:rsidP="00575622">
      <w:pPr>
        <w:pStyle w:val="FootnoteText"/>
        <w:rPr>
          <w:rFonts w:ascii="David" w:hAnsi="David" w:cs="David"/>
          <w:rtl/>
        </w:rPr>
      </w:pPr>
      <w:r w:rsidRPr="008926B9">
        <w:rPr>
          <w:rStyle w:val="FootnoteReference"/>
          <w:rFonts w:ascii="David" w:hAnsi="David" w:cs="David"/>
        </w:rPr>
        <w:footnoteRef/>
      </w:r>
      <w:r w:rsidRPr="008926B9">
        <w:rPr>
          <w:rFonts w:ascii="David" w:hAnsi="David" w:cs="David"/>
          <w:rtl/>
        </w:rPr>
        <w:t xml:space="preserve"> </w:t>
      </w:r>
      <w:r w:rsidR="00356AD9" w:rsidRPr="008926B9">
        <w:rPr>
          <w:rFonts w:ascii="David" w:hAnsi="David" w:cs="David"/>
          <w:rtl/>
        </w:rPr>
        <w:t>ס'</w:t>
      </w:r>
      <w:r w:rsidRPr="008926B9">
        <w:rPr>
          <w:rFonts w:ascii="David" w:hAnsi="David" w:cs="David"/>
          <w:rtl/>
        </w:rPr>
        <w:t xml:space="preserve"> 52</w:t>
      </w:r>
      <w:r w:rsidR="00575622" w:rsidRPr="008926B9">
        <w:rPr>
          <w:rFonts w:ascii="David" w:hAnsi="David" w:cs="David"/>
          <w:rtl/>
        </w:rPr>
        <w:t xml:space="preserve"> לחוק.</w:t>
      </w:r>
    </w:p>
  </w:footnote>
  <w:footnote w:id="8">
    <w:p w:rsidR="008C0332" w:rsidRPr="008926B9" w:rsidRDefault="008C0332" w:rsidP="00356AD9">
      <w:pPr>
        <w:pStyle w:val="FootnoteText"/>
        <w:rPr>
          <w:rFonts w:ascii="David" w:hAnsi="David" w:cs="David"/>
          <w:rtl/>
        </w:rPr>
      </w:pPr>
      <w:r w:rsidRPr="008926B9">
        <w:rPr>
          <w:rStyle w:val="FootnoteReference"/>
          <w:rFonts w:ascii="David" w:hAnsi="David" w:cs="David"/>
        </w:rPr>
        <w:footnoteRef/>
      </w:r>
      <w:r w:rsidRPr="008926B9">
        <w:rPr>
          <w:rFonts w:ascii="David" w:hAnsi="David" w:cs="David"/>
          <w:rtl/>
        </w:rPr>
        <w:t xml:space="preserve"> </w:t>
      </w:r>
      <w:r w:rsidR="00356AD9" w:rsidRPr="008926B9">
        <w:rPr>
          <w:rFonts w:ascii="David" w:hAnsi="David" w:cs="David"/>
          <w:rtl/>
        </w:rPr>
        <w:t>פרט</w:t>
      </w:r>
      <w:r w:rsidR="004F5463" w:rsidRPr="008926B9">
        <w:rPr>
          <w:rFonts w:ascii="David" w:hAnsi="David" w:cs="David"/>
          <w:rtl/>
        </w:rPr>
        <w:t xml:space="preserve"> 5(ב</w:t>
      </w:r>
      <w:r w:rsidRPr="008926B9">
        <w:rPr>
          <w:rFonts w:ascii="David" w:hAnsi="David" w:cs="David"/>
          <w:rtl/>
        </w:rPr>
        <w:t>)</w:t>
      </w:r>
      <w:r w:rsidR="00356AD9" w:rsidRPr="008926B9">
        <w:rPr>
          <w:rFonts w:ascii="David" w:hAnsi="David" w:cs="David"/>
          <w:rtl/>
        </w:rPr>
        <w:t xml:space="preserve"> לתוספת הראשונה לחוק המקרקעין, התשכ"ט-1969. </w:t>
      </w:r>
      <w:r w:rsidR="00356AD9" w:rsidRPr="008926B9">
        <w:rPr>
          <w:rFonts w:ascii="David" w:hAnsi="David" w:cs="David"/>
          <w:rtl/>
        </w:rPr>
        <w:t>(להלן: התוספת)</w:t>
      </w:r>
      <w:r w:rsidR="00D46897">
        <w:rPr>
          <w:rFonts w:ascii="David" w:hAnsi="David" w:cs="David" w:hint="cs"/>
          <w:rtl/>
        </w:rPr>
        <w:t>.</w:t>
      </w:r>
    </w:p>
  </w:footnote>
  <w:footnote w:id="9">
    <w:p w:rsidR="005B6523" w:rsidRPr="008926B9" w:rsidRDefault="005B6523" w:rsidP="00575622">
      <w:pPr>
        <w:pStyle w:val="FootnoteText"/>
        <w:rPr>
          <w:rFonts w:ascii="David" w:hAnsi="David" w:cs="David"/>
        </w:rPr>
      </w:pPr>
      <w:r w:rsidRPr="008926B9">
        <w:rPr>
          <w:rStyle w:val="FootnoteReference"/>
          <w:rFonts w:ascii="David" w:hAnsi="David" w:cs="David"/>
        </w:rPr>
        <w:footnoteRef/>
      </w:r>
      <w:r w:rsidRPr="008926B9">
        <w:rPr>
          <w:rFonts w:ascii="David" w:hAnsi="David" w:cs="David"/>
          <w:rtl/>
        </w:rPr>
        <w:t xml:space="preserve"> </w:t>
      </w:r>
      <w:r w:rsidR="00356AD9" w:rsidRPr="008926B9">
        <w:rPr>
          <w:rFonts w:ascii="David" w:hAnsi="David" w:cs="David"/>
          <w:rtl/>
        </w:rPr>
        <w:t>פרט</w:t>
      </w:r>
      <w:r w:rsidRPr="008926B9">
        <w:rPr>
          <w:rFonts w:ascii="David" w:hAnsi="David" w:cs="David"/>
          <w:rtl/>
        </w:rPr>
        <w:t xml:space="preserve"> 8(א)</w:t>
      </w:r>
      <w:r w:rsidR="00575622" w:rsidRPr="008926B9">
        <w:rPr>
          <w:rFonts w:ascii="David" w:hAnsi="David" w:cs="David"/>
          <w:rtl/>
        </w:rPr>
        <w:t xml:space="preserve"> לתוספת.</w:t>
      </w:r>
    </w:p>
  </w:footnote>
  <w:footnote w:id="10">
    <w:p w:rsidR="004F5463" w:rsidRPr="008926B9" w:rsidRDefault="004F5463" w:rsidP="00575622">
      <w:pPr>
        <w:pStyle w:val="FootnoteText"/>
        <w:rPr>
          <w:rFonts w:ascii="David" w:hAnsi="David" w:cs="David"/>
          <w:rtl/>
        </w:rPr>
      </w:pPr>
      <w:r w:rsidRPr="008926B9">
        <w:rPr>
          <w:rStyle w:val="FootnoteReference"/>
          <w:rFonts w:ascii="David" w:hAnsi="David" w:cs="David"/>
        </w:rPr>
        <w:footnoteRef/>
      </w:r>
      <w:r w:rsidR="00575622" w:rsidRPr="008926B9">
        <w:rPr>
          <w:rFonts w:ascii="David" w:hAnsi="David" w:cs="David"/>
          <w:rtl/>
        </w:rPr>
        <w:t xml:space="preserve"> </w:t>
      </w:r>
      <w:r w:rsidR="006E1D8A" w:rsidRPr="008926B9">
        <w:rPr>
          <w:rFonts w:ascii="David" w:hAnsi="David" w:cs="David"/>
          <w:rtl/>
        </w:rPr>
        <w:t>פרט</w:t>
      </w:r>
      <w:r w:rsidRPr="008926B9">
        <w:rPr>
          <w:rFonts w:ascii="David" w:hAnsi="David" w:cs="David"/>
          <w:rtl/>
        </w:rPr>
        <w:t xml:space="preserve"> </w:t>
      </w:r>
      <w:r w:rsidR="00832BF9" w:rsidRPr="008926B9">
        <w:rPr>
          <w:rFonts w:ascii="David" w:hAnsi="David" w:cs="David"/>
          <w:rtl/>
        </w:rPr>
        <w:t>5</w:t>
      </w:r>
      <w:r w:rsidRPr="008926B9">
        <w:rPr>
          <w:rFonts w:ascii="David" w:hAnsi="David" w:cs="David"/>
          <w:rtl/>
        </w:rPr>
        <w:t>(ב)</w:t>
      </w:r>
      <w:r w:rsidR="00575622" w:rsidRPr="008926B9">
        <w:rPr>
          <w:rFonts w:ascii="David" w:hAnsi="David" w:cs="David"/>
          <w:rtl/>
        </w:rPr>
        <w:t xml:space="preserve"> לתוספת.</w:t>
      </w:r>
    </w:p>
  </w:footnote>
  <w:footnote w:id="11">
    <w:p w:rsidR="004F5463" w:rsidRPr="008926B9" w:rsidRDefault="004F5463" w:rsidP="00575622">
      <w:pPr>
        <w:pStyle w:val="FootnoteText"/>
        <w:rPr>
          <w:rFonts w:ascii="David" w:hAnsi="David" w:cs="David"/>
        </w:rPr>
      </w:pPr>
      <w:r w:rsidRPr="008926B9">
        <w:rPr>
          <w:rStyle w:val="FootnoteReference"/>
          <w:rFonts w:ascii="David" w:hAnsi="David" w:cs="David"/>
        </w:rPr>
        <w:footnoteRef/>
      </w:r>
      <w:r w:rsidRPr="008926B9">
        <w:rPr>
          <w:rFonts w:ascii="David" w:hAnsi="David" w:cs="David"/>
          <w:rtl/>
        </w:rPr>
        <w:t xml:space="preserve"> </w:t>
      </w:r>
      <w:r w:rsidR="006E1D8A" w:rsidRPr="008926B9">
        <w:rPr>
          <w:rFonts w:ascii="David" w:hAnsi="David" w:cs="David"/>
          <w:rtl/>
        </w:rPr>
        <w:t>פרט</w:t>
      </w:r>
      <w:r w:rsidR="00832BF9" w:rsidRPr="008926B9">
        <w:rPr>
          <w:rFonts w:ascii="David" w:hAnsi="David" w:cs="David"/>
          <w:rtl/>
        </w:rPr>
        <w:t xml:space="preserve"> 12</w:t>
      </w:r>
      <w:r w:rsidRPr="008926B9">
        <w:rPr>
          <w:rFonts w:ascii="David" w:hAnsi="David" w:cs="David"/>
          <w:rtl/>
        </w:rPr>
        <w:t>(</w:t>
      </w:r>
      <w:r w:rsidR="00832BF9" w:rsidRPr="008926B9">
        <w:rPr>
          <w:rFonts w:ascii="David" w:hAnsi="David" w:cs="David"/>
          <w:rtl/>
        </w:rPr>
        <w:t>א</w:t>
      </w:r>
      <w:r w:rsidRPr="008926B9">
        <w:rPr>
          <w:rFonts w:ascii="David" w:hAnsi="David" w:cs="David"/>
          <w:rtl/>
        </w:rPr>
        <w:t>)</w:t>
      </w:r>
      <w:r w:rsidR="00575622" w:rsidRPr="008926B9">
        <w:rPr>
          <w:rFonts w:ascii="David" w:hAnsi="David" w:cs="David"/>
          <w:rtl/>
        </w:rPr>
        <w:t xml:space="preserve"> לתוספת.</w:t>
      </w:r>
    </w:p>
  </w:footnote>
  <w:footnote w:id="12">
    <w:p w:rsidR="004F5463" w:rsidRPr="008926B9" w:rsidRDefault="004F5463" w:rsidP="00575622">
      <w:pPr>
        <w:pStyle w:val="FootnoteText"/>
        <w:rPr>
          <w:rFonts w:ascii="David" w:hAnsi="David" w:cs="David"/>
        </w:rPr>
      </w:pPr>
      <w:r w:rsidRPr="008926B9">
        <w:rPr>
          <w:rStyle w:val="FootnoteReference"/>
          <w:rFonts w:ascii="David" w:hAnsi="David" w:cs="David"/>
        </w:rPr>
        <w:footnoteRef/>
      </w:r>
      <w:r w:rsidRPr="008926B9">
        <w:rPr>
          <w:rFonts w:ascii="David" w:hAnsi="David" w:cs="David"/>
          <w:rtl/>
        </w:rPr>
        <w:t xml:space="preserve"> </w:t>
      </w:r>
      <w:r w:rsidR="002C41C8" w:rsidRPr="008926B9">
        <w:rPr>
          <w:rFonts w:ascii="David" w:hAnsi="David" w:cs="David"/>
          <w:rtl/>
        </w:rPr>
        <w:t>פרט</w:t>
      </w:r>
      <w:r w:rsidR="00575622" w:rsidRPr="008926B9">
        <w:rPr>
          <w:rFonts w:ascii="David" w:hAnsi="David" w:cs="David"/>
          <w:rtl/>
        </w:rPr>
        <w:t xml:space="preserve"> 10 לתוספת.</w:t>
      </w:r>
    </w:p>
  </w:footnote>
  <w:footnote w:id="13">
    <w:p w:rsidR="004F5463" w:rsidRPr="008926B9" w:rsidRDefault="004F5463" w:rsidP="00575622">
      <w:pPr>
        <w:pStyle w:val="FootnoteText"/>
        <w:rPr>
          <w:rFonts w:ascii="David" w:hAnsi="David" w:cs="David"/>
          <w:rtl/>
        </w:rPr>
      </w:pPr>
      <w:r w:rsidRPr="008926B9">
        <w:rPr>
          <w:rStyle w:val="FootnoteReference"/>
          <w:rFonts w:ascii="David" w:hAnsi="David" w:cs="David"/>
        </w:rPr>
        <w:footnoteRef/>
      </w:r>
      <w:r w:rsidRPr="008926B9">
        <w:rPr>
          <w:rFonts w:ascii="David" w:hAnsi="David" w:cs="David"/>
          <w:rtl/>
        </w:rPr>
        <w:t xml:space="preserve"> </w:t>
      </w:r>
      <w:r w:rsidR="002C41C8" w:rsidRPr="008926B9">
        <w:rPr>
          <w:rFonts w:ascii="David" w:hAnsi="David" w:cs="David"/>
          <w:rtl/>
        </w:rPr>
        <w:t>פרט</w:t>
      </w:r>
      <w:r w:rsidR="00575622" w:rsidRPr="008926B9">
        <w:rPr>
          <w:rFonts w:ascii="David" w:hAnsi="David" w:cs="David"/>
          <w:rtl/>
        </w:rPr>
        <w:t xml:space="preserve"> 13(ג) לתוספת.</w:t>
      </w:r>
    </w:p>
  </w:footnote>
  <w:footnote w:id="14">
    <w:p w:rsidR="004F5463" w:rsidRPr="008926B9" w:rsidRDefault="004F5463" w:rsidP="00575622">
      <w:pPr>
        <w:pStyle w:val="FootnoteText"/>
        <w:rPr>
          <w:rFonts w:ascii="David" w:hAnsi="David" w:cs="David"/>
          <w:rtl/>
        </w:rPr>
      </w:pPr>
      <w:r w:rsidRPr="008926B9">
        <w:rPr>
          <w:rStyle w:val="FootnoteReference"/>
          <w:rFonts w:ascii="David" w:hAnsi="David" w:cs="David"/>
        </w:rPr>
        <w:footnoteRef/>
      </w:r>
      <w:r w:rsidR="002C41C8" w:rsidRPr="008926B9">
        <w:rPr>
          <w:rFonts w:ascii="David" w:hAnsi="David" w:cs="David"/>
          <w:rtl/>
        </w:rPr>
        <w:t xml:space="preserve"> </w:t>
      </w:r>
      <w:r w:rsidR="002C41C8" w:rsidRPr="008926B9">
        <w:rPr>
          <w:rFonts w:ascii="David" w:hAnsi="David" w:cs="David"/>
          <w:rtl/>
        </w:rPr>
        <w:t>פרט</w:t>
      </w:r>
      <w:r w:rsidRPr="008926B9">
        <w:rPr>
          <w:rFonts w:ascii="David" w:hAnsi="David" w:cs="David"/>
          <w:rtl/>
        </w:rPr>
        <w:t xml:space="preserve"> 15(א)</w:t>
      </w:r>
      <w:r w:rsidR="00575622" w:rsidRPr="008926B9">
        <w:rPr>
          <w:rFonts w:ascii="David" w:hAnsi="David" w:cs="David"/>
          <w:rtl/>
        </w:rPr>
        <w:t xml:space="preserve"> לתוספת.</w:t>
      </w:r>
    </w:p>
  </w:footnote>
  <w:footnote w:id="15">
    <w:p w:rsidR="00902E05" w:rsidRPr="008926B9" w:rsidRDefault="00902E05" w:rsidP="002C41C8">
      <w:pPr>
        <w:pStyle w:val="FootnoteText"/>
        <w:rPr>
          <w:rFonts w:ascii="David" w:hAnsi="David" w:cs="David"/>
          <w:rtl/>
        </w:rPr>
      </w:pPr>
      <w:r w:rsidRPr="008926B9">
        <w:rPr>
          <w:rStyle w:val="FootnoteReference"/>
          <w:rFonts w:ascii="David" w:hAnsi="David" w:cs="David"/>
        </w:rPr>
        <w:footnoteRef/>
      </w:r>
      <w:r w:rsidR="002C41C8" w:rsidRPr="008926B9">
        <w:rPr>
          <w:rFonts w:ascii="David" w:hAnsi="David" w:cs="David"/>
          <w:rtl/>
        </w:rPr>
        <w:t xml:space="preserve"> </w:t>
      </w:r>
      <w:r w:rsidR="002C41C8" w:rsidRPr="008926B9">
        <w:rPr>
          <w:rFonts w:ascii="David" w:hAnsi="David" w:cs="David"/>
          <w:rtl/>
        </w:rPr>
        <w:t>פרט</w:t>
      </w:r>
      <w:r w:rsidRPr="008926B9">
        <w:rPr>
          <w:rFonts w:ascii="David" w:hAnsi="David" w:cs="David"/>
          <w:rtl/>
        </w:rPr>
        <w:t xml:space="preserve"> 14(א)</w:t>
      </w:r>
      <w:r w:rsidR="00575622" w:rsidRPr="008926B9">
        <w:rPr>
          <w:rFonts w:ascii="David" w:hAnsi="David" w:cs="David"/>
          <w:rtl/>
        </w:rPr>
        <w:t xml:space="preserve"> לתוספת.</w:t>
      </w:r>
    </w:p>
  </w:footnote>
  <w:footnote w:id="16">
    <w:p w:rsidR="00A2631F" w:rsidRPr="008926B9" w:rsidRDefault="00A2631F" w:rsidP="00C132CA">
      <w:pPr>
        <w:pStyle w:val="FootnoteText"/>
        <w:rPr>
          <w:rFonts w:ascii="David" w:hAnsi="David" w:cs="David"/>
          <w:rtl/>
        </w:rPr>
      </w:pPr>
      <w:r w:rsidRPr="008926B9">
        <w:rPr>
          <w:rStyle w:val="FootnoteReference"/>
          <w:rFonts w:ascii="David" w:hAnsi="David" w:cs="David"/>
        </w:rPr>
        <w:footnoteRef/>
      </w:r>
      <w:r w:rsidRPr="008926B9">
        <w:rPr>
          <w:rFonts w:ascii="David" w:hAnsi="David" w:cs="David"/>
          <w:rtl/>
        </w:rPr>
        <w:t xml:space="preserve"> </w:t>
      </w:r>
      <w:r w:rsidRPr="008926B9">
        <w:rPr>
          <w:rFonts w:ascii="David" w:hAnsi="David" w:cs="David"/>
          <w:rtl/>
        </w:rPr>
        <w:t>ס</w:t>
      </w:r>
      <w:r w:rsidR="00C132CA" w:rsidRPr="008926B9">
        <w:rPr>
          <w:rFonts w:ascii="David" w:hAnsi="David" w:cs="David"/>
          <w:rtl/>
        </w:rPr>
        <w:t>'</w:t>
      </w:r>
      <w:r w:rsidRPr="008926B9">
        <w:rPr>
          <w:rFonts w:ascii="David" w:hAnsi="David" w:cs="David"/>
          <w:rtl/>
        </w:rPr>
        <w:t xml:space="preserve"> 62(ב)</w:t>
      </w:r>
      <w:r w:rsidR="00C132CA" w:rsidRPr="008926B9">
        <w:rPr>
          <w:rFonts w:ascii="David" w:hAnsi="David" w:cs="David"/>
          <w:rtl/>
        </w:rPr>
        <w:t xml:space="preserve"> לחוק.</w:t>
      </w:r>
    </w:p>
  </w:footnote>
  <w:footnote w:id="17">
    <w:p w:rsidR="004742F6" w:rsidRPr="008926B9" w:rsidRDefault="004742F6" w:rsidP="00575622">
      <w:pPr>
        <w:pStyle w:val="FootnoteText"/>
        <w:rPr>
          <w:rFonts w:ascii="David" w:hAnsi="David" w:cs="David"/>
          <w:rtl/>
        </w:rPr>
      </w:pPr>
      <w:r w:rsidRPr="008926B9">
        <w:rPr>
          <w:rStyle w:val="FootnoteReference"/>
          <w:rFonts w:ascii="David" w:hAnsi="David" w:cs="David"/>
        </w:rPr>
        <w:footnoteRef/>
      </w:r>
      <w:r w:rsidRPr="008926B9">
        <w:rPr>
          <w:rFonts w:ascii="David" w:hAnsi="David" w:cs="David"/>
          <w:rtl/>
        </w:rPr>
        <w:t xml:space="preserve"> </w:t>
      </w:r>
      <w:r w:rsidR="00C132CA" w:rsidRPr="008926B9">
        <w:rPr>
          <w:rFonts w:ascii="David" w:hAnsi="David" w:cs="David"/>
          <w:rtl/>
        </w:rPr>
        <w:t>ס'</w:t>
      </w:r>
      <w:r w:rsidRPr="008926B9">
        <w:rPr>
          <w:rFonts w:ascii="David" w:hAnsi="David" w:cs="David"/>
          <w:rtl/>
        </w:rPr>
        <w:t xml:space="preserve"> 62(א)</w:t>
      </w:r>
      <w:r w:rsidR="00575622" w:rsidRPr="008926B9">
        <w:rPr>
          <w:rFonts w:ascii="David" w:hAnsi="David" w:cs="David"/>
          <w:rtl/>
        </w:rPr>
        <w:t xml:space="preserve"> לחוק.</w:t>
      </w:r>
    </w:p>
  </w:footnote>
  <w:footnote w:id="18">
    <w:p w:rsidR="004742F6" w:rsidRPr="008926B9" w:rsidRDefault="004742F6" w:rsidP="00C132CA">
      <w:pPr>
        <w:pStyle w:val="FootnoteText"/>
        <w:rPr>
          <w:rFonts w:ascii="David" w:hAnsi="David" w:cs="David"/>
          <w:rtl/>
        </w:rPr>
      </w:pPr>
      <w:r w:rsidRPr="008926B9">
        <w:rPr>
          <w:rStyle w:val="FootnoteReference"/>
          <w:rFonts w:ascii="David" w:hAnsi="David" w:cs="David"/>
        </w:rPr>
        <w:footnoteRef/>
      </w:r>
      <w:r w:rsidR="00C132CA" w:rsidRPr="008926B9">
        <w:rPr>
          <w:rFonts w:ascii="David" w:hAnsi="David" w:cs="David"/>
          <w:rtl/>
        </w:rPr>
        <w:t xml:space="preserve"> </w:t>
      </w:r>
      <w:r w:rsidR="00C132CA" w:rsidRPr="008926B9">
        <w:rPr>
          <w:rFonts w:ascii="David" w:hAnsi="David" w:cs="David"/>
          <w:rtl/>
        </w:rPr>
        <w:t>ס</w:t>
      </w:r>
      <w:r w:rsidR="00F45CEC" w:rsidRPr="008926B9">
        <w:rPr>
          <w:rFonts w:ascii="David" w:hAnsi="David" w:cs="David"/>
          <w:rtl/>
        </w:rPr>
        <w:t>'</w:t>
      </w:r>
      <w:r w:rsidRPr="008926B9">
        <w:rPr>
          <w:rFonts w:ascii="David" w:hAnsi="David" w:cs="David"/>
          <w:rtl/>
        </w:rPr>
        <w:t xml:space="preserve"> 57(</w:t>
      </w:r>
      <w:r w:rsidR="00C132CA" w:rsidRPr="008926B9">
        <w:rPr>
          <w:rFonts w:ascii="David" w:hAnsi="David" w:cs="David"/>
          <w:rtl/>
        </w:rPr>
        <w:t>א</w:t>
      </w:r>
      <w:r w:rsidRPr="008926B9">
        <w:rPr>
          <w:rFonts w:ascii="David" w:hAnsi="David" w:cs="David"/>
          <w:rtl/>
        </w:rPr>
        <w:t>)</w:t>
      </w:r>
      <w:r w:rsidR="00575622" w:rsidRPr="008926B9">
        <w:rPr>
          <w:rFonts w:ascii="David" w:hAnsi="David" w:cs="David"/>
          <w:rtl/>
        </w:rPr>
        <w:t xml:space="preserve"> לחוק</w:t>
      </w:r>
      <w:r w:rsidR="00C132CA" w:rsidRPr="008926B9">
        <w:rPr>
          <w:rFonts w:ascii="David" w:hAnsi="David" w:cs="David"/>
          <w:rtl/>
        </w:rPr>
        <w:t>.</w:t>
      </w:r>
    </w:p>
  </w:footnote>
  <w:footnote w:id="19">
    <w:p w:rsidR="004742F6" w:rsidRPr="008926B9" w:rsidRDefault="004742F6" w:rsidP="00C132CA">
      <w:pPr>
        <w:pStyle w:val="FootnoteText"/>
        <w:rPr>
          <w:rFonts w:ascii="David" w:hAnsi="David" w:cs="David"/>
        </w:rPr>
      </w:pPr>
      <w:r w:rsidRPr="008926B9">
        <w:rPr>
          <w:rStyle w:val="FootnoteReference"/>
          <w:rFonts w:ascii="David" w:hAnsi="David" w:cs="David"/>
        </w:rPr>
        <w:footnoteRef/>
      </w:r>
      <w:r w:rsidRPr="008926B9">
        <w:rPr>
          <w:rFonts w:ascii="David" w:hAnsi="David" w:cs="David"/>
          <w:rtl/>
        </w:rPr>
        <w:t xml:space="preserve"> </w:t>
      </w:r>
      <w:r w:rsidR="00C132CA" w:rsidRPr="008926B9">
        <w:rPr>
          <w:rFonts w:ascii="David" w:hAnsi="David" w:cs="David"/>
          <w:rtl/>
        </w:rPr>
        <w:t>ס'</w:t>
      </w:r>
      <w:r w:rsidRPr="008926B9">
        <w:rPr>
          <w:rFonts w:ascii="David" w:hAnsi="David" w:cs="David"/>
          <w:rtl/>
        </w:rPr>
        <w:t xml:space="preserve"> 608 להצעת </w:t>
      </w:r>
      <w:r w:rsidR="00C132CA" w:rsidRPr="008926B9">
        <w:rPr>
          <w:rFonts w:ascii="David" w:hAnsi="David" w:cs="David"/>
          <w:rtl/>
        </w:rPr>
        <w:t>חוק דיני ממונות, התשע"א-2011, ה"ח 595, 712</w:t>
      </w:r>
      <w:r w:rsidRPr="008926B9">
        <w:rPr>
          <w:rFonts w:ascii="David" w:hAnsi="David" w:cs="David"/>
          <w:rtl/>
        </w:rPr>
        <w:t>.</w:t>
      </w:r>
    </w:p>
  </w:footnote>
  <w:footnote w:id="20">
    <w:p w:rsidR="00A2631F" w:rsidRPr="008926B9" w:rsidRDefault="00A2631F" w:rsidP="007218C5">
      <w:pPr>
        <w:pStyle w:val="FootnoteText"/>
        <w:rPr>
          <w:rFonts w:ascii="David" w:hAnsi="David" w:cs="David"/>
        </w:rPr>
      </w:pPr>
      <w:r w:rsidRPr="008926B9">
        <w:rPr>
          <w:rStyle w:val="FootnoteReference"/>
          <w:rFonts w:ascii="David" w:hAnsi="David" w:cs="David"/>
        </w:rPr>
        <w:footnoteRef/>
      </w:r>
      <w:r w:rsidRPr="008926B9">
        <w:rPr>
          <w:rFonts w:ascii="David" w:hAnsi="David" w:cs="David"/>
          <w:rtl/>
        </w:rPr>
        <w:t xml:space="preserve"> </w:t>
      </w:r>
      <w:r w:rsidR="007218C5" w:rsidRPr="008926B9">
        <w:rPr>
          <w:rFonts w:ascii="David" w:hAnsi="David" w:cs="David"/>
          <w:rtl/>
        </w:rPr>
        <w:t>ס'</w:t>
      </w:r>
      <w:r w:rsidRPr="008926B9">
        <w:rPr>
          <w:rFonts w:ascii="David" w:hAnsi="David" w:cs="David"/>
          <w:rtl/>
        </w:rPr>
        <w:t xml:space="preserve"> 58(א)</w:t>
      </w:r>
      <w:r w:rsidR="007218C5" w:rsidRPr="008926B9">
        <w:rPr>
          <w:rFonts w:ascii="David" w:hAnsi="David" w:cs="David"/>
          <w:rtl/>
        </w:rPr>
        <w:t xml:space="preserve"> לחוק.</w:t>
      </w:r>
    </w:p>
  </w:footnote>
  <w:footnote w:id="21">
    <w:p w:rsidR="00B851CA" w:rsidRPr="008926B9" w:rsidRDefault="00B851CA" w:rsidP="008926B9">
      <w:pPr>
        <w:pStyle w:val="FootnoteText"/>
        <w:rPr>
          <w:rFonts w:ascii="David" w:hAnsi="David" w:cs="David"/>
        </w:rPr>
      </w:pPr>
      <w:r w:rsidRPr="008926B9">
        <w:rPr>
          <w:rStyle w:val="FootnoteReference"/>
          <w:rFonts w:ascii="David" w:hAnsi="David" w:cs="David"/>
        </w:rPr>
        <w:footnoteRef/>
      </w:r>
      <w:r w:rsidR="0081204B" w:rsidRPr="008926B9">
        <w:rPr>
          <w:rFonts w:ascii="David" w:hAnsi="David" w:cs="David"/>
          <w:rtl/>
        </w:rPr>
        <w:t xml:space="preserve"> </w:t>
      </w:r>
      <w:r w:rsidR="0081204B" w:rsidRPr="008926B9">
        <w:rPr>
          <w:rFonts w:ascii="David" w:hAnsi="David" w:cs="David"/>
          <w:rtl/>
        </w:rPr>
        <w:t>ס'</w:t>
      </w:r>
      <w:r w:rsidRPr="008926B9">
        <w:rPr>
          <w:rFonts w:ascii="David" w:hAnsi="David" w:cs="David"/>
          <w:rtl/>
        </w:rPr>
        <w:t xml:space="preserve"> 62(א)</w:t>
      </w:r>
      <w:r w:rsidR="008926B9" w:rsidRPr="008926B9">
        <w:rPr>
          <w:rFonts w:ascii="David" w:hAnsi="David" w:cs="David"/>
          <w:rtl/>
        </w:rPr>
        <w:t xml:space="preserve"> לחוק.</w:t>
      </w:r>
    </w:p>
  </w:footnote>
  <w:footnote w:id="22">
    <w:p w:rsidR="00CD0DCE" w:rsidRPr="008926B9" w:rsidRDefault="00CD0DCE">
      <w:pPr>
        <w:pStyle w:val="FootnoteText"/>
        <w:rPr>
          <w:rFonts w:ascii="David" w:hAnsi="David" w:cs="David"/>
        </w:rPr>
      </w:pPr>
      <w:r w:rsidRPr="008926B9">
        <w:rPr>
          <w:rStyle w:val="FootnoteReference"/>
          <w:rFonts w:ascii="David" w:hAnsi="David" w:cs="David"/>
        </w:rPr>
        <w:footnoteRef/>
      </w:r>
      <w:r w:rsidR="0081204B" w:rsidRPr="008926B9">
        <w:rPr>
          <w:rFonts w:ascii="David" w:hAnsi="David" w:cs="David"/>
          <w:rtl/>
        </w:rPr>
        <w:t xml:space="preserve"> ס'</w:t>
      </w:r>
      <w:r w:rsidRPr="008926B9">
        <w:rPr>
          <w:rFonts w:ascii="David" w:hAnsi="David" w:cs="David"/>
          <w:rtl/>
        </w:rPr>
        <w:t xml:space="preserve"> 58(א)</w:t>
      </w:r>
      <w:r w:rsidR="008926B9" w:rsidRPr="008926B9">
        <w:rPr>
          <w:rFonts w:ascii="David" w:hAnsi="David" w:cs="David"/>
          <w:rtl/>
        </w:rPr>
        <w:t xml:space="preserve"> לחוק.</w:t>
      </w:r>
    </w:p>
  </w:footnote>
  <w:footnote w:id="23">
    <w:p w:rsidR="00703B2C" w:rsidRPr="008926B9" w:rsidRDefault="00703B2C" w:rsidP="008926B9">
      <w:pPr>
        <w:pStyle w:val="FootnoteText"/>
        <w:rPr>
          <w:rFonts w:ascii="David" w:hAnsi="David" w:cs="David"/>
          <w:rtl/>
        </w:rPr>
      </w:pPr>
      <w:r w:rsidRPr="008926B9">
        <w:rPr>
          <w:rStyle w:val="FootnoteReference"/>
          <w:rFonts w:ascii="David" w:hAnsi="David" w:cs="David"/>
        </w:rPr>
        <w:footnoteRef/>
      </w:r>
      <w:r w:rsidR="0081204B" w:rsidRPr="008926B9">
        <w:rPr>
          <w:rFonts w:ascii="David" w:hAnsi="David" w:cs="David"/>
          <w:rtl/>
        </w:rPr>
        <w:t xml:space="preserve"> ס' </w:t>
      </w:r>
      <w:r w:rsidR="008926B9" w:rsidRPr="008926B9">
        <w:rPr>
          <w:rFonts w:ascii="David" w:hAnsi="David" w:cs="David"/>
          <w:rtl/>
        </w:rPr>
        <w:t>68 לחוק.</w:t>
      </w:r>
    </w:p>
  </w:footnote>
  <w:footnote w:id="24">
    <w:p w:rsidR="00C81D33" w:rsidRPr="008926B9" w:rsidRDefault="00C81D33" w:rsidP="008926B9">
      <w:pPr>
        <w:pStyle w:val="FootnoteText"/>
        <w:rPr>
          <w:rFonts w:ascii="David" w:hAnsi="David" w:cs="David"/>
          <w:rtl/>
        </w:rPr>
      </w:pPr>
      <w:r w:rsidRPr="008926B9">
        <w:rPr>
          <w:rFonts w:ascii="David" w:hAnsi="David" w:cs="David"/>
          <w:vertAlign w:val="superscript"/>
        </w:rPr>
        <w:footnoteRef/>
      </w:r>
      <w:r w:rsidRPr="008926B9">
        <w:rPr>
          <w:rFonts w:ascii="David" w:hAnsi="David" w:cs="David"/>
          <w:vertAlign w:val="superscript"/>
          <w:rtl/>
        </w:rPr>
        <w:t xml:space="preserve"> </w:t>
      </w:r>
      <w:r w:rsidR="006B4F82" w:rsidRPr="008926B9">
        <w:rPr>
          <w:rFonts w:ascii="David" w:hAnsi="David" w:cs="David"/>
          <w:rtl/>
        </w:rPr>
        <w:t>ס'</w:t>
      </w:r>
      <w:r w:rsidRPr="008926B9">
        <w:rPr>
          <w:rFonts w:ascii="David" w:hAnsi="David" w:cs="David"/>
          <w:rtl/>
        </w:rPr>
        <w:t xml:space="preserve"> 71(ב)</w:t>
      </w:r>
      <w:r w:rsidR="008926B9" w:rsidRPr="008926B9">
        <w:rPr>
          <w:rFonts w:ascii="David" w:hAnsi="David" w:cs="David"/>
          <w:rtl/>
        </w:rPr>
        <w:t xml:space="preserve"> לחוק.</w:t>
      </w:r>
    </w:p>
  </w:footnote>
  <w:footnote w:id="25">
    <w:p w:rsidR="008926B9" w:rsidRPr="008926B9" w:rsidRDefault="008926B9">
      <w:pPr>
        <w:pStyle w:val="FootnoteText"/>
        <w:rPr>
          <w:rFonts w:ascii="David" w:hAnsi="David" w:cs="David"/>
        </w:rPr>
      </w:pPr>
      <w:r w:rsidRPr="008926B9">
        <w:rPr>
          <w:rFonts w:ascii="David" w:hAnsi="David" w:cs="David"/>
          <w:vertAlign w:val="superscript"/>
        </w:rPr>
        <w:footnoteRef/>
      </w:r>
      <w:r w:rsidRPr="008926B9">
        <w:rPr>
          <w:rFonts w:ascii="David" w:hAnsi="David" w:cs="David"/>
          <w:vertAlign w:val="superscript"/>
          <w:rtl/>
        </w:rPr>
        <w:t xml:space="preserve"> </w:t>
      </w:r>
      <w:r w:rsidRPr="008926B9">
        <w:rPr>
          <w:rFonts w:ascii="David" w:hAnsi="David" w:cs="David"/>
          <w:rtl/>
        </w:rPr>
        <w:t>ס' 58(א) לחוק.</w:t>
      </w:r>
    </w:p>
  </w:footnote>
  <w:footnote w:id="26">
    <w:p w:rsidR="00841D60" w:rsidRPr="008926B9" w:rsidRDefault="00841D60" w:rsidP="008926B9">
      <w:pPr>
        <w:pStyle w:val="FootnoteText"/>
        <w:rPr>
          <w:rFonts w:ascii="David" w:hAnsi="David" w:cs="David"/>
          <w:rtl/>
        </w:rPr>
      </w:pPr>
      <w:r w:rsidRPr="008926B9">
        <w:rPr>
          <w:rFonts w:ascii="David" w:hAnsi="David" w:cs="David"/>
          <w:vertAlign w:val="superscript"/>
        </w:rPr>
        <w:footnoteRef/>
      </w:r>
      <w:r w:rsidRPr="008926B9">
        <w:rPr>
          <w:rFonts w:ascii="David" w:hAnsi="David" w:cs="David"/>
          <w:vertAlign w:val="superscript"/>
          <w:rtl/>
        </w:rPr>
        <w:t xml:space="preserve"> </w:t>
      </w:r>
      <w:r w:rsidR="008926B9" w:rsidRPr="008926B9">
        <w:rPr>
          <w:rFonts w:ascii="David" w:hAnsi="David" w:cs="David"/>
          <w:rtl/>
        </w:rPr>
        <w:t>ס'</w:t>
      </w:r>
      <w:r w:rsidR="006B4F82" w:rsidRPr="008926B9">
        <w:rPr>
          <w:rFonts w:ascii="David" w:hAnsi="David" w:cs="David"/>
          <w:rtl/>
        </w:rPr>
        <w:t xml:space="preserve"> </w:t>
      </w:r>
      <w:r w:rsidR="008926B9" w:rsidRPr="008926B9">
        <w:rPr>
          <w:rFonts w:ascii="David" w:hAnsi="David" w:cs="David"/>
          <w:rtl/>
        </w:rPr>
        <w:t>62(א לחוק.</w:t>
      </w:r>
    </w:p>
  </w:footnote>
  <w:footnote w:id="27">
    <w:p w:rsidR="007218C5" w:rsidRPr="008926B9" w:rsidRDefault="007218C5" w:rsidP="008926B9">
      <w:pPr>
        <w:pStyle w:val="FootnoteText"/>
        <w:rPr>
          <w:rFonts w:ascii="David" w:hAnsi="David" w:cs="David"/>
          <w:rtl/>
        </w:rPr>
      </w:pPr>
      <w:r w:rsidRPr="008926B9">
        <w:rPr>
          <w:rStyle w:val="FootnoteReference"/>
          <w:rFonts w:ascii="David" w:hAnsi="David" w:cs="David"/>
        </w:rPr>
        <w:footnoteRef/>
      </w:r>
      <w:r w:rsidRPr="008926B9">
        <w:rPr>
          <w:rFonts w:ascii="David" w:hAnsi="David" w:cs="David"/>
          <w:rtl/>
        </w:rPr>
        <w:t xml:space="preserve"> </w:t>
      </w:r>
      <w:r w:rsidR="008926B9">
        <w:rPr>
          <w:rFonts w:ascii="David" w:hAnsi="David" w:cs="David" w:hint="cs"/>
          <w:rtl/>
        </w:rPr>
        <w:t>ס'</w:t>
      </w:r>
      <w:r w:rsidRPr="008926B9">
        <w:rPr>
          <w:rFonts w:ascii="David" w:hAnsi="David" w:cs="David"/>
          <w:rtl/>
        </w:rPr>
        <w:t xml:space="preserve"> 71(א)</w:t>
      </w:r>
      <w:r w:rsidR="008926B9">
        <w:rPr>
          <w:rFonts w:ascii="David" w:hAnsi="David" w:cs="David" w:hint="cs"/>
          <w:rtl/>
        </w:rPr>
        <w:t xml:space="preserve"> לחוק.</w:t>
      </w:r>
    </w:p>
  </w:footnote>
  <w:footnote w:id="28">
    <w:p w:rsidR="006D021A" w:rsidRPr="008926B9" w:rsidRDefault="006D021A" w:rsidP="008926B9">
      <w:pPr>
        <w:pStyle w:val="FootnoteText"/>
        <w:rPr>
          <w:rFonts w:ascii="David" w:hAnsi="David" w:cs="David"/>
          <w:rtl/>
        </w:rPr>
      </w:pPr>
      <w:r w:rsidRPr="008926B9">
        <w:rPr>
          <w:rStyle w:val="FootnoteReference"/>
          <w:rFonts w:ascii="David" w:hAnsi="David" w:cs="David"/>
        </w:rPr>
        <w:footnoteRef/>
      </w:r>
      <w:r w:rsidRPr="008926B9">
        <w:rPr>
          <w:rFonts w:ascii="David" w:hAnsi="David" w:cs="David"/>
          <w:rtl/>
        </w:rPr>
        <w:t xml:space="preserve"> </w:t>
      </w:r>
      <w:r w:rsidR="008926B9" w:rsidRPr="008926B9">
        <w:rPr>
          <w:rFonts w:ascii="David" w:hAnsi="David" w:cs="David"/>
          <w:rtl/>
        </w:rPr>
        <w:t>פרט</w:t>
      </w:r>
      <w:r w:rsidRPr="008926B9">
        <w:rPr>
          <w:rFonts w:ascii="David" w:hAnsi="David" w:cs="David"/>
          <w:rtl/>
        </w:rPr>
        <w:t xml:space="preserve"> 15(ד)</w:t>
      </w:r>
      <w:r w:rsidR="006B4F82" w:rsidRPr="008926B9">
        <w:rPr>
          <w:rFonts w:ascii="David" w:hAnsi="David" w:cs="David"/>
          <w:rtl/>
        </w:rPr>
        <w:t xml:space="preserve"> לתוספת.</w:t>
      </w:r>
    </w:p>
  </w:footnote>
  <w:footnote w:id="29">
    <w:p w:rsidR="00982365" w:rsidRPr="008926B9" w:rsidRDefault="00982365" w:rsidP="00E20204">
      <w:pPr>
        <w:pStyle w:val="FootnoteText"/>
        <w:rPr>
          <w:rFonts w:ascii="David" w:hAnsi="David" w:cs="David"/>
        </w:rPr>
      </w:pPr>
      <w:r w:rsidRPr="008926B9">
        <w:rPr>
          <w:rStyle w:val="FootnoteReference"/>
          <w:rFonts w:ascii="David" w:hAnsi="David" w:cs="David"/>
        </w:rPr>
        <w:footnoteRef/>
      </w:r>
      <w:r w:rsidRPr="008926B9">
        <w:rPr>
          <w:rFonts w:ascii="David" w:hAnsi="David" w:cs="David"/>
          <w:rtl/>
        </w:rPr>
        <w:t xml:space="preserve"> </w:t>
      </w:r>
      <w:r w:rsidR="00E20204" w:rsidRPr="008926B9">
        <w:rPr>
          <w:rFonts w:ascii="David" w:hAnsi="David" w:cs="David"/>
          <w:rtl/>
        </w:rPr>
        <w:t>ס'</w:t>
      </w:r>
      <w:r w:rsidRPr="008926B9">
        <w:rPr>
          <w:rFonts w:ascii="David" w:hAnsi="David" w:cs="David"/>
          <w:rtl/>
        </w:rPr>
        <w:t xml:space="preserve"> 52</w:t>
      </w:r>
      <w:r w:rsidR="006B4F82" w:rsidRPr="008926B9">
        <w:rPr>
          <w:rFonts w:ascii="David" w:hAnsi="David" w:cs="David"/>
          <w:rtl/>
        </w:rPr>
        <w:t xml:space="preserve"> לחוק.</w:t>
      </w:r>
    </w:p>
  </w:footnote>
  <w:footnote w:id="30">
    <w:p w:rsidR="003B487D" w:rsidRPr="008926B9" w:rsidRDefault="003B487D" w:rsidP="00C046E0">
      <w:pPr>
        <w:pStyle w:val="FootnoteText"/>
        <w:rPr>
          <w:rFonts w:ascii="David" w:hAnsi="David" w:cs="David"/>
          <w:rtl/>
        </w:rPr>
      </w:pPr>
      <w:r w:rsidRPr="008926B9">
        <w:rPr>
          <w:rStyle w:val="FootnoteReference"/>
          <w:rFonts w:ascii="David" w:hAnsi="David" w:cs="David"/>
        </w:rPr>
        <w:footnoteRef/>
      </w:r>
      <w:r w:rsidRPr="008926B9">
        <w:rPr>
          <w:rFonts w:ascii="David" w:hAnsi="David" w:cs="David"/>
          <w:rtl/>
        </w:rPr>
        <w:t xml:space="preserve"> </w:t>
      </w:r>
      <w:r w:rsidR="00C046E0" w:rsidRPr="008926B9">
        <w:rPr>
          <w:rFonts w:ascii="David" w:hAnsi="David" w:cs="David"/>
          <w:rtl/>
        </w:rPr>
        <w:t xml:space="preserve">ע"א 708/72 </w:t>
      </w:r>
      <w:r w:rsidR="00C046E0" w:rsidRPr="008926B9">
        <w:rPr>
          <w:rFonts w:ascii="David" w:hAnsi="David" w:cs="David"/>
          <w:b/>
          <w:bCs/>
          <w:rtl/>
        </w:rPr>
        <w:t xml:space="preserve">פרשקר נ' רוזנברג, </w:t>
      </w:r>
      <w:r w:rsidR="00C046E0" w:rsidRPr="008926B9">
        <w:rPr>
          <w:rFonts w:ascii="David" w:hAnsi="David" w:cs="David"/>
          <w:rtl/>
        </w:rPr>
        <w:t xml:space="preserve">פ"ד כח (2) 817, פס' </w:t>
      </w:r>
      <w:r w:rsidR="00C046E0" w:rsidRPr="008926B9">
        <w:rPr>
          <w:rFonts w:ascii="David" w:hAnsi="David" w:cs="David"/>
        </w:rPr>
        <w:t>4</w:t>
      </w:r>
      <w:r w:rsidR="00C046E0" w:rsidRPr="008926B9">
        <w:rPr>
          <w:rFonts w:ascii="David" w:hAnsi="David" w:cs="David"/>
          <w:rtl/>
        </w:rPr>
        <w:t xml:space="preserve"> לפסק דינו של השופט זוסמן (1974).</w:t>
      </w:r>
    </w:p>
  </w:footnote>
  <w:footnote w:id="31">
    <w:p w:rsidR="00292929" w:rsidRPr="008926B9" w:rsidRDefault="00292929" w:rsidP="008926B9">
      <w:pPr>
        <w:pStyle w:val="FootnoteText"/>
        <w:rPr>
          <w:rFonts w:ascii="David" w:hAnsi="David" w:cs="David"/>
          <w:rtl/>
        </w:rPr>
      </w:pPr>
      <w:r w:rsidRPr="008926B9">
        <w:rPr>
          <w:rStyle w:val="FootnoteReference"/>
          <w:rFonts w:ascii="David" w:hAnsi="David" w:cs="David"/>
        </w:rPr>
        <w:footnoteRef/>
      </w:r>
      <w:r w:rsidRPr="008926B9">
        <w:rPr>
          <w:rFonts w:ascii="David" w:hAnsi="David" w:cs="David"/>
          <w:rtl/>
        </w:rPr>
        <w:t xml:space="preserve"> </w:t>
      </w:r>
      <w:r w:rsidR="008926B9">
        <w:rPr>
          <w:rFonts w:ascii="David" w:hAnsi="David" w:cs="David" w:hint="cs"/>
          <w:rtl/>
        </w:rPr>
        <w:t>ס'</w:t>
      </w:r>
      <w:r w:rsidRPr="008926B9">
        <w:rPr>
          <w:rFonts w:ascii="David" w:hAnsi="David" w:cs="David"/>
          <w:rtl/>
        </w:rPr>
        <w:t xml:space="preserve"> 55(א)</w:t>
      </w:r>
      <w:r w:rsidR="008926B9">
        <w:rPr>
          <w:rFonts w:ascii="David" w:hAnsi="David" w:cs="David" w:hint="cs"/>
          <w:rtl/>
        </w:rPr>
        <w:t xml:space="preserve"> לחוק.</w:t>
      </w:r>
    </w:p>
  </w:footnote>
  <w:footnote w:id="32">
    <w:p w:rsidR="000913EF" w:rsidRPr="008926B9" w:rsidRDefault="000913EF" w:rsidP="004B433B">
      <w:pPr>
        <w:pStyle w:val="FootnoteText"/>
        <w:rPr>
          <w:rFonts w:ascii="David" w:hAnsi="David" w:cs="David"/>
          <w:rtl/>
        </w:rPr>
      </w:pPr>
      <w:r w:rsidRPr="008926B9">
        <w:rPr>
          <w:rStyle w:val="FootnoteReference"/>
          <w:rFonts w:ascii="David" w:hAnsi="David" w:cs="David"/>
        </w:rPr>
        <w:footnoteRef/>
      </w:r>
      <w:r w:rsidRPr="008926B9">
        <w:rPr>
          <w:rFonts w:ascii="David" w:hAnsi="David" w:cs="David"/>
          <w:rtl/>
        </w:rPr>
        <w:t xml:space="preserve"> </w:t>
      </w:r>
      <w:r w:rsidR="004B433B" w:rsidRPr="008926B9">
        <w:rPr>
          <w:rFonts w:ascii="David" w:hAnsi="David" w:cs="David"/>
          <w:rtl/>
        </w:rPr>
        <w:t>ס'</w:t>
      </w:r>
      <w:r w:rsidRPr="008926B9">
        <w:rPr>
          <w:rFonts w:ascii="David" w:hAnsi="David" w:cs="David"/>
          <w:rtl/>
        </w:rPr>
        <w:t xml:space="preserve"> 65</w:t>
      </w:r>
      <w:r w:rsidR="004B433B" w:rsidRPr="008926B9">
        <w:rPr>
          <w:rFonts w:ascii="David" w:hAnsi="David" w:cs="David"/>
          <w:rtl/>
        </w:rPr>
        <w:t xml:space="preserve"> לחוק.</w:t>
      </w:r>
    </w:p>
  </w:footnote>
  <w:footnote w:id="33">
    <w:p w:rsidR="006D021A" w:rsidRPr="008926B9" w:rsidRDefault="006D021A" w:rsidP="008926B9">
      <w:pPr>
        <w:pStyle w:val="FootnoteText"/>
        <w:rPr>
          <w:rFonts w:ascii="David" w:hAnsi="David" w:cs="David"/>
          <w:rtl/>
        </w:rPr>
      </w:pPr>
      <w:r w:rsidRPr="008926B9">
        <w:rPr>
          <w:rStyle w:val="FootnoteReference"/>
          <w:rFonts w:ascii="David" w:hAnsi="David" w:cs="David"/>
        </w:rPr>
        <w:footnoteRef/>
      </w:r>
      <w:r w:rsidRPr="008926B9">
        <w:rPr>
          <w:rFonts w:ascii="David" w:hAnsi="David" w:cs="David"/>
          <w:rtl/>
        </w:rPr>
        <w:t xml:space="preserve"> </w:t>
      </w:r>
      <w:r w:rsidR="008926B9" w:rsidRPr="008926B9">
        <w:rPr>
          <w:rFonts w:ascii="David" w:hAnsi="David" w:cs="David"/>
          <w:rtl/>
        </w:rPr>
        <w:t>פרט</w:t>
      </w:r>
      <w:r w:rsidRPr="008926B9">
        <w:rPr>
          <w:rFonts w:ascii="David" w:hAnsi="David" w:cs="David"/>
          <w:rtl/>
        </w:rPr>
        <w:t xml:space="preserve"> 2</w:t>
      </w:r>
      <w:r w:rsidR="00841D60" w:rsidRPr="008926B9">
        <w:rPr>
          <w:rFonts w:ascii="David" w:hAnsi="David" w:cs="David"/>
          <w:rtl/>
        </w:rPr>
        <w:t>(ב)</w:t>
      </w:r>
      <w:r w:rsidR="004B433B" w:rsidRPr="008926B9">
        <w:rPr>
          <w:rFonts w:ascii="David" w:hAnsi="David" w:cs="David"/>
          <w:rtl/>
        </w:rPr>
        <w:t xml:space="preserve"> לתוספת.</w:t>
      </w:r>
    </w:p>
  </w:footnote>
  <w:footnote w:id="34">
    <w:p w:rsidR="00B655F5" w:rsidRPr="008926B9" w:rsidRDefault="00B655F5" w:rsidP="006B5CDD">
      <w:pPr>
        <w:pStyle w:val="FootnoteText"/>
        <w:rPr>
          <w:rFonts w:ascii="David" w:hAnsi="David" w:cs="David"/>
        </w:rPr>
      </w:pPr>
      <w:r w:rsidRPr="008926B9">
        <w:rPr>
          <w:rStyle w:val="FootnoteReference"/>
          <w:rFonts w:ascii="David" w:hAnsi="David" w:cs="David"/>
        </w:rPr>
        <w:footnoteRef/>
      </w:r>
      <w:r w:rsidRPr="008926B9">
        <w:rPr>
          <w:rFonts w:ascii="David" w:hAnsi="David" w:cs="David"/>
          <w:rtl/>
        </w:rPr>
        <w:t xml:space="preserve"> </w:t>
      </w:r>
      <w:r w:rsidR="006B5CDD" w:rsidRPr="008926B9">
        <w:rPr>
          <w:rFonts w:ascii="David" w:eastAsia="Times New Roman" w:hAnsi="David" w:cs="David"/>
          <w:sz w:val="14"/>
          <w:rtl/>
        </w:rPr>
        <w:t xml:space="preserve">ד"נ 20/73 </w:t>
      </w:r>
      <w:r w:rsidR="006B5CDD" w:rsidRPr="008926B9">
        <w:rPr>
          <w:rFonts w:ascii="David" w:eastAsia="Times New Roman" w:hAnsi="David" w:cs="David"/>
          <w:b/>
          <w:bCs/>
          <w:sz w:val="14"/>
          <w:rtl/>
        </w:rPr>
        <w:t>יעקב שמע נ' נחמה סדובסקי</w:t>
      </w:r>
      <w:r w:rsidR="006B5CDD" w:rsidRPr="008926B9">
        <w:rPr>
          <w:rFonts w:ascii="David" w:eastAsia="Times New Roman" w:hAnsi="David" w:cs="David"/>
          <w:sz w:val="14"/>
          <w:rtl/>
        </w:rPr>
        <w:t xml:space="preserve">, </w:t>
      </w:r>
      <w:r w:rsidR="006B5CDD" w:rsidRPr="008926B9">
        <w:rPr>
          <w:rFonts w:ascii="David" w:hAnsi="David" w:cs="David"/>
          <w:rtl/>
        </w:rPr>
        <w:t>כח (1) 730, פסק דינו של השופט חיים כהן (1974).</w:t>
      </w:r>
    </w:p>
  </w:footnote>
  <w:footnote w:id="35">
    <w:p w:rsidR="00B655F5" w:rsidRPr="008926B9" w:rsidRDefault="00B655F5" w:rsidP="006B5CDD">
      <w:pPr>
        <w:pStyle w:val="FootnoteText"/>
        <w:rPr>
          <w:rFonts w:ascii="David" w:hAnsi="David" w:cs="David"/>
          <w:rtl/>
        </w:rPr>
      </w:pPr>
      <w:r w:rsidRPr="008926B9">
        <w:rPr>
          <w:rStyle w:val="FootnoteReference"/>
          <w:rFonts w:ascii="David" w:hAnsi="David" w:cs="David"/>
        </w:rPr>
        <w:footnoteRef/>
      </w:r>
      <w:r w:rsidRPr="008926B9">
        <w:rPr>
          <w:rFonts w:ascii="David" w:hAnsi="David" w:cs="David"/>
          <w:rtl/>
        </w:rPr>
        <w:t xml:space="preserve"> </w:t>
      </w:r>
      <w:r w:rsidR="006B5CDD" w:rsidRPr="008926B9">
        <w:rPr>
          <w:rFonts w:ascii="David" w:hAnsi="David" w:cs="David"/>
          <w:rtl/>
        </w:rPr>
        <w:t xml:space="preserve">ע"א 93/81 </w:t>
      </w:r>
      <w:r w:rsidR="006B5CDD" w:rsidRPr="008926B9">
        <w:rPr>
          <w:rFonts w:ascii="David" w:hAnsi="David" w:cs="David"/>
          <w:b/>
          <w:bCs/>
          <w:rtl/>
        </w:rPr>
        <w:t>אהרן אליאס נ' יוחנן שיפר</w:t>
      </w:r>
      <w:r w:rsidR="006B5CDD" w:rsidRPr="008926B9">
        <w:rPr>
          <w:rFonts w:ascii="David" w:hAnsi="David" w:cs="David"/>
          <w:rtl/>
        </w:rPr>
        <w:t>, פ"ד לז (2) 444, פס' 7-8 לפסק דינו של השופט גולדברג (1983).</w:t>
      </w:r>
    </w:p>
  </w:footnote>
  <w:footnote w:id="36">
    <w:p w:rsidR="00B655F5" w:rsidRPr="008926B9" w:rsidRDefault="00B655F5" w:rsidP="00B950CF">
      <w:pPr>
        <w:pStyle w:val="FootnoteText"/>
        <w:rPr>
          <w:rFonts w:ascii="David" w:hAnsi="David" w:cs="David"/>
          <w:rtl/>
        </w:rPr>
      </w:pPr>
      <w:r w:rsidRPr="008926B9">
        <w:rPr>
          <w:rStyle w:val="FootnoteReference"/>
          <w:rFonts w:ascii="David" w:hAnsi="David" w:cs="David"/>
        </w:rPr>
        <w:footnoteRef/>
      </w:r>
      <w:r w:rsidRPr="008926B9">
        <w:rPr>
          <w:rFonts w:ascii="David" w:hAnsi="David" w:cs="David"/>
          <w:rtl/>
        </w:rPr>
        <w:t xml:space="preserve"> </w:t>
      </w:r>
      <w:r w:rsidR="00B950CF" w:rsidRPr="008926B9">
        <w:rPr>
          <w:rFonts w:ascii="David" w:eastAsia="Times New Roman" w:hAnsi="David" w:cs="David"/>
          <w:sz w:val="14"/>
          <w:rtl/>
        </w:rPr>
        <w:t xml:space="preserve">ד"נ 20/73 </w:t>
      </w:r>
      <w:r w:rsidR="00B950CF" w:rsidRPr="008926B9">
        <w:rPr>
          <w:rFonts w:ascii="David" w:eastAsia="Times New Roman" w:hAnsi="David" w:cs="David"/>
          <w:b/>
          <w:bCs/>
          <w:sz w:val="14"/>
          <w:rtl/>
        </w:rPr>
        <w:t>יעקב שמע נ' נחמה סדובסקי</w:t>
      </w:r>
      <w:r w:rsidR="00B950CF" w:rsidRPr="008926B9">
        <w:rPr>
          <w:rFonts w:ascii="David" w:eastAsia="Times New Roman" w:hAnsi="David" w:cs="David"/>
          <w:sz w:val="14"/>
          <w:rtl/>
        </w:rPr>
        <w:t xml:space="preserve">, </w:t>
      </w:r>
      <w:r w:rsidR="00B950CF" w:rsidRPr="008926B9">
        <w:rPr>
          <w:rFonts w:ascii="David" w:hAnsi="David" w:cs="David"/>
          <w:rtl/>
        </w:rPr>
        <w:t>כח (1) 730, פס' 4-5 לפסק דינו של השופט זוסמן (1974).</w:t>
      </w:r>
    </w:p>
  </w:footnote>
  <w:footnote w:id="37">
    <w:p w:rsidR="00B655F5" w:rsidRPr="008926B9" w:rsidRDefault="00B655F5" w:rsidP="00B950CF">
      <w:pPr>
        <w:pStyle w:val="FootnoteText"/>
        <w:rPr>
          <w:rFonts w:ascii="David" w:hAnsi="David" w:cs="David"/>
          <w:rtl/>
        </w:rPr>
      </w:pPr>
      <w:r w:rsidRPr="008926B9">
        <w:rPr>
          <w:rStyle w:val="FootnoteReference"/>
          <w:rFonts w:ascii="David" w:hAnsi="David" w:cs="David"/>
        </w:rPr>
        <w:footnoteRef/>
      </w:r>
      <w:r w:rsidRPr="008926B9">
        <w:rPr>
          <w:rFonts w:ascii="David" w:hAnsi="David" w:cs="David"/>
          <w:rtl/>
        </w:rPr>
        <w:t xml:space="preserve"> </w:t>
      </w:r>
      <w:r w:rsidR="00B950CF" w:rsidRPr="008926B9">
        <w:rPr>
          <w:rFonts w:ascii="David" w:hAnsi="David" w:cs="David"/>
          <w:rtl/>
        </w:rPr>
        <w:t xml:space="preserve">רע"א 7112/93 </w:t>
      </w:r>
      <w:r w:rsidR="00B950CF" w:rsidRPr="008926B9">
        <w:rPr>
          <w:rFonts w:ascii="David" w:hAnsi="David" w:cs="David"/>
          <w:b/>
          <w:bCs/>
          <w:rtl/>
        </w:rPr>
        <w:t xml:space="preserve">צודלר בתיה נ' שרה יוסף, </w:t>
      </w:r>
      <w:r w:rsidR="00B950CF" w:rsidRPr="008926B9">
        <w:rPr>
          <w:rFonts w:ascii="David" w:hAnsi="David" w:cs="David"/>
          <w:rtl/>
        </w:rPr>
        <w:t>מ"ח (5) 550, פס' 13-14 לפסק דינו של השופט חשין (1994).</w:t>
      </w:r>
    </w:p>
  </w:footnote>
  <w:footnote w:id="38">
    <w:p w:rsidR="0061767B" w:rsidRPr="008926B9" w:rsidRDefault="0061767B" w:rsidP="00325075">
      <w:pPr>
        <w:pStyle w:val="FootnoteText"/>
        <w:rPr>
          <w:rFonts w:ascii="David" w:hAnsi="David" w:cs="David"/>
        </w:rPr>
      </w:pPr>
      <w:r w:rsidRPr="008926B9">
        <w:rPr>
          <w:rStyle w:val="FootnoteReference"/>
          <w:rFonts w:ascii="David" w:hAnsi="David" w:cs="David"/>
        </w:rPr>
        <w:footnoteRef/>
      </w:r>
      <w:r w:rsidRPr="008926B9">
        <w:rPr>
          <w:rFonts w:ascii="David" w:hAnsi="David" w:cs="David"/>
          <w:rtl/>
        </w:rPr>
        <w:t xml:space="preserve"> </w:t>
      </w:r>
      <w:r w:rsidR="00325075" w:rsidRPr="008926B9">
        <w:rPr>
          <w:rFonts w:ascii="David" w:hAnsi="David" w:cs="David"/>
          <w:rtl/>
        </w:rPr>
        <w:t xml:space="preserve">ע"א 613/77 </w:t>
      </w:r>
      <w:r w:rsidR="00325075" w:rsidRPr="008926B9">
        <w:rPr>
          <w:rFonts w:ascii="David" w:hAnsi="David" w:cs="David"/>
          <w:b/>
          <w:bCs/>
          <w:rtl/>
        </w:rPr>
        <w:t xml:space="preserve">אדלר נ' שומרי אמונים, </w:t>
      </w:r>
      <w:r w:rsidR="00325075" w:rsidRPr="008926B9">
        <w:rPr>
          <w:rFonts w:ascii="David" w:hAnsi="David" w:cs="David"/>
          <w:rtl/>
        </w:rPr>
        <w:t>פ"ד לב (1) 788, פסק דינו של השופט ויתקון (1978).</w:t>
      </w:r>
    </w:p>
  </w:footnote>
  <w:footnote w:id="39">
    <w:p w:rsidR="00575622" w:rsidRPr="008926B9" w:rsidRDefault="00575622" w:rsidP="008926B9">
      <w:pPr>
        <w:pStyle w:val="FootnoteText"/>
        <w:rPr>
          <w:rFonts w:ascii="David" w:hAnsi="David" w:cs="David"/>
          <w:rtl/>
        </w:rPr>
      </w:pPr>
      <w:r w:rsidRPr="008926B9">
        <w:rPr>
          <w:rStyle w:val="FootnoteReference"/>
          <w:rFonts w:ascii="David" w:hAnsi="David" w:cs="David"/>
        </w:rPr>
        <w:footnoteRef/>
      </w:r>
      <w:r w:rsidRPr="008926B9">
        <w:rPr>
          <w:rFonts w:ascii="David" w:hAnsi="David" w:cs="David"/>
          <w:rtl/>
        </w:rPr>
        <w:t xml:space="preserve"> </w:t>
      </w:r>
      <w:r w:rsidR="008926B9" w:rsidRPr="008926B9">
        <w:rPr>
          <w:rFonts w:ascii="David" w:hAnsi="David" w:cs="David"/>
          <w:rtl/>
        </w:rPr>
        <w:t xml:space="preserve">ע"א 3511/13 </w:t>
      </w:r>
      <w:r w:rsidR="008926B9" w:rsidRPr="008926B9">
        <w:rPr>
          <w:rFonts w:ascii="David" w:hAnsi="David" w:cs="David"/>
          <w:b/>
          <w:bCs/>
          <w:rtl/>
        </w:rPr>
        <w:t>רגינה שורצברגר נ' שלום מרין</w:t>
      </w:r>
      <w:r w:rsidR="008926B9" w:rsidRPr="008926B9">
        <w:rPr>
          <w:rFonts w:ascii="David" w:hAnsi="David" w:cs="David"/>
          <w:rtl/>
        </w:rPr>
        <w:t>, פס' 17 לפס' דינו של השופט דניציגר (2014</w:t>
      </w:r>
      <w:r w:rsidR="008926B9" w:rsidRPr="008926B9">
        <w:rPr>
          <w:rFonts w:ascii="David" w:hAnsi="David" w:cs="David"/>
        </w:rPr>
        <w:t>(</w:t>
      </w:r>
      <w:r w:rsidR="00D46897">
        <w:rPr>
          <w:rFonts w:ascii="David" w:hAnsi="David" w:cs="David" w:hint="cs"/>
          <w:rtl/>
        </w:rPr>
        <w:t>.</w:t>
      </w:r>
    </w:p>
  </w:footnote>
  <w:footnote w:id="40">
    <w:p w:rsidR="00B216F5" w:rsidRPr="008926B9" w:rsidRDefault="00B216F5" w:rsidP="00325075">
      <w:pPr>
        <w:pStyle w:val="FootnoteText"/>
        <w:rPr>
          <w:rFonts w:ascii="David" w:hAnsi="David" w:cs="David"/>
        </w:rPr>
      </w:pPr>
      <w:r w:rsidRPr="008926B9">
        <w:rPr>
          <w:rStyle w:val="FootnoteReference"/>
          <w:rFonts w:ascii="David" w:hAnsi="David" w:cs="David"/>
        </w:rPr>
        <w:footnoteRef/>
      </w:r>
      <w:r w:rsidRPr="008926B9">
        <w:rPr>
          <w:rFonts w:ascii="David" w:hAnsi="David" w:cs="David"/>
          <w:rtl/>
        </w:rPr>
        <w:t xml:space="preserve"> </w:t>
      </w:r>
      <w:r w:rsidR="008926B9">
        <w:rPr>
          <w:rFonts w:ascii="David" w:hAnsi="David" w:cs="David" w:hint="cs"/>
          <w:rtl/>
        </w:rPr>
        <w:t>פרט</w:t>
      </w:r>
      <w:r w:rsidRPr="008926B9">
        <w:rPr>
          <w:rFonts w:ascii="David" w:hAnsi="David" w:cs="David"/>
          <w:rtl/>
        </w:rPr>
        <w:t xml:space="preserve"> 6(א)</w:t>
      </w:r>
      <w:r w:rsidR="00325075" w:rsidRPr="008926B9">
        <w:rPr>
          <w:rFonts w:ascii="David" w:hAnsi="David" w:cs="David"/>
          <w:rtl/>
        </w:rPr>
        <w:t xml:space="preserve"> לתוספת.</w:t>
      </w:r>
    </w:p>
  </w:footnote>
  <w:footnote w:id="41">
    <w:p w:rsidR="00B216F5" w:rsidRPr="008926B9" w:rsidRDefault="00B216F5" w:rsidP="008926B9">
      <w:pPr>
        <w:pStyle w:val="FootnoteText"/>
        <w:rPr>
          <w:rFonts w:ascii="David" w:hAnsi="David" w:cs="David"/>
          <w:rtl/>
        </w:rPr>
      </w:pPr>
      <w:r w:rsidRPr="008926B9">
        <w:rPr>
          <w:rStyle w:val="FootnoteReference"/>
          <w:rFonts w:ascii="David" w:hAnsi="David" w:cs="David"/>
        </w:rPr>
        <w:footnoteRef/>
      </w:r>
      <w:r w:rsidR="008926B9" w:rsidRPr="008926B9">
        <w:rPr>
          <w:rFonts w:ascii="David" w:hAnsi="David" w:cs="David"/>
          <w:rtl/>
        </w:rPr>
        <w:t xml:space="preserve"> </w:t>
      </w:r>
      <w:r w:rsidR="008926B9">
        <w:rPr>
          <w:rFonts w:ascii="David" w:hAnsi="David" w:cs="David" w:hint="cs"/>
          <w:rtl/>
        </w:rPr>
        <w:t>פרט</w:t>
      </w:r>
      <w:r w:rsidRPr="008926B9">
        <w:rPr>
          <w:rFonts w:ascii="David" w:hAnsi="David" w:cs="David"/>
          <w:rtl/>
        </w:rPr>
        <w:t xml:space="preserve"> 6(ב)</w:t>
      </w:r>
      <w:r w:rsidR="008926B9">
        <w:rPr>
          <w:rFonts w:ascii="David" w:hAnsi="David" w:cs="David" w:hint="cs"/>
          <w:rtl/>
        </w:rPr>
        <w:t xml:space="preserve"> לתוספת.</w:t>
      </w:r>
    </w:p>
  </w:footnote>
  <w:footnote w:id="42">
    <w:p w:rsidR="00B216F5" w:rsidRPr="008926B9" w:rsidRDefault="00B216F5" w:rsidP="00325075">
      <w:pPr>
        <w:pStyle w:val="FootnoteText"/>
        <w:rPr>
          <w:rFonts w:ascii="David" w:hAnsi="David" w:cs="David"/>
        </w:rPr>
      </w:pPr>
      <w:r w:rsidRPr="008926B9">
        <w:rPr>
          <w:rStyle w:val="FootnoteReference"/>
          <w:rFonts w:ascii="David" w:hAnsi="David" w:cs="David"/>
        </w:rPr>
        <w:footnoteRef/>
      </w:r>
      <w:r w:rsidRPr="008926B9">
        <w:rPr>
          <w:rFonts w:ascii="David" w:hAnsi="David" w:cs="David"/>
          <w:rtl/>
        </w:rPr>
        <w:t xml:space="preserve"> </w:t>
      </w:r>
      <w:r w:rsidR="008926B9">
        <w:rPr>
          <w:rFonts w:ascii="David" w:hAnsi="David" w:cs="David" w:hint="cs"/>
          <w:rtl/>
        </w:rPr>
        <w:t>פרט</w:t>
      </w:r>
      <w:r w:rsidR="008926B9">
        <w:rPr>
          <w:rFonts w:ascii="David" w:hAnsi="David" w:cs="David"/>
          <w:rtl/>
        </w:rPr>
        <w:t xml:space="preserve"> </w:t>
      </w:r>
      <w:r w:rsidR="008926B9">
        <w:rPr>
          <w:rFonts w:ascii="David" w:hAnsi="David" w:cs="David" w:hint="cs"/>
          <w:rtl/>
        </w:rPr>
        <w:t>8</w:t>
      </w:r>
      <w:r w:rsidRPr="008926B9">
        <w:rPr>
          <w:rFonts w:ascii="David" w:hAnsi="David" w:cs="David"/>
          <w:rtl/>
        </w:rPr>
        <w:t>(א)</w:t>
      </w:r>
      <w:r w:rsidR="008926B9">
        <w:rPr>
          <w:rFonts w:ascii="David" w:hAnsi="David" w:cs="David" w:hint="cs"/>
          <w:rtl/>
        </w:rPr>
        <w:t xml:space="preserve"> לתוספת.</w:t>
      </w:r>
    </w:p>
  </w:footnote>
  <w:footnote w:id="43">
    <w:p w:rsidR="00B216F5" w:rsidRPr="008926B9" w:rsidRDefault="00B216F5" w:rsidP="008926B9">
      <w:pPr>
        <w:pStyle w:val="FootnoteText"/>
        <w:rPr>
          <w:rFonts w:ascii="David" w:hAnsi="David" w:cs="David"/>
        </w:rPr>
      </w:pPr>
      <w:r w:rsidRPr="008926B9">
        <w:rPr>
          <w:rStyle w:val="FootnoteReference"/>
          <w:rFonts w:ascii="David" w:hAnsi="David" w:cs="David"/>
        </w:rPr>
        <w:footnoteRef/>
      </w:r>
      <w:r w:rsidRPr="008926B9">
        <w:rPr>
          <w:rFonts w:ascii="David" w:hAnsi="David" w:cs="David"/>
          <w:rtl/>
        </w:rPr>
        <w:t xml:space="preserve"> </w:t>
      </w:r>
      <w:r w:rsidR="008926B9">
        <w:rPr>
          <w:rFonts w:ascii="David" w:hAnsi="David" w:cs="David" w:hint="cs"/>
          <w:rtl/>
        </w:rPr>
        <w:t>פרט</w:t>
      </w:r>
      <w:r w:rsidR="00325075" w:rsidRPr="008926B9">
        <w:rPr>
          <w:rFonts w:ascii="David" w:hAnsi="David" w:cs="David"/>
          <w:rtl/>
        </w:rPr>
        <w:t xml:space="preserve"> </w:t>
      </w:r>
      <w:r w:rsidR="00B95394" w:rsidRPr="008926B9">
        <w:rPr>
          <w:rFonts w:ascii="David" w:hAnsi="David" w:cs="David"/>
          <w:rtl/>
        </w:rPr>
        <w:t>7</w:t>
      </w:r>
      <w:r w:rsidRPr="008926B9">
        <w:rPr>
          <w:rFonts w:ascii="David" w:hAnsi="David" w:cs="David"/>
          <w:rtl/>
        </w:rPr>
        <w:t>(א)</w:t>
      </w:r>
      <w:r w:rsidR="008926B9">
        <w:rPr>
          <w:rFonts w:ascii="David" w:hAnsi="David" w:cs="David" w:hint="cs"/>
          <w:rtl/>
        </w:rPr>
        <w:t xml:space="preserve"> לתוספת.</w:t>
      </w:r>
    </w:p>
  </w:footnote>
  <w:footnote w:id="44">
    <w:p w:rsidR="00D92DEC" w:rsidRPr="008926B9" w:rsidRDefault="00D92DEC">
      <w:pPr>
        <w:pStyle w:val="FootnoteText"/>
        <w:rPr>
          <w:rFonts w:ascii="David" w:hAnsi="David" w:cs="David"/>
          <w:rtl/>
        </w:rPr>
      </w:pPr>
      <w:r w:rsidRPr="008926B9">
        <w:rPr>
          <w:rStyle w:val="FootnoteReference"/>
          <w:rFonts w:ascii="David" w:hAnsi="David" w:cs="David"/>
        </w:rPr>
        <w:footnoteRef/>
      </w:r>
      <w:r w:rsidRPr="008926B9">
        <w:rPr>
          <w:rFonts w:ascii="David" w:hAnsi="David" w:cs="David"/>
          <w:rtl/>
        </w:rPr>
        <w:t xml:space="preserve"> שם.</w:t>
      </w:r>
    </w:p>
  </w:footnote>
  <w:footnote w:id="45">
    <w:p w:rsidR="00894A06" w:rsidRPr="008926B9" w:rsidRDefault="00894A06" w:rsidP="008926B9">
      <w:pPr>
        <w:pStyle w:val="FootnoteText"/>
        <w:rPr>
          <w:rFonts w:ascii="David" w:hAnsi="David" w:cs="David"/>
        </w:rPr>
      </w:pPr>
      <w:r w:rsidRPr="008926B9">
        <w:rPr>
          <w:rStyle w:val="FootnoteReference"/>
          <w:rFonts w:ascii="David" w:hAnsi="David" w:cs="David"/>
        </w:rPr>
        <w:footnoteRef/>
      </w:r>
      <w:r w:rsidRPr="008926B9">
        <w:rPr>
          <w:rFonts w:ascii="David" w:hAnsi="David" w:cs="David"/>
          <w:rtl/>
        </w:rPr>
        <w:t xml:space="preserve"> </w:t>
      </w:r>
      <w:r w:rsidR="00325075" w:rsidRPr="008926B9">
        <w:rPr>
          <w:rFonts w:ascii="David" w:hAnsi="David" w:cs="David"/>
          <w:rtl/>
        </w:rPr>
        <w:t>ס'</w:t>
      </w:r>
      <w:r w:rsidRPr="008926B9">
        <w:rPr>
          <w:rFonts w:ascii="David" w:hAnsi="David" w:cs="David"/>
          <w:rtl/>
        </w:rPr>
        <w:t xml:space="preserve"> 55(ג)</w:t>
      </w:r>
      <w:r w:rsidR="008926B9">
        <w:rPr>
          <w:rFonts w:ascii="David" w:hAnsi="David" w:cs="David" w:hint="cs"/>
          <w:rtl/>
        </w:rPr>
        <w:t xml:space="preserve"> לחוק.</w:t>
      </w:r>
    </w:p>
  </w:footnote>
  <w:footnote w:id="46">
    <w:p w:rsidR="00894A06" w:rsidRPr="008926B9" w:rsidRDefault="00894A06" w:rsidP="008926B9">
      <w:pPr>
        <w:pStyle w:val="FootnoteText"/>
        <w:rPr>
          <w:rFonts w:ascii="David" w:hAnsi="David" w:cs="David"/>
        </w:rPr>
      </w:pPr>
      <w:r w:rsidRPr="008926B9">
        <w:rPr>
          <w:rStyle w:val="FootnoteReference"/>
          <w:rFonts w:ascii="David" w:hAnsi="David" w:cs="David"/>
        </w:rPr>
        <w:footnoteRef/>
      </w:r>
      <w:r w:rsidRPr="008926B9">
        <w:rPr>
          <w:rFonts w:ascii="David" w:hAnsi="David" w:cs="David"/>
          <w:rtl/>
        </w:rPr>
        <w:t xml:space="preserve"> </w:t>
      </w:r>
      <w:r w:rsidR="00325075" w:rsidRPr="008926B9">
        <w:rPr>
          <w:rFonts w:ascii="David" w:hAnsi="David" w:cs="David"/>
          <w:rtl/>
        </w:rPr>
        <w:t>ס'</w:t>
      </w:r>
      <w:r w:rsidRPr="008926B9">
        <w:rPr>
          <w:rFonts w:ascii="David" w:hAnsi="David" w:cs="David"/>
          <w:rtl/>
        </w:rPr>
        <w:t xml:space="preserve"> 62(א)</w:t>
      </w:r>
      <w:r w:rsidR="008926B9">
        <w:rPr>
          <w:rFonts w:ascii="David" w:hAnsi="David" w:cs="David" w:hint="cs"/>
          <w:rtl/>
        </w:rPr>
        <w:t xml:space="preserve"> לחוק.</w:t>
      </w:r>
    </w:p>
  </w:footnote>
  <w:footnote w:id="47">
    <w:p w:rsidR="00F94254" w:rsidRPr="008926B9" w:rsidRDefault="00F94254" w:rsidP="008926B9">
      <w:pPr>
        <w:pStyle w:val="FootnoteText"/>
        <w:rPr>
          <w:rFonts w:ascii="David" w:hAnsi="David" w:cs="David"/>
        </w:rPr>
      </w:pPr>
      <w:r w:rsidRPr="008926B9">
        <w:rPr>
          <w:rStyle w:val="FootnoteReference"/>
          <w:rFonts w:ascii="David" w:hAnsi="David" w:cs="David"/>
        </w:rPr>
        <w:footnoteRef/>
      </w:r>
      <w:r w:rsidRPr="008926B9">
        <w:rPr>
          <w:rFonts w:ascii="David" w:hAnsi="David" w:cs="David"/>
          <w:rtl/>
        </w:rPr>
        <w:t xml:space="preserve"> </w:t>
      </w:r>
      <w:r w:rsidR="00325075" w:rsidRPr="008926B9">
        <w:rPr>
          <w:rFonts w:ascii="David" w:hAnsi="David" w:cs="David"/>
          <w:rtl/>
        </w:rPr>
        <w:t>ס'</w:t>
      </w:r>
      <w:r w:rsidRPr="008926B9">
        <w:rPr>
          <w:rFonts w:ascii="David" w:hAnsi="David" w:cs="David"/>
          <w:rtl/>
        </w:rPr>
        <w:t xml:space="preserve"> 71ב(א)</w:t>
      </w:r>
      <w:r w:rsidR="008926B9">
        <w:rPr>
          <w:rFonts w:ascii="David" w:hAnsi="David" w:cs="David" w:hint="cs"/>
          <w:rtl/>
        </w:rPr>
        <w:t xml:space="preserve"> לחוק.</w:t>
      </w:r>
    </w:p>
  </w:footnote>
  <w:footnote w:id="48">
    <w:p w:rsidR="003334B7" w:rsidRPr="008926B9" w:rsidRDefault="003334B7" w:rsidP="00325075">
      <w:pPr>
        <w:pStyle w:val="FootnoteText"/>
        <w:rPr>
          <w:rFonts w:ascii="David" w:hAnsi="David" w:cs="David"/>
        </w:rPr>
      </w:pPr>
      <w:r w:rsidRPr="008926B9">
        <w:rPr>
          <w:rStyle w:val="FootnoteReference"/>
          <w:rFonts w:ascii="David" w:hAnsi="David" w:cs="David"/>
        </w:rPr>
        <w:footnoteRef/>
      </w:r>
      <w:r w:rsidRPr="008926B9">
        <w:rPr>
          <w:rFonts w:ascii="David" w:hAnsi="David" w:cs="David"/>
          <w:rtl/>
        </w:rPr>
        <w:t xml:space="preserve"> </w:t>
      </w:r>
      <w:r w:rsidR="00325075" w:rsidRPr="008926B9">
        <w:rPr>
          <w:rFonts w:ascii="David" w:hAnsi="David" w:cs="David"/>
          <w:rtl/>
        </w:rPr>
        <w:t xml:space="preserve">תא (ת) 45654/88 </w:t>
      </w:r>
      <w:r w:rsidR="00325075" w:rsidRPr="008926B9">
        <w:rPr>
          <w:rFonts w:ascii="David" w:hAnsi="David" w:cs="David"/>
          <w:b/>
          <w:bCs/>
          <w:rtl/>
        </w:rPr>
        <w:t xml:space="preserve">שמואל שטנג נ' שמואל מינצר, </w:t>
      </w:r>
      <w:r w:rsidR="00325075" w:rsidRPr="008926B9">
        <w:rPr>
          <w:rFonts w:ascii="David" w:hAnsi="David" w:cs="David"/>
          <w:rtl/>
        </w:rPr>
        <w:t>תשנ (4)221, פסק דינו של השופט ארבל (1995). (להלן: שטנג).</w:t>
      </w:r>
    </w:p>
  </w:footnote>
  <w:footnote w:id="49">
    <w:p w:rsidR="00325075" w:rsidRPr="008926B9" w:rsidRDefault="00325075">
      <w:pPr>
        <w:pStyle w:val="FootnoteText"/>
        <w:rPr>
          <w:rFonts w:ascii="David" w:hAnsi="David" w:cs="David"/>
          <w:rtl/>
        </w:rPr>
      </w:pPr>
      <w:r w:rsidRPr="008926B9">
        <w:rPr>
          <w:rStyle w:val="FootnoteReference"/>
          <w:rFonts w:ascii="David" w:hAnsi="David" w:cs="David"/>
        </w:rPr>
        <w:footnoteRef/>
      </w:r>
      <w:r w:rsidRPr="008926B9">
        <w:rPr>
          <w:rFonts w:ascii="David" w:hAnsi="David" w:cs="David"/>
          <w:rtl/>
        </w:rPr>
        <w:t xml:space="preserve"> ס' 71ג(א) לחוק.</w:t>
      </w:r>
    </w:p>
  </w:footnote>
  <w:footnote w:id="50">
    <w:p w:rsidR="00233611" w:rsidRPr="008926B9" w:rsidRDefault="00233611" w:rsidP="00D24407">
      <w:pPr>
        <w:pStyle w:val="FootnoteText"/>
        <w:rPr>
          <w:rFonts w:ascii="David" w:hAnsi="David" w:cs="David"/>
          <w:rtl/>
        </w:rPr>
      </w:pPr>
      <w:r w:rsidRPr="008926B9">
        <w:rPr>
          <w:rStyle w:val="FootnoteReference"/>
          <w:rFonts w:ascii="David" w:hAnsi="David" w:cs="David"/>
        </w:rPr>
        <w:footnoteRef/>
      </w:r>
      <w:r w:rsidRPr="008926B9">
        <w:rPr>
          <w:rFonts w:ascii="David" w:hAnsi="David" w:cs="David"/>
          <w:rtl/>
        </w:rPr>
        <w:t xml:space="preserve"> </w:t>
      </w:r>
      <w:r w:rsidR="00D24407" w:rsidRPr="008926B9">
        <w:rPr>
          <w:rFonts w:ascii="David" w:hAnsi="David" w:cs="David"/>
          <w:b/>
          <w:bCs/>
          <w:rtl/>
        </w:rPr>
        <w:t>שטנג</w:t>
      </w:r>
      <w:r w:rsidR="00325075" w:rsidRPr="008926B9">
        <w:rPr>
          <w:rFonts w:ascii="David" w:hAnsi="David" w:cs="David"/>
          <w:rtl/>
        </w:rPr>
        <w:t>.</w:t>
      </w:r>
    </w:p>
  </w:footnote>
  <w:footnote w:id="51">
    <w:p w:rsidR="0017654A" w:rsidRPr="008926B9" w:rsidRDefault="0017654A" w:rsidP="00D24407">
      <w:pPr>
        <w:pStyle w:val="FootnoteText"/>
        <w:rPr>
          <w:rFonts w:ascii="David" w:hAnsi="David" w:cs="David"/>
          <w:rtl/>
        </w:rPr>
      </w:pPr>
      <w:r w:rsidRPr="008926B9">
        <w:rPr>
          <w:rStyle w:val="FootnoteReference"/>
          <w:rFonts w:ascii="David" w:hAnsi="David" w:cs="David"/>
        </w:rPr>
        <w:footnoteRef/>
      </w:r>
      <w:r w:rsidRPr="008926B9">
        <w:rPr>
          <w:rFonts w:ascii="David" w:hAnsi="David" w:cs="David"/>
          <w:rtl/>
        </w:rPr>
        <w:t xml:space="preserve"> </w:t>
      </w:r>
      <w:r w:rsidR="00D24407" w:rsidRPr="008926B9">
        <w:rPr>
          <w:rFonts w:ascii="David" w:hAnsi="David" w:cs="David"/>
          <w:rtl/>
        </w:rPr>
        <w:t>ס'</w:t>
      </w:r>
      <w:r w:rsidR="00266A60" w:rsidRPr="008926B9">
        <w:rPr>
          <w:rFonts w:ascii="David" w:hAnsi="David" w:cs="David"/>
          <w:rtl/>
        </w:rPr>
        <w:t xml:space="preserve"> </w:t>
      </w:r>
      <w:r w:rsidRPr="008926B9">
        <w:rPr>
          <w:rFonts w:ascii="David" w:hAnsi="David" w:cs="David"/>
          <w:rtl/>
        </w:rPr>
        <w:t>71ב(ד)</w:t>
      </w:r>
      <w:r w:rsidR="00D24407" w:rsidRPr="008926B9">
        <w:rPr>
          <w:rFonts w:ascii="David" w:hAnsi="David" w:cs="David"/>
          <w:rtl/>
        </w:rPr>
        <w:t xml:space="preserve"> לחוק.</w:t>
      </w:r>
    </w:p>
  </w:footnote>
  <w:footnote w:id="52">
    <w:p w:rsidR="004067C1" w:rsidRPr="008926B9" w:rsidRDefault="004067C1" w:rsidP="004A4804">
      <w:pPr>
        <w:pStyle w:val="FootnoteText"/>
        <w:rPr>
          <w:rFonts w:ascii="David" w:hAnsi="David" w:cs="David"/>
          <w:rtl/>
        </w:rPr>
      </w:pPr>
      <w:r w:rsidRPr="008926B9">
        <w:rPr>
          <w:rStyle w:val="FootnoteReference"/>
          <w:rFonts w:ascii="David" w:hAnsi="David" w:cs="David"/>
        </w:rPr>
        <w:footnoteRef/>
      </w:r>
      <w:r w:rsidRPr="008926B9">
        <w:rPr>
          <w:rFonts w:ascii="David" w:hAnsi="David" w:cs="David"/>
          <w:rtl/>
        </w:rPr>
        <w:t xml:space="preserve"> </w:t>
      </w:r>
      <w:r w:rsidR="004C122B" w:rsidRPr="008926B9">
        <w:rPr>
          <w:rFonts w:ascii="David" w:hAnsi="David" w:cs="David"/>
          <w:rtl/>
        </w:rPr>
        <w:t>ס'</w:t>
      </w:r>
      <w:r w:rsidR="00052F6D" w:rsidRPr="008926B9">
        <w:rPr>
          <w:rFonts w:ascii="David" w:hAnsi="David" w:cs="David"/>
        </w:rPr>
        <w:t>1</w:t>
      </w:r>
      <w:r w:rsidR="004A4804" w:rsidRPr="008926B9">
        <w:rPr>
          <w:rFonts w:ascii="David" w:hAnsi="David" w:cs="David"/>
        </w:rPr>
        <w:t xml:space="preserve"> </w:t>
      </w:r>
      <w:r w:rsidR="004C122B" w:rsidRPr="008926B9">
        <w:rPr>
          <w:rFonts w:ascii="David" w:hAnsi="David" w:cs="David"/>
          <w:rtl/>
        </w:rPr>
        <w:t xml:space="preserve"> </w:t>
      </w:r>
      <w:r w:rsidR="004A4804" w:rsidRPr="008926B9">
        <w:rPr>
          <w:rFonts w:ascii="David" w:hAnsi="David" w:cs="David"/>
          <w:rtl/>
        </w:rPr>
        <w:t>לתקנות המקרקעין (תנאים להתנתקות ממערכת מרכזית בבית משותף), תשנ"א-1991, ס"ח 5325. (להלן: תקנ</w:t>
      </w:r>
      <w:r w:rsidR="003C32AE" w:rsidRPr="008926B9">
        <w:rPr>
          <w:rFonts w:ascii="David" w:hAnsi="David" w:cs="David"/>
          <w:rtl/>
        </w:rPr>
        <w:t>ו</w:t>
      </w:r>
      <w:r w:rsidR="004A4804" w:rsidRPr="008926B9">
        <w:rPr>
          <w:rFonts w:ascii="David" w:hAnsi="David" w:cs="David"/>
          <w:rtl/>
        </w:rPr>
        <w:t>ת התנאים).</w:t>
      </w:r>
    </w:p>
  </w:footnote>
  <w:footnote w:id="53">
    <w:p w:rsidR="00AC341F" w:rsidRPr="008926B9" w:rsidRDefault="00AC341F" w:rsidP="004A4804">
      <w:pPr>
        <w:pStyle w:val="FootnoteText"/>
        <w:rPr>
          <w:rFonts w:ascii="David" w:hAnsi="David" w:cs="David"/>
          <w:rtl/>
        </w:rPr>
      </w:pPr>
      <w:r w:rsidRPr="008926B9">
        <w:rPr>
          <w:rStyle w:val="FootnoteReference"/>
          <w:rFonts w:ascii="David" w:hAnsi="David" w:cs="David"/>
        </w:rPr>
        <w:footnoteRef/>
      </w:r>
      <w:r w:rsidRPr="008926B9">
        <w:rPr>
          <w:rFonts w:ascii="David" w:hAnsi="David" w:cs="David"/>
          <w:rtl/>
        </w:rPr>
        <w:t xml:space="preserve"> </w:t>
      </w:r>
      <w:r w:rsidR="00052F6D" w:rsidRPr="008926B9">
        <w:rPr>
          <w:rFonts w:ascii="David" w:hAnsi="David" w:cs="David"/>
          <w:rtl/>
        </w:rPr>
        <w:t xml:space="preserve">ס' </w:t>
      </w:r>
      <w:r w:rsidR="00052F6D" w:rsidRPr="008926B9">
        <w:rPr>
          <w:rFonts w:ascii="David" w:hAnsi="David" w:cs="David"/>
        </w:rPr>
        <w:t>4</w:t>
      </w:r>
      <w:r w:rsidR="00052F6D" w:rsidRPr="008926B9">
        <w:rPr>
          <w:rFonts w:ascii="David" w:hAnsi="David" w:cs="David"/>
          <w:rtl/>
        </w:rPr>
        <w:t>(א)</w:t>
      </w:r>
      <w:r w:rsidR="00052F6D" w:rsidRPr="008926B9">
        <w:rPr>
          <w:rFonts w:ascii="David" w:hAnsi="David" w:cs="David"/>
        </w:rPr>
        <w:t xml:space="preserve"> </w:t>
      </w:r>
      <w:r w:rsidR="004A4804" w:rsidRPr="008926B9">
        <w:rPr>
          <w:rFonts w:ascii="David" w:hAnsi="David" w:cs="David"/>
          <w:rtl/>
        </w:rPr>
        <w:t>לתקנ</w:t>
      </w:r>
      <w:r w:rsidR="003C32AE" w:rsidRPr="008926B9">
        <w:rPr>
          <w:rFonts w:ascii="David" w:hAnsi="David" w:cs="David"/>
          <w:rtl/>
        </w:rPr>
        <w:t>ו</w:t>
      </w:r>
      <w:r w:rsidR="004A4804" w:rsidRPr="008926B9">
        <w:rPr>
          <w:rFonts w:ascii="David" w:hAnsi="David" w:cs="David"/>
          <w:rtl/>
        </w:rPr>
        <w:t>ת התנאים.</w:t>
      </w:r>
    </w:p>
  </w:footnote>
  <w:footnote w:id="54">
    <w:p w:rsidR="00D24407" w:rsidRPr="008926B9" w:rsidRDefault="00D24407" w:rsidP="004A4804">
      <w:pPr>
        <w:pStyle w:val="FootnoteText"/>
        <w:rPr>
          <w:rFonts w:ascii="David" w:hAnsi="David" w:cs="David"/>
        </w:rPr>
      </w:pPr>
      <w:r w:rsidRPr="008926B9">
        <w:rPr>
          <w:rStyle w:val="FootnoteReference"/>
          <w:rFonts w:ascii="David" w:hAnsi="David" w:cs="David"/>
        </w:rPr>
        <w:footnoteRef/>
      </w:r>
      <w:r w:rsidRPr="008926B9">
        <w:rPr>
          <w:rFonts w:ascii="David" w:hAnsi="David" w:cs="David"/>
          <w:rtl/>
        </w:rPr>
        <w:t xml:space="preserve"> ס' 3(א)(3) </w:t>
      </w:r>
      <w:r w:rsidR="004A4804" w:rsidRPr="008926B9">
        <w:rPr>
          <w:rFonts w:ascii="David" w:hAnsi="David" w:cs="David"/>
          <w:rtl/>
        </w:rPr>
        <w:t>לתקנ</w:t>
      </w:r>
      <w:r w:rsidR="003C32AE" w:rsidRPr="008926B9">
        <w:rPr>
          <w:rFonts w:ascii="David" w:hAnsi="David" w:cs="David"/>
          <w:rtl/>
        </w:rPr>
        <w:t>ו</w:t>
      </w:r>
      <w:r w:rsidR="004A4804" w:rsidRPr="008926B9">
        <w:rPr>
          <w:rFonts w:ascii="David" w:hAnsi="David" w:cs="David"/>
          <w:rtl/>
        </w:rPr>
        <w:t>ת התנאים.</w:t>
      </w:r>
    </w:p>
  </w:footnote>
  <w:footnote w:id="55">
    <w:p w:rsidR="00AC341F" w:rsidRPr="008926B9" w:rsidRDefault="00AC341F" w:rsidP="004A4804">
      <w:pPr>
        <w:pStyle w:val="FootnoteText"/>
        <w:rPr>
          <w:rFonts w:ascii="David" w:hAnsi="David" w:cs="David"/>
        </w:rPr>
      </w:pPr>
      <w:r w:rsidRPr="008926B9">
        <w:rPr>
          <w:rStyle w:val="FootnoteReference"/>
          <w:rFonts w:ascii="David" w:hAnsi="David" w:cs="David"/>
        </w:rPr>
        <w:footnoteRef/>
      </w:r>
      <w:r w:rsidRPr="008926B9">
        <w:rPr>
          <w:rFonts w:ascii="David" w:hAnsi="David" w:cs="David"/>
          <w:rtl/>
        </w:rPr>
        <w:t xml:space="preserve"> </w:t>
      </w:r>
      <w:r w:rsidR="004A4804" w:rsidRPr="008926B9">
        <w:rPr>
          <w:rFonts w:ascii="David" w:hAnsi="David" w:cs="David"/>
          <w:rtl/>
        </w:rPr>
        <w:t>ס'</w:t>
      </w:r>
      <w:r w:rsidRPr="008926B9">
        <w:rPr>
          <w:rFonts w:ascii="David" w:hAnsi="David" w:cs="David"/>
          <w:rtl/>
        </w:rPr>
        <w:t xml:space="preserve"> 59ב(א)</w:t>
      </w:r>
      <w:r w:rsidR="004A4804" w:rsidRPr="008926B9">
        <w:rPr>
          <w:rFonts w:ascii="David" w:hAnsi="David" w:cs="David"/>
          <w:rtl/>
        </w:rPr>
        <w:t xml:space="preserve"> לחוק.</w:t>
      </w:r>
    </w:p>
  </w:footnote>
  <w:footnote w:id="56">
    <w:p w:rsidR="00AC341F" w:rsidRPr="008926B9" w:rsidRDefault="00AC341F" w:rsidP="004A4804">
      <w:pPr>
        <w:pStyle w:val="FootnoteText"/>
        <w:rPr>
          <w:rFonts w:ascii="David" w:hAnsi="David" w:cs="David"/>
        </w:rPr>
      </w:pPr>
      <w:r w:rsidRPr="008926B9">
        <w:rPr>
          <w:rStyle w:val="FootnoteReference"/>
          <w:rFonts w:ascii="David" w:hAnsi="David" w:cs="David"/>
        </w:rPr>
        <w:footnoteRef/>
      </w:r>
      <w:r w:rsidRPr="008926B9">
        <w:rPr>
          <w:rFonts w:ascii="David" w:hAnsi="David" w:cs="David"/>
          <w:rtl/>
        </w:rPr>
        <w:t xml:space="preserve"> </w:t>
      </w:r>
      <w:r w:rsidR="004A4804" w:rsidRPr="008926B9">
        <w:rPr>
          <w:rFonts w:ascii="David" w:hAnsi="David" w:cs="David"/>
          <w:rtl/>
        </w:rPr>
        <w:t>ס'</w:t>
      </w:r>
      <w:r w:rsidR="00E83B33" w:rsidRPr="008926B9">
        <w:rPr>
          <w:rFonts w:ascii="David" w:hAnsi="David" w:cs="David"/>
          <w:rtl/>
        </w:rPr>
        <w:t xml:space="preserve"> 1</w:t>
      </w:r>
      <w:r w:rsidRPr="008926B9">
        <w:rPr>
          <w:rFonts w:ascii="David" w:hAnsi="David" w:cs="David"/>
          <w:rtl/>
        </w:rPr>
        <w:t xml:space="preserve">(א)(2) </w:t>
      </w:r>
      <w:r w:rsidR="004A4804" w:rsidRPr="008926B9">
        <w:rPr>
          <w:rFonts w:ascii="David" w:hAnsi="David" w:cs="David"/>
          <w:rtl/>
        </w:rPr>
        <w:t>לתקנות המקרקעין (הוצאות החלות על המתנתק מהמערכת המרכזית בבית משותף), תשנ"א-1991, ס"ח 5325. (להלן: תקנ</w:t>
      </w:r>
      <w:r w:rsidR="003C32AE" w:rsidRPr="008926B9">
        <w:rPr>
          <w:rFonts w:ascii="David" w:hAnsi="David" w:cs="David"/>
          <w:rtl/>
        </w:rPr>
        <w:t>ו</w:t>
      </w:r>
      <w:r w:rsidR="004A4804" w:rsidRPr="008926B9">
        <w:rPr>
          <w:rFonts w:ascii="David" w:hAnsi="David" w:cs="David"/>
          <w:rtl/>
        </w:rPr>
        <w:t>ת ההוצאות).</w:t>
      </w:r>
    </w:p>
  </w:footnote>
  <w:footnote w:id="57">
    <w:p w:rsidR="009C6D66" w:rsidRPr="008926B9" w:rsidRDefault="009C6D66" w:rsidP="004C122B">
      <w:pPr>
        <w:pStyle w:val="FootnoteText"/>
        <w:rPr>
          <w:rFonts w:ascii="David" w:hAnsi="David" w:cs="David"/>
        </w:rPr>
      </w:pPr>
      <w:r w:rsidRPr="008926B9">
        <w:rPr>
          <w:rStyle w:val="FootnoteReference"/>
          <w:rFonts w:ascii="David" w:hAnsi="David" w:cs="David"/>
        </w:rPr>
        <w:footnoteRef/>
      </w:r>
      <w:r w:rsidRPr="008926B9">
        <w:rPr>
          <w:rFonts w:ascii="David" w:hAnsi="David" w:cs="David"/>
          <w:rtl/>
        </w:rPr>
        <w:t xml:space="preserve"> סעיף 1 </w:t>
      </w:r>
      <w:r w:rsidR="004C122B" w:rsidRPr="008926B9">
        <w:rPr>
          <w:rFonts w:ascii="David" w:hAnsi="David" w:cs="David"/>
          <w:rtl/>
        </w:rPr>
        <w:t>לתקנ</w:t>
      </w:r>
      <w:r w:rsidR="003C32AE" w:rsidRPr="008926B9">
        <w:rPr>
          <w:rFonts w:ascii="David" w:hAnsi="David" w:cs="David"/>
          <w:rtl/>
        </w:rPr>
        <w:t>ו</w:t>
      </w:r>
      <w:r w:rsidR="004C122B" w:rsidRPr="008926B9">
        <w:rPr>
          <w:rFonts w:ascii="David" w:hAnsi="David" w:cs="David"/>
          <w:rtl/>
        </w:rPr>
        <w:t>ת התנאים</w:t>
      </w:r>
      <w:r w:rsidR="008D74B9" w:rsidRPr="008926B9">
        <w:rPr>
          <w:rFonts w:ascii="David" w:hAnsi="David" w:cs="David"/>
          <w:rtl/>
        </w:rPr>
        <w:t>.</w:t>
      </w:r>
    </w:p>
  </w:footnote>
  <w:footnote w:id="58">
    <w:p w:rsidR="00E83B33" w:rsidRPr="008926B9" w:rsidRDefault="00E83B33">
      <w:pPr>
        <w:pStyle w:val="FootnoteText"/>
        <w:rPr>
          <w:rFonts w:ascii="David" w:hAnsi="David" w:cs="David"/>
          <w:rtl/>
        </w:rPr>
      </w:pPr>
      <w:r w:rsidRPr="008926B9">
        <w:rPr>
          <w:rStyle w:val="FootnoteReference"/>
          <w:rFonts w:ascii="David" w:hAnsi="David" w:cs="David"/>
        </w:rPr>
        <w:footnoteRef/>
      </w:r>
      <w:r w:rsidRPr="008926B9">
        <w:rPr>
          <w:rFonts w:ascii="David" w:hAnsi="David" w:cs="David"/>
          <w:rtl/>
        </w:rPr>
        <w:t xml:space="preserve"> סעיף 1(ב)</w:t>
      </w:r>
      <w:r w:rsidR="008D74B9" w:rsidRPr="008926B9">
        <w:rPr>
          <w:rFonts w:ascii="David" w:hAnsi="David" w:cs="David"/>
          <w:rtl/>
        </w:rPr>
        <w:t xml:space="preserve"> לתקנ</w:t>
      </w:r>
      <w:r w:rsidR="003C32AE" w:rsidRPr="008926B9">
        <w:rPr>
          <w:rFonts w:ascii="David" w:hAnsi="David" w:cs="David"/>
          <w:rtl/>
        </w:rPr>
        <w:t>ו</w:t>
      </w:r>
      <w:r w:rsidR="008D74B9" w:rsidRPr="008926B9">
        <w:rPr>
          <w:rFonts w:ascii="David" w:hAnsi="David" w:cs="David"/>
          <w:rtl/>
        </w:rPr>
        <w:t>ת ההוצאות.</w:t>
      </w:r>
    </w:p>
  </w:footnote>
  <w:footnote w:id="59">
    <w:p w:rsidR="00E83B33" w:rsidRPr="008926B9" w:rsidRDefault="00E83B33" w:rsidP="00BF620A">
      <w:pPr>
        <w:pStyle w:val="FootnoteText"/>
        <w:rPr>
          <w:rFonts w:ascii="David" w:hAnsi="David" w:cs="David"/>
          <w:rtl/>
        </w:rPr>
      </w:pPr>
      <w:r w:rsidRPr="008926B9">
        <w:rPr>
          <w:rStyle w:val="FootnoteReference"/>
          <w:rFonts w:ascii="David" w:hAnsi="David" w:cs="David"/>
        </w:rPr>
        <w:footnoteRef/>
      </w:r>
      <w:r w:rsidRPr="008926B9">
        <w:rPr>
          <w:rFonts w:ascii="David" w:hAnsi="David" w:cs="David"/>
          <w:rtl/>
        </w:rPr>
        <w:t xml:space="preserve"> סעיף 7(א) </w:t>
      </w:r>
      <w:r w:rsidR="00BF620A" w:rsidRPr="008926B9">
        <w:rPr>
          <w:rFonts w:ascii="David" w:hAnsi="David" w:cs="David"/>
          <w:rtl/>
        </w:rPr>
        <w:t>לתקנ</w:t>
      </w:r>
      <w:r w:rsidR="003C32AE" w:rsidRPr="008926B9">
        <w:rPr>
          <w:rFonts w:ascii="David" w:hAnsi="David" w:cs="David"/>
          <w:rtl/>
        </w:rPr>
        <w:t>ו</w:t>
      </w:r>
      <w:r w:rsidR="00BF620A" w:rsidRPr="008926B9">
        <w:rPr>
          <w:rFonts w:ascii="David" w:hAnsi="David" w:cs="David"/>
          <w:rtl/>
        </w:rPr>
        <w:t>ת התנאים.</w:t>
      </w:r>
    </w:p>
  </w:footnote>
  <w:footnote w:id="60">
    <w:p w:rsidR="00DF3B00" w:rsidRPr="008926B9" w:rsidRDefault="00DF3B00">
      <w:pPr>
        <w:pStyle w:val="FootnoteText"/>
        <w:rPr>
          <w:rFonts w:ascii="David" w:hAnsi="David" w:cs="David"/>
          <w:rtl/>
        </w:rPr>
      </w:pPr>
      <w:r w:rsidRPr="008926B9">
        <w:rPr>
          <w:rStyle w:val="FootnoteReference"/>
          <w:rFonts w:ascii="David" w:hAnsi="David" w:cs="David"/>
        </w:rPr>
        <w:footnoteRef/>
      </w:r>
      <w:r w:rsidRPr="008926B9">
        <w:rPr>
          <w:rFonts w:ascii="David" w:hAnsi="David" w:cs="David"/>
          <w:rtl/>
        </w:rPr>
        <w:t xml:space="preserve"> </w:t>
      </w:r>
      <w:r w:rsidR="00FC1508" w:rsidRPr="008926B9">
        <w:rPr>
          <w:rFonts w:ascii="David" w:hAnsi="David" w:cs="David"/>
          <w:rtl/>
        </w:rPr>
        <w:t>שם</w:t>
      </w:r>
      <w:r w:rsidR="00832F0E">
        <w:rPr>
          <w:rFonts w:ascii="David" w:hAnsi="David" w:cs="David" w:hint="cs"/>
          <w:rtl/>
        </w:rPr>
        <w:t>.</w:t>
      </w:r>
    </w:p>
  </w:footnote>
  <w:footnote w:id="61">
    <w:p w:rsidR="00FC1508" w:rsidRPr="008926B9" w:rsidRDefault="00FC1508">
      <w:pPr>
        <w:pStyle w:val="FootnoteText"/>
        <w:rPr>
          <w:rFonts w:ascii="David" w:hAnsi="David" w:cs="David"/>
          <w:rtl/>
        </w:rPr>
      </w:pPr>
      <w:r w:rsidRPr="008926B9">
        <w:rPr>
          <w:rStyle w:val="FootnoteReference"/>
          <w:rFonts w:ascii="David" w:hAnsi="David" w:cs="David"/>
        </w:rPr>
        <w:footnoteRef/>
      </w:r>
      <w:r w:rsidRPr="008926B9">
        <w:rPr>
          <w:rFonts w:ascii="David" w:hAnsi="David" w:cs="David"/>
          <w:rtl/>
        </w:rPr>
        <w:t xml:space="preserve"> סעיף 72(א)</w:t>
      </w:r>
      <w:r w:rsidR="00BF620A" w:rsidRPr="008926B9">
        <w:rPr>
          <w:rFonts w:ascii="David" w:hAnsi="David" w:cs="David"/>
          <w:rtl/>
        </w:rPr>
        <w:t xml:space="preserve"> לחוק.</w:t>
      </w:r>
    </w:p>
  </w:footnote>
  <w:footnote w:id="62">
    <w:p w:rsidR="00FC1508" w:rsidRPr="008926B9" w:rsidRDefault="00FC1508">
      <w:pPr>
        <w:pStyle w:val="FootnoteText"/>
        <w:rPr>
          <w:rFonts w:ascii="David" w:hAnsi="David" w:cs="David"/>
        </w:rPr>
      </w:pPr>
      <w:r w:rsidRPr="008926B9">
        <w:rPr>
          <w:rStyle w:val="FootnoteReference"/>
          <w:rFonts w:ascii="David" w:hAnsi="David" w:cs="David"/>
        </w:rPr>
        <w:footnoteRef/>
      </w:r>
      <w:r w:rsidRPr="008926B9">
        <w:rPr>
          <w:rFonts w:ascii="David" w:hAnsi="David" w:cs="David"/>
          <w:rtl/>
        </w:rPr>
        <w:t xml:space="preserve"> סעיף 71ג(א)</w:t>
      </w:r>
      <w:r w:rsidR="00BF620A" w:rsidRPr="008926B9">
        <w:rPr>
          <w:rFonts w:ascii="David" w:hAnsi="David" w:cs="David"/>
          <w:rtl/>
        </w:rPr>
        <w:t xml:space="preserve"> לחוק.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B6"/>
    <w:rsid w:val="00012717"/>
    <w:rsid w:val="00022B2B"/>
    <w:rsid w:val="0002319E"/>
    <w:rsid w:val="000306AE"/>
    <w:rsid w:val="00031FCE"/>
    <w:rsid w:val="00050945"/>
    <w:rsid w:val="00052F6D"/>
    <w:rsid w:val="00053A0D"/>
    <w:rsid w:val="00053BDD"/>
    <w:rsid w:val="00062EFD"/>
    <w:rsid w:val="000913EF"/>
    <w:rsid w:val="00094A12"/>
    <w:rsid w:val="000A3F87"/>
    <w:rsid w:val="000B0D0F"/>
    <w:rsid w:val="000E3F30"/>
    <w:rsid w:val="0011646F"/>
    <w:rsid w:val="00120E8C"/>
    <w:rsid w:val="00141728"/>
    <w:rsid w:val="00161670"/>
    <w:rsid w:val="0017654A"/>
    <w:rsid w:val="0018188A"/>
    <w:rsid w:val="0018291B"/>
    <w:rsid w:val="001916B1"/>
    <w:rsid w:val="001A305E"/>
    <w:rsid w:val="001A3EC1"/>
    <w:rsid w:val="001A5C9A"/>
    <w:rsid w:val="001B1D50"/>
    <w:rsid w:val="001C508F"/>
    <w:rsid w:val="001C705E"/>
    <w:rsid w:val="001D459E"/>
    <w:rsid w:val="001F7244"/>
    <w:rsid w:val="001F727A"/>
    <w:rsid w:val="00225DE4"/>
    <w:rsid w:val="00233611"/>
    <w:rsid w:val="00234286"/>
    <w:rsid w:val="00235035"/>
    <w:rsid w:val="00242746"/>
    <w:rsid w:val="00251030"/>
    <w:rsid w:val="002535EB"/>
    <w:rsid w:val="00255187"/>
    <w:rsid w:val="002551C8"/>
    <w:rsid w:val="00264DB9"/>
    <w:rsid w:val="00266A60"/>
    <w:rsid w:val="00282C27"/>
    <w:rsid w:val="00290761"/>
    <w:rsid w:val="00292929"/>
    <w:rsid w:val="002B63D2"/>
    <w:rsid w:val="002C41C8"/>
    <w:rsid w:val="002C515D"/>
    <w:rsid w:val="002D79B9"/>
    <w:rsid w:val="002E082F"/>
    <w:rsid w:val="002F5507"/>
    <w:rsid w:val="00303779"/>
    <w:rsid w:val="00307CF2"/>
    <w:rsid w:val="0031341F"/>
    <w:rsid w:val="00325075"/>
    <w:rsid w:val="003334B7"/>
    <w:rsid w:val="003337D9"/>
    <w:rsid w:val="00335510"/>
    <w:rsid w:val="00356AD9"/>
    <w:rsid w:val="00357835"/>
    <w:rsid w:val="0036287C"/>
    <w:rsid w:val="00370101"/>
    <w:rsid w:val="003711BB"/>
    <w:rsid w:val="00376E9A"/>
    <w:rsid w:val="00386011"/>
    <w:rsid w:val="00390C17"/>
    <w:rsid w:val="00396F6C"/>
    <w:rsid w:val="003A2135"/>
    <w:rsid w:val="003B1327"/>
    <w:rsid w:val="003B358F"/>
    <w:rsid w:val="003B487D"/>
    <w:rsid w:val="003B4EE2"/>
    <w:rsid w:val="003C01A8"/>
    <w:rsid w:val="003C32AE"/>
    <w:rsid w:val="003C36F7"/>
    <w:rsid w:val="003D3486"/>
    <w:rsid w:val="003D5374"/>
    <w:rsid w:val="003F3CD2"/>
    <w:rsid w:val="00405443"/>
    <w:rsid w:val="004067C1"/>
    <w:rsid w:val="00423526"/>
    <w:rsid w:val="0043120D"/>
    <w:rsid w:val="00456057"/>
    <w:rsid w:val="004624E7"/>
    <w:rsid w:val="004742F6"/>
    <w:rsid w:val="00474D53"/>
    <w:rsid w:val="00480446"/>
    <w:rsid w:val="00481514"/>
    <w:rsid w:val="0049606B"/>
    <w:rsid w:val="004972AA"/>
    <w:rsid w:val="004A4804"/>
    <w:rsid w:val="004A5F7E"/>
    <w:rsid w:val="004B39DC"/>
    <w:rsid w:val="004B433B"/>
    <w:rsid w:val="004C122B"/>
    <w:rsid w:val="004C7CE2"/>
    <w:rsid w:val="004E4EC5"/>
    <w:rsid w:val="004F3A22"/>
    <w:rsid w:val="004F5463"/>
    <w:rsid w:val="004F5669"/>
    <w:rsid w:val="004F7397"/>
    <w:rsid w:val="0050286E"/>
    <w:rsid w:val="005040D1"/>
    <w:rsid w:val="005048C6"/>
    <w:rsid w:val="00510EF7"/>
    <w:rsid w:val="005113E9"/>
    <w:rsid w:val="005201CC"/>
    <w:rsid w:val="00535E2C"/>
    <w:rsid w:val="005475CD"/>
    <w:rsid w:val="00572E86"/>
    <w:rsid w:val="00575622"/>
    <w:rsid w:val="00582F7A"/>
    <w:rsid w:val="00590B47"/>
    <w:rsid w:val="00592992"/>
    <w:rsid w:val="0059550C"/>
    <w:rsid w:val="00595EF2"/>
    <w:rsid w:val="005A337E"/>
    <w:rsid w:val="005B60F5"/>
    <w:rsid w:val="005B6523"/>
    <w:rsid w:val="005C1188"/>
    <w:rsid w:val="005C3D46"/>
    <w:rsid w:val="005D4285"/>
    <w:rsid w:val="005E46E7"/>
    <w:rsid w:val="00601692"/>
    <w:rsid w:val="0060775C"/>
    <w:rsid w:val="0061767B"/>
    <w:rsid w:val="00633B6D"/>
    <w:rsid w:val="00642A49"/>
    <w:rsid w:val="00656007"/>
    <w:rsid w:val="0066365C"/>
    <w:rsid w:val="00691748"/>
    <w:rsid w:val="00694AD8"/>
    <w:rsid w:val="006B4F82"/>
    <w:rsid w:val="006B5CDD"/>
    <w:rsid w:val="006D021A"/>
    <w:rsid w:val="006D0D2D"/>
    <w:rsid w:val="006E10B0"/>
    <w:rsid w:val="006E1D8A"/>
    <w:rsid w:val="006E4874"/>
    <w:rsid w:val="006F228B"/>
    <w:rsid w:val="00703B2C"/>
    <w:rsid w:val="00716D0A"/>
    <w:rsid w:val="0072189A"/>
    <w:rsid w:val="007218C5"/>
    <w:rsid w:val="00747903"/>
    <w:rsid w:val="007529DC"/>
    <w:rsid w:val="00771A71"/>
    <w:rsid w:val="0078262B"/>
    <w:rsid w:val="007947CC"/>
    <w:rsid w:val="007A670B"/>
    <w:rsid w:val="007B5F96"/>
    <w:rsid w:val="007C4C98"/>
    <w:rsid w:val="007D3500"/>
    <w:rsid w:val="007D650F"/>
    <w:rsid w:val="007E0B87"/>
    <w:rsid w:val="007F10D8"/>
    <w:rsid w:val="00805E3C"/>
    <w:rsid w:val="0081204B"/>
    <w:rsid w:val="00812C4F"/>
    <w:rsid w:val="008217A6"/>
    <w:rsid w:val="00830543"/>
    <w:rsid w:val="00832BF9"/>
    <w:rsid w:val="00832F0E"/>
    <w:rsid w:val="00841D60"/>
    <w:rsid w:val="00843D40"/>
    <w:rsid w:val="008778E4"/>
    <w:rsid w:val="008926B9"/>
    <w:rsid w:val="00894A06"/>
    <w:rsid w:val="008A043B"/>
    <w:rsid w:val="008B3E17"/>
    <w:rsid w:val="008B43B2"/>
    <w:rsid w:val="008C00C2"/>
    <w:rsid w:val="008C0332"/>
    <w:rsid w:val="008D27EA"/>
    <w:rsid w:val="008D74B9"/>
    <w:rsid w:val="008E3413"/>
    <w:rsid w:val="00902E05"/>
    <w:rsid w:val="009048E4"/>
    <w:rsid w:val="0091301C"/>
    <w:rsid w:val="00922A3B"/>
    <w:rsid w:val="009420A0"/>
    <w:rsid w:val="009435EE"/>
    <w:rsid w:val="0096460B"/>
    <w:rsid w:val="00980270"/>
    <w:rsid w:val="00982365"/>
    <w:rsid w:val="00982B09"/>
    <w:rsid w:val="00984D79"/>
    <w:rsid w:val="00996489"/>
    <w:rsid w:val="009C6D66"/>
    <w:rsid w:val="009D6737"/>
    <w:rsid w:val="009D7939"/>
    <w:rsid w:val="009F7FDB"/>
    <w:rsid w:val="00A04462"/>
    <w:rsid w:val="00A10EF6"/>
    <w:rsid w:val="00A141FE"/>
    <w:rsid w:val="00A2631F"/>
    <w:rsid w:val="00A32DDB"/>
    <w:rsid w:val="00A513D1"/>
    <w:rsid w:val="00AC0A4E"/>
    <w:rsid w:val="00AC19BF"/>
    <w:rsid w:val="00AC2F83"/>
    <w:rsid w:val="00AC341F"/>
    <w:rsid w:val="00AD44C5"/>
    <w:rsid w:val="00AE05B3"/>
    <w:rsid w:val="00AE1061"/>
    <w:rsid w:val="00AF725A"/>
    <w:rsid w:val="00B01899"/>
    <w:rsid w:val="00B03A7E"/>
    <w:rsid w:val="00B045E0"/>
    <w:rsid w:val="00B216F5"/>
    <w:rsid w:val="00B306B6"/>
    <w:rsid w:val="00B44099"/>
    <w:rsid w:val="00B443E3"/>
    <w:rsid w:val="00B4440F"/>
    <w:rsid w:val="00B5106B"/>
    <w:rsid w:val="00B51DDB"/>
    <w:rsid w:val="00B577A1"/>
    <w:rsid w:val="00B6094B"/>
    <w:rsid w:val="00B655F5"/>
    <w:rsid w:val="00B7151B"/>
    <w:rsid w:val="00B72692"/>
    <w:rsid w:val="00B75368"/>
    <w:rsid w:val="00B800CC"/>
    <w:rsid w:val="00B84CC6"/>
    <w:rsid w:val="00B851CA"/>
    <w:rsid w:val="00B950CF"/>
    <w:rsid w:val="00B95394"/>
    <w:rsid w:val="00BA217F"/>
    <w:rsid w:val="00BA388B"/>
    <w:rsid w:val="00BC1B0B"/>
    <w:rsid w:val="00BD7843"/>
    <w:rsid w:val="00BF4A9A"/>
    <w:rsid w:val="00BF620A"/>
    <w:rsid w:val="00C03FE9"/>
    <w:rsid w:val="00C046E0"/>
    <w:rsid w:val="00C132CA"/>
    <w:rsid w:val="00C60148"/>
    <w:rsid w:val="00C715BC"/>
    <w:rsid w:val="00C717BF"/>
    <w:rsid w:val="00C75F36"/>
    <w:rsid w:val="00C81D33"/>
    <w:rsid w:val="00C874B6"/>
    <w:rsid w:val="00CA4522"/>
    <w:rsid w:val="00CA5F59"/>
    <w:rsid w:val="00CC0CB3"/>
    <w:rsid w:val="00CD0DCE"/>
    <w:rsid w:val="00CD2994"/>
    <w:rsid w:val="00CD67CE"/>
    <w:rsid w:val="00D02110"/>
    <w:rsid w:val="00D13791"/>
    <w:rsid w:val="00D24407"/>
    <w:rsid w:val="00D31E93"/>
    <w:rsid w:val="00D33DE6"/>
    <w:rsid w:val="00D37D51"/>
    <w:rsid w:val="00D40608"/>
    <w:rsid w:val="00D44A44"/>
    <w:rsid w:val="00D46897"/>
    <w:rsid w:val="00D51503"/>
    <w:rsid w:val="00D53A5A"/>
    <w:rsid w:val="00D53F42"/>
    <w:rsid w:val="00D6397F"/>
    <w:rsid w:val="00D66B24"/>
    <w:rsid w:val="00D70A59"/>
    <w:rsid w:val="00D74A4D"/>
    <w:rsid w:val="00D83692"/>
    <w:rsid w:val="00D92DEC"/>
    <w:rsid w:val="00DA247A"/>
    <w:rsid w:val="00DB09EF"/>
    <w:rsid w:val="00DB2CA9"/>
    <w:rsid w:val="00DB4D77"/>
    <w:rsid w:val="00DC401F"/>
    <w:rsid w:val="00DC7D5C"/>
    <w:rsid w:val="00DE79B2"/>
    <w:rsid w:val="00DF029E"/>
    <w:rsid w:val="00DF0D4A"/>
    <w:rsid w:val="00DF3B00"/>
    <w:rsid w:val="00DF4205"/>
    <w:rsid w:val="00E20204"/>
    <w:rsid w:val="00E353AE"/>
    <w:rsid w:val="00E40113"/>
    <w:rsid w:val="00E40C0B"/>
    <w:rsid w:val="00E46639"/>
    <w:rsid w:val="00E47ACB"/>
    <w:rsid w:val="00E52080"/>
    <w:rsid w:val="00E83B33"/>
    <w:rsid w:val="00E972B1"/>
    <w:rsid w:val="00EA6A45"/>
    <w:rsid w:val="00EB3E03"/>
    <w:rsid w:val="00EC3087"/>
    <w:rsid w:val="00ED07BC"/>
    <w:rsid w:val="00ED23F2"/>
    <w:rsid w:val="00ED77E5"/>
    <w:rsid w:val="00EE433B"/>
    <w:rsid w:val="00F00F06"/>
    <w:rsid w:val="00F05972"/>
    <w:rsid w:val="00F16C04"/>
    <w:rsid w:val="00F241FC"/>
    <w:rsid w:val="00F40E51"/>
    <w:rsid w:val="00F45CEC"/>
    <w:rsid w:val="00F53035"/>
    <w:rsid w:val="00F66E62"/>
    <w:rsid w:val="00F74B8C"/>
    <w:rsid w:val="00F831D0"/>
    <w:rsid w:val="00F94254"/>
    <w:rsid w:val="00FB3721"/>
    <w:rsid w:val="00FC1508"/>
    <w:rsid w:val="00FC7E8F"/>
    <w:rsid w:val="00FD380A"/>
    <w:rsid w:val="00FD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443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43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43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443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43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43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2243</TotalTime>
  <Pages>4</Pages>
  <Words>1067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Tuval Levanon</dc:creator>
  <cp:keywords/>
  <dc:description/>
  <cp:lastModifiedBy>Tuval Levanon</cp:lastModifiedBy>
  <cp:revision>201</cp:revision>
  <dcterms:created xsi:type="dcterms:W3CDTF">2015-11-15T16:22:00Z</dcterms:created>
  <dcterms:modified xsi:type="dcterms:W3CDTF">2015-12-31T06:32:00Z</dcterms:modified>
</cp:coreProperties>
</file>