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02" w:rsidRDefault="00824402" w:rsidP="00824402">
      <w:pPr>
        <w:spacing w:after="0" w:line="360" w:lineRule="auto"/>
        <w:rPr>
          <w:rFonts w:ascii="Times New Roman" w:eastAsia="Times New Roman" w:hAnsi="Times New Roman" w:cs="Times New Roman"/>
          <w:rtl/>
        </w:rPr>
      </w:pPr>
      <w:r w:rsidRPr="00824402">
        <w:rPr>
          <w:rFonts w:eastAsia="Times New Roman"/>
          <w:color w:val="000000"/>
          <w:rtl/>
        </w:rPr>
        <w:t>כיתה 01, הקבוצה של נדב דגן</w:t>
      </w:r>
    </w:p>
    <w:p w:rsidR="00824402" w:rsidRPr="00824402" w:rsidRDefault="00824402" w:rsidP="00824402">
      <w:pPr>
        <w:bidi w:val="0"/>
        <w:spacing w:after="0" w:line="360" w:lineRule="auto"/>
        <w:rPr>
          <w:rFonts w:ascii="Times New Roman" w:eastAsia="Times New Roman" w:hAnsi="Times New Roman" w:cs="Times New Roman"/>
        </w:rPr>
      </w:pPr>
    </w:p>
    <w:p w:rsidR="00824402" w:rsidRPr="00824402" w:rsidRDefault="00824402" w:rsidP="00824402">
      <w:pPr>
        <w:spacing w:after="0" w:line="360" w:lineRule="auto"/>
        <w:jc w:val="center"/>
        <w:rPr>
          <w:rFonts w:ascii="Times New Roman" w:eastAsia="Times New Roman" w:hAnsi="Times New Roman" w:cs="Times New Roman"/>
        </w:rPr>
      </w:pPr>
      <w:r w:rsidRPr="00824402">
        <w:rPr>
          <w:rFonts w:eastAsia="Times New Roman"/>
          <w:b/>
          <w:bCs/>
          <w:color w:val="000000"/>
          <w:sz w:val="32"/>
          <w:szCs w:val="32"/>
          <w:rtl/>
        </w:rPr>
        <w:t>עבודת הגשה במיומנויות כתיבה</w:t>
      </w:r>
    </w:p>
    <w:p w:rsidR="00824402" w:rsidRPr="00824402" w:rsidRDefault="00824402" w:rsidP="00824402">
      <w:pPr>
        <w:spacing w:after="0" w:line="360" w:lineRule="auto"/>
        <w:jc w:val="center"/>
        <w:rPr>
          <w:rFonts w:ascii="Times New Roman" w:eastAsia="Times New Roman" w:hAnsi="Times New Roman" w:cs="Times New Roman"/>
          <w:rtl/>
        </w:rPr>
      </w:pPr>
      <w:r w:rsidRPr="00824402">
        <w:rPr>
          <w:rFonts w:eastAsia="Times New Roman"/>
          <w:b/>
          <w:bCs/>
          <w:color w:val="000000"/>
          <w:sz w:val="32"/>
          <w:szCs w:val="32"/>
          <w:rtl/>
        </w:rPr>
        <w:t>אירועון 5</w:t>
      </w:r>
    </w:p>
    <w:p w:rsidR="00824402" w:rsidRPr="00824402" w:rsidRDefault="00824402" w:rsidP="00824402">
      <w:pPr>
        <w:pStyle w:val="a3"/>
        <w:numPr>
          <w:ilvl w:val="0"/>
          <w:numId w:val="1"/>
        </w:numPr>
        <w:spacing w:before="240" w:after="0" w:line="360" w:lineRule="auto"/>
        <w:jc w:val="center"/>
        <w:rPr>
          <w:rFonts w:ascii="Times New Roman" w:eastAsia="Times New Roman" w:hAnsi="Times New Roman" w:cs="Times New Roman"/>
          <w:b/>
          <w:bCs/>
          <w:rtl/>
        </w:rPr>
      </w:pPr>
      <w:r w:rsidRPr="00824402">
        <w:rPr>
          <w:rFonts w:eastAsia="Times New Roman"/>
          <w:b/>
          <w:bCs/>
          <w:color w:val="000000"/>
          <w:rtl/>
        </w:rPr>
        <w:t>מבוא</w:t>
      </w:r>
    </w:p>
    <w:p w:rsidR="00824402" w:rsidRPr="00824402" w:rsidRDefault="00824402" w:rsidP="00824402">
      <w:pPr>
        <w:spacing w:before="240" w:after="0" w:line="360" w:lineRule="auto"/>
        <w:jc w:val="both"/>
        <w:rPr>
          <w:rFonts w:ascii="Times New Roman" w:eastAsia="Times New Roman" w:hAnsi="Times New Roman" w:cs="Times New Roman"/>
          <w:color w:val="000000" w:themeColor="text1"/>
          <w:rtl/>
        </w:rPr>
      </w:pPr>
      <w:r w:rsidRPr="00824402">
        <w:rPr>
          <w:rFonts w:eastAsia="Times New Roman"/>
          <w:color w:val="000000" w:themeColor="text1"/>
          <w:rtl/>
        </w:rPr>
        <w:t xml:space="preserve">הזוג </w:t>
      </w:r>
      <w:proofErr w:type="spellStart"/>
      <w:r w:rsidRPr="00824402">
        <w:rPr>
          <w:rFonts w:eastAsia="Times New Roman"/>
          <w:color w:val="000000" w:themeColor="text1"/>
          <w:rtl/>
        </w:rPr>
        <w:t>ליהיא</w:t>
      </w:r>
      <w:proofErr w:type="spellEnd"/>
      <w:r w:rsidRPr="00824402">
        <w:rPr>
          <w:rFonts w:eastAsia="Times New Roman"/>
          <w:color w:val="000000" w:themeColor="text1"/>
          <w:rtl/>
        </w:rPr>
        <w:t xml:space="preserve"> ואון (להלן: התובעים), הינם בני זוג במשך כ-5 שנים, המחפשים לרכוש בית בישוב הקהילתי זרע שבגליל. לאחר חיפושים ממושכים מצאו התובעים בית צמוד קרקע במחיר אטרקטיבי, השייך לגברת פלפלת (להלן: הנתבעת). התובעים סיכמו את פרטי העסקה מול הנתבעת, לחצו עמה ידיים ואף העלו את הסכמותיהם על כתב בזיכרון דברים. בעת שנפגשו הצדדים לחתום על הסכם סופי מול עורך דין, גילו התובעים להפתעתם תנאי חדש בחוזה לפיו סופיות ההסכם תלויה באישור ועדת הקבלה של הישוב. התובעים הסכימו לתנ</w:t>
      </w:r>
      <w:r w:rsidR="00FF2399">
        <w:rPr>
          <w:rFonts w:eastAsia="Times New Roman"/>
          <w:color w:val="000000" w:themeColor="text1"/>
          <w:rtl/>
        </w:rPr>
        <w:t>אי זה בעל כורחם. התובעים, אשר ו</w:t>
      </w:r>
      <w:r w:rsidRPr="00824402">
        <w:rPr>
          <w:rFonts w:eastAsia="Times New Roman"/>
          <w:color w:val="000000" w:themeColor="text1"/>
          <w:rtl/>
        </w:rPr>
        <w:t>עדת הקבלה שללה את בקשתם על הסף משום שאינם נשואים וטבעוניים,</w:t>
      </w:r>
      <w:r w:rsidR="00A065E0">
        <w:rPr>
          <w:rFonts w:eastAsia="Times New Roman"/>
          <w:color w:val="000000" w:themeColor="text1"/>
          <w:rtl/>
        </w:rPr>
        <w:t xml:space="preserve"> מעוניינים לעתור כנגד הנתבעת ב</w:t>
      </w:r>
      <w:r w:rsidR="00A065E0">
        <w:rPr>
          <w:rFonts w:eastAsia="Times New Roman" w:hint="cs"/>
          <w:color w:val="000000" w:themeColor="text1"/>
          <w:rtl/>
        </w:rPr>
        <w:t>גין</w:t>
      </w:r>
      <w:r w:rsidRPr="00824402">
        <w:rPr>
          <w:rFonts w:eastAsia="Times New Roman"/>
          <w:color w:val="000000" w:themeColor="text1"/>
          <w:rtl/>
        </w:rPr>
        <w:t xml:space="preserve"> חוסר תום לב בקיום משא ומתן הנובע מאי גילוי של פרט מהותי לקיום העסקה</w:t>
      </w:r>
      <w:r w:rsidR="00A065E0">
        <w:rPr>
          <w:rFonts w:eastAsia="Times New Roman" w:hint="cs"/>
          <w:color w:val="000000" w:themeColor="text1"/>
          <w:rtl/>
        </w:rPr>
        <w:t xml:space="preserve"> ובגין הפרת החוזה מולם</w:t>
      </w:r>
      <w:r w:rsidRPr="00824402">
        <w:rPr>
          <w:rFonts w:eastAsia="Times New Roman"/>
          <w:color w:val="000000" w:themeColor="text1"/>
          <w:rtl/>
        </w:rPr>
        <w:t>.</w:t>
      </w:r>
    </w:p>
    <w:p w:rsidR="00824402" w:rsidRPr="00824402" w:rsidRDefault="00824402" w:rsidP="00C57731">
      <w:pPr>
        <w:spacing w:before="240" w:after="240" w:line="360" w:lineRule="auto"/>
        <w:jc w:val="both"/>
        <w:rPr>
          <w:rFonts w:ascii="Times New Roman" w:eastAsia="Times New Roman" w:hAnsi="Times New Roman" w:cs="Times New Roman"/>
          <w:rtl/>
        </w:rPr>
      </w:pPr>
      <w:r w:rsidRPr="00824402">
        <w:rPr>
          <w:rFonts w:eastAsia="Times New Roman"/>
          <w:color w:val="000000" w:themeColor="text1"/>
          <w:rtl/>
        </w:rPr>
        <w:t xml:space="preserve">החוזה וזיכרון הדברים בין הצדדים מעלים </w:t>
      </w:r>
      <w:r w:rsidRPr="00824402">
        <w:rPr>
          <w:rFonts w:eastAsia="Times New Roman"/>
          <w:b/>
          <w:bCs/>
          <w:color w:val="000000" w:themeColor="text1"/>
          <w:rtl/>
        </w:rPr>
        <w:t xml:space="preserve">סוגיות משפטיות רבות. </w:t>
      </w:r>
      <w:r w:rsidRPr="00824402">
        <w:rPr>
          <w:rFonts w:eastAsia="Times New Roman"/>
          <w:color w:val="000000" w:themeColor="text1"/>
          <w:rtl/>
        </w:rPr>
        <w:t xml:space="preserve">ראשית, נשאלת השאלה האם </w:t>
      </w:r>
      <w:r w:rsidR="00271034" w:rsidRPr="009D1499">
        <w:rPr>
          <w:rFonts w:eastAsia="Times New Roman" w:hint="cs"/>
          <w:color w:val="000000" w:themeColor="text1"/>
          <w:rtl/>
        </w:rPr>
        <w:t>זיכרו</w:t>
      </w:r>
      <w:r w:rsidR="00271034" w:rsidRPr="009D1499">
        <w:rPr>
          <w:rFonts w:eastAsia="Times New Roman" w:hint="eastAsia"/>
          <w:color w:val="000000" w:themeColor="text1"/>
          <w:rtl/>
        </w:rPr>
        <w:t>ן</w:t>
      </w:r>
      <w:r w:rsidRPr="00824402">
        <w:rPr>
          <w:rFonts w:eastAsia="Times New Roman"/>
          <w:color w:val="000000" w:themeColor="text1"/>
          <w:rtl/>
        </w:rPr>
        <w:t xml:space="preserve"> הדברים, בו סיכמו הצדדים את הפרטים המהותיים לעסקה, הינו בגדר חוזה מחייב בעל תוקף משפטי</w:t>
      </w:r>
      <w:r w:rsidR="00C10365">
        <w:rPr>
          <w:rFonts w:eastAsia="Times New Roman" w:hint="cs"/>
          <w:color w:val="000000" w:themeColor="text1"/>
          <w:rtl/>
        </w:rPr>
        <w:t>,</w:t>
      </w:r>
      <w:r w:rsidRPr="00824402">
        <w:rPr>
          <w:rFonts w:eastAsia="Times New Roman"/>
          <w:color w:val="000000" w:themeColor="text1"/>
          <w:rtl/>
        </w:rPr>
        <w:t xml:space="preserve"> או שמא </w:t>
      </w:r>
      <w:r w:rsidR="00271034" w:rsidRPr="009D1499">
        <w:rPr>
          <w:rFonts w:eastAsia="Times New Roman" w:hint="cs"/>
          <w:color w:val="000000" w:themeColor="text1"/>
          <w:rtl/>
        </w:rPr>
        <w:t>זיכרו</w:t>
      </w:r>
      <w:r w:rsidR="00271034" w:rsidRPr="009D1499">
        <w:rPr>
          <w:rFonts w:eastAsia="Times New Roman" w:hint="eastAsia"/>
          <w:color w:val="000000" w:themeColor="text1"/>
          <w:rtl/>
        </w:rPr>
        <w:t>ן</w:t>
      </w:r>
      <w:r w:rsidRPr="00824402">
        <w:rPr>
          <w:rFonts w:eastAsia="Times New Roman"/>
          <w:color w:val="000000" w:themeColor="text1"/>
          <w:rtl/>
        </w:rPr>
        <w:t xml:space="preserve"> הדברים הוא אך ורק מסמך המהווה שלב ביניים במשא ומתן</w:t>
      </w:r>
      <w:r w:rsidR="00C57731">
        <w:rPr>
          <w:rFonts w:eastAsia="Times New Roman" w:hint="cs"/>
          <w:color w:val="000000" w:themeColor="text1"/>
          <w:rtl/>
        </w:rPr>
        <w:t>.</w:t>
      </w:r>
      <w:r w:rsidR="00866F75">
        <w:rPr>
          <w:rStyle w:val="a6"/>
          <w:rFonts w:eastAsia="Times New Roman"/>
          <w:color w:val="000000" w:themeColor="text1"/>
          <w:rtl/>
        </w:rPr>
        <w:footnoteReference w:id="1"/>
      </w:r>
      <w:r w:rsidRPr="00824402">
        <w:rPr>
          <w:rFonts w:eastAsia="Times New Roman"/>
          <w:color w:val="000000" w:themeColor="text1"/>
          <w:rtl/>
        </w:rPr>
        <w:t xml:space="preserve"> במסגרת דיון זה נרחיב על הסוגיות הנוגע</w:t>
      </w:r>
      <w:r w:rsidR="00271034" w:rsidRPr="009D1499">
        <w:rPr>
          <w:rFonts w:eastAsia="Times New Roman"/>
          <w:color w:val="000000" w:themeColor="text1"/>
          <w:rtl/>
        </w:rPr>
        <w:t>ות לדרישת הכתב בעסקאות מקרקעין,</w:t>
      </w:r>
      <w:r w:rsidR="00271034" w:rsidRPr="009D1499">
        <w:rPr>
          <w:rFonts w:eastAsia="Times New Roman" w:hint="cs"/>
          <w:color w:val="000000" w:themeColor="text1"/>
          <w:rtl/>
        </w:rPr>
        <w:t xml:space="preserve"> ע</w:t>
      </w:r>
      <w:r w:rsidRPr="00824402">
        <w:rPr>
          <w:rFonts w:eastAsia="Times New Roman"/>
          <w:color w:val="000000" w:themeColor="text1"/>
          <w:rtl/>
        </w:rPr>
        <w:t>ל</w:t>
      </w:r>
      <w:r w:rsidR="00271034" w:rsidRPr="009D1499">
        <w:rPr>
          <w:rFonts w:eastAsia="Times New Roman" w:hint="cs"/>
          <w:color w:val="000000" w:themeColor="text1"/>
          <w:rtl/>
        </w:rPr>
        <w:t xml:space="preserve"> </w:t>
      </w:r>
      <w:r w:rsidRPr="00824402">
        <w:rPr>
          <w:rFonts w:eastAsia="Times New Roman"/>
          <w:color w:val="000000" w:themeColor="text1"/>
          <w:rtl/>
        </w:rPr>
        <w:t>משמעות החתימה בהסכמים מסוג זה ו</w:t>
      </w:r>
      <w:r w:rsidR="00271034" w:rsidRPr="009D1499">
        <w:rPr>
          <w:rFonts w:eastAsia="Times New Roman" w:hint="cs"/>
          <w:color w:val="000000" w:themeColor="text1"/>
          <w:rtl/>
        </w:rPr>
        <w:t>ע</w:t>
      </w:r>
      <w:r w:rsidRPr="00824402">
        <w:rPr>
          <w:rFonts w:eastAsia="Times New Roman"/>
          <w:color w:val="000000" w:themeColor="text1"/>
          <w:rtl/>
        </w:rPr>
        <w:t>ל</w:t>
      </w:r>
      <w:r w:rsidR="00271034" w:rsidRPr="009D1499">
        <w:rPr>
          <w:rFonts w:eastAsia="Times New Roman" w:hint="cs"/>
          <w:color w:val="000000" w:themeColor="text1"/>
          <w:rtl/>
        </w:rPr>
        <w:t xml:space="preserve"> </w:t>
      </w:r>
      <w:r w:rsidRPr="00824402">
        <w:rPr>
          <w:rFonts w:eastAsia="Times New Roman"/>
          <w:color w:val="000000" w:themeColor="text1"/>
          <w:rtl/>
        </w:rPr>
        <w:t>דרישות גמירות הדעת וה</w:t>
      </w:r>
      <w:r w:rsidR="009D1499" w:rsidRPr="009D1499">
        <w:rPr>
          <w:rFonts w:eastAsia="Times New Roman"/>
          <w:color w:val="000000" w:themeColor="text1"/>
          <w:rtl/>
        </w:rPr>
        <w:t>מסוימות. אנו נטען כי במקרה דנן </w:t>
      </w:r>
      <w:r w:rsidR="00271034" w:rsidRPr="009D1499">
        <w:rPr>
          <w:rFonts w:eastAsia="Times New Roman" w:hint="cs"/>
          <w:color w:val="000000" w:themeColor="text1"/>
          <w:rtl/>
        </w:rPr>
        <w:t>זיכרו</w:t>
      </w:r>
      <w:r w:rsidR="00271034" w:rsidRPr="009D1499">
        <w:rPr>
          <w:rFonts w:eastAsia="Times New Roman" w:hint="eastAsia"/>
          <w:color w:val="000000" w:themeColor="text1"/>
          <w:rtl/>
        </w:rPr>
        <w:t>ן</w:t>
      </w:r>
      <w:r w:rsidRPr="00824402">
        <w:rPr>
          <w:rFonts w:eastAsia="Times New Roman"/>
          <w:color w:val="000000" w:themeColor="text1"/>
          <w:rtl/>
        </w:rPr>
        <w:t xml:space="preserve"> הדברים הינו מסמך בעל תוקף מחייב משפטי</w:t>
      </w:r>
      <w:r w:rsidR="00271034" w:rsidRPr="009D1499">
        <w:rPr>
          <w:rFonts w:eastAsia="Times New Roman" w:hint="cs"/>
          <w:color w:val="000000" w:themeColor="text1"/>
          <w:rtl/>
        </w:rPr>
        <w:t>ת,</w:t>
      </w:r>
      <w:r w:rsidRPr="00824402">
        <w:rPr>
          <w:rFonts w:eastAsia="Times New Roman"/>
          <w:color w:val="000000" w:themeColor="text1"/>
          <w:rtl/>
        </w:rPr>
        <w:t xml:space="preserve"> </w:t>
      </w:r>
      <w:r w:rsidR="00271034" w:rsidRPr="009D1499">
        <w:rPr>
          <w:rFonts w:eastAsia="Times New Roman" w:hint="cs"/>
          <w:color w:val="000000" w:themeColor="text1"/>
          <w:rtl/>
        </w:rPr>
        <w:t>שכן</w:t>
      </w:r>
      <w:r w:rsidR="00271034" w:rsidRPr="009D1499">
        <w:rPr>
          <w:rFonts w:eastAsia="Times New Roman"/>
          <w:color w:val="000000" w:themeColor="text1"/>
          <w:rtl/>
        </w:rPr>
        <w:t xml:space="preserve"> </w:t>
      </w:r>
      <w:r w:rsidRPr="00824402">
        <w:rPr>
          <w:rFonts w:eastAsia="Times New Roman"/>
          <w:color w:val="000000" w:themeColor="text1"/>
          <w:rtl/>
        </w:rPr>
        <w:t>זיכרון דברים זה עומד בדרישת הכתב, בדרישת המסוימות ומעיד על גמירות דעתם של הצדדים להתקשר בחוזה מחייב משפטית</w:t>
      </w:r>
      <w:r w:rsidR="00271034" w:rsidRPr="009D1499">
        <w:rPr>
          <w:rFonts w:eastAsia="Times New Roman" w:hint="cs"/>
          <w:color w:val="000000" w:themeColor="text1"/>
          <w:rtl/>
        </w:rPr>
        <w:t>.</w:t>
      </w:r>
    </w:p>
    <w:p w:rsidR="009D1499" w:rsidRDefault="00824402" w:rsidP="00BF17CC">
      <w:pPr>
        <w:spacing w:before="240" w:after="240" w:line="360" w:lineRule="auto"/>
        <w:jc w:val="both"/>
        <w:rPr>
          <w:rFonts w:eastAsia="Times New Roman"/>
          <w:color w:val="000000"/>
          <w:rtl/>
        </w:rPr>
      </w:pPr>
      <w:r w:rsidRPr="00824402">
        <w:rPr>
          <w:rFonts w:eastAsia="Times New Roman"/>
          <w:color w:val="000000"/>
          <w:rtl/>
        </w:rPr>
        <w:t xml:space="preserve">שנית, </w:t>
      </w:r>
      <w:r w:rsidR="009D1499">
        <w:rPr>
          <w:rFonts w:eastAsia="Times New Roman" w:hint="cs"/>
          <w:color w:val="000000"/>
          <w:rtl/>
        </w:rPr>
        <w:t>נבחן את תוקפו של החוזה השני שנכ</w:t>
      </w:r>
      <w:r w:rsidR="00A521E3">
        <w:rPr>
          <w:rFonts w:eastAsia="Times New Roman" w:hint="cs"/>
          <w:color w:val="000000"/>
          <w:rtl/>
        </w:rPr>
        <w:t>רת בין הנתבעים לתובעת. חוזה זה הינו חוזה בעל תנאי מתלה</w:t>
      </w:r>
      <w:r w:rsidR="00BB6D18">
        <w:rPr>
          <w:rFonts w:eastAsia="Times New Roman" w:hint="cs"/>
          <w:color w:val="000000"/>
          <w:rtl/>
        </w:rPr>
        <w:t>,</w:t>
      </w:r>
      <w:r w:rsidR="00C57731">
        <w:rPr>
          <w:rStyle w:val="a6"/>
          <w:rFonts w:eastAsia="Times New Roman"/>
          <w:color w:val="000000"/>
          <w:rtl/>
        </w:rPr>
        <w:footnoteReference w:id="2"/>
      </w:r>
      <w:r w:rsidR="00A521E3">
        <w:rPr>
          <w:rFonts w:eastAsia="Times New Roman" w:hint="cs"/>
          <w:color w:val="000000"/>
          <w:rtl/>
        </w:rPr>
        <w:t xml:space="preserve"> שכן ללא אישור ועדת הקבלה לא תוכל הנתבעת למכור את ביתה לתובעים. אנו נטען כי</w:t>
      </w:r>
      <w:r w:rsidR="00BF17CC">
        <w:rPr>
          <w:rFonts w:eastAsia="Times New Roman" w:hint="cs"/>
          <w:color w:val="000000"/>
          <w:rtl/>
        </w:rPr>
        <w:t xml:space="preserve"> חוזה זה בטל מעיקרו שכן הוא נכרת</w:t>
      </w:r>
      <w:r w:rsidR="00A521E3">
        <w:rPr>
          <w:rFonts w:eastAsia="Times New Roman" w:hint="cs"/>
          <w:color w:val="000000"/>
          <w:rtl/>
        </w:rPr>
        <w:t xml:space="preserve"> ב</w:t>
      </w:r>
      <w:r w:rsidR="00BF17CC">
        <w:rPr>
          <w:rFonts w:eastAsia="Times New Roman" w:hint="cs"/>
          <w:color w:val="000000"/>
          <w:rtl/>
        </w:rPr>
        <w:t>עקבות הטעיה</w:t>
      </w:r>
      <w:r w:rsidR="00BF17CC">
        <w:rPr>
          <w:rStyle w:val="a6"/>
          <w:rFonts w:eastAsia="Times New Roman"/>
          <w:color w:val="000000"/>
          <w:rtl/>
        </w:rPr>
        <w:footnoteReference w:id="3"/>
      </w:r>
      <w:r w:rsidR="00BF17CC">
        <w:rPr>
          <w:rFonts w:eastAsia="Times New Roman" w:hint="cs"/>
          <w:color w:val="000000"/>
          <w:rtl/>
        </w:rPr>
        <w:t xml:space="preserve"> מצד</w:t>
      </w:r>
      <w:r w:rsidR="00A521E3">
        <w:rPr>
          <w:rFonts w:eastAsia="Times New Roman" w:hint="cs"/>
          <w:color w:val="000000"/>
          <w:rtl/>
        </w:rPr>
        <w:t xml:space="preserve"> הנתבעת</w:t>
      </w:r>
      <w:r w:rsidR="000627E4">
        <w:rPr>
          <w:rFonts w:eastAsia="Times New Roman" w:hint="cs"/>
          <w:color w:val="000000"/>
          <w:rtl/>
        </w:rPr>
        <w:t>,</w:t>
      </w:r>
      <w:r w:rsidR="00A521E3">
        <w:rPr>
          <w:rFonts w:eastAsia="Times New Roman" w:hint="cs"/>
          <w:color w:val="000000"/>
          <w:rtl/>
        </w:rPr>
        <w:t xml:space="preserve"> אשר הפרה את חובת הגילוי בכך </w:t>
      </w:r>
      <w:r w:rsidR="00FF2399">
        <w:rPr>
          <w:rFonts w:eastAsia="Times New Roman" w:hint="cs"/>
          <w:color w:val="000000"/>
          <w:rtl/>
        </w:rPr>
        <w:t>שבחרה לא לספר לתובעים על תנאי ו</w:t>
      </w:r>
      <w:r w:rsidR="00A521E3">
        <w:rPr>
          <w:rFonts w:eastAsia="Times New Roman" w:hint="cs"/>
          <w:color w:val="000000"/>
          <w:rtl/>
        </w:rPr>
        <w:t>עדת הקבלה</w:t>
      </w:r>
      <w:r w:rsidR="00925819">
        <w:rPr>
          <w:rFonts w:eastAsia="Times New Roman" w:hint="cs"/>
          <w:color w:val="000000"/>
          <w:rtl/>
        </w:rPr>
        <w:t>,</w:t>
      </w:r>
      <w:r w:rsidR="00FF2399">
        <w:rPr>
          <w:rFonts w:eastAsia="Times New Roman" w:hint="cs"/>
          <w:color w:val="000000"/>
          <w:rtl/>
        </w:rPr>
        <w:t xml:space="preserve"> למרות שידעה שסיכוייהם לעבור ו</w:t>
      </w:r>
      <w:r w:rsidR="00A521E3">
        <w:rPr>
          <w:rFonts w:eastAsia="Times New Roman" w:hint="cs"/>
          <w:color w:val="000000"/>
          <w:rtl/>
        </w:rPr>
        <w:t xml:space="preserve">עדה זו נמוכים בשל היותם זוג לא נשוי ולא טבעוני. </w:t>
      </w:r>
    </w:p>
    <w:p w:rsidR="00824402" w:rsidRPr="00824402" w:rsidRDefault="00A521E3" w:rsidP="00981ECE">
      <w:pPr>
        <w:spacing w:before="240" w:after="240" w:line="360" w:lineRule="auto"/>
        <w:jc w:val="both"/>
        <w:rPr>
          <w:rFonts w:ascii="Times New Roman" w:eastAsia="Times New Roman" w:hAnsi="Times New Roman" w:cs="Times New Roman"/>
          <w:rtl/>
        </w:rPr>
      </w:pPr>
      <w:r w:rsidRPr="003646C2">
        <w:rPr>
          <w:rFonts w:eastAsia="Times New Roman" w:hint="cs"/>
          <w:color w:val="000000"/>
          <w:rtl/>
        </w:rPr>
        <w:t>שלישית, נבחן את טענות התובעים כנגד זיכרון הדברים (אשר אנו סבורים כי</w:t>
      </w:r>
      <w:r>
        <w:rPr>
          <w:rFonts w:eastAsia="Times New Roman" w:hint="cs"/>
          <w:color w:val="000000"/>
          <w:rtl/>
        </w:rPr>
        <w:t xml:space="preserve"> מהווה חוזה מחייב). </w:t>
      </w:r>
      <w:r w:rsidR="00BB6D18">
        <w:rPr>
          <w:rFonts w:eastAsia="Times New Roman" w:hint="cs"/>
          <w:color w:val="000000"/>
          <w:rtl/>
        </w:rPr>
        <w:t>התובעים טוענים</w:t>
      </w:r>
      <w:r>
        <w:rPr>
          <w:rFonts w:eastAsia="Times New Roman" w:hint="cs"/>
          <w:color w:val="000000"/>
          <w:rtl/>
        </w:rPr>
        <w:t xml:space="preserve"> כי בחוזה זה חלים שני פגמים. הפגם </w:t>
      </w:r>
      <w:r w:rsidR="00BB6D18">
        <w:rPr>
          <w:rFonts w:eastAsia="Times New Roman" w:hint="cs"/>
          <w:color w:val="000000"/>
          <w:rtl/>
        </w:rPr>
        <w:t xml:space="preserve">הראשון הינו </w:t>
      </w:r>
      <w:r>
        <w:rPr>
          <w:rFonts w:eastAsia="Times New Roman" w:hint="cs"/>
          <w:color w:val="000000"/>
          <w:rtl/>
        </w:rPr>
        <w:t>הפרת</w:t>
      </w:r>
      <w:r w:rsidR="00824402" w:rsidRPr="00824402">
        <w:rPr>
          <w:rFonts w:eastAsia="Times New Roman"/>
          <w:color w:val="000000"/>
          <w:rtl/>
        </w:rPr>
        <w:t xml:space="preserve"> חובת תום הלב</w:t>
      </w:r>
      <w:r w:rsidR="002352D6">
        <w:rPr>
          <w:rStyle w:val="a6"/>
          <w:rFonts w:eastAsia="Times New Roman"/>
          <w:color w:val="000000"/>
          <w:rtl/>
        </w:rPr>
        <w:footnoteReference w:id="4"/>
      </w:r>
      <w:r w:rsidR="00824402" w:rsidRPr="00824402">
        <w:rPr>
          <w:rFonts w:eastAsia="Times New Roman"/>
          <w:color w:val="000000"/>
          <w:rtl/>
        </w:rPr>
        <w:t xml:space="preserve"> במשא ומתן</w:t>
      </w:r>
      <w:r w:rsidR="00824402" w:rsidRPr="00824402">
        <w:rPr>
          <w:rFonts w:eastAsia="Times New Roman"/>
          <w:rtl/>
        </w:rPr>
        <w:t xml:space="preserve">, אשר חלה על הצדדים בהליך הקדם חוזי, ובפרט </w:t>
      </w:r>
      <w:r w:rsidR="00FF2399">
        <w:rPr>
          <w:rFonts w:eastAsia="Times New Roman" w:hint="cs"/>
          <w:rtl/>
        </w:rPr>
        <w:t>הפרת</w:t>
      </w:r>
      <w:r w:rsidR="00BB6D18" w:rsidRPr="003646C2">
        <w:rPr>
          <w:rFonts w:eastAsia="Times New Roman" w:hint="cs"/>
          <w:rtl/>
        </w:rPr>
        <w:t xml:space="preserve"> </w:t>
      </w:r>
      <w:r w:rsidR="00824402" w:rsidRPr="00824402">
        <w:rPr>
          <w:rFonts w:eastAsia="Times New Roman"/>
          <w:rtl/>
        </w:rPr>
        <w:t>חובת הגילוי הנגזרת מתום הלב. מתוך כך, נבחן האם העובדה שהנתבעת בחרה שלא לספר לתובעים על ועדת הקבלה, המהוו</w:t>
      </w:r>
      <w:r w:rsidRPr="003646C2">
        <w:rPr>
          <w:rFonts w:eastAsia="Times New Roman"/>
          <w:rtl/>
        </w:rPr>
        <w:t xml:space="preserve">ה תנאי הכרחי לקבלה ליישוב, </w:t>
      </w:r>
      <w:r w:rsidRPr="003646C2">
        <w:rPr>
          <w:rFonts w:eastAsia="Times New Roman" w:hint="cs"/>
          <w:rtl/>
        </w:rPr>
        <w:t>הינה</w:t>
      </w:r>
      <w:r w:rsidR="00824402" w:rsidRPr="00824402">
        <w:rPr>
          <w:rFonts w:eastAsia="Times New Roman"/>
          <w:rtl/>
        </w:rPr>
        <w:t xml:space="preserve"> הפרה של חובת תום הלב בקיום משא ומתן מצידה. </w:t>
      </w:r>
      <w:r w:rsidR="003646C2" w:rsidRPr="003646C2">
        <w:rPr>
          <w:rFonts w:eastAsia="Times New Roman" w:hint="cs"/>
          <w:rtl/>
        </w:rPr>
        <w:t>ישנן</w:t>
      </w:r>
      <w:r w:rsidRPr="003646C2">
        <w:rPr>
          <w:rFonts w:eastAsia="Times New Roman" w:hint="cs"/>
          <w:rtl/>
        </w:rPr>
        <w:t xml:space="preserve"> מספר </w:t>
      </w:r>
      <w:r>
        <w:rPr>
          <w:rFonts w:eastAsia="Times New Roman" w:hint="cs"/>
          <w:color w:val="000000"/>
          <w:rtl/>
        </w:rPr>
        <w:t xml:space="preserve">התנהגויות המהוות הפרה של חובת תום הלב, </w:t>
      </w:r>
      <w:r w:rsidR="00824402" w:rsidRPr="00824402">
        <w:rPr>
          <w:rFonts w:eastAsia="Times New Roman"/>
          <w:color w:val="000000"/>
          <w:rtl/>
        </w:rPr>
        <w:t xml:space="preserve"> אחת </w:t>
      </w:r>
      <w:r w:rsidR="003646C2">
        <w:rPr>
          <w:rFonts w:eastAsia="Times New Roman" w:hint="cs"/>
          <w:color w:val="000000"/>
          <w:rtl/>
        </w:rPr>
        <w:t>מהן היא</w:t>
      </w:r>
      <w:r w:rsidR="00824402" w:rsidRPr="00824402">
        <w:rPr>
          <w:rFonts w:eastAsia="Times New Roman"/>
          <w:color w:val="000000"/>
          <w:rtl/>
        </w:rPr>
        <w:t xml:space="preserve"> אי גילוי פרט מהותי </w:t>
      </w:r>
      <w:r w:rsidR="00824402" w:rsidRPr="00824402">
        <w:rPr>
          <w:rFonts w:eastAsia="Times New Roman"/>
          <w:rtl/>
        </w:rPr>
        <w:t xml:space="preserve">בקיום משא ומתן. </w:t>
      </w:r>
      <w:r w:rsidR="003646C2" w:rsidRPr="003646C2">
        <w:rPr>
          <w:rFonts w:eastAsia="Times New Roman"/>
          <w:rtl/>
        </w:rPr>
        <w:t xml:space="preserve">אנו נטען </w:t>
      </w:r>
      <w:r w:rsidR="003646C2" w:rsidRPr="003646C2">
        <w:rPr>
          <w:rFonts w:eastAsia="Times New Roman"/>
          <w:rtl/>
        </w:rPr>
        <w:lastRenderedPageBreak/>
        <w:t xml:space="preserve">כי העובדה שהמגורים </w:t>
      </w:r>
      <w:r w:rsidR="003646C2" w:rsidRPr="003646C2">
        <w:rPr>
          <w:rFonts w:eastAsia="Times New Roman" w:hint="cs"/>
          <w:rtl/>
        </w:rPr>
        <w:t>ב</w:t>
      </w:r>
      <w:r w:rsidR="00824402" w:rsidRPr="00824402">
        <w:rPr>
          <w:rFonts w:eastAsia="Times New Roman"/>
          <w:rtl/>
        </w:rPr>
        <w:t>יישוב מותנים באישור ועדת קבלה מהווה תנאי מהותי, ועל כן אי גילוי של פר</w:t>
      </w:r>
      <w:r w:rsidR="003646C2" w:rsidRPr="003646C2">
        <w:rPr>
          <w:rFonts w:eastAsia="Times New Roman"/>
          <w:rtl/>
        </w:rPr>
        <w:t>ט זה מהווה הפרה של חובת תום הלב</w:t>
      </w:r>
      <w:r w:rsidR="003646C2" w:rsidRPr="003646C2">
        <w:rPr>
          <w:rFonts w:eastAsia="Times New Roman" w:hint="cs"/>
          <w:rtl/>
        </w:rPr>
        <w:t xml:space="preserve">. </w:t>
      </w:r>
      <w:r w:rsidR="00824402" w:rsidRPr="00824402">
        <w:rPr>
          <w:rFonts w:eastAsia="Times New Roman"/>
          <w:rtl/>
        </w:rPr>
        <w:t>לפיכך, הזוג ידרוש פיצויים מכוח</w:t>
      </w:r>
      <w:r w:rsidRPr="003646C2">
        <w:rPr>
          <w:rFonts w:eastAsia="Times New Roman"/>
          <w:rtl/>
        </w:rPr>
        <w:t xml:space="preserve"> סעיף 12</w:t>
      </w:r>
      <w:r w:rsidR="00BB6D18" w:rsidRPr="003646C2">
        <w:rPr>
          <w:rFonts w:eastAsia="Times New Roman" w:hint="cs"/>
          <w:rtl/>
        </w:rPr>
        <w:t>ב</w:t>
      </w:r>
      <w:r w:rsidR="00DA383A" w:rsidRPr="003646C2">
        <w:rPr>
          <w:rFonts w:eastAsia="Times New Roman" w:hint="cs"/>
          <w:rtl/>
        </w:rPr>
        <w:t>.</w:t>
      </w:r>
      <w:r w:rsidR="00BB6D18" w:rsidRPr="003646C2">
        <w:rPr>
          <w:rStyle w:val="a6"/>
          <w:rFonts w:eastAsia="Times New Roman"/>
          <w:rtl/>
        </w:rPr>
        <w:footnoteReference w:id="5"/>
      </w:r>
      <w:r w:rsidRPr="003646C2">
        <w:rPr>
          <w:rFonts w:eastAsia="Times New Roman"/>
          <w:rtl/>
        </w:rPr>
        <w:t> </w:t>
      </w:r>
      <w:r w:rsidRPr="003646C2">
        <w:rPr>
          <w:rFonts w:eastAsia="Times New Roman" w:hint="cs"/>
          <w:rtl/>
        </w:rPr>
        <w:t xml:space="preserve">הפגם השני, </w:t>
      </w:r>
      <w:r w:rsidR="00FF2399">
        <w:rPr>
          <w:rFonts w:eastAsia="Times New Roman" w:hint="cs"/>
          <w:rtl/>
        </w:rPr>
        <w:t>בא לי</w:t>
      </w:r>
      <w:r w:rsidR="003646C2">
        <w:rPr>
          <w:rFonts w:eastAsia="Times New Roman" w:hint="cs"/>
          <w:rtl/>
        </w:rPr>
        <w:t xml:space="preserve">די ביטוי בכך שהפרה הנתבעת </w:t>
      </w:r>
      <w:r w:rsidR="00824402" w:rsidRPr="00824402">
        <w:rPr>
          <w:rFonts w:eastAsia="Times New Roman"/>
          <w:rtl/>
        </w:rPr>
        <w:t>את החוזה הפרה יסודית</w:t>
      </w:r>
      <w:r w:rsidR="00BB6D18">
        <w:rPr>
          <w:rStyle w:val="a6"/>
          <w:rFonts w:eastAsia="Times New Roman"/>
          <w:color w:val="000000"/>
          <w:rtl/>
        </w:rPr>
        <w:footnoteReference w:id="6"/>
      </w:r>
      <w:r w:rsidR="00824402" w:rsidRPr="00824402">
        <w:rPr>
          <w:rFonts w:eastAsia="Times New Roman"/>
          <w:color w:val="000000"/>
          <w:rtl/>
        </w:rPr>
        <w:t xml:space="preserve"> </w:t>
      </w:r>
      <w:r w:rsidR="003646C2">
        <w:rPr>
          <w:rFonts w:eastAsia="Times New Roman" w:hint="cs"/>
          <w:color w:val="000000"/>
          <w:rtl/>
        </w:rPr>
        <w:t>משום</w:t>
      </w:r>
      <w:r w:rsidR="00824402" w:rsidRPr="00824402">
        <w:rPr>
          <w:rFonts w:eastAsia="Times New Roman"/>
          <w:color w:val="000000"/>
          <w:rtl/>
        </w:rPr>
        <w:t xml:space="preserve"> שכרתה את החוזה מתוך ידיעה כי הזוג </w:t>
      </w:r>
      <w:r w:rsidR="00AD3587">
        <w:rPr>
          <w:rFonts w:eastAsia="Times New Roman" w:hint="cs"/>
          <w:color w:val="000000"/>
          <w:rtl/>
        </w:rPr>
        <w:t xml:space="preserve">ככל הנראה </w:t>
      </w:r>
      <w:r w:rsidR="00824402" w:rsidRPr="00824402">
        <w:rPr>
          <w:rFonts w:eastAsia="Times New Roman"/>
          <w:color w:val="000000"/>
          <w:rtl/>
        </w:rPr>
        <w:t xml:space="preserve">אינו עומד בתנאי </w:t>
      </w:r>
      <w:r w:rsidR="00FF2399">
        <w:rPr>
          <w:rFonts w:eastAsia="Times New Roman" w:hint="cs"/>
          <w:color w:val="000000"/>
          <w:rtl/>
        </w:rPr>
        <w:t xml:space="preserve">ועדת </w:t>
      </w:r>
      <w:r w:rsidR="00824402" w:rsidRPr="00824402">
        <w:rPr>
          <w:rFonts w:eastAsia="Times New Roman"/>
          <w:color w:val="000000"/>
          <w:rtl/>
        </w:rPr>
        <w:t xml:space="preserve">הקבלה </w:t>
      </w:r>
      <w:r w:rsidR="00AD3587">
        <w:rPr>
          <w:rFonts w:eastAsia="Times New Roman" w:hint="cs"/>
          <w:color w:val="000000"/>
          <w:rtl/>
        </w:rPr>
        <w:t>ולכן אינה רשאית למכור להם את הבית</w:t>
      </w:r>
      <w:r w:rsidR="00824402" w:rsidRPr="00824402">
        <w:rPr>
          <w:rFonts w:eastAsia="Times New Roman"/>
          <w:color w:val="000000"/>
          <w:rtl/>
        </w:rPr>
        <w:t>. לטענתנו, הפרה זו היא שתזכה את הזוג בפיצויים</w:t>
      </w:r>
      <w:r w:rsidR="00FF2399">
        <w:rPr>
          <w:rFonts w:eastAsia="Times New Roman" w:hint="cs"/>
          <w:color w:val="000000"/>
          <w:rtl/>
        </w:rPr>
        <w:t>,</w:t>
      </w:r>
      <w:r w:rsidR="003646C2">
        <w:rPr>
          <w:rStyle w:val="a6"/>
          <w:rFonts w:eastAsia="Times New Roman"/>
          <w:color w:val="000000"/>
          <w:rtl/>
        </w:rPr>
        <w:footnoteReference w:id="7"/>
      </w:r>
      <w:r w:rsidR="00824402" w:rsidRPr="00824402">
        <w:rPr>
          <w:rFonts w:eastAsia="Times New Roman"/>
          <w:color w:val="000000"/>
          <w:rtl/>
        </w:rPr>
        <w:t xml:space="preserve"> שכן אכיפה אינה </w:t>
      </w:r>
      <w:r w:rsidR="003646C2">
        <w:rPr>
          <w:rFonts w:eastAsia="Times New Roman" w:hint="cs"/>
          <w:color w:val="000000"/>
          <w:rtl/>
        </w:rPr>
        <w:t>צודקת</w:t>
      </w:r>
      <w:r w:rsidR="00824402" w:rsidRPr="00824402">
        <w:rPr>
          <w:rFonts w:eastAsia="Times New Roman"/>
          <w:color w:val="000000"/>
          <w:rtl/>
        </w:rPr>
        <w:t xml:space="preserve"> בנסיבות המקרה</w:t>
      </w:r>
      <w:r w:rsidR="003646C2">
        <w:rPr>
          <w:rStyle w:val="a6"/>
          <w:rFonts w:eastAsia="Times New Roman"/>
          <w:color w:val="000000"/>
          <w:rtl/>
        </w:rPr>
        <w:footnoteReference w:id="8"/>
      </w:r>
      <w:r w:rsidR="00824402" w:rsidRPr="00824402">
        <w:rPr>
          <w:rFonts w:eastAsia="Times New Roman"/>
          <w:color w:val="000000"/>
          <w:rtl/>
        </w:rPr>
        <w:t xml:space="preserve"> בשל תנאי ועדת הקבלה.</w:t>
      </w:r>
    </w:p>
    <w:p w:rsidR="00824402" w:rsidRPr="00824402" w:rsidRDefault="00824402" w:rsidP="00BB6D18">
      <w:pPr>
        <w:spacing w:before="240" w:after="240" w:line="360" w:lineRule="auto"/>
        <w:jc w:val="both"/>
        <w:rPr>
          <w:rFonts w:ascii="Times New Roman" w:eastAsia="Times New Roman" w:hAnsi="Times New Roman" w:cs="Times New Roman"/>
          <w:color w:val="2E74B5" w:themeColor="accent1" w:themeShade="BF"/>
          <w:rtl/>
        </w:rPr>
      </w:pPr>
      <w:r w:rsidRPr="00824402">
        <w:rPr>
          <w:rFonts w:eastAsia="Times New Roman"/>
          <w:color w:val="000000" w:themeColor="text1"/>
          <w:rtl/>
        </w:rPr>
        <w:t>לבסוף, נדון בשאלה האם יש מקום להתערבות בחוזים פרטיים בשל פגיעה בעקרונות חוקתיים. על גופים ציבוריים חלה חובת איסור אפליה</w:t>
      </w:r>
      <w:r w:rsidR="00271034" w:rsidRPr="001C2D9B">
        <w:rPr>
          <w:rFonts w:eastAsia="Times New Roman" w:hint="cs"/>
          <w:color w:val="000000" w:themeColor="text1"/>
          <w:rtl/>
        </w:rPr>
        <w:t>.</w:t>
      </w:r>
      <w:r w:rsidR="00271034" w:rsidRPr="001C2D9B">
        <w:rPr>
          <w:rStyle w:val="a6"/>
          <w:rFonts w:eastAsia="Times New Roman"/>
          <w:color w:val="000000" w:themeColor="text1"/>
          <w:rtl/>
        </w:rPr>
        <w:footnoteReference w:id="9"/>
      </w:r>
      <w:r w:rsidRPr="00824402">
        <w:rPr>
          <w:rFonts w:eastAsia="Times New Roman"/>
          <w:color w:val="000000" w:themeColor="text1"/>
          <w:rtl/>
        </w:rPr>
        <w:t xml:space="preserve"> </w:t>
      </w:r>
      <w:r w:rsidR="00271034" w:rsidRPr="001C2D9B">
        <w:rPr>
          <w:rFonts w:eastAsia="Times New Roman" w:hint="cs"/>
          <w:color w:val="000000" w:themeColor="text1"/>
          <w:rtl/>
        </w:rPr>
        <w:t xml:space="preserve"> </w:t>
      </w:r>
      <w:r w:rsidRPr="00824402">
        <w:rPr>
          <w:rFonts w:eastAsia="Times New Roman"/>
          <w:color w:val="000000" w:themeColor="text1"/>
          <w:rtl/>
        </w:rPr>
        <w:t>איסור זה אינו חל על אנשים פרטיים - בית המשפט לא יכפה התקשרות חוזית על הצדדים בשל אפליה. עם זאת, ניתן לקבוע כי עצם האפליה מהווה ניהול משא ומתן בחוסר תום לב, ובשל כך יש לפסוק פיצויים לצד המופלה מתוקף הפרת חובת תום הלב</w:t>
      </w:r>
      <w:r w:rsidR="00271034" w:rsidRPr="001C2D9B">
        <w:rPr>
          <w:rFonts w:eastAsia="Times New Roman" w:hint="cs"/>
          <w:color w:val="000000" w:themeColor="text1"/>
          <w:rtl/>
        </w:rPr>
        <w:t>.</w:t>
      </w:r>
      <w:r w:rsidR="00271034" w:rsidRPr="001C2D9B">
        <w:rPr>
          <w:rStyle w:val="a6"/>
          <w:rFonts w:eastAsia="Times New Roman"/>
          <w:color w:val="000000" w:themeColor="text1"/>
          <w:rtl/>
        </w:rPr>
        <w:footnoteReference w:id="10"/>
      </w:r>
      <w:r w:rsidRPr="00824402">
        <w:rPr>
          <w:rFonts w:eastAsia="Times New Roman"/>
          <w:color w:val="000000" w:themeColor="text1"/>
          <w:rtl/>
        </w:rPr>
        <w:t xml:space="preserve"> </w:t>
      </w:r>
    </w:p>
    <w:p w:rsidR="00824402" w:rsidRPr="00824402" w:rsidRDefault="00824402" w:rsidP="00824402">
      <w:pPr>
        <w:pStyle w:val="a3"/>
        <w:numPr>
          <w:ilvl w:val="0"/>
          <w:numId w:val="1"/>
        </w:numPr>
        <w:spacing w:before="240" w:after="0" w:line="360" w:lineRule="auto"/>
        <w:jc w:val="center"/>
        <w:rPr>
          <w:rFonts w:eastAsia="Times New Roman"/>
          <w:b/>
          <w:bCs/>
          <w:color w:val="000000"/>
        </w:rPr>
      </w:pPr>
      <w:r w:rsidRPr="00824402">
        <w:rPr>
          <w:rFonts w:eastAsia="Times New Roman" w:hint="cs"/>
          <w:b/>
          <w:bCs/>
          <w:color w:val="000000"/>
          <w:rtl/>
        </w:rPr>
        <w:t>תוקפו המחייב של זכון הדברים</w:t>
      </w:r>
    </w:p>
    <w:p w:rsidR="00824402" w:rsidRDefault="00092FD8" w:rsidP="00FF2399">
      <w:pPr>
        <w:pStyle w:val="NormalWeb"/>
        <w:bidi/>
        <w:spacing w:before="240" w:beforeAutospacing="0" w:after="240" w:afterAutospacing="0" w:line="360" w:lineRule="auto"/>
        <w:jc w:val="both"/>
        <w:rPr>
          <w:rFonts w:ascii="David" w:hAnsi="David" w:cs="David"/>
          <w:color w:val="2E74B5" w:themeColor="accent1" w:themeShade="BF"/>
          <w:rtl/>
        </w:rPr>
      </w:pPr>
      <w:r w:rsidRPr="0009712C">
        <w:rPr>
          <w:rFonts w:ascii="David" w:hAnsi="David" w:cs="David"/>
          <w:color w:val="000000" w:themeColor="text1"/>
          <w:rtl/>
        </w:rPr>
        <w:t xml:space="preserve">זיכרון דברים הינו </w:t>
      </w:r>
      <w:r w:rsidRPr="00FF2399">
        <w:rPr>
          <w:rFonts w:ascii="David" w:hAnsi="David" w:cs="David"/>
          <w:b/>
          <w:bCs/>
          <w:color w:val="000000" w:themeColor="text1"/>
          <w:rtl/>
        </w:rPr>
        <w:t xml:space="preserve">הסכם מוקדם </w:t>
      </w:r>
      <w:r w:rsidR="001C2D9B" w:rsidRPr="00FF2399">
        <w:rPr>
          <w:rFonts w:ascii="David" w:hAnsi="David" w:cs="David" w:hint="cs"/>
          <w:b/>
          <w:bCs/>
          <w:color w:val="000000" w:themeColor="text1"/>
          <w:rtl/>
        </w:rPr>
        <w:t xml:space="preserve">הנערך </w:t>
      </w:r>
      <w:r w:rsidR="0009712C" w:rsidRPr="00FF2399">
        <w:rPr>
          <w:rFonts w:ascii="David" w:hAnsi="David" w:cs="David" w:hint="cs"/>
          <w:b/>
          <w:bCs/>
          <w:color w:val="000000" w:themeColor="text1"/>
          <w:rtl/>
        </w:rPr>
        <w:t>בין הצדדים למשא ומתן</w:t>
      </w:r>
      <w:r w:rsidR="0009712C">
        <w:rPr>
          <w:rFonts w:ascii="David" w:hAnsi="David" w:cs="David" w:hint="cs"/>
          <w:color w:val="000000" w:themeColor="text1"/>
          <w:rtl/>
        </w:rPr>
        <w:t>.</w:t>
      </w:r>
      <w:r w:rsidR="0009712C" w:rsidRPr="0009712C">
        <w:rPr>
          <w:rStyle w:val="a6"/>
          <w:rFonts w:ascii="David" w:hAnsi="David" w:cs="David"/>
          <w:rtl/>
        </w:rPr>
        <w:footnoteReference w:id="11"/>
      </w:r>
      <w:r w:rsidRPr="0009712C">
        <w:rPr>
          <w:rStyle w:val="a6"/>
          <w:rtl/>
        </w:rPr>
        <w:t xml:space="preserve"> </w:t>
      </w:r>
      <w:r w:rsidRPr="00981ECE">
        <w:rPr>
          <w:rFonts w:ascii="David" w:hAnsi="David" w:cs="David"/>
          <w:color w:val="000000" w:themeColor="text1"/>
          <w:rtl/>
        </w:rPr>
        <w:t>זיכרון הדברים יכול להי</w:t>
      </w:r>
      <w:r w:rsidR="007B6F41" w:rsidRPr="00981ECE">
        <w:rPr>
          <w:rFonts w:ascii="David" w:hAnsi="David" w:cs="David"/>
          <w:color w:val="000000" w:themeColor="text1"/>
          <w:rtl/>
        </w:rPr>
        <w:t>ות חוזה מחייב בעל תוקף משפטי או</w:t>
      </w:r>
      <w:r w:rsidRPr="00981ECE">
        <w:rPr>
          <w:rFonts w:ascii="David" w:hAnsi="David" w:cs="David"/>
          <w:color w:val="000000" w:themeColor="text1"/>
          <w:rtl/>
        </w:rPr>
        <w:t xml:space="preserve"> מסמך המהווה שלב ביניים במשא ומתן</w:t>
      </w:r>
      <w:r w:rsidR="007B6F41" w:rsidRPr="00981ECE">
        <w:rPr>
          <w:rFonts w:ascii="David" w:hAnsi="David" w:cs="David" w:hint="cs"/>
          <w:color w:val="000000" w:themeColor="text1"/>
          <w:rtl/>
        </w:rPr>
        <w:t>.</w:t>
      </w:r>
      <w:r w:rsidR="000B7B0F">
        <w:rPr>
          <w:rStyle w:val="a6"/>
          <w:rFonts w:ascii="David" w:hAnsi="David" w:cs="David"/>
          <w:color w:val="000000" w:themeColor="text1"/>
          <w:rtl/>
        </w:rPr>
        <w:footnoteReference w:id="12"/>
      </w:r>
      <w:r w:rsidR="0009712C" w:rsidRPr="00981ECE">
        <w:rPr>
          <w:rFonts w:ascii="David" w:hAnsi="David" w:cs="David" w:hint="cs"/>
          <w:color w:val="000000" w:themeColor="text1"/>
          <w:rtl/>
        </w:rPr>
        <w:t xml:space="preserve"> </w:t>
      </w:r>
      <w:r w:rsidR="0009712C" w:rsidRPr="000B7B0F">
        <w:rPr>
          <w:rFonts w:ascii="David" w:hAnsi="David" w:cs="David" w:hint="cs"/>
          <w:color w:val="000000" w:themeColor="text1"/>
          <w:rtl/>
        </w:rPr>
        <w:t xml:space="preserve"> </w:t>
      </w:r>
      <w:r w:rsidR="000B7B0F">
        <w:rPr>
          <w:rFonts w:ascii="David" w:hAnsi="David" w:cs="David"/>
          <w:color w:val="000000" w:themeColor="text1"/>
          <w:rtl/>
        </w:rPr>
        <w:t>בפסיק</w:t>
      </w:r>
      <w:r w:rsidR="000B7B0F">
        <w:rPr>
          <w:rFonts w:ascii="David" w:hAnsi="David" w:cs="David" w:hint="cs"/>
          <w:color w:val="000000" w:themeColor="text1"/>
          <w:rtl/>
        </w:rPr>
        <w:t>ה</w:t>
      </w:r>
      <w:r w:rsidR="000B7B0F">
        <w:rPr>
          <w:rStyle w:val="a6"/>
          <w:rFonts w:ascii="David" w:hAnsi="David" w:cs="David"/>
          <w:color w:val="000000" w:themeColor="text1"/>
          <w:rtl/>
        </w:rPr>
        <w:footnoteReference w:id="13"/>
      </w:r>
      <w:r w:rsidRPr="000B7B0F">
        <w:rPr>
          <w:rFonts w:ascii="David" w:hAnsi="David" w:cs="David"/>
          <w:color w:val="000000" w:themeColor="text1"/>
          <w:rtl/>
        </w:rPr>
        <w:t xml:space="preserve"> </w:t>
      </w:r>
      <w:r w:rsidR="007B6F41" w:rsidRPr="000B7B0F">
        <w:rPr>
          <w:rFonts w:ascii="David" w:hAnsi="David" w:cs="David" w:hint="cs"/>
          <w:color w:val="000000" w:themeColor="text1"/>
          <w:rtl/>
        </w:rPr>
        <w:t xml:space="preserve"> </w:t>
      </w:r>
      <w:r w:rsidRPr="000B7B0F">
        <w:rPr>
          <w:rFonts w:ascii="David" w:hAnsi="David" w:cs="David"/>
          <w:color w:val="000000" w:themeColor="text1"/>
          <w:rtl/>
        </w:rPr>
        <w:t xml:space="preserve">מוזכרות הנסיבות בהן נכיר </w:t>
      </w:r>
      <w:r w:rsidR="00271034" w:rsidRPr="000B7B0F">
        <w:rPr>
          <w:rFonts w:ascii="David" w:hAnsi="David" w:cs="David" w:hint="cs"/>
          <w:color w:val="000000" w:themeColor="text1"/>
          <w:rtl/>
        </w:rPr>
        <w:t>בזיכרו</w:t>
      </w:r>
      <w:r w:rsidR="00271034" w:rsidRPr="000B7B0F">
        <w:rPr>
          <w:rFonts w:ascii="David" w:hAnsi="David" w:cs="David" w:hint="eastAsia"/>
          <w:color w:val="000000" w:themeColor="text1"/>
          <w:rtl/>
        </w:rPr>
        <w:t>ן</w:t>
      </w:r>
      <w:r w:rsidRPr="000B7B0F">
        <w:rPr>
          <w:rFonts w:ascii="David" w:hAnsi="David" w:cs="David"/>
          <w:color w:val="000000" w:themeColor="text1"/>
          <w:rtl/>
        </w:rPr>
        <w:t xml:space="preserve"> דברים כיוצר קשר משפטי מחייב</w:t>
      </w:r>
      <w:r w:rsidR="00F956B7">
        <w:rPr>
          <w:rFonts w:ascii="David" w:hAnsi="David" w:cs="David" w:hint="cs"/>
          <w:color w:val="000000" w:themeColor="text1"/>
          <w:rtl/>
        </w:rPr>
        <w:t>.</w:t>
      </w:r>
      <w:r w:rsidRPr="000B7B0F">
        <w:rPr>
          <w:rFonts w:ascii="David" w:hAnsi="David" w:cs="David"/>
          <w:color w:val="000000" w:themeColor="text1"/>
          <w:rtl/>
        </w:rPr>
        <w:t xml:space="preserve"> ניתן </w:t>
      </w:r>
      <w:r w:rsidR="00FF2399">
        <w:rPr>
          <w:rFonts w:ascii="David" w:hAnsi="David" w:cs="David" w:hint="cs"/>
          <w:color w:val="000000" w:themeColor="text1"/>
          <w:rtl/>
        </w:rPr>
        <w:t>לפרש את זיכרון הדברים בשני מובנים:</w:t>
      </w:r>
      <w:r w:rsidR="00F956B7">
        <w:rPr>
          <w:rStyle w:val="a6"/>
          <w:rFonts w:ascii="David" w:hAnsi="David" w:cs="David"/>
          <w:color w:val="000000" w:themeColor="text1"/>
          <w:rtl/>
        </w:rPr>
        <w:footnoteReference w:id="14"/>
      </w:r>
      <w:r w:rsidRPr="000B7B0F">
        <w:rPr>
          <w:rFonts w:ascii="David" w:hAnsi="David" w:cs="David"/>
          <w:color w:val="000000" w:themeColor="text1"/>
          <w:rtl/>
        </w:rPr>
        <w:t xml:space="preserve"> ע"פ התפיסה הראשונה נחשב זיכרון הדברים  כחוזה מחייב, אשר כפוף לדיני החוזים ככל חוזה אחר, זאת במידה וכלל בתוכו את כל הנושאים המהותיים הדרושים לשם ההתקשרות דבר המעיד על גמירות דעת ומסוימות</w:t>
      </w:r>
      <w:r w:rsidR="00FF2399">
        <w:rPr>
          <w:rStyle w:val="a6"/>
          <w:rFonts w:ascii="David" w:hAnsi="David" w:cs="David"/>
          <w:color w:val="000000" w:themeColor="text1"/>
          <w:rtl/>
        </w:rPr>
        <w:footnoteReference w:id="15"/>
      </w:r>
      <w:r w:rsidRPr="000B7B0F">
        <w:rPr>
          <w:rFonts w:ascii="David" w:hAnsi="David" w:cs="David"/>
          <w:color w:val="000000" w:themeColor="text1"/>
          <w:rtl/>
        </w:rPr>
        <w:t>. לפי תפיסה זו, זיכרון הדברים מהווה חוזה גמור, היוצר קשר המשפטי בין הצדדים. ע"פ התפיסה השנייה, זיכרון ה</w:t>
      </w:r>
      <w:r w:rsidR="007B6F41" w:rsidRPr="000B7B0F">
        <w:rPr>
          <w:rFonts w:ascii="David" w:hAnsi="David" w:cs="David"/>
          <w:color w:val="000000" w:themeColor="text1"/>
          <w:rtl/>
        </w:rPr>
        <w:t xml:space="preserve">דברים הינו שלב </w:t>
      </w:r>
      <w:r w:rsidR="007B6F41" w:rsidRPr="000B7B0F">
        <w:rPr>
          <w:rFonts w:ascii="David" w:hAnsi="David" w:cs="David" w:hint="cs"/>
          <w:color w:val="000000" w:themeColor="text1"/>
          <w:rtl/>
        </w:rPr>
        <w:t>בינים</w:t>
      </w:r>
      <w:r w:rsidR="007B6F41" w:rsidRPr="000B7B0F">
        <w:rPr>
          <w:rFonts w:ascii="David" w:hAnsi="David" w:cs="David"/>
          <w:color w:val="000000" w:themeColor="text1"/>
          <w:rtl/>
        </w:rPr>
        <w:t xml:space="preserve"> </w:t>
      </w:r>
      <w:r w:rsidR="007B6F41" w:rsidRPr="000B7B0F">
        <w:rPr>
          <w:rFonts w:ascii="David" w:hAnsi="David" w:cs="David" w:hint="cs"/>
          <w:color w:val="000000" w:themeColor="text1"/>
          <w:rtl/>
        </w:rPr>
        <w:t>ב</w:t>
      </w:r>
      <w:r w:rsidR="007B6F41" w:rsidRPr="000B7B0F">
        <w:rPr>
          <w:rFonts w:ascii="David" w:hAnsi="David" w:cs="David"/>
          <w:color w:val="000000" w:themeColor="text1"/>
          <w:rtl/>
        </w:rPr>
        <w:t>משא ו</w:t>
      </w:r>
      <w:r w:rsidRPr="000B7B0F">
        <w:rPr>
          <w:rFonts w:ascii="David" w:hAnsi="David" w:cs="David"/>
          <w:color w:val="000000" w:themeColor="text1"/>
          <w:rtl/>
        </w:rPr>
        <w:t>מתן, אשר מטרתו להעלות על הכתב את הסכמי הצדדים למו"מ, מתוך הבנה כי הסכמות אלו אינן מעידות על גמירות דעת</w:t>
      </w:r>
      <w:r w:rsidR="007B6F41" w:rsidRPr="000B7B0F">
        <w:rPr>
          <w:rFonts w:ascii="David" w:hAnsi="David" w:cs="David" w:hint="cs"/>
          <w:color w:val="000000" w:themeColor="text1" w:themeShade="BF"/>
          <w:rtl/>
        </w:rPr>
        <w:t>ם</w:t>
      </w:r>
      <w:r w:rsidRPr="000B7B0F">
        <w:rPr>
          <w:rFonts w:ascii="David" w:hAnsi="David" w:cs="David"/>
          <w:color w:val="000000" w:themeColor="text1"/>
          <w:rtl/>
        </w:rPr>
        <w:t xml:space="preserve"> הסופית לשכלולו של </w:t>
      </w:r>
      <w:r w:rsidR="007B6F41" w:rsidRPr="000B7B0F">
        <w:rPr>
          <w:rFonts w:ascii="David" w:hAnsi="David" w:cs="David" w:hint="cs"/>
          <w:color w:val="000000" w:themeColor="text1" w:themeShade="BF"/>
          <w:rtl/>
        </w:rPr>
        <w:t>החוזה</w:t>
      </w:r>
      <w:r w:rsidRPr="000B7B0F">
        <w:rPr>
          <w:rFonts w:ascii="David" w:hAnsi="David" w:cs="David"/>
          <w:color w:val="000000" w:themeColor="text1"/>
          <w:rtl/>
        </w:rPr>
        <w:t>. כלומר, על פי תפיסה זו זיכרון הדברים אינו חוזה מחייב.</w:t>
      </w:r>
      <w:r w:rsidRPr="00271034">
        <w:rPr>
          <w:rFonts w:ascii="David" w:hAnsi="David" w:cs="David" w:hint="cs"/>
          <w:color w:val="2E74B5" w:themeColor="accent1" w:themeShade="BF"/>
          <w:rtl/>
        </w:rPr>
        <w:t xml:space="preserve"> </w:t>
      </w:r>
    </w:p>
    <w:p w:rsidR="00824402" w:rsidRPr="007B6F41" w:rsidRDefault="00824402" w:rsidP="00FF2399">
      <w:pPr>
        <w:pStyle w:val="NormalWeb"/>
        <w:bidi/>
        <w:spacing w:before="240" w:beforeAutospacing="0" w:after="240" w:afterAutospacing="0" w:line="360" w:lineRule="auto"/>
        <w:jc w:val="both"/>
        <w:rPr>
          <w:rFonts w:ascii="David" w:hAnsi="David" w:cs="David"/>
          <w:color w:val="000000"/>
          <w:rtl/>
        </w:rPr>
      </w:pPr>
      <w:r>
        <w:rPr>
          <w:rFonts w:ascii="David" w:hAnsi="David" w:cs="David"/>
          <w:color w:val="000000"/>
          <w:rtl/>
        </w:rPr>
        <w:t xml:space="preserve">במקרה דנן </w:t>
      </w:r>
      <w:r w:rsidR="00FF2399" w:rsidRPr="00723894">
        <w:rPr>
          <w:rFonts w:ascii="David" w:hAnsi="David" w:cs="David" w:hint="cs"/>
          <w:b/>
          <w:bCs/>
          <w:color w:val="000000"/>
          <w:rtl/>
        </w:rPr>
        <w:t>יטענו</w:t>
      </w:r>
      <w:r w:rsidR="00907D81" w:rsidRPr="00723894">
        <w:rPr>
          <w:rFonts w:ascii="David" w:hAnsi="David" w:cs="David" w:hint="cs"/>
          <w:b/>
          <w:bCs/>
          <w:color w:val="000000"/>
          <w:rtl/>
        </w:rPr>
        <w:t xml:space="preserve"> התובעים כי</w:t>
      </w:r>
      <w:r w:rsidRPr="00723894">
        <w:rPr>
          <w:rFonts w:ascii="David" w:hAnsi="David" w:cs="David"/>
          <w:b/>
          <w:bCs/>
          <w:color w:val="000000"/>
          <w:rtl/>
        </w:rPr>
        <w:t xml:space="preserve"> ז</w:t>
      </w:r>
      <w:r w:rsidR="00907D81" w:rsidRPr="00723894">
        <w:rPr>
          <w:rFonts w:ascii="David" w:hAnsi="David" w:cs="David" w:hint="cs"/>
          <w:b/>
          <w:bCs/>
          <w:color w:val="000000"/>
          <w:rtl/>
        </w:rPr>
        <w:t>י</w:t>
      </w:r>
      <w:r w:rsidRPr="00723894">
        <w:rPr>
          <w:rFonts w:ascii="David" w:hAnsi="David" w:cs="David"/>
          <w:b/>
          <w:bCs/>
          <w:color w:val="000000"/>
          <w:rtl/>
        </w:rPr>
        <w:t xml:space="preserve">כרון הדברים שנחתם בין </w:t>
      </w:r>
      <w:r w:rsidR="007B6F41" w:rsidRPr="00723894">
        <w:rPr>
          <w:rFonts w:ascii="David" w:hAnsi="David" w:cs="David"/>
          <w:b/>
          <w:bCs/>
          <w:color w:val="000000"/>
          <w:rtl/>
        </w:rPr>
        <w:t>הצדדים הוא בעל תוקף משפטי</w:t>
      </w:r>
      <w:r>
        <w:rPr>
          <w:rFonts w:ascii="David" w:hAnsi="David" w:cs="David"/>
          <w:color w:val="000000"/>
          <w:rtl/>
        </w:rPr>
        <w:t xml:space="preserve">, משום שהוא </w:t>
      </w:r>
      <w:r w:rsidR="00907D81">
        <w:rPr>
          <w:rFonts w:ascii="David" w:hAnsi="David" w:cs="David" w:hint="cs"/>
          <w:color w:val="000000"/>
          <w:rtl/>
        </w:rPr>
        <w:t>מעיד על</w:t>
      </w:r>
      <w:r>
        <w:rPr>
          <w:rFonts w:ascii="David" w:hAnsi="David" w:cs="David"/>
          <w:color w:val="000000"/>
          <w:rtl/>
        </w:rPr>
        <w:t xml:space="preserve"> גמירות דעת</w:t>
      </w:r>
      <w:r w:rsidR="00907D81">
        <w:rPr>
          <w:rFonts w:ascii="David" w:hAnsi="David" w:cs="David" w:hint="cs"/>
          <w:color w:val="000000"/>
          <w:rtl/>
        </w:rPr>
        <w:t>ם של הצדדים להיקשר בחוזה משפטי מחייב</w:t>
      </w:r>
      <w:r w:rsidR="00907D81">
        <w:rPr>
          <w:rFonts w:ascii="David" w:hAnsi="David" w:cs="David"/>
          <w:color w:val="000000"/>
          <w:rtl/>
        </w:rPr>
        <w:t xml:space="preserve"> ו</w:t>
      </w:r>
      <w:r w:rsidR="00756C04">
        <w:rPr>
          <w:rFonts w:ascii="David" w:hAnsi="David" w:cs="David" w:hint="cs"/>
          <w:color w:val="000000"/>
          <w:rtl/>
        </w:rPr>
        <w:t xml:space="preserve">כי הוא </w:t>
      </w:r>
      <w:r w:rsidR="00907D81">
        <w:rPr>
          <w:rFonts w:ascii="David" w:hAnsi="David" w:cs="David"/>
          <w:color w:val="000000"/>
          <w:rtl/>
        </w:rPr>
        <w:t>מסוי</w:t>
      </w:r>
      <w:r w:rsidR="007B6F41">
        <w:rPr>
          <w:rFonts w:ascii="David" w:hAnsi="David" w:cs="David" w:hint="cs"/>
          <w:color w:val="000000"/>
          <w:rtl/>
        </w:rPr>
        <w:t>ם דיו</w:t>
      </w:r>
      <w:r>
        <w:rPr>
          <w:rFonts w:ascii="David" w:hAnsi="David" w:cs="David"/>
          <w:color w:val="000000"/>
          <w:rtl/>
        </w:rPr>
        <w:t xml:space="preserve"> (שהם כאמור</w:t>
      </w:r>
      <w:r w:rsidR="00FF2399">
        <w:rPr>
          <w:rFonts w:ascii="David" w:hAnsi="David" w:cs="David"/>
          <w:color w:val="000000"/>
          <w:rtl/>
        </w:rPr>
        <w:t>, מהווים תנאי</w:t>
      </w:r>
      <w:r w:rsidR="00FF2399">
        <w:rPr>
          <w:rFonts w:ascii="David" w:hAnsi="David" w:cs="David" w:hint="cs"/>
          <w:color w:val="000000"/>
          <w:rtl/>
        </w:rPr>
        <w:t xml:space="preserve">ם </w:t>
      </w:r>
      <w:r w:rsidR="00723894">
        <w:rPr>
          <w:rFonts w:ascii="David" w:hAnsi="David" w:cs="David" w:hint="cs"/>
          <w:color w:val="000000"/>
          <w:rtl/>
        </w:rPr>
        <w:t>הכרחיי</w:t>
      </w:r>
      <w:r w:rsidR="00723894">
        <w:rPr>
          <w:rFonts w:ascii="David" w:hAnsi="David" w:cs="David" w:hint="eastAsia"/>
          <w:color w:val="000000"/>
          <w:rtl/>
        </w:rPr>
        <w:t>ם</w:t>
      </w:r>
      <w:r w:rsidR="00907D81">
        <w:rPr>
          <w:rFonts w:ascii="David" w:hAnsi="David" w:cs="David"/>
          <w:color w:val="000000"/>
          <w:rtl/>
        </w:rPr>
        <w:t xml:space="preserve"> לקיום חוזה)</w:t>
      </w:r>
      <w:r w:rsidR="00907D81">
        <w:rPr>
          <w:rFonts w:ascii="David" w:hAnsi="David" w:cs="David" w:hint="cs"/>
          <w:color w:val="000000"/>
          <w:rtl/>
        </w:rPr>
        <w:t>.</w:t>
      </w:r>
      <w:r>
        <w:rPr>
          <w:rFonts w:ascii="David" w:hAnsi="David" w:cs="David"/>
          <w:color w:val="000000"/>
          <w:rtl/>
        </w:rPr>
        <w:t xml:space="preserve"> </w:t>
      </w:r>
      <w:r w:rsidR="00756C04">
        <w:rPr>
          <w:rFonts w:ascii="David" w:hAnsi="David" w:cs="David" w:hint="cs"/>
          <w:color w:val="000000"/>
          <w:rtl/>
        </w:rPr>
        <w:t>זיכרו</w:t>
      </w:r>
      <w:r w:rsidR="00756C04">
        <w:rPr>
          <w:rFonts w:ascii="David" w:hAnsi="David" w:cs="David" w:hint="eastAsia"/>
          <w:color w:val="000000"/>
          <w:rtl/>
        </w:rPr>
        <w:t>ן</w:t>
      </w:r>
      <w:r>
        <w:rPr>
          <w:rFonts w:ascii="David" w:hAnsi="David" w:cs="David"/>
          <w:color w:val="000000"/>
          <w:rtl/>
        </w:rPr>
        <w:t xml:space="preserve"> הדברים מקיים את דרישת הכתב (אשר נחוצה בשל העובדה שמדובר בעסקת מקרקעין) והוא </w:t>
      </w:r>
      <w:r w:rsidR="007B6F41">
        <w:rPr>
          <w:rFonts w:ascii="David" w:hAnsi="David" w:cs="David"/>
          <w:color w:val="000000"/>
          <w:rtl/>
        </w:rPr>
        <w:t xml:space="preserve">מקיים את נוסחת הקשר. כמו כן, </w:t>
      </w:r>
      <w:r w:rsidR="007B6F41">
        <w:rPr>
          <w:rFonts w:ascii="David" w:hAnsi="David" w:cs="David" w:hint="cs"/>
          <w:color w:val="000000"/>
          <w:rtl/>
        </w:rPr>
        <w:t>התובעים</w:t>
      </w:r>
      <w:r>
        <w:rPr>
          <w:rFonts w:ascii="David" w:hAnsi="David" w:cs="David"/>
          <w:color w:val="000000"/>
          <w:rtl/>
        </w:rPr>
        <w:t xml:space="preserve"> סבורים כי העדר החתימה אינו פוגם במעמדו של </w:t>
      </w:r>
      <w:r w:rsidR="00756C04">
        <w:rPr>
          <w:rFonts w:ascii="David" w:hAnsi="David" w:cs="David" w:hint="cs"/>
          <w:color w:val="000000"/>
          <w:rtl/>
        </w:rPr>
        <w:t>זיכרו</w:t>
      </w:r>
      <w:r w:rsidR="00756C04">
        <w:rPr>
          <w:rFonts w:ascii="David" w:hAnsi="David" w:cs="David" w:hint="eastAsia"/>
          <w:color w:val="000000"/>
          <w:rtl/>
        </w:rPr>
        <w:t>ן</w:t>
      </w:r>
      <w:r>
        <w:rPr>
          <w:rFonts w:ascii="David" w:hAnsi="David" w:cs="David"/>
          <w:color w:val="000000"/>
          <w:rtl/>
        </w:rPr>
        <w:t xml:space="preserve"> הדברים כחוזה מחייב בעל תוקף משפטי.   </w:t>
      </w:r>
    </w:p>
    <w:p w:rsidR="00F956B7" w:rsidRDefault="00F956B7" w:rsidP="00824402">
      <w:pPr>
        <w:pStyle w:val="NormalWeb"/>
        <w:bidi/>
        <w:spacing w:before="240" w:beforeAutospacing="0" w:after="0" w:afterAutospacing="0" w:line="360" w:lineRule="auto"/>
        <w:jc w:val="both"/>
        <w:rPr>
          <w:rFonts w:ascii="David" w:hAnsi="David" w:cs="David"/>
          <w:b/>
          <w:bCs/>
          <w:color w:val="000000"/>
          <w:rtl/>
        </w:rPr>
      </w:pPr>
    </w:p>
    <w:p w:rsidR="00F956B7" w:rsidRDefault="00F956B7" w:rsidP="00824402">
      <w:pPr>
        <w:pStyle w:val="NormalWeb"/>
        <w:bidi/>
        <w:spacing w:before="240" w:beforeAutospacing="0" w:after="0" w:afterAutospacing="0" w:line="360" w:lineRule="auto"/>
        <w:jc w:val="both"/>
        <w:rPr>
          <w:rFonts w:ascii="David" w:hAnsi="David" w:cs="David"/>
          <w:b/>
          <w:bCs/>
          <w:color w:val="000000"/>
          <w:rtl/>
        </w:rPr>
      </w:pPr>
    </w:p>
    <w:p w:rsidR="00824402" w:rsidRPr="00756C04" w:rsidRDefault="00824402" w:rsidP="00824402">
      <w:pPr>
        <w:pStyle w:val="NormalWeb"/>
        <w:bidi/>
        <w:spacing w:before="240" w:beforeAutospacing="0" w:after="0" w:afterAutospacing="0" w:line="360" w:lineRule="auto"/>
        <w:jc w:val="both"/>
        <w:rPr>
          <w:b/>
          <w:bCs/>
          <w:rtl/>
        </w:rPr>
      </w:pPr>
      <w:r w:rsidRPr="00756C04">
        <w:rPr>
          <w:rFonts w:ascii="David" w:hAnsi="David" w:cs="David"/>
          <w:b/>
          <w:bCs/>
          <w:color w:val="000000"/>
          <w:rtl/>
        </w:rPr>
        <w:lastRenderedPageBreak/>
        <w:t>גמירות דעת ומסוימות</w:t>
      </w:r>
    </w:p>
    <w:p w:rsidR="00824402" w:rsidRDefault="00824402" w:rsidP="00723894">
      <w:pPr>
        <w:pStyle w:val="NormalWeb"/>
        <w:bidi/>
        <w:spacing w:before="240" w:beforeAutospacing="0" w:after="0" w:afterAutospacing="0" w:line="360" w:lineRule="auto"/>
        <w:jc w:val="both"/>
        <w:rPr>
          <w:rtl/>
        </w:rPr>
      </w:pPr>
      <w:r>
        <w:rPr>
          <w:rFonts w:ascii="David" w:hAnsi="David" w:cs="David"/>
          <w:color w:val="000000"/>
          <w:rtl/>
        </w:rPr>
        <w:t xml:space="preserve">על מנת לכרות חוזה בין שני צדדים </w:t>
      </w:r>
      <w:r w:rsidRPr="00723894">
        <w:rPr>
          <w:rFonts w:ascii="David" w:hAnsi="David" w:cs="David"/>
          <w:b/>
          <w:bCs/>
          <w:color w:val="000000"/>
          <w:rtl/>
        </w:rPr>
        <w:t>יש צורך במפגש רצונות המקיים שני תנאים</w:t>
      </w:r>
      <w:r>
        <w:rPr>
          <w:rFonts w:ascii="David" w:hAnsi="David" w:cs="David"/>
          <w:color w:val="000000"/>
          <w:rtl/>
        </w:rPr>
        <w:t xml:space="preserve">: ראשית, על ההסכם </w:t>
      </w:r>
      <w:r w:rsidRPr="00723894">
        <w:rPr>
          <w:rFonts w:ascii="David" w:hAnsi="David" w:cs="David"/>
          <w:b/>
          <w:bCs/>
          <w:color w:val="000000"/>
          <w:rtl/>
        </w:rPr>
        <w:t>להעיד על גמירות דעתם</w:t>
      </w:r>
      <w:r>
        <w:rPr>
          <w:rFonts w:ascii="David" w:hAnsi="David" w:cs="David"/>
          <w:color w:val="000000"/>
          <w:rtl/>
        </w:rPr>
        <w:t xml:space="preserve"> של הצ</w:t>
      </w:r>
      <w:r w:rsidR="007837BD">
        <w:rPr>
          <w:rFonts w:ascii="David" w:hAnsi="David" w:cs="David"/>
          <w:color w:val="000000"/>
          <w:rtl/>
        </w:rPr>
        <w:t xml:space="preserve">דדים להתקשר בחוזה משפטי מחייב. </w:t>
      </w:r>
      <w:r>
        <w:rPr>
          <w:rFonts w:ascii="David" w:hAnsi="David" w:cs="David"/>
          <w:color w:val="000000"/>
          <w:rtl/>
        </w:rPr>
        <w:t xml:space="preserve">שנית, על המסמך </w:t>
      </w:r>
      <w:r w:rsidRPr="00723894">
        <w:rPr>
          <w:rFonts w:ascii="David" w:hAnsi="David" w:cs="David"/>
          <w:b/>
          <w:bCs/>
          <w:color w:val="000000"/>
          <w:rtl/>
        </w:rPr>
        <w:t>להיות מסוים דיו</w:t>
      </w:r>
      <w:r>
        <w:rPr>
          <w:rFonts w:ascii="David" w:hAnsi="David" w:cs="David"/>
          <w:color w:val="000000"/>
          <w:rtl/>
        </w:rPr>
        <w:t xml:space="preserve"> (לכלול את כל הפרטים המהותיים לעסקה)</w:t>
      </w:r>
      <w:r w:rsidR="00C77F39">
        <w:rPr>
          <w:rFonts w:ascii="David" w:hAnsi="David" w:cs="David" w:hint="cs"/>
          <w:color w:val="000000"/>
          <w:rtl/>
        </w:rPr>
        <w:t>.</w:t>
      </w:r>
      <w:r w:rsidR="007B6F41">
        <w:rPr>
          <w:rStyle w:val="a6"/>
          <w:rFonts w:ascii="David" w:hAnsi="David" w:cs="David"/>
          <w:color w:val="000000"/>
          <w:rtl/>
        </w:rPr>
        <w:footnoteReference w:id="16"/>
      </w:r>
      <w:r>
        <w:rPr>
          <w:rFonts w:ascii="David" w:hAnsi="David" w:cs="David"/>
          <w:color w:val="000000"/>
          <w:rtl/>
        </w:rPr>
        <w:t xml:space="preserve">  בפסיקה</w:t>
      </w:r>
      <w:r w:rsidR="007B6F41">
        <w:rPr>
          <w:rStyle w:val="a6"/>
          <w:rFonts w:ascii="David" w:hAnsi="David" w:cs="David"/>
          <w:color w:val="000000"/>
          <w:rtl/>
        </w:rPr>
        <w:footnoteReference w:id="17"/>
      </w:r>
      <w:r>
        <w:rPr>
          <w:rFonts w:ascii="David" w:hAnsi="David" w:cs="David"/>
          <w:color w:val="000000"/>
          <w:rtl/>
        </w:rPr>
        <w:t xml:space="preserve">  נקבע כי הכוונה ליצור יחסים משפט</w:t>
      </w:r>
      <w:r w:rsidR="00723894">
        <w:rPr>
          <w:rFonts w:ascii="David" w:hAnsi="David" w:cs="David"/>
          <w:color w:val="000000"/>
          <w:rtl/>
        </w:rPr>
        <w:t>יים הינה תנאי לקיום החוזה</w:t>
      </w:r>
      <w:r w:rsidR="00723894">
        <w:rPr>
          <w:rFonts w:ascii="David" w:hAnsi="David" w:cs="David" w:hint="cs"/>
          <w:color w:val="000000"/>
          <w:rtl/>
        </w:rPr>
        <w:t>,</w:t>
      </w:r>
      <w:r w:rsidR="00723894">
        <w:rPr>
          <w:rFonts w:ascii="David" w:hAnsi="David" w:cs="David"/>
          <w:color w:val="000000"/>
          <w:rtl/>
        </w:rPr>
        <w:t xml:space="preserve"> הבא ל</w:t>
      </w:r>
      <w:r>
        <w:rPr>
          <w:rFonts w:ascii="David" w:hAnsi="David" w:cs="David"/>
          <w:color w:val="000000"/>
          <w:rtl/>
        </w:rPr>
        <w:t xml:space="preserve">ידי ביטוי במונח "גמירות דעת", </w:t>
      </w:r>
      <w:r w:rsidR="00723894">
        <w:rPr>
          <w:rFonts w:ascii="David" w:hAnsi="David" w:cs="David" w:hint="cs"/>
          <w:color w:val="000000"/>
          <w:rtl/>
        </w:rPr>
        <w:t>אשר</w:t>
      </w:r>
      <w:r>
        <w:rPr>
          <w:rFonts w:ascii="David" w:hAnsi="David" w:cs="David"/>
          <w:color w:val="000000"/>
          <w:rtl/>
        </w:rPr>
        <w:t xml:space="preserve"> תבחן ע"י מבחן אובייקטיבי. בנוסף</w:t>
      </w:r>
      <w:r w:rsidR="00723894">
        <w:rPr>
          <w:rFonts w:ascii="David" w:hAnsi="David" w:cs="David" w:hint="cs"/>
          <w:color w:val="000000"/>
          <w:rtl/>
        </w:rPr>
        <w:t>,</w:t>
      </w:r>
      <w:r>
        <w:rPr>
          <w:rFonts w:ascii="David" w:hAnsi="David" w:cs="David"/>
          <w:color w:val="000000"/>
          <w:rtl/>
        </w:rPr>
        <w:t xml:space="preserve"> נקבע כי על מנת </w:t>
      </w:r>
      <w:r w:rsidR="00723894">
        <w:rPr>
          <w:rFonts w:ascii="David" w:hAnsi="David" w:cs="David" w:hint="cs"/>
          <w:color w:val="000000"/>
          <w:rtl/>
        </w:rPr>
        <w:t xml:space="preserve">שפנייה </w:t>
      </w:r>
      <w:r w:rsidR="00723894">
        <w:rPr>
          <w:rFonts w:ascii="David" w:hAnsi="David" w:cs="David"/>
          <w:color w:val="000000"/>
          <w:rtl/>
        </w:rPr>
        <w:t xml:space="preserve">תחשב </w:t>
      </w:r>
      <w:r>
        <w:rPr>
          <w:rFonts w:ascii="David" w:hAnsi="David" w:cs="David"/>
          <w:color w:val="000000"/>
          <w:rtl/>
        </w:rPr>
        <w:t xml:space="preserve">בגדר הצעה לכריתת חוזה, </w:t>
      </w:r>
      <w:r w:rsidR="00723894">
        <w:rPr>
          <w:rFonts w:ascii="David" w:hAnsi="David" w:cs="David" w:hint="cs"/>
          <w:color w:val="000000"/>
          <w:rtl/>
        </w:rPr>
        <w:t>עליה</w:t>
      </w:r>
      <w:r>
        <w:rPr>
          <w:rFonts w:ascii="David" w:hAnsi="David" w:cs="David"/>
          <w:color w:val="000000"/>
          <w:rtl/>
        </w:rPr>
        <w:t xml:space="preserve"> להיות מלאה ומדויקת כך שניתן יהיה להסיק </w:t>
      </w:r>
      <w:r w:rsidR="00723894">
        <w:rPr>
          <w:rFonts w:ascii="David" w:hAnsi="David" w:cs="David" w:hint="cs"/>
          <w:color w:val="000000"/>
          <w:rtl/>
        </w:rPr>
        <w:t xml:space="preserve">ממנה </w:t>
      </w:r>
      <w:r w:rsidR="00723894">
        <w:rPr>
          <w:rFonts w:ascii="David" w:hAnsi="David" w:cs="David"/>
          <w:color w:val="000000"/>
          <w:rtl/>
        </w:rPr>
        <w:t>בבירור על מהות העסקה</w:t>
      </w:r>
      <w:r w:rsidR="00723894">
        <w:rPr>
          <w:rFonts w:ascii="David" w:hAnsi="David" w:cs="David" w:hint="cs"/>
          <w:color w:val="000000"/>
          <w:rtl/>
        </w:rPr>
        <w:t>.</w:t>
      </w:r>
      <w:r>
        <w:rPr>
          <w:rFonts w:ascii="David" w:hAnsi="David" w:cs="David"/>
          <w:color w:val="000000"/>
          <w:rtl/>
        </w:rPr>
        <w:t xml:space="preserve"> תנאי זה בא לידי ביטוי במונח מסוימות. </w:t>
      </w:r>
    </w:p>
    <w:p w:rsidR="00824402" w:rsidRPr="00A35527" w:rsidRDefault="00824402" w:rsidP="00A35527">
      <w:pPr>
        <w:pStyle w:val="NormalWeb"/>
        <w:bidi/>
        <w:spacing w:before="240" w:beforeAutospacing="0" w:after="0" w:afterAutospacing="0" w:line="360" w:lineRule="auto"/>
        <w:jc w:val="both"/>
        <w:rPr>
          <w:b/>
          <w:bCs/>
          <w:rtl/>
        </w:rPr>
      </w:pPr>
      <w:r>
        <w:rPr>
          <w:rFonts w:ascii="David" w:hAnsi="David" w:cs="David"/>
          <w:color w:val="000000"/>
          <w:rtl/>
        </w:rPr>
        <w:t xml:space="preserve">כאמור, במקרה דנן </w:t>
      </w:r>
      <w:r w:rsidR="00756C04" w:rsidRPr="00723894">
        <w:rPr>
          <w:rFonts w:ascii="David" w:hAnsi="David" w:cs="David" w:hint="cs"/>
          <w:b/>
          <w:bCs/>
          <w:color w:val="000000"/>
          <w:rtl/>
        </w:rPr>
        <w:t>יטענו התובעים</w:t>
      </w:r>
      <w:r w:rsidRPr="00723894">
        <w:rPr>
          <w:rFonts w:ascii="David" w:hAnsi="David" w:cs="David"/>
          <w:b/>
          <w:bCs/>
          <w:color w:val="000000"/>
          <w:rtl/>
        </w:rPr>
        <w:t xml:space="preserve"> כי זיכרו</w:t>
      </w:r>
      <w:r w:rsidR="00756C04" w:rsidRPr="00723894">
        <w:rPr>
          <w:rFonts w:ascii="David" w:hAnsi="David" w:cs="David"/>
          <w:b/>
          <w:bCs/>
          <w:color w:val="000000"/>
          <w:rtl/>
        </w:rPr>
        <w:t xml:space="preserve">ן הדברים מהווה חוזה מחייב </w:t>
      </w:r>
      <w:r w:rsidR="00756C04" w:rsidRPr="00723894">
        <w:rPr>
          <w:rFonts w:ascii="David" w:hAnsi="David" w:cs="David" w:hint="cs"/>
          <w:b/>
          <w:bCs/>
          <w:color w:val="000000"/>
          <w:rtl/>
        </w:rPr>
        <w:t xml:space="preserve">שכן </w:t>
      </w:r>
      <w:r w:rsidRPr="00723894">
        <w:rPr>
          <w:rFonts w:ascii="David" w:hAnsi="David" w:cs="David"/>
          <w:b/>
          <w:bCs/>
          <w:color w:val="000000"/>
          <w:rtl/>
        </w:rPr>
        <w:t>מתקיימות בו דרישות גמירות הדעת והמסוימות</w:t>
      </w:r>
      <w:r w:rsidR="00F956B7">
        <w:rPr>
          <w:rStyle w:val="a6"/>
          <w:rFonts w:ascii="David" w:hAnsi="David" w:cs="David"/>
          <w:color w:val="000000"/>
          <w:rtl/>
        </w:rPr>
        <w:footnoteReference w:id="18"/>
      </w:r>
      <w:r>
        <w:rPr>
          <w:rFonts w:ascii="David" w:hAnsi="David" w:cs="David"/>
          <w:color w:val="000000"/>
          <w:rtl/>
        </w:rPr>
        <w:t>. הבעת גמירות דעתם של הצדדים באה לידי ביטוי הן בכך שהצדדים לחצו ידיים (סממן אובייקטיבי המעיד על גמירות דעת</w:t>
      </w:r>
      <w:r w:rsidR="005E4FAC">
        <w:rPr>
          <w:rFonts w:ascii="David" w:hAnsi="David" w:cs="David"/>
          <w:color w:val="000000"/>
          <w:rtl/>
        </w:rPr>
        <w:t>)</w:t>
      </w:r>
      <w:r w:rsidR="005E4FAC">
        <w:rPr>
          <w:rFonts w:ascii="David" w:hAnsi="David" w:cs="David" w:hint="cs"/>
          <w:color w:val="000000"/>
          <w:rtl/>
        </w:rPr>
        <w:t xml:space="preserve"> </w:t>
      </w:r>
      <w:r>
        <w:rPr>
          <w:rFonts w:ascii="David" w:hAnsi="David" w:cs="David"/>
          <w:color w:val="000000"/>
          <w:rtl/>
        </w:rPr>
        <w:t>והן בכך שהעלו את פרטי זיכרון הדברים על כתב.</w:t>
      </w:r>
      <w:r w:rsidR="00756C04" w:rsidRPr="00756C04">
        <w:rPr>
          <w:rFonts w:ascii="David" w:hAnsi="David" w:cs="David" w:hint="cs"/>
          <w:color w:val="000000"/>
          <w:rtl/>
        </w:rPr>
        <w:t xml:space="preserve"> </w:t>
      </w:r>
      <w:r w:rsidR="00747459">
        <w:rPr>
          <w:rFonts w:ascii="David" w:hAnsi="David" w:cs="David" w:hint="cs"/>
          <w:color w:val="000000"/>
          <w:rtl/>
        </w:rPr>
        <w:t xml:space="preserve">גמירות הדעת במקרה דנן מתבטאת באמצעות מדדים אובייקטיביים </w:t>
      </w:r>
      <w:r w:rsidR="00E20AC0">
        <w:rPr>
          <w:rFonts w:ascii="David" w:hAnsi="David" w:cs="David" w:hint="cs"/>
          <w:color w:val="000000"/>
          <w:rtl/>
        </w:rPr>
        <w:t>ואף מהווה תחליף לדרישת החתימה.</w:t>
      </w:r>
      <w:r w:rsidR="00E20AC0">
        <w:rPr>
          <w:rStyle w:val="a6"/>
          <w:rFonts w:ascii="David" w:hAnsi="David" w:cs="David"/>
          <w:color w:val="000000"/>
          <w:rtl/>
        </w:rPr>
        <w:footnoteReference w:id="19"/>
      </w:r>
      <w:r w:rsidR="00E20AC0">
        <w:rPr>
          <w:rFonts w:ascii="David" w:hAnsi="David" w:cs="David" w:hint="cs"/>
          <w:color w:val="000000"/>
          <w:rtl/>
        </w:rPr>
        <w:t xml:space="preserve"> </w:t>
      </w:r>
      <w:r w:rsidR="00723894">
        <w:rPr>
          <w:rFonts w:ascii="David" w:hAnsi="David" w:cs="David" w:hint="cs"/>
          <w:color w:val="000000"/>
          <w:rtl/>
        </w:rPr>
        <w:t>מסוימות המסמך באה לי</w:t>
      </w:r>
      <w:r w:rsidR="00756C04" w:rsidRPr="00756C04">
        <w:rPr>
          <w:rFonts w:ascii="David" w:hAnsi="David" w:cs="David" w:hint="cs"/>
          <w:color w:val="000000"/>
          <w:rtl/>
        </w:rPr>
        <w:t>די ביטוי בעצם היותו כולל את הסכמות הצדדים הנוגעות לעסקה ופרטיה.</w:t>
      </w:r>
      <w:r w:rsidR="00756C04">
        <w:rPr>
          <w:rFonts w:hint="cs"/>
          <w:rtl/>
        </w:rPr>
        <w:t xml:space="preserve"> </w:t>
      </w:r>
      <w:r>
        <w:rPr>
          <w:rFonts w:ascii="David" w:hAnsi="David" w:cs="David"/>
          <w:color w:val="000000"/>
          <w:rtl/>
        </w:rPr>
        <w:t xml:space="preserve">יש להניח כי </w:t>
      </w:r>
      <w:r w:rsidR="005E4FAC">
        <w:rPr>
          <w:rFonts w:ascii="David" w:hAnsi="David" w:cs="David" w:hint="cs"/>
          <w:color w:val="000000"/>
          <w:rtl/>
        </w:rPr>
        <w:t>זיכרו</w:t>
      </w:r>
      <w:r w:rsidR="005E4FAC">
        <w:rPr>
          <w:rFonts w:ascii="David" w:hAnsi="David" w:cs="David" w:hint="eastAsia"/>
          <w:color w:val="000000"/>
          <w:rtl/>
        </w:rPr>
        <w:t>ן</w:t>
      </w:r>
      <w:r>
        <w:rPr>
          <w:rFonts w:ascii="David" w:hAnsi="David" w:cs="David"/>
          <w:color w:val="000000"/>
          <w:rtl/>
        </w:rPr>
        <w:t xml:space="preserve"> הדברים הכיל את הפרטים המהותיים שמספיקים על מנת לעמוד בדרישת המסוימות</w:t>
      </w:r>
      <w:r w:rsidR="00756C04">
        <w:rPr>
          <w:rFonts w:ascii="David" w:hAnsi="David" w:cs="David" w:hint="cs"/>
          <w:color w:val="000000"/>
          <w:rtl/>
        </w:rPr>
        <w:t>,</w:t>
      </w:r>
      <w:r>
        <w:rPr>
          <w:rFonts w:ascii="David" w:hAnsi="David" w:cs="David"/>
          <w:color w:val="000000"/>
          <w:rtl/>
        </w:rPr>
        <w:t xml:space="preserve"> לאור העובדה שדרישת המסוימות רוככה בפסיקה</w:t>
      </w:r>
      <w:r w:rsidR="00747459">
        <w:rPr>
          <w:rFonts w:ascii="David" w:hAnsi="David" w:cs="David" w:hint="cs"/>
          <w:color w:val="000000"/>
          <w:rtl/>
        </w:rPr>
        <w:t xml:space="preserve"> </w:t>
      </w:r>
      <w:r>
        <w:rPr>
          <w:rFonts w:ascii="David" w:hAnsi="David" w:cs="David"/>
          <w:color w:val="000000"/>
          <w:rtl/>
        </w:rPr>
        <w:t>עם השנים וכיום דורשת פרטים בסיסיים בלבד</w:t>
      </w:r>
      <w:r w:rsidR="00EE23A2">
        <w:rPr>
          <w:rFonts w:ascii="David" w:hAnsi="David" w:cs="David" w:hint="cs"/>
          <w:color w:val="000000"/>
          <w:rtl/>
        </w:rPr>
        <w:t>.</w:t>
      </w:r>
      <w:r w:rsidR="00EE23A2">
        <w:rPr>
          <w:rStyle w:val="a6"/>
          <w:rFonts w:ascii="David" w:hAnsi="David" w:cs="David"/>
          <w:color w:val="000000"/>
          <w:rtl/>
        </w:rPr>
        <w:footnoteReference w:id="20"/>
      </w:r>
      <w:r>
        <w:rPr>
          <w:rFonts w:ascii="David" w:hAnsi="David" w:cs="David"/>
          <w:color w:val="000000"/>
          <w:rtl/>
        </w:rPr>
        <w:t xml:space="preserve"> </w:t>
      </w:r>
      <w:r w:rsidR="00747459">
        <w:rPr>
          <w:rFonts w:ascii="David" w:hAnsi="David" w:cs="David" w:hint="cs"/>
          <w:color w:val="000000"/>
          <w:rtl/>
        </w:rPr>
        <w:t xml:space="preserve">גם במידה </w:t>
      </w:r>
      <w:r w:rsidR="00E56CE2">
        <w:rPr>
          <w:rFonts w:ascii="David" w:hAnsi="David" w:cs="David" w:hint="cs"/>
          <w:color w:val="000000"/>
          <w:rtl/>
        </w:rPr>
        <w:t>וזיכרון הדברים לא כולל</w:t>
      </w:r>
      <w:r w:rsidR="00747459">
        <w:rPr>
          <w:rFonts w:ascii="David" w:hAnsi="David" w:cs="David" w:hint="cs"/>
          <w:color w:val="000000"/>
          <w:rtl/>
        </w:rPr>
        <w:t xml:space="preserve"> את כלל הפרטים המהותיים לעסקה ניתן יה</w:t>
      </w:r>
      <w:r w:rsidR="007214F6">
        <w:rPr>
          <w:rFonts w:ascii="David" w:hAnsi="David" w:cs="David" w:hint="cs"/>
          <w:color w:val="000000"/>
          <w:rtl/>
        </w:rPr>
        <w:t>יה להשלימם</w:t>
      </w:r>
      <w:r w:rsidR="00EA739F">
        <w:rPr>
          <w:rStyle w:val="a6"/>
          <w:rFonts w:ascii="David" w:hAnsi="David" w:cs="David"/>
          <w:color w:val="000000"/>
          <w:rtl/>
        </w:rPr>
        <w:footnoteReference w:id="21"/>
      </w:r>
      <w:r w:rsidR="007214F6">
        <w:rPr>
          <w:rFonts w:ascii="David" w:hAnsi="David" w:cs="David" w:hint="cs"/>
          <w:color w:val="000000"/>
          <w:rtl/>
        </w:rPr>
        <w:t xml:space="preserve"> בעזרת מנגנוני ההשלמה.</w:t>
      </w:r>
      <w:r w:rsidR="007214F6">
        <w:rPr>
          <w:rStyle w:val="a6"/>
          <w:rFonts w:ascii="David" w:hAnsi="David" w:cs="David"/>
          <w:color w:val="000000"/>
          <w:rtl/>
        </w:rPr>
        <w:footnoteReference w:id="22"/>
      </w:r>
      <w:r w:rsidR="007214F6">
        <w:rPr>
          <w:rFonts w:ascii="David" w:hAnsi="David" w:cs="David" w:hint="cs"/>
          <w:color w:val="000000"/>
          <w:rtl/>
        </w:rPr>
        <w:t xml:space="preserve"> </w:t>
      </w:r>
      <w:r>
        <w:rPr>
          <w:rFonts w:ascii="David" w:hAnsi="David" w:cs="David"/>
          <w:color w:val="000000"/>
          <w:rtl/>
        </w:rPr>
        <w:t xml:space="preserve">לפיכך, </w:t>
      </w:r>
      <w:r w:rsidR="00756C04" w:rsidRPr="00A35527">
        <w:rPr>
          <w:rFonts w:ascii="David" w:hAnsi="David" w:cs="David" w:hint="cs"/>
          <w:b/>
          <w:bCs/>
          <w:color w:val="000000"/>
          <w:rtl/>
        </w:rPr>
        <w:t>התובעים</w:t>
      </w:r>
      <w:r w:rsidR="00A35527">
        <w:rPr>
          <w:rFonts w:ascii="David" w:hAnsi="David" w:cs="David" w:hint="cs"/>
          <w:b/>
          <w:bCs/>
          <w:color w:val="000000"/>
          <w:rtl/>
        </w:rPr>
        <w:t xml:space="preserve"> סבורים</w:t>
      </w:r>
      <w:r w:rsidR="00756C04" w:rsidRPr="00A35527">
        <w:rPr>
          <w:rFonts w:ascii="David" w:hAnsi="David" w:cs="David" w:hint="cs"/>
          <w:b/>
          <w:bCs/>
          <w:color w:val="000000"/>
          <w:rtl/>
        </w:rPr>
        <w:t xml:space="preserve"> כי זיכרון הדברים עומד בדרישות המסוימות וגמירות הדעת. </w:t>
      </w:r>
      <w:r w:rsidRPr="00A35527">
        <w:rPr>
          <w:rFonts w:ascii="David" w:hAnsi="David" w:cs="David"/>
          <w:b/>
          <w:bCs/>
          <w:color w:val="000000"/>
          <w:rtl/>
        </w:rPr>
        <w:t xml:space="preserve"> </w:t>
      </w:r>
    </w:p>
    <w:p w:rsidR="00824402" w:rsidRPr="00747459" w:rsidRDefault="00824402" w:rsidP="00824402">
      <w:pPr>
        <w:pStyle w:val="NormalWeb"/>
        <w:bidi/>
        <w:spacing w:before="240" w:beforeAutospacing="0" w:after="0" w:afterAutospacing="0" w:line="360" w:lineRule="auto"/>
        <w:jc w:val="both"/>
        <w:rPr>
          <w:b/>
          <w:bCs/>
          <w:rtl/>
        </w:rPr>
      </w:pPr>
      <w:r w:rsidRPr="00747459">
        <w:rPr>
          <w:rFonts w:ascii="David" w:hAnsi="David" w:cs="David"/>
          <w:b/>
          <w:bCs/>
          <w:color w:val="000000"/>
          <w:rtl/>
        </w:rPr>
        <w:t>דרישת הכתב</w:t>
      </w:r>
    </w:p>
    <w:p w:rsidR="00824402" w:rsidRDefault="00824402" w:rsidP="004A3E06">
      <w:pPr>
        <w:pStyle w:val="NormalWeb"/>
        <w:bidi/>
        <w:spacing w:before="240" w:beforeAutospacing="0" w:after="0" w:afterAutospacing="0" w:line="360" w:lineRule="auto"/>
        <w:jc w:val="both"/>
        <w:rPr>
          <w:rtl/>
        </w:rPr>
      </w:pPr>
      <w:r>
        <w:rPr>
          <w:rFonts w:ascii="David" w:hAnsi="David" w:cs="David"/>
          <w:color w:val="000000"/>
          <w:rtl/>
        </w:rPr>
        <w:t>דרישת הכתב מעוגנת בס'8 לחוק המקרקעין.</w:t>
      </w:r>
      <w:r w:rsidR="005E4FAC">
        <w:rPr>
          <w:rStyle w:val="a6"/>
          <w:rFonts w:ascii="David" w:hAnsi="David" w:cs="David"/>
          <w:color w:val="000000"/>
          <w:rtl/>
        </w:rPr>
        <w:footnoteReference w:id="23"/>
      </w:r>
      <w:r>
        <w:rPr>
          <w:rFonts w:ascii="David" w:hAnsi="David" w:cs="David"/>
          <w:color w:val="000000"/>
          <w:rtl/>
        </w:rPr>
        <w:t xml:space="preserve"> במקרקעין דרישת הכתב היא מהותית,</w:t>
      </w:r>
      <w:r w:rsidR="005E4FAC">
        <w:rPr>
          <w:rStyle w:val="a6"/>
          <w:rFonts w:ascii="David" w:hAnsi="David" w:cs="David"/>
          <w:color w:val="000000"/>
          <w:rtl/>
        </w:rPr>
        <w:footnoteReference w:id="24"/>
      </w:r>
      <w:r>
        <w:rPr>
          <w:rFonts w:ascii="David" w:hAnsi="David" w:cs="David"/>
          <w:color w:val="000000"/>
          <w:rtl/>
        </w:rPr>
        <w:t xml:space="preserve"> </w:t>
      </w:r>
      <w:r w:rsidR="00A35527">
        <w:rPr>
          <w:rFonts w:ascii="David" w:hAnsi="David" w:cs="David" w:hint="cs"/>
          <w:color w:val="000000"/>
          <w:rtl/>
        </w:rPr>
        <w:t>ו</w:t>
      </w:r>
      <w:r>
        <w:rPr>
          <w:rFonts w:ascii="David" w:hAnsi="David" w:cs="David"/>
          <w:color w:val="000000"/>
          <w:rtl/>
        </w:rPr>
        <w:t xml:space="preserve">משמעותה כי </w:t>
      </w:r>
      <w:r w:rsidRPr="00723894">
        <w:rPr>
          <w:rFonts w:ascii="David" w:hAnsi="David" w:cs="David"/>
          <w:b/>
          <w:bCs/>
          <w:color w:val="000000"/>
          <w:rtl/>
        </w:rPr>
        <w:t xml:space="preserve">החוזה עצמו יהיה בכתב, </w:t>
      </w:r>
      <w:r w:rsidR="00960673" w:rsidRPr="00723894">
        <w:rPr>
          <w:rFonts w:ascii="David" w:hAnsi="David" w:cs="David" w:hint="cs"/>
          <w:b/>
          <w:bCs/>
          <w:color w:val="000000"/>
          <w:rtl/>
        </w:rPr>
        <w:t>ויכלול את כל פרטי העסקה המהותיים</w:t>
      </w:r>
      <w:r w:rsidR="004A3E06">
        <w:rPr>
          <w:rFonts w:ascii="David" w:hAnsi="David" w:cs="David" w:hint="cs"/>
          <w:color w:val="000000"/>
          <w:rtl/>
        </w:rPr>
        <w:t>.</w:t>
      </w:r>
      <w:r w:rsidR="00960673">
        <w:rPr>
          <w:rStyle w:val="a6"/>
          <w:rFonts w:ascii="David" w:hAnsi="David" w:cs="David"/>
          <w:color w:val="000000"/>
          <w:rtl/>
        </w:rPr>
        <w:footnoteReference w:id="25"/>
      </w:r>
      <w:r w:rsidR="00960673">
        <w:rPr>
          <w:rFonts w:ascii="David" w:hAnsi="David" w:cs="David" w:hint="cs"/>
          <w:color w:val="000000"/>
          <w:rtl/>
        </w:rPr>
        <w:t xml:space="preserve"> </w:t>
      </w:r>
      <w:r w:rsidR="004A3E06">
        <w:rPr>
          <w:rFonts w:ascii="David" w:hAnsi="David" w:cs="David"/>
          <w:color w:val="000000"/>
          <w:rtl/>
        </w:rPr>
        <w:t xml:space="preserve">מכיוון </w:t>
      </w:r>
      <w:r w:rsidR="004A3E06">
        <w:rPr>
          <w:rFonts w:ascii="David" w:hAnsi="David" w:cs="David" w:hint="cs"/>
          <w:color w:val="000000"/>
          <w:rtl/>
        </w:rPr>
        <w:t>ש</w:t>
      </w:r>
      <w:r>
        <w:rPr>
          <w:rFonts w:ascii="David" w:hAnsi="David" w:cs="David"/>
          <w:color w:val="000000"/>
          <w:rtl/>
        </w:rPr>
        <w:t xml:space="preserve">דרישת הכתב במקרקעין הינה מהותית, </w:t>
      </w:r>
      <w:r w:rsidR="004A3E06">
        <w:rPr>
          <w:rFonts w:ascii="David" w:hAnsi="David" w:cs="David"/>
          <w:color w:val="000000"/>
          <w:rtl/>
        </w:rPr>
        <w:t>לא ינתן תוקף להסכם בעל פה</w:t>
      </w:r>
      <w:r w:rsidR="004A3E06">
        <w:rPr>
          <w:rFonts w:ascii="David" w:hAnsi="David" w:cs="David" w:hint="cs"/>
          <w:color w:val="000000"/>
          <w:rtl/>
        </w:rPr>
        <w:t>, ו</w:t>
      </w:r>
      <w:r>
        <w:rPr>
          <w:rFonts w:ascii="David" w:hAnsi="David" w:cs="David"/>
          <w:color w:val="000000"/>
          <w:rtl/>
        </w:rPr>
        <w:t>ביהמ"ש יכול שלא להכיר בחיובים ההדדיים הנובעים מן החוזה, אפילו אם הצדדים התכוונו לקיימם, כל עוד הם לא בוצעו בכתב. בפסיקה</w:t>
      </w:r>
      <w:r w:rsidR="005E4FAC">
        <w:rPr>
          <w:rStyle w:val="a6"/>
          <w:rFonts w:ascii="David" w:hAnsi="David" w:cs="David"/>
          <w:color w:val="000000"/>
          <w:rtl/>
        </w:rPr>
        <w:footnoteReference w:id="26"/>
      </w:r>
      <w:r>
        <w:rPr>
          <w:rFonts w:ascii="David" w:hAnsi="David" w:cs="David"/>
          <w:color w:val="000000"/>
          <w:rtl/>
        </w:rPr>
        <w:t xml:space="preserve"> נקבע שבכדי לעמוד בדרישת הכתב המהותית על החוזה להכיל את הפרטים המהותיים של העסקה (שמות הצדדים, מהות הנכס, מהות העסקה (שכירות, בעלות וכו׳), מחיר העסקה, תנאי התשלום, והוצאות ומיסים).</w:t>
      </w:r>
      <w:r w:rsidRPr="005E4FAC">
        <w:rPr>
          <w:rFonts w:ascii="David" w:hAnsi="David" w:cs="David"/>
          <w:color w:val="FF0000"/>
          <w:rtl/>
        </w:rPr>
        <w:t xml:space="preserve"> </w:t>
      </w:r>
      <w:r w:rsidRPr="00470FD4">
        <w:rPr>
          <w:rFonts w:ascii="David" w:hAnsi="David" w:cs="David"/>
          <w:rtl/>
        </w:rPr>
        <w:t>עם השנים רוככה בפסיקה דרישת הכתב ונקבע כי אסופת מסמכים המעידה על מרכיבי העסקה המהותיים יכולה לעמוד בדרישת הכתב</w:t>
      </w:r>
      <w:r w:rsidR="006A39AE">
        <w:rPr>
          <w:rFonts w:ascii="David" w:hAnsi="David" w:cs="David" w:hint="cs"/>
          <w:rtl/>
        </w:rPr>
        <w:t>.</w:t>
      </w:r>
      <w:r w:rsidR="00470FD4">
        <w:rPr>
          <w:rStyle w:val="a6"/>
          <w:rFonts w:ascii="David" w:hAnsi="David" w:cs="David"/>
          <w:rtl/>
        </w:rPr>
        <w:footnoteReference w:id="27"/>
      </w:r>
      <w:r w:rsidR="00470FD4">
        <w:rPr>
          <w:rFonts w:ascii="David" w:hAnsi="David" w:cs="David" w:hint="cs"/>
          <w:rtl/>
        </w:rPr>
        <w:t xml:space="preserve"> </w:t>
      </w:r>
      <w:r w:rsidRPr="00470FD4">
        <w:rPr>
          <w:rFonts w:ascii="David" w:hAnsi="David" w:cs="David"/>
          <w:rtl/>
        </w:rPr>
        <w:t xml:space="preserve">אף </w:t>
      </w:r>
      <w:r w:rsidRPr="002C0E39">
        <w:rPr>
          <w:rFonts w:ascii="David" w:hAnsi="David" w:cs="David"/>
          <w:rtl/>
        </w:rPr>
        <w:t>נקבע בפסיקה</w:t>
      </w:r>
      <w:r w:rsidR="00303F1E" w:rsidRPr="002C0E39">
        <w:rPr>
          <w:rStyle w:val="a6"/>
          <w:rFonts w:ascii="David" w:hAnsi="David" w:cs="David"/>
          <w:rtl/>
        </w:rPr>
        <w:footnoteReference w:id="28"/>
      </w:r>
      <w:r w:rsidRPr="002C0E39">
        <w:rPr>
          <w:rFonts w:ascii="David" w:hAnsi="David" w:cs="David"/>
          <w:rtl/>
        </w:rPr>
        <w:t xml:space="preserve"> כי ישנם </w:t>
      </w:r>
      <w:r w:rsidRPr="002C0E39">
        <w:rPr>
          <w:rFonts w:ascii="David" w:hAnsi="David" w:cs="David"/>
          <w:rtl/>
        </w:rPr>
        <w:lastRenderedPageBreak/>
        <w:t xml:space="preserve">מקרים מיוחדים בהם בשל הפרה בוטה של חובת תום הלב </w:t>
      </w:r>
      <w:r w:rsidR="006F0E9D" w:rsidRPr="002C0E39">
        <w:rPr>
          <w:rFonts w:ascii="David" w:hAnsi="David" w:cs="David" w:hint="cs"/>
          <w:rtl/>
        </w:rPr>
        <w:t>יכולה</w:t>
      </w:r>
      <w:r w:rsidRPr="002C0E39">
        <w:rPr>
          <w:rFonts w:ascii="David" w:hAnsi="David" w:cs="David"/>
          <w:rtl/>
        </w:rPr>
        <w:t xml:space="preserve"> להתגב</w:t>
      </w:r>
      <w:r w:rsidR="002C0E39" w:rsidRPr="002C0E39">
        <w:rPr>
          <w:rFonts w:ascii="David" w:hAnsi="David" w:cs="David"/>
          <w:rtl/>
        </w:rPr>
        <w:t>ר על דרישת הכתב בעסקאות מקרקעין</w:t>
      </w:r>
      <w:r w:rsidRPr="002C0E39">
        <w:rPr>
          <w:rFonts w:ascii="David" w:hAnsi="David" w:cs="David"/>
          <w:rtl/>
        </w:rPr>
        <w:t>. </w:t>
      </w:r>
    </w:p>
    <w:p w:rsidR="00824402" w:rsidRPr="00164180" w:rsidRDefault="00824402" w:rsidP="004B4A35">
      <w:pPr>
        <w:pStyle w:val="NormalWeb"/>
        <w:bidi/>
        <w:spacing w:before="240" w:beforeAutospacing="0" w:after="0" w:afterAutospacing="0" w:line="360" w:lineRule="auto"/>
        <w:jc w:val="both"/>
        <w:rPr>
          <w:rFonts w:ascii="David" w:hAnsi="David" w:cs="David"/>
          <w:color w:val="000000"/>
          <w:rtl/>
        </w:rPr>
      </w:pPr>
      <w:r>
        <w:rPr>
          <w:rFonts w:ascii="David" w:hAnsi="David" w:cs="David"/>
          <w:color w:val="000000"/>
          <w:rtl/>
        </w:rPr>
        <w:t xml:space="preserve">במקרה דנן העסקה שבוצעה בין שני הצדדים היא עסקת </w:t>
      </w:r>
      <w:r w:rsidR="00C53350">
        <w:rPr>
          <w:rFonts w:ascii="David" w:hAnsi="David" w:cs="David" w:hint="cs"/>
          <w:color w:val="000000"/>
          <w:rtl/>
        </w:rPr>
        <w:t>מקרקעין</w:t>
      </w:r>
      <w:r>
        <w:rPr>
          <w:rFonts w:ascii="David" w:hAnsi="David" w:cs="David"/>
          <w:color w:val="000000"/>
          <w:rtl/>
        </w:rPr>
        <w:t xml:space="preserve">. לפיכך, עליה לעמוד בדרישת הכתב. העלאת פרטי </w:t>
      </w:r>
      <w:r w:rsidR="00C53350">
        <w:rPr>
          <w:rFonts w:ascii="David" w:hAnsi="David" w:cs="David" w:hint="cs"/>
          <w:color w:val="000000"/>
          <w:rtl/>
        </w:rPr>
        <w:t>זיכרו</w:t>
      </w:r>
      <w:r w:rsidR="00C53350">
        <w:rPr>
          <w:rFonts w:ascii="David" w:hAnsi="David" w:cs="David" w:hint="eastAsia"/>
          <w:color w:val="000000"/>
          <w:rtl/>
        </w:rPr>
        <w:t>ן</w:t>
      </w:r>
      <w:r>
        <w:rPr>
          <w:rFonts w:ascii="David" w:hAnsi="David" w:cs="David"/>
          <w:color w:val="000000"/>
          <w:rtl/>
        </w:rPr>
        <w:t xml:space="preserve"> הדברים על כתב מספקת מענה לדרישה זו, </w:t>
      </w:r>
      <w:r w:rsidR="00C53350">
        <w:rPr>
          <w:rFonts w:ascii="David" w:hAnsi="David" w:cs="David" w:hint="cs"/>
          <w:color w:val="000000"/>
          <w:rtl/>
        </w:rPr>
        <w:t>ש</w:t>
      </w:r>
      <w:r w:rsidR="00C53350" w:rsidRPr="00C53350">
        <w:rPr>
          <w:rFonts w:ascii="David" w:hAnsi="David" w:cs="David" w:hint="cs"/>
          <w:color w:val="000000"/>
          <w:rtl/>
        </w:rPr>
        <w:t>כן ההסכמות שכלל זיכרון הדברים הועלו על מסמך קצר בכתב יד.</w:t>
      </w:r>
      <w:r w:rsidR="00C53350" w:rsidRPr="00164180">
        <w:rPr>
          <w:rFonts w:ascii="David" w:hAnsi="David" w:cs="David" w:hint="cs"/>
          <w:color w:val="000000"/>
          <w:rtl/>
        </w:rPr>
        <w:t xml:space="preserve"> </w:t>
      </w:r>
      <w:r w:rsidR="00164180" w:rsidRPr="00164180">
        <w:rPr>
          <w:rFonts w:ascii="David" w:hAnsi="David" w:cs="David" w:hint="cs"/>
          <w:color w:val="000000"/>
          <w:rtl/>
        </w:rPr>
        <w:t>ניתן לראות כי בפסיקה</w:t>
      </w:r>
      <w:r w:rsidR="00164180">
        <w:rPr>
          <w:rStyle w:val="a6"/>
          <w:rFonts w:ascii="David" w:hAnsi="David" w:cs="David"/>
          <w:color w:val="000000"/>
          <w:rtl/>
        </w:rPr>
        <w:footnoteReference w:id="29"/>
      </w:r>
      <w:r w:rsidR="00164180" w:rsidRPr="00164180">
        <w:rPr>
          <w:rFonts w:ascii="David" w:hAnsi="David" w:cs="David" w:hint="cs"/>
          <w:color w:val="000000"/>
          <w:rtl/>
        </w:rPr>
        <w:t xml:space="preserve"> רוככה דרישת הכתב כך שגם </w:t>
      </w:r>
      <w:r w:rsidR="00164180" w:rsidRPr="00164180">
        <w:rPr>
          <w:rFonts w:ascii="David" w:hAnsi="David" w:cs="David"/>
          <w:color w:val="000000"/>
          <w:rtl/>
        </w:rPr>
        <w:t xml:space="preserve">הסדר </w:t>
      </w:r>
      <w:r w:rsidR="00164180" w:rsidRPr="00164180">
        <w:rPr>
          <w:rFonts w:ascii="David" w:hAnsi="David" w:cs="David" w:hint="cs"/>
          <w:color w:val="000000"/>
          <w:rtl/>
        </w:rPr>
        <w:t xml:space="preserve">כתוב </w:t>
      </w:r>
      <w:r w:rsidR="00164180" w:rsidRPr="00164180">
        <w:rPr>
          <w:rFonts w:ascii="David" w:hAnsi="David" w:cs="David"/>
          <w:color w:val="000000"/>
          <w:rtl/>
        </w:rPr>
        <w:t>קצר</w:t>
      </w:r>
      <w:r w:rsidR="004B4A35">
        <w:rPr>
          <w:rFonts w:ascii="David" w:hAnsi="David" w:cs="David" w:hint="cs"/>
          <w:color w:val="000000"/>
          <w:rtl/>
        </w:rPr>
        <w:t>,</w:t>
      </w:r>
      <w:r w:rsidR="00164180" w:rsidRPr="00164180">
        <w:rPr>
          <w:rFonts w:ascii="David" w:hAnsi="David" w:cs="David"/>
          <w:color w:val="000000"/>
          <w:rtl/>
        </w:rPr>
        <w:t xml:space="preserve"> שכולל </w:t>
      </w:r>
      <w:r w:rsidR="004B4A35">
        <w:rPr>
          <w:rFonts w:ascii="David" w:hAnsi="David" w:cs="David" w:hint="cs"/>
          <w:color w:val="000000"/>
          <w:rtl/>
        </w:rPr>
        <w:t>חלק</w:t>
      </w:r>
      <w:r w:rsidR="00164180" w:rsidRPr="00164180">
        <w:rPr>
          <w:rFonts w:ascii="David" w:hAnsi="David" w:cs="David"/>
          <w:color w:val="000000"/>
          <w:rtl/>
        </w:rPr>
        <w:t xml:space="preserve"> מהפרטים </w:t>
      </w:r>
      <w:r w:rsidR="004B4A35">
        <w:rPr>
          <w:rFonts w:ascii="David" w:hAnsi="David" w:cs="David" w:hint="cs"/>
          <w:color w:val="000000"/>
          <w:rtl/>
        </w:rPr>
        <w:t xml:space="preserve">אך </w:t>
      </w:r>
      <w:r w:rsidR="00164180" w:rsidRPr="00164180">
        <w:rPr>
          <w:rFonts w:ascii="David" w:hAnsi="David" w:cs="David"/>
          <w:color w:val="000000"/>
          <w:rtl/>
        </w:rPr>
        <w:t>ניתן להשלמה</w:t>
      </w:r>
      <w:r w:rsidR="004B4A35">
        <w:rPr>
          <w:rFonts w:ascii="David" w:hAnsi="David" w:cs="David" w:hint="cs"/>
          <w:color w:val="000000"/>
          <w:rtl/>
        </w:rPr>
        <w:t>,</w:t>
      </w:r>
      <w:r w:rsidR="00164180" w:rsidRPr="00164180">
        <w:rPr>
          <w:rFonts w:ascii="David" w:hAnsi="David" w:cs="David"/>
          <w:color w:val="000000"/>
          <w:rtl/>
        </w:rPr>
        <w:t xml:space="preserve"> יחשב לחוזה שלם</w:t>
      </w:r>
      <w:r w:rsidR="001348A6">
        <w:rPr>
          <w:rFonts w:ascii="David" w:hAnsi="David" w:cs="David" w:hint="cs"/>
          <w:color w:val="000000"/>
          <w:rtl/>
        </w:rPr>
        <w:t xml:space="preserve"> ומחייב מבחינה משפטית. </w:t>
      </w:r>
    </w:p>
    <w:p w:rsidR="00824402" w:rsidRPr="00C53350" w:rsidRDefault="00824402" w:rsidP="00824402">
      <w:pPr>
        <w:pStyle w:val="NormalWeb"/>
        <w:bidi/>
        <w:spacing w:before="240" w:beforeAutospacing="0" w:after="240" w:afterAutospacing="0" w:line="360" w:lineRule="auto"/>
        <w:jc w:val="both"/>
        <w:rPr>
          <w:b/>
          <w:bCs/>
          <w:rtl/>
        </w:rPr>
      </w:pPr>
      <w:r w:rsidRPr="00C53350">
        <w:rPr>
          <w:rFonts w:ascii="David" w:hAnsi="David" w:cs="David"/>
          <w:b/>
          <w:bCs/>
          <w:color w:val="000000"/>
          <w:rtl/>
        </w:rPr>
        <w:t>נוסחת הקשר</w:t>
      </w:r>
    </w:p>
    <w:p w:rsidR="00FA11CE" w:rsidRDefault="00824402" w:rsidP="00213856">
      <w:pPr>
        <w:pStyle w:val="NormalWeb"/>
        <w:bidi/>
        <w:spacing w:before="240" w:beforeAutospacing="0" w:after="240" w:afterAutospacing="0" w:line="360" w:lineRule="auto"/>
        <w:jc w:val="both"/>
        <w:rPr>
          <w:rFonts w:ascii="David" w:hAnsi="David" w:cs="David"/>
          <w:color w:val="FF0000"/>
          <w:rtl/>
        </w:rPr>
      </w:pPr>
      <w:r w:rsidRPr="00C53350">
        <w:rPr>
          <w:rFonts w:ascii="David" w:hAnsi="David" w:cs="David"/>
          <w:color w:val="000000"/>
          <w:rtl/>
        </w:rPr>
        <w:t xml:space="preserve">"נוסחת הקשר" היא הזיקה </w:t>
      </w:r>
      <w:r>
        <w:rPr>
          <w:rFonts w:ascii="David" w:hAnsi="David" w:cs="David"/>
          <w:color w:val="000000"/>
          <w:rtl/>
        </w:rPr>
        <w:t>שבין זיכרון הדברים לבין הסכם מ</w:t>
      </w:r>
      <w:r w:rsidR="00573CEF">
        <w:rPr>
          <w:rFonts w:ascii="David" w:hAnsi="David" w:cs="David"/>
          <w:color w:val="000000"/>
          <w:rtl/>
        </w:rPr>
        <w:t>פורט יותר שייעשה בעתיד, אשר נות</w:t>
      </w:r>
      <w:r w:rsidR="00573CEF">
        <w:rPr>
          <w:rFonts w:ascii="David" w:hAnsi="David" w:cs="David" w:hint="cs"/>
          <w:color w:val="000000"/>
          <w:rtl/>
        </w:rPr>
        <w:t>נת</w:t>
      </w:r>
      <w:r>
        <w:rPr>
          <w:rFonts w:ascii="David" w:hAnsi="David" w:cs="David"/>
          <w:color w:val="000000"/>
          <w:rtl/>
        </w:rPr>
        <w:t xml:space="preserve"> אינדיקציה לגמירות דעתם של הצדדים להסכם. נוסחה זו אינה מחייבת תמיד, ייתכן כי היא תצביע על כיוון מסוים </w:t>
      </w:r>
      <w:r w:rsidR="00213856">
        <w:rPr>
          <w:rFonts w:ascii="David" w:hAnsi="David" w:cs="David" w:hint="cs"/>
          <w:color w:val="000000"/>
          <w:rtl/>
        </w:rPr>
        <w:t xml:space="preserve">אך </w:t>
      </w:r>
      <w:r>
        <w:rPr>
          <w:rFonts w:ascii="David" w:hAnsi="David" w:cs="David"/>
          <w:color w:val="000000"/>
          <w:rtl/>
        </w:rPr>
        <w:t>התוצאה הסופית תהיה בכיוון אחר</w:t>
      </w:r>
      <w:r w:rsidR="005E4FAC">
        <w:rPr>
          <w:rFonts w:ascii="David" w:hAnsi="David" w:cs="David" w:hint="cs"/>
          <w:color w:val="000000"/>
          <w:rtl/>
        </w:rPr>
        <w:t>.</w:t>
      </w:r>
      <w:r w:rsidR="005E4FAC">
        <w:rPr>
          <w:rStyle w:val="a6"/>
          <w:rFonts w:ascii="David" w:hAnsi="David" w:cs="David"/>
          <w:color w:val="000000"/>
          <w:rtl/>
        </w:rPr>
        <w:footnoteReference w:id="30"/>
      </w:r>
      <w:r w:rsidRPr="005E3187">
        <w:rPr>
          <w:rFonts w:ascii="David" w:hAnsi="David" w:cs="David"/>
          <w:color w:val="FF0000"/>
          <w:rtl/>
        </w:rPr>
        <w:t xml:space="preserve"> </w:t>
      </w:r>
      <w:r w:rsidR="005E3187" w:rsidRPr="005E3187">
        <w:rPr>
          <w:rFonts w:ascii="David" w:hAnsi="David" w:cs="David"/>
          <w:rtl/>
        </w:rPr>
        <w:t xml:space="preserve">אמירות </w:t>
      </w:r>
      <w:r w:rsidR="005E3187">
        <w:rPr>
          <w:rFonts w:ascii="David" w:hAnsi="David" w:cs="David" w:hint="cs"/>
          <w:rtl/>
        </w:rPr>
        <w:t xml:space="preserve">מפורשות </w:t>
      </w:r>
      <w:r w:rsidR="005E3187" w:rsidRPr="005E3187">
        <w:rPr>
          <w:rFonts w:ascii="David" w:hAnsi="David" w:cs="David"/>
          <w:rtl/>
        </w:rPr>
        <w:t>בזיכרון הדברים המעידות על תוקפו של המסמך והחיובים הנובעים ממנו הם שיעידו על נוסחת הקשר ויעזרו לקבוע את תוקפו של זיכרון הדברים.</w:t>
      </w:r>
      <w:r w:rsidR="005E3187">
        <w:rPr>
          <w:rStyle w:val="a6"/>
          <w:rFonts w:ascii="David" w:hAnsi="David" w:cs="David"/>
          <w:rtl/>
        </w:rPr>
        <w:footnoteReference w:id="31"/>
      </w:r>
      <w:r w:rsidR="005E3187" w:rsidRPr="005E3187">
        <w:rPr>
          <w:rFonts w:hint="cs"/>
          <w:rtl/>
        </w:rPr>
        <w:t xml:space="preserve"> </w:t>
      </w:r>
    </w:p>
    <w:p w:rsidR="00C53350" w:rsidRPr="002A734B" w:rsidRDefault="00C53350" w:rsidP="006C5AAC">
      <w:pPr>
        <w:pStyle w:val="NormalWeb"/>
        <w:bidi/>
        <w:spacing w:before="240" w:beforeAutospacing="0" w:after="240" w:afterAutospacing="0" w:line="360" w:lineRule="auto"/>
        <w:jc w:val="both"/>
        <w:rPr>
          <w:rFonts w:ascii="David" w:hAnsi="David" w:cs="David"/>
          <w:rtl/>
        </w:rPr>
      </w:pPr>
      <w:r w:rsidRPr="002A734B">
        <w:rPr>
          <w:rFonts w:ascii="David" w:hAnsi="David" w:cs="David"/>
          <w:rtl/>
        </w:rPr>
        <w:t xml:space="preserve">במקרה דנן נוסחת הקשר </w:t>
      </w:r>
      <w:r w:rsidR="005E3187">
        <w:rPr>
          <w:rFonts w:ascii="David" w:hAnsi="David" w:cs="David" w:hint="cs"/>
          <w:rtl/>
        </w:rPr>
        <w:t>אינה מעידה על כך שזיכרון הדברים מהווה שלב בינים במשא ומתן בלבד משום שדבר זה לא נכתב או נרמז במסמך</w:t>
      </w:r>
      <w:r w:rsidR="006F0E9D">
        <w:rPr>
          <w:rFonts w:ascii="David" w:hAnsi="David" w:cs="David" w:hint="cs"/>
          <w:rtl/>
        </w:rPr>
        <w:t>.</w:t>
      </w:r>
      <w:r w:rsidR="008C1810">
        <w:rPr>
          <w:rStyle w:val="a6"/>
          <w:rFonts w:ascii="David" w:hAnsi="David" w:cs="David"/>
          <w:rtl/>
        </w:rPr>
        <w:footnoteReference w:id="32"/>
      </w:r>
      <w:r w:rsidR="005E3187">
        <w:rPr>
          <w:rFonts w:ascii="David" w:hAnsi="David" w:cs="David" w:hint="cs"/>
          <w:rtl/>
        </w:rPr>
        <w:t xml:space="preserve"> </w:t>
      </w:r>
      <w:r w:rsidR="00970D4F">
        <w:rPr>
          <w:rFonts w:ascii="David" w:hAnsi="David" w:cs="David" w:hint="cs"/>
          <w:rtl/>
        </w:rPr>
        <w:t>אילו היה כתוב שזיכרון הדברים מהווה שלב בינים בלבד היה נשלל ממנו תוקפו המשפטי. בהעדר אמירה מסוג זה</w:t>
      </w:r>
      <w:r w:rsidR="00213856">
        <w:rPr>
          <w:rFonts w:ascii="David" w:hAnsi="David" w:cs="David" w:hint="cs"/>
          <w:rtl/>
        </w:rPr>
        <w:t>,</w:t>
      </w:r>
      <w:r w:rsidR="00970D4F">
        <w:rPr>
          <w:rFonts w:ascii="David" w:hAnsi="David" w:cs="David" w:hint="cs"/>
          <w:rtl/>
        </w:rPr>
        <w:t xml:space="preserve"> ניתן להתייחס לזיכרון הדברים כמחייב. </w:t>
      </w:r>
    </w:p>
    <w:p w:rsidR="00824402" w:rsidRPr="00C53350" w:rsidRDefault="00824402" w:rsidP="00824402">
      <w:pPr>
        <w:pStyle w:val="NormalWeb"/>
        <w:bidi/>
        <w:spacing w:before="240" w:beforeAutospacing="0" w:after="0" w:afterAutospacing="0" w:line="360" w:lineRule="auto"/>
        <w:rPr>
          <w:b/>
          <w:bCs/>
          <w:rtl/>
        </w:rPr>
      </w:pPr>
      <w:r w:rsidRPr="00C53350">
        <w:rPr>
          <w:rFonts w:ascii="David" w:hAnsi="David" w:cs="David"/>
          <w:b/>
          <w:bCs/>
          <w:color w:val="000000"/>
          <w:rtl/>
        </w:rPr>
        <w:t>קדושת החתימה</w:t>
      </w:r>
    </w:p>
    <w:p w:rsidR="00824402" w:rsidRPr="00DB7611" w:rsidRDefault="00824402" w:rsidP="001D77DE">
      <w:pPr>
        <w:pStyle w:val="NormalWeb"/>
        <w:bidi/>
        <w:spacing w:before="240" w:beforeAutospacing="0" w:after="240" w:afterAutospacing="0" w:line="360" w:lineRule="auto"/>
        <w:jc w:val="both"/>
        <w:rPr>
          <w:rFonts w:ascii="David" w:hAnsi="David" w:cs="David"/>
          <w:rtl/>
        </w:rPr>
      </w:pPr>
      <w:r>
        <w:rPr>
          <w:rFonts w:ascii="David" w:hAnsi="David" w:cs="David"/>
          <w:color w:val="000000"/>
          <w:rtl/>
        </w:rPr>
        <w:t xml:space="preserve">מי שחותם על חוזה חזקה עליו כי הסכים לו. </w:t>
      </w:r>
      <w:r w:rsidR="00DB7611">
        <w:rPr>
          <w:rFonts w:ascii="David" w:hAnsi="David" w:cs="David" w:hint="cs"/>
          <w:color w:val="000000"/>
          <w:rtl/>
        </w:rPr>
        <w:t>כמו כן,</w:t>
      </w:r>
      <w:r>
        <w:rPr>
          <w:rFonts w:ascii="David" w:hAnsi="David" w:cs="David"/>
          <w:color w:val="000000"/>
          <w:rtl/>
        </w:rPr>
        <w:t xml:space="preserve"> חזקת ההסכמה טומנת בחובה את חזקת הידיע</w:t>
      </w:r>
      <w:r w:rsidR="00213856">
        <w:rPr>
          <w:rFonts w:ascii="David" w:hAnsi="David" w:cs="David"/>
          <w:color w:val="000000"/>
          <w:rtl/>
        </w:rPr>
        <w:t>ה, שהרי יכול אדם להסכים רק לגבי</w:t>
      </w:r>
      <w:r>
        <w:rPr>
          <w:rFonts w:ascii="David" w:hAnsi="David" w:cs="David"/>
          <w:color w:val="000000"/>
          <w:rtl/>
        </w:rPr>
        <w:t xml:space="preserve"> מה שהיה בידיעתו</w:t>
      </w:r>
      <w:r w:rsidR="001D77DE">
        <w:rPr>
          <w:rFonts w:ascii="David" w:hAnsi="David" w:cs="David" w:hint="cs"/>
          <w:color w:val="000000"/>
          <w:rtl/>
        </w:rPr>
        <w:t>.</w:t>
      </w:r>
      <w:r w:rsidR="00164180">
        <w:rPr>
          <w:rStyle w:val="a6"/>
          <w:rFonts w:ascii="David" w:hAnsi="David" w:cs="David"/>
          <w:color w:val="000000"/>
          <w:rtl/>
        </w:rPr>
        <w:footnoteReference w:id="33"/>
      </w:r>
      <w:r>
        <w:rPr>
          <w:rFonts w:ascii="David" w:hAnsi="David" w:cs="David"/>
          <w:color w:val="000000"/>
          <w:rtl/>
        </w:rPr>
        <w:t xml:space="preserve"> העדר חתימה על טיוטה מהווה ראיה חזקה להע</w:t>
      </w:r>
      <w:r w:rsidR="00213856">
        <w:rPr>
          <w:rFonts w:ascii="David" w:hAnsi="David" w:cs="David"/>
          <w:color w:val="000000"/>
          <w:rtl/>
        </w:rPr>
        <w:t>דר גמ</w:t>
      </w:r>
      <w:r w:rsidR="00213856">
        <w:rPr>
          <w:rFonts w:ascii="David" w:hAnsi="David" w:cs="David" w:hint="cs"/>
          <w:color w:val="000000"/>
          <w:rtl/>
        </w:rPr>
        <w:t>י</w:t>
      </w:r>
      <w:r>
        <w:rPr>
          <w:rFonts w:ascii="David" w:hAnsi="David" w:cs="David"/>
          <w:color w:val="000000"/>
          <w:rtl/>
        </w:rPr>
        <w:t>ר</w:t>
      </w:r>
      <w:r w:rsidR="00213856">
        <w:rPr>
          <w:rFonts w:ascii="David" w:hAnsi="David" w:cs="David" w:hint="cs"/>
          <w:color w:val="000000"/>
          <w:rtl/>
        </w:rPr>
        <w:t>ו</w:t>
      </w:r>
      <w:r>
        <w:rPr>
          <w:rFonts w:ascii="David" w:hAnsi="David" w:cs="David"/>
          <w:color w:val="000000"/>
          <w:rtl/>
        </w:rPr>
        <w:t>ת דעת ולכך שהצד</w:t>
      </w:r>
      <w:r w:rsidR="00164180">
        <w:rPr>
          <w:rFonts w:ascii="David" w:hAnsi="David" w:cs="David"/>
          <w:color w:val="000000"/>
          <w:rtl/>
        </w:rPr>
        <w:t>דים טרם הסכימו על כל תנאי החוזה</w:t>
      </w:r>
      <w:r w:rsidR="00DB7611">
        <w:rPr>
          <w:rFonts w:ascii="David" w:hAnsi="David" w:cs="David" w:hint="cs"/>
          <w:rtl/>
        </w:rPr>
        <w:t xml:space="preserve">. </w:t>
      </w:r>
      <w:r w:rsidR="00DB7611" w:rsidRPr="00DB7611">
        <w:rPr>
          <w:rFonts w:ascii="David" w:hAnsi="David" w:cs="David" w:hint="cs"/>
          <w:rtl/>
        </w:rPr>
        <w:t>בפסיקה</w:t>
      </w:r>
      <w:r w:rsidR="00DB7611">
        <w:rPr>
          <w:rStyle w:val="a6"/>
          <w:rFonts w:ascii="David" w:hAnsi="David" w:cs="David"/>
          <w:rtl/>
        </w:rPr>
        <w:footnoteReference w:id="34"/>
      </w:r>
      <w:r w:rsidRPr="00DB7611">
        <w:rPr>
          <w:rFonts w:ascii="David" w:hAnsi="David" w:cs="David"/>
          <w:rtl/>
        </w:rPr>
        <w:t xml:space="preserve"> רוככה דרישת החתימה בקביעותיו של ביהמ"ש כי אין כל קדושה בחתימה </w:t>
      </w:r>
      <w:r w:rsidR="00DB7611" w:rsidRPr="00DB7611">
        <w:rPr>
          <w:rFonts w:ascii="David" w:hAnsi="David" w:cs="David"/>
          <w:rtl/>
        </w:rPr>
        <w:t>וניתן להחליפה בדרכי הוכחה אחרות</w:t>
      </w:r>
      <w:r w:rsidR="00DB7611" w:rsidRPr="00DB7611">
        <w:rPr>
          <w:rFonts w:ascii="David" w:hAnsi="David" w:cs="David" w:hint="cs"/>
          <w:rtl/>
        </w:rPr>
        <w:t>.</w:t>
      </w:r>
      <w:r w:rsidRPr="00DB7611">
        <w:rPr>
          <w:rFonts w:ascii="David" w:hAnsi="David" w:cs="David"/>
          <w:rtl/>
        </w:rPr>
        <w:t xml:space="preserve"> </w:t>
      </w:r>
    </w:p>
    <w:p w:rsidR="00C53350" w:rsidRPr="00C53350" w:rsidRDefault="00C53350" w:rsidP="00824402">
      <w:pPr>
        <w:pStyle w:val="NormalWeb"/>
        <w:bidi/>
        <w:spacing w:before="240" w:beforeAutospacing="0" w:after="240" w:afterAutospacing="0" w:line="360" w:lineRule="auto"/>
        <w:jc w:val="both"/>
        <w:rPr>
          <w:rFonts w:ascii="David" w:hAnsi="David" w:cs="David"/>
          <w:color w:val="000000"/>
          <w:rtl/>
        </w:rPr>
      </w:pPr>
      <w:r w:rsidRPr="00C53350">
        <w:rPr>
          <w:rFonts w:ascii="David" w:hAnsi="David" w:cs="David" w:hint="cs"/>
          <w:color w:val="000000"/>
          <w:rtl/>
        </w:rPr>
        <w:t>נראה כי במקרה דנן זיכרון הדברים בין הצדדים לא נחתם</w:t>
      </w:r>
      <w:r w:rsidR="00A12085">
        <w:rPr>
          <w:rFonts w:ascii="David" w:hAnsi="David" w:cs="David" w:hint="cs"/>
          <w:color w:val="000000"/>
          <w:rtl/>
        </w:rPr>
        <w:t>,</w:t>
      </w:r>
      <w:r w:rsidRPr="00C53350">
        <w:rPr>
          <w:rFonts w:ascii="David" w:hAnsi="David" w:cs="David" w:hint="cs"/>
          <w:color w:val="000000"/>
          <w:rtl/>
        </w:rPr>
        <w:t xml:space="preserve"> דבר שיכול להוות אינדיקציה להיותו אבן דרך במשא ומתן ולא ח</w:t>
      </w:r>
      <w:r w:rsidR="008C1810">
        <w:rPr>
          <w:rFonts w:ascii="David" w:hAnsi="David" w:cs="David" w:hint="cs"/>
          <w:color w:val="000000"/>
          <w:rtl/>
        </w:rPr>
        <w:t>וזה מחייב. אך כפי שעולה מהפסיקה</w:t>
      </w:r>
      <w:r w:rsidR="008C1810">
        <w:rPr>
          <w:rStyle w:val="a6"/>
          <w:rFonts w:ascii="David" w:hAnsi="David" w:cs="David"/>
          <w:color w:val="000000"/>
          <w:rtl/>
        </w:rPr>
        <w:footnoteReference w:id="35"/>
      </w:r>
      <w:r w:rsidR="00A12085">
        <w:rPr>
          <w:rFonts w:ascii="David" w:hAnsi="David" w:cs="David" w:hint="cs"/>
          <w:color w:val="000000"/>
          <w:rtl/>
        </w:rPr>
        <w:t xml:space="preserve"> </w:t>
      </w:r>
      <w:r w:rsidR="00A12085" w:rsidRPr="00B008A2">
        <w:rPr>
          <w:rFonts w:ascii="David" w:hAnsi="David" w:cs="David" w:hint="cs"/>
          <w:b/>
          <w:bCs/>
          <w:color w:val="000000"/>
          <w:rtl/>
        </w:rPr>
        <w:t>חתימה אינה</w:t>
      </w:r>
      <w:r w:rsidRPr="00B008A2">
        <w:rPr>
          <w:rFonts w:ascii="David" w:hAnsi="David" w:cs="David" w:hint="cs"/>
          <w:b/>
          <w:bCs/>
          <w:color w:val="000000"/>
          <w:rtl/>
        </w:rPr>
        <w:t xml:space="preserve"> תנאי הכרחי להוכחת רצון הצדדים להיקשר בחוזה</w:t>
      </w:r>
      <w:r w:rsidR="00316CA4" w:rsidRPr="00B008A2">
        <w:rPr>
          <w:rFonts w:ascii="David" w:hAnsi="David" w:cs="David" w:hint="cs"/>
          <w:b/>
          <w:bCs/>
          <w:color w:val="000000"/>
          <w:rtl/>
        </w:rPr>
        <w:t>.</w:t>
      </w:r>
      <w:r w:rsidR="00316CA4">
        <w:rPr>
          <w:rFonts w:ascii="David" w:hAnsi="David" w:cs="David" w:hint="cs"/>
          <w:color w:val="000000"/>
          <w:rtl/>
        </w:rPr>
        <w:t xml:space="preserve"> </w:t>
      </w:r>
      <w:r w:rsidRPr="00C53350">
        <w:rPr>
          <w:rFonts w:ascii="David" w:hAnsi="David" w:cs="David" w:hint="cs"/>
          <w:color w:val="000000"/>
          <w:rtl/>
        </w:rPr>
        <w:t>על כן</w:t>
      </w:r>
      <w:r w:rsidR="00316CA4">
        <w:rPr>
          <w:rFonts w:ascii="David" w:hAnsi="David" w:cs="David" w:hint="cs"/>
          <w:color w:val="000000"/>
          <w:rtl/>
        </w:rPr>
        <w:t>,</w:t>
      </w:r>
      <w:r w:rsidRPr="00C53350">
        <w:rPr>
          <w:rFonts w:ascii="David" w:hAnsi="David" w:cs="David" w:hint="cs"/>
          <w:color w:val="000000"/>
          <w:rtl/>
        </w:rPr>
        <w:t xml:space="preserve"> למרות העדר החתימה</w:t>
      </w:r>
      <w:r w:rsidR="00316CA4">
        <w:rPr>
          <w:rFonts w:ascii="David" w:hAnsi="David" w:cs="David" w:hint="cs"/>
          <w:color w:val="000000"/>
          <w:rtl/>
        </w:rPr>
        <w:t>,</w:t>
      </w:r>
      <w:r w:rsidRPr="00C53350">
        <w:rPr>
          <w:rFonts w:ascii="David" w:hAnsi="David" w:cs="David" w:hint="cs"/>
          <w:color w:val="000000"/>
          <w:rtl/>
        </w:rPr>
        <w:t xml:space="preserve"> ובהתבסס על התנאים האחרים אשר בהם עסקנו</w:t>
      </w:r>
      <w:r w:rsidR="00316CA4">
        <w:rPr>
          <w:rFonts w:ascii="David" w:hAnsi="David" w:cs="David" w:hint="cs"/>
          <w:color w:val="000000"/>
          <w:rtl/>
        </w:rPr>
        <w:t>,</w:t>
      </w:r>
      <w:r w:rsidRPr="00C53350">
        <w:rPr>
          <w:rFonts w:ascii="David" w:hAnsi="David" w:cs="David" w:hint="cs"/>
          <w:color w:val="000000"/>
          <w:rtl/>
        </w:rPr>
        <w:t xml:space="preserve"> ניתן להגיד כי זיכרון הדברים הוא בעל תוקף מחייב מבחינה משפטית. </w:t>
      </w:r>
    </w:p>
    <w:p w:rsidR="00824402" w:rsidRPr="009D1499" w:rsidRDefault="009D1499" w:rsidP="009D1499">
      <w:pPr>
        <w:pStyle w:val="NormalWeb"/>
        <w:numPr>
          <w:ilvl w:val="0"/>
          <w:numId w:val="1"/>
        </w:numPr>
        <w:bidi/>
        <w:spacing w:before="240" w:beforeAutospacing="0" w:after="240" w:afterAutospacing="0" w:line="360" w:lineRule="auto"/>
        <w:jc w:val="center"/>
        <w:rPr>
          <w:rFonts w:ascii="David" w:hAnsi="David" w:cs="David"/>
          <w:b/>
          <w:bCs/>
          <w:color w:val="000000"/>
          <w:rtl/>
        </w:rPr>
      </w:pPr>
      <w:r>
        <w:rPr>
          <w:rFonts w:ascii="David" w:hAnsi="David" w:cs="David" w:hint="cs"/>
          <w:b/>
          <w:bCs/>
          <w:color w:val="000000"/>
          <w:rtl/>
        </w:rPr>
        <w:t>תוקפו של</w:t>
      </w:r>
      <w:r w:rsidR="00141F7E" w:rsidRPr="009D1499">
        <w:rPr>
          <w:rFonts w:ascii="David" w:hAnsi="David" w:cs="David" w:hint="cs"/>
          <w:b/>
          <w:bCs/>
          <w:color w:val="000000"/>
          <w:rtl/>
        </w:rPr>
        <w:t xml:space="preserve"> החוזה השני </w:t>
      </w:r>
    </w:p>
    <w:p w:rsidR="00141F7E" w:rsidRPr="00141F7E" w:rsidRDefault="00141F7E" w:rsidP="00141F7E">
      <w:pPr>
        <w:pStyle w:val="NormalWeb"/>
        <w:bidi/>
        <w:spacing w:before="240" w:beforeAutospacing="0" w:after="240" w:afterAutospacing="0" w:line="360" w:lineRule="auto"/>
        <w:jc w:val="both"/>
        <w:rPr>
          <w:rtl/>
        </w:rPr>
      </w:pPr>
      <w:r w:rsidRPr="00141F7E">
        <w:rPr>
          <w:rFonts w:ascii="David" w:hAnsi="David" w:cs="David"/>
          <w:color w:val="000000"/>
          <w:rtl/>
        </w:rPr>
        <w:lastRenderedPageBreak/>
        <w:t xml:space="preserve">מעת שהוכח כי </w:t>
      </w:r>
      <w:r w:rsidRPr="00141F7E">
        <w:rPr>
          <w:rFonts w:ascii="David" w:hAnsi="David" w:cs="David" w:hint="cs"/>
          <w:color w:val="000000"/>
          <w:rtl/>
        </w:rPr>
        <w:t>זיכרו</w:t>
      </w:r>
      <w:r w:rsidRPr="00141F7E">
        <w:rPr>
          <w:rFonts w:ascii="David" w:hAnsi="David" w:cs="David" w:hint="eastAsia"/>
          <w:color w:val="000000"/>
          <w:rtl/>
        </w:rPr>
        <w:t>ן</w:t>
      </w:r>
      <w:r w:rsidRPr="00141F7E">
        <w:rPr>
          <w:rFonts w:ascii="David" w:hAnsi="David" w:cs="David"/>
          <w:color w:val="000000"/>
          <w:rtl/>
        </w:rPr>
        <w:t xml:space="preserve"> הדברים בין הצדדים הינו מחייב, עולה השאלה מה דינו של החוזה השני עליו חתמו הצדדים?</w:t>
      </w:r>
    </w:p>
    <w:p w:rsidR="00824402" w:rsidRDefault="00824402" w:rsidP="00824402">
      <w:pPr>
        <w:pStyle w:val="NormalWeb"/>
        <w:bidi/>
        <w:spacing w:before="240" w:beforeAutospacing="0" w:after="240" w:afterAutospacing="0" w:line="360" w:lineRule="auto"/>
        <w:jc w:val="both"/>
        <w:rPr>
          <w:rtl/>
        </w:rPr>
      </w:pPr>
      <w:r>
        <w:rPr>
          <w:rFonts w:ascii="David" w:hAnsi="David" w:cs="David"/>
          <w:b/>
          <w:bCs/>
          <w:color w:val="000000"/>
          <w:rtl/>
        </w:rPr>
        <w:t>חוזה על תנאי</w:t>
      </w:r>
    </w:p>
    <w:p w:rsidR="00824402" w:rsidRDefault="00824402" w:rsidP="00316CA4">
      <w:pPr>
        <w:pStyle w:val="NormalWeb"/>
        <w:bidi/>
        <w:spacing w:before="240" w:beforeAutospacing="0" w:after="0" w:afterAutospacing="0" w:line="360" w:lineRule="auto"/>
        <w:jc w:val="both"/>
        <w:rPr>
          <w:rtl/>
        </w:rPr>
      </w:pPr>
      <w:r>
        <w:rPr>
          <w:rFonts w:ascii="David" w:hAnsi="David" w:cs="David"/>
          <w:color w:val="000000"/>
          <w:rtl/>
        </w:rPr>
        <w:t xml:space="preserve">חוזה על תנאי הינו </w:t>
      </w:r>
      <w:r w:rsidRPr="00B008A2">
        <w:rPr>
          <w:rFonts w:ascii="David" w:hAnsi="David" w:cs="David"/>
          <w:b/>
          <w:bCs/>
          <w:color w:val="000000"/>
          <w:rtl/>
        </w:rPr>
        <w:t>כלי שמאפשר לצדדים לחוזה להתאים את היחס החוזי ביניהם למאורעות עתידיים בלתי ודאיים</w:t>
      </w:r>
      <w:r w:rsidR="0081495E">
        <w:rPr>
          <w:rFonts w:ascii="David" w:hAnsi="David" w:cs="David" w:hint="cs"/>
          <w:color w:val="000000"/>
          <w:rtl/>
        </w:rPr>
        <w:t>.</w:t>
      </w:r>
      <w:r w:rsidR="008C1810">
        <w:rPr>
          <w:rStyle w:val="a6"/>
          <w:rFonts w:ascii="David" w:hAnsi="David" w:cs="David"/>
          <w:color w:val="000000"/>
          <w:rtl/>
        </w:rPr>
        <w:footnoteReference w:id="36"/>
      </w:r>
      <w:r w:rsidR="0081495E">
        <w:rPr>
          <w:rFonts w:ascii="David" w:hAnsi="David" w:cs="David"/>
          <w:color w:val="000000"/>
          <w:rtl/>
        </w:rPr>
        <w:t xml:space="preserve"> </w:t>
      </w:r>
      <w:r>
        <w:rPr>
          <w:rFonts w:ascii="David" w:hAnsi="David" w:cs="David"/>
          <w:color w:val="000000"/>
          <w:rtl/>
        </w:rPr>
        <w:t>בחוזה על תנאי ביצועו של החוזה או המשכו תלוי בתנאי. ח</w:t>
      </w:r>
      <w:r w:rsidR="00316CA4">
        <w:rPr>
          <w:rFonts w:ascii="David" w:hAnsi="David" w:cs="David"/>
          <w:color w:val="000000"/>
          <w:rtl/>
        </w:rPr>
        <w:t>וזה על תנאי הינו חוזה תקף ומחייב את הצדדים מרגע</w:t>
      </w:r>
      <w:r w:rsidR="00316CA4">
        <w:rPr>
          <w:rFonts w:ascii="David" w:hAnsi="David" w:cs="David" w:hint="cs"/>
          <w:color w:val="000000"/>
          <w:rtl/>
        </w:rPr>
        <w:t xml:space="preserve"> כריתתו</w:t>
      </w:r>
      <w:r w:rsidR="0081495E">
        <w:rPr>
          <w:rFonts w:ascii="David" w:hAnsi="David" w:cs="David" w:hint="cs"/>
          <w:color w:val="000000"/>
          <w:rtl/>
        </w:rPr>
        <w:t>.</w:t>
      </w:r>
      <w:r w:rsidR="008C1810">
        <w:rPr>
          <w:rStyle w:val="a6"/>
          <w:rFonts w:ascii="David" w:hAnsi="David" w:cs="David"/>
          <w:color w:val="000000"/>
          <w:rtl/>
        </w:rPr>
        <w:footnoteReference w:id="37"/>
      </w:r>
      <w:r w:rsidR="0081495E">
        <w:rPr>
          <w:rFonts w:ascii="David" w:hAnsi="David" w:cs="David"/>
          <w:color w:val="000000"/>
          <w:rtl/>
        </w:rPr>
        <w:t xml:space="preserve"> </w:t>
      </w:r>
      <w:r>
        <w:rPr>
          <w:rFonts w:ascii="David" w:hAnsi="David" w:cs="David"/>
          <w:color w:val="000000"/>
          <w:rtl/>
        </w:rPr>
        <w:t>ישנם 2 סוגי תנאים: מתלה ומפסיק</w:t>
      </w:r>
      <w:r w:rsidR="0081495E">
        <w:rPr>
          <w:rFonts w:ascii="David" w:hAnsi="David" w:cs="David" w:hint="cs"/>
          <w:color w:val="000000"/>
          <w:rtl/>
        </w:rPr>
        <w:t>.</w:t>
      </w:r>
      <w:r w:rsidR="008C1810">
        <w:rPr>
          <w:rStyle w:val="a6"/>
          <w:rFonts w:ascii="David" w:hAnsi="David" w:cs="David"/>
          <w:color w:val="000000"/>
          <w:rtl/>
        </w:rPr>
        <w:footnoteReference w:id="38"/>
      </w:r>
      <w:r w:rsidR="0081495E">
        <w:rPr>
          <w:rFonts w:ascii="David" w:hAnsi="David" w:cs="David" w:hint="cs"/>
          <w:color w:val="000000"/>
          <w:rtl/>
        </w:rPr>
        <w:t xml:space="preserve"> </w:t>
      </w:r>
      <w:r w:rsidR="00316CA4">
        <w:rPr>
          <w:rFonts w:ascii="David" w:hAnsi="David" w:cs="David"/>
          <w:color w:val="000000"/>
          <w:rtl/>
        </w:rPr>
        <w:t>תנאי מתלה</w:t>
      </w:r>
      <w:r>
        <w:rPr>
          <w:rFonts w:ascii="David" w:hAnsi="David" w:cs="David"/>
          <w:color w:val="000000"/>
          <w:rtl/>
        </w:rPr>
        <w:t xml:space="preserve"> הוא אירוע בלתי ודאי המוסכם ע"י הצדדים, </w:t>
      </w:r>
      <w:r w:rsidR="002A734B">
        <w:rPr>
          <w:rFonts w:ascii="David" w:hAnsi="David" w:cs="David" w:hint="cs"/>
          <w:color w:val="000000"/>
          <w:rtl/>
        </w:rPr>
        <w:t>שבהתקיימו</w:t>
      </w:r>
      <w:r w:rsidR="002A734B">
        <w:rPr>
          <w:rFonts w:ascii="David" w:hAnsi="David" w:cs="David" w:hint="eastAsia"/>
          <w:color w:val="000000"/>
          <w:rtl/>
        </w:rPr>
        <w:t>תו</w:t>
      </w:r>
      <w:r>
        <w:rPr>
          <w:rFonts w:ascii="David" w:hAnsi="David" w:cs="David"/>
          <w:color w:val="000000"/>
          <w:rtl/>
        </w:rPr>
        <w:t xml:space="preserve"> תקום חובת ביצוע או יינתן תוקף לחוזה. תנאי מפסיק הוא אירוע המוסכם על הצדדים </w:t>
      </w:r>
      <w:r w:rsidR="002A734B">
        <w:rPr>
          <w:rFonts w:ascii="David" w:hAnsi="David" w:cs="David" w:hint="cs"/>
          <w:color w:val="000000"/>
          <w:rtl/>
        </w:rPr>
        <w:t>שבהתקיימו</w:t>
      </w:r>
      <w:r w:rsidR="002A734B">
        <w:rPr>
          <w:rFonts w:ascii="David" w:hAnsi="David" w:cs="David" w:hint="eastAsia"/>
          <w:color w:val="000000"/>
          <w:rtl/>
        </w:rPr>
        <w:t>תו</w:t>
      </w:r>
      <w:r>
        <w:rPr>
          <w:rFonts w:ascii="David" w:hAnsi="David" w:cs="David"/>
          <w:color w:val="000000"/>
          <w:rtl/>
        </w:rPr>
        <w:t xml:space="preserve"> מפסיקים החיובים </w:t>
      </w:r>
      <w:r w:rsidR="002A734B">
        <w:rPr>
          <w:rFonts w:ascii="David" w:hAnsi="David" w:cs="David" w:hint="cs"/>
          <w:color w:val="000000"/>
          <w:rtl/>
        </w:rPr>
        <w:t>ההדדיי</w:t>
      </w:r>
      <w:r w:rsidR="002A734B">
        <w:rPr>
          <w:rFonts w:ascii="David" w:hAnsi="David" w:cs="David" w:hint="eastAsia"/>
          <w:color w:val="000000"/>
          <w:rtl/>
        </w:rPr>
        <w:t>ם</w:t>
      </w:r>
      <w:r>
        <w:rPr>
          <w:rFonts w:ascii="David" w:hAnsi="David" w:cs="David"/>
          <w:color w:val="000000"/>
          <w:rtl/>
        </w:rPr>
        <w:t xml:space="preserve"> של החוזה. </w:t>
      </w:r>
    </w:p>
    <w:p w:rsidR="00824402" w:rsidRPr="002A734B" w:rsidRDefault="00824402" w:rsidP="002A734B">
      <w:pPr>
        <w:pStyle w:val="NormalWeb"/>
        <w:bidi/>
        <w:spacing w:before="240" w:beforeAutospacing="0" w:after="240" w:afterAutospacing="0" w:line="360" w:lineRule="auto"/>
        <w:jc w:val="both"/>
        <w:rPr>
          <w:rFonts w:ascii="David" w:hAnsi="David" w:cs="David"/>
          <w:color w:val="000000"/>
          <w:rtl/>
        </w:rPr>
      </w:pPr>
      <w:r>
        <w:rPr>
          <w:rFonts w:ascii="David" w:hAnsi="David" w:cs="David"/>
          <w:color w:val="000000"/>
          <w:rtl/>
        </w:rPr>
        <w:t xml:space="preserve">כאמור, במקרה זה ניתן לראות </w:t>
      </w:r>
      <w:r w:rsidR="00BA0527">
        <w:rPr>
          <w:rFonts w:ascii="David" w:hAnsi="David" w:cs="David"/>
          <w:color w:val="000000"/>
          <w:rtl/>
        </w:rPr>
        <w:t xml:space="preserve">כי </w:t>
      </w:r>
      <w:r w:rsidR="00BA0527" w:rsidRPr="00B008A2">
        <w:rPr>
          <w:rFonts w:ascii="David" w:hAnsi="David" w:cs="David"/>
          <w:b/>
          <w:bCs/>
          <w:color w:val="000000"/>
          <w:rtl/>
        </w:rPr>
        <w:t>החוזה הינו חוזה על תנאי מתלה</w:t>
      </w:r>
      <w:r w:rsidR="00BA0527">
        <w:rPr>
          <w:rFonts w:ascii="David" w:hAnsi="David" w:cs="David" w:hint="cs"/>
          <w:color w:val="000000"/>
          <w:rtl/>
        </w:rPr>
        <w:t>,</w:t>
      </w:r>
      <w:r>
        <w:rPr>
          <w:rFonts w:ascii="David" w:hAnsi="David" w:cs="David"/>
          <w:color w:val="000000"/>
          <w:rtl/>
        </w:rPr>
        <w:t xml:space="preserve"> שכן ללא עמידה בתנאי ועדת הקבלה ואישורה לא תוכל הנתבעת למ</w:t>
      </w:r>
      <w:r w:rsidR="002A734B">
        <w:rPr>
          <w:rFonts w:ascii="David" w:hAnsi="David" w:cs="David"/>
          <w:color w:val="000000"/>
          <w:rtl/>
        </w:rPr>
        <w:t xml:space="preserve">כור את דירתה לתובעים. </w:t>
      </w:r>
      <w:r w:rsidR="002A734B">
        <w:rPr>
          <w:rFonts w:ascii="David" w:hAnsi="David" w:cs="David" w:hint="cs"/>
          <w:color w:val="000000"/>
          <w:rtl/>
        </w:rPr>
        <w:t xml:space="preserve">נראה כי </w:t>
      </w:r>
      <w:r w:rsidR="002A734B">
        <w:rPr>
          <w:rFonts w:ascii="David" w:hAnsi="David" w:cs="David"/>
          <w:color w:val="000000"/>
          <w:rtl/>
        </w:rPr>
        <w:t xml:space="preserve">במקרה </w:t>
      </w:r>
      <w:r w:rsidR="002A734B">
        <w:rPr>
          <w:rFonts w:ascii="David" w:hAnsi="David" w:cs="David" w:hint="cs"/>
          <w:color w:val="000000"/>
          <w:rtl/>
        </w:rPr>
        <w:t>דנן</w:t>
      </w:r>
      <w:r>
        <w:rPr>
          <w:rFonts w:ascii="David" w:hAnsi="David" w:cs="David"/>
          <w:color w:val="000000"/>
          <w:rtl/>
        </w:rPr>
        <w:t xml:space="preserve"> ועדת הקבלה דחתה</w:t>
      </w:r>
      <w:r w:rsidR="002A734B">
        <w:rPr>
          <w:rFonts w:ascii="David" w:hAnsi="David" w:cs="David" w:hint="cs"/>
          <w:color w:val="000000"/>
          <w:rtl/>
        </w:rPr>
        <w:t xml:space="preserve"> על הסף</w:t>
      </w:r>
      <w:r>
        <w:rPr>
          <w:rFonts w:ascii="David" w:hAnsi="David" w:cs="David"/>
          <w:color w:val="000000"/>
          <w:rtl/>
        </w:rPr>
        <w:t xml:space="preserve"> את בקשת התובעים להתגורר ביישוב על רקע העובדה כי אינם נשואים ואינם טבעוניים</w:t>
      </w:r>
      <w:r w:rsidR="002A734B">
        <w:rPr>
          <w:rFonts w:ascii="David" w:hAnsi="David" w:cs="David" w:hint="cs"/>
          <w:color w:val="000000"/>
          <w:rtl/>
        </w:rPr>
        <w:t>. על מנת שתקום חובת הביצוע ויינת</w:t>
      </w:r>
      <w:r w:rsidR="002A734B">
        <w:rPr>
          <w:rFonts w:ascii="David" w:hAnsi="David" w:cs="David" w:hint="eastAsia"/>
          <w:color w:val="000000"/>
          <w:rtl/>
        </w:rPr>
        <w:t>ן</w:t>
      </w:r>
      <w:r w:rsidR="002A734B">
        <w:rPr>
          <w:rFonts w:ascii="David" w:hAnsi="David" w:cs="David" w:hint="cs"/>
          <w:color w:val="000000"/>
          <w:rtl/>
        </w:rPr>
        <w:t xml:space="preserve"> תוקף לחוזה על התנאי להתקיים</w:t>
      </w:r>
      <w:r w:rsidR="00BA0527">
        <w:rPr>
          <w:rFonts w:ascii="David" w:hAnsi="David" w:cs="David" w:hint="cs"/>
          <w:color w:val="000000"/>
          <w:rtl/>
        </w:rPr>
        <w:t>.</w:t>
      </w:r>
      <w:r w:rsidR="002A734B" w:rsidRPr="002A734B">
        <w:rPr>
          <w:rFonts w:ascii="David" w:hAnsi="David" w:cs="David" w:hint="cs"/>
          <w:color w:val="000000"/>
          <w:rtl/>
        </w:rPr>
        <w:t xml:space="preserve"> במקרה זה התנאי לא מתקיים שכן לא הושג אישור ועדת הקבלה ולכן אין תוקף לחוזה. </w:t>
      </w:r>
    </w:p>
    <w:p w:rsidR="00824402" w:rsidRPr="002A734B" w:rsidRDefault="002A734B" w:rsidP="00824402">
      <w:pPr>
        <w:pStyle w:val="NormalWeb"/>
        <w:bidi/>
        <w:spacing w:before="240" w:beforeAutospacing="0" w:after="240" w:afterAutospacing="0" w:line="360" w:lineRule="auto"/>
        <w:jc w:val="both"/>
        <w:rPr>
          <w:rtl/>
        </w:rPr>
      </w:pPr>
      <w:r w:rsidRPr="002A734B">
        <w:rPr>
          <w:rFonts w:ascii="David" w:hAnsi="David" w:cs="David"/>
          <w:b/>
          <w:bCs/>
          <w:color w:val="000000"/>
          <w:rtl/>
        </w:rPr>
        <w:t xml:space="preserve">הטעיה </w:t>
      </w:r>
    </w:p>
    <w:p w:rsidR="00824402" w:rsidRPr="00B423AD" w:rsidRDefault="00824402" w:rsidP="00B423AD">
      <w:pPr>
        <w:pStyle w:val="NormalWeb"/>
        <w:bidi/>
        <w:spacing w:before="240" w:beforeAutospacing="0" w:after="240" w:afterAutospacing="0" w:line="360" w:lineRule="auto"/>
        <w:jc w:val="both"/>
        <w:rPr>
          <w:rFonts w:ascii="David" w:hAnsi="David" w:cs="David"/>
          <w:color w:val="000000"/>
          <w:rtl/>
        </w:rPr>
      </w:pPr>
      <w:r>
        <w:rPr>
          <w:rFonts w:ascii="David" w:hAnsi="David" w:cs="David"/>
          <w:color w:val="000000"/>
          <w:rtl/>
        </w:rPr>
        <w:t>הטעיה</w:t>
      </w:r>
      <w:r w:rsidR="008C1810">
        <w:rPr>
          <w:rStyle w:val="a6"/>
          <w:rFonts w:ascii="David" w:hAnsi="David" w:cs="David"/>
          <w:color w:val="000000"/>
          <w:rtl/>
        </w:rPr>
        <w:footnoteReference w:id="39"/>
      </w:r>
      <w:r w:rsidR="0081495E">
        <w:rPr>
          <w:rFonts w:ascii="David" w:hAnsi="David" w:cs="David" w:hint="cs"/>
          <w:color w:val="000000"/>
          <w:rtl/>
        </w:rPr>
        <w:t xml:space="preserve"> </w:t>
      </w:r>
      <w:r>
        <w:rPr>
          <w:rFonts w:ascii="David" w:hAnsi="David" w:cs="David"/>
          <w:color w:val="000000"/>
          <w:rtl/>
        </w:rPr>
        <w:t xml:space="preserve">היא </w:t>
      </w:r>
      <w:r w:rsidRPr="00B008A2">
        <w:rPr>
          <w:rFonts w:ascii="David" w:hAnsi="David" w:cs="David"/>
          <w:b/>
          <w:bCs/>
          <w:color w:val="000000"/>
          <w:rtl/>
        </w:rPr>
        <w:t>הצהרה טרום חוזית כוזבת</w:t>
      </w:r>
      <w:r w:rsidR="00B423AD">
        <w:rPr>
          <w:rFonts w:ascii="David" w:hAnsi="David" w:cs="David" w:hint="cs"/>
          <w:color w:val="000000"/>
          <w:rtl/>
        </w:rPr>
        <w:t xml:space="preserve">, </w:t>
      </w:r>
      <w:r w:rsidR="008C1810">
        <w:rPr>
          <w:rStyle w:val="a6"/>
          <w:rFonts w:ascii="David" w:hAnsi="David" w:cs="David"/>
          <w:color w:val="000000"/>
          <w:rtl/>
        </w:rPr>
        <w:footnoteReference w:id="40"/>
      </w:r>
      <w:r>
        <w:rPr>
          <w:rFonts w:ascii="David" w:hAnsi="David" w:cs="David"/>
          <w:color w:val="000000"/>
          <w:rtl/>
        </w:rPr>
        <w:t xml:space="preserve"> </w:t>
      </w:r>
      <w:r w:rsidR="00B423AD">
        <w:rPr>
          <w:rFonts w:ascii="David" w:hAnsi="David" w:cs="David" w:hint="cs"/>
          <w:color w:val="000000"/>
          <w:rtl/>
        </w:rPr>
        <w:t>אשר ברוב המקרים</w:t>
      </w:r>
      <w:r w:rsidR="00B423AD">
        <w:rPr>
          <w:rFonts w:ascii="David" w:hAnsi="David" w:cs="David"/>
          <w:color w:val="000000"/>
          <w:rtl/>
        </w:rPr>
        <w:t xml:space="preserve"> </w:t>
      </w:r>
      <w:r w:rsidR="00B423AD">
        <w:rPr>
          <w:rFonts w:ascii="David" w:hAnsi="David" w:cs="David" w:hint="cs"/>
          <w:color w:val="000000"/>
          <w:rtl/>
        </w:rPr>
        <w:t>תהיה</w:t>
      </w:r>
      <w:r>
        <w:rPr>
          <w:rFonts w:ascii="David" w:hAnsi="David" w:cs="David"/>
          <w:color w:val="000000"/>
          <w:rtl/>
        </w:rPr>
        <w:t xml:space="preserve"> מפורשת. יסודות עילת ההטעיה הינם: קיום חוזה, טעות בעובדה או בחוק, הטעיה ע"י הצד השני או אחר מטעמו וקשר סיבתי בין ההטעיה לטעות ובין הטעות להתקשרות. </w:t>
      </w:r>
      <w:r w:rsidR="008C1810" w:rsidRPr="008C1810">
        <w:rPr>
          <w:rFonts w:ascii="David" w:hAnsi="David" w:cs="David" w:hint="cs"/>
          <w:color w:val="000000"/>
          <w:rtl/>
        </w:rPr>
        <w:t xml:space="preserve">הטעיה יכולה להתבצע בדרך של מעשה או של מחדל. </w:t>
      </w:r>
      <w:r w:rsidR="009C2DDC">
        <w:rPr>
          <w:rFonts w:ascii="David" w:hAnsi="David" w:cs="David" w:hint="cs"/>
          <w:color w:val="000000"/>
          <w:rtl/>
        </w:rPr>
        <w:t>כאשר נכרת חוזה בעקבות הטעיה</w:t>
      </w:r>
      <w:r w:rsidR="009C2DDC" w:rsidRPr="009C2DDC">
        <w:rPr>
          <w:rFonts w:ascii="David" w:hAnsi="David" w:cs="David"/>
          <w:color w:val="000000"/>
          <w:rtl/>
        </w:rPr>
        <w:t xml:space="preserve">, רשאי </w:t>
      </w:r>
      <w:r w:rsidR="009C2DDC">
        <w:rPr>
          <w:rFonts w:ascii="David" w:hAnsi="David" w:cs="David" w:hint="cs"/>
          <w:color w:val="000000"/>
          <w:rtl/>
        </w:rPr>
        <w:t xml:space="preserve">הצד </w:t>
      </w:r>
      <w:r w:rsidR="009C2DDC" w:rsidRPr="009C2DDC">
        <w:rPr>
          <w:rFonts w:ascii="David" w:hAnsi="David" w:cs="David"/>
          <w:color w:val="000000"/>
          <w:rtl/>
        </w:rPr>
        <w:t>הטועה לבטל את החוזה</w:t>
      </w:r>
      <w:r w:rsidR="009C2DDC" w:rsidRPr="009C2DDC">
        <w:rPr>
          <w:rFonts w:ascii="David" w:hAnsi="David" w:cs="David"/>
          <w:color w:val="000000"/>
        </w:rPr>
        <w:t>.</w:t>
      </w:r>
      <w:r w:rsidR="00B423AD">
        <w:rPr>
          <w:rStyle w:val="a6"/>
          <w:rFonts w:ascii="David" w:hAnsi="David" w:cs="David"/>
          <w:color w:val="000000"/>
          <w:rtl/>
        </w:rPr>
        <w:footnoteReference w:id="41"/>
      </w:r>
    </w:p>
    <w:p w:rsidR="00824402" w:rsidRDefault="00824402" w:rsidP="0081495E">
      <w:pPr>
        <w:pStyle w:val="NormalWeb"/>
        <w:bidi/>
        <w:spacing w:before="240" w:beforeAutospacing="0" w:after="240" w:afterAutospacing="0" w:line="360" w:lineRule="auto"/>
        <w:jc w:val="both"/>
        <w:rPr>
          <w:rtl/>
        </w:rPr>
      </w:pPr>
      <w:r>
        <w:rPr>
          <w:rFonts w:ascii="David" w:hAnsi="David" w:cs="David"/>
          <w:color w:val="000000"/>
          <w:rtl/>
        </w:rPr>
        <w:t>על פי ס'15 לחוק החוזים</w:t>
      </w:r>
      <w:r w:rsidR="00CB3A2A">
        <w:rPr>
          <w:rFonts w:ascii="David" w:hAnsi="David" w:cs="David" w:hint="cs"/>
          <w:color w:val="000000"/>
          <w:rtl/>
        </w:rPr>
        <w:t>,</w:t>
      </w:r>
      <w:r w:rsidR="008C1810">
        <w:rPr>
          <w:rStyle w:val="a6"/>
          <w:rFonts w:ascii="David" w:hAnsi="David" w:cs="David"/>
          <w:color w:val="000000"/>
          <w:rtl/>
        </w:rPr>
        <w:footnoteReference w:id="42"/>
      </w:r>
      <w:r w:rsidR="00CB3A2A">
        <w:rPr>
          <w:rFonts w:ascii="David" w:hAnsi="David" w:cs="David" w:hint="cs"/>
          <w:color w:val="000000"/>
          <w:rtl/>
        </w:rPr>
        <w:t xml:space="preserve"> </w:t>
      </w:r>
      <w:r>
        <w:rPr>
          <w:rFonts w:ascii="David" w:hAnsi="David" w:cs="David"/>
          <w:color w:val="000000"/>
          <w:rtl/>
        </w:rPr>
        <w:t>אדם שהתקשר בחוזה עקב הטעיה שנגרמה ע"י הצד השני או אחר מטעמו רשאי לבטל את החוזה. נראה כי הטעיה כוללת בתוכה אי גילוי</w:t>
      </w:r>
      <w:r w:rsidR="00091B66">
        <w:rPr>
          <w:rStyle w:val="a6"/>
          <w:rFonts w:ascii="David" w:hAnsi="David" w:cs="David"/>
          <w:color w:val="000000"/>
          <w:rtl/>
        </w:rPr>
        <w:footnoteReference w:id="43"/>
      </w:r>
      <w:r>
        <w:rPr>
          <w:rFonts w:ascii="David" w:hAnsi="David" w:cs="David"/>
          <w:color w:val="000000"/>
          <w:rtl/>
        </w:rPr>
        <w:t xml:space="preserve"> של </w:t>
      </w:r>
      <w:r w:rsidR="00B423AD">
        <w:rPr>
          <w:rFonts w:ascii="David" w:hAnsi="David" w:cs="David" w:hint="cs"/>
          <w:color w:val="000000"/>
          <w:rtl/>
        </w:rPr>
        <w:t>ה</w:t>
      </w:r>
      <w:r>
        <w:rPr>
          <w:rFonts w:ascii="David" w:hAnsi="David" w:cs="David"/>
          <w:color w:val="000000"/>
          <w:rtl/>
        </w:rPr>
        <w:t>עובדות המהותיות לנסיבות העניין. במקרה דנן, ידעה הנתבעת את תנאי הקבלה של הוו</w:t>
      </w:r>
      <w:r w:rsidR="008C1810">
        <w:rPr>
          <w:rFonts w:ascii="David" w:hAnsi="David" w:cs="David"/>
          <w:color w:val="000000"/>
          <w:rtl/>
        </w:rPr>
        <w:t>עדה מתוקף היותה מתגוררת בישוב</w:t>
      </w:r>
      <w:r>
        <w:rPr>
          <w:rFonts w:ascii="David" w:hAnsi="David" w:cs="David"/>
          <w:color w:val="000000"/>
          <w:rtl/>
        </w:rPr>
        <w:t xml:space="preserve">. בעת חתימת החוזה ידעה הנתבעת כי בני הזוג אינם עומדים בתנאי הוועדה </w:t>
      </w:r>
      <w:r w:rsidR="00667E75">
        <w:rPr>
          <w:rFonts w:ascii="David" w:hAnsi="David" w:cs="David"/>
          <w:color w:val="000000"/>
          <w:rtl/>
        </w:rPr>
        <w:t>(נראה כי בקשתם נשללה על הסף</w:t>
      </w:r>
      <w:r w:rsidR="00667E75">
        <w:rPr>
          <w:rFonts w:ascii="David" w:hAnsi="David" w:cs="David" w:hint="cs"/>
          <w:color w:val="000000"/>
          <w:rtl/>
        </w:rPr>
        <w:t>) שכן הם אינם נשואים אך מתכוננים לרכוש בית למגורים משותפים.</w:t>
      </w:r>
      <w:r w:rsidR="00667E75">
        <w:rPr>
          <w:rFonts w:ascii="David" w:hAnsi="David" w:cs="David"/>
          <w:color w:val="000000"/>
          <w:rtl/>
        </w:rPr>
        <w:t xml:space="preserve"> </w:t>
      </w:r>
      <w:r w:rsidR="00667E75">
        <w:rPr>
          <w:rFonts w:ascii="David" w:hAnsi="David" w:cs="David" w:hint="cs"/>
          <w:color w:val="000000"/>
          <w:rtl/>
        </w:rPr>
        <w:t>למרות זאת</w:t>
      </w:r>
      <w:r w:rsidR="00B008A2">
        <w:rPr>
          <w:rFonts w:ascii="David" w:hAnsi="David" w:cs="David" w:hint="cs"/>
          <w:color w:val="000000"/>
          <w:rtl/>
        </w:rPr>
        <w:t>,</w:t>
      </w:r>
      <w:r>
        <w:rPr>
          <w:rFonts w:ascii="David" w:hAnsi="David" w:cs="David"/>
          <w:color w:val="000000"/>
          <w:rtl/>
        </w:rPr>
        <w:t xml:space="preserve"> בחרה שלא לספר לזוג על תנאי הקבלה ובכך הטעתה אותם. הנתבעים מעידים כי במידה והיו יודעים </w:t>
      </w:r>
      <w:r w:rsidR="008C1810">
        <w:rPr>
          <w:rFonts w:ascii="David" w:hAnsi="David" w:cs="David" w:hint="cs"/>
          <w:color w:val="000000"/>
          <w:rtl/>
        </w:rPr>
        <w:t>ש</w:t>
      </w:r>
      <w:r>
        <w:rPr>
          <w:rFonts w:ascii="David" w:hAnsi="David" w:cs="David"/>
          <w:color w:val="000000"/>
          <w:rtl/>
        </w:rPr>
        <w:t>סיכויי קבלתם לישוב הינם אפסיים הם לא היו בוחרים להיקשר בחוזה זה</w:t>
      </w:r>
      <w:r w:rsidR="00B008A2">
        <w:rPr>
          <w:rFonts w:ascii="David" w:hAnsi="David" w:cs="David" w:hint="cs"/>
          <w:color w:val="000000"/>
          <w:rtl/>
        </w:rPr>
        <w:t>,</w:t>
      </w:r>
      <w:r>
        <w:rPr>
          <w:rFonts w:ascii="David" w:hAnsi="David" w:cs="David"/>
          <w:color w:val="000000"/>
          <w:rtl/>
        </w:rPr>
        <w:t xml:space="preserve"> ועל כן עומדת להם זכות ביטול</w:t>
      </w:r>
      <w:r w:rsidR="0081495E">
        <w:rPr>
          <w:rFonts w:ascii="David" w:hAnsi="David" w:cs="David" w:hint="cs"/>
          <w:color w:val="000000"/>
          <w:rtl/>
        </w:rPr>
        <w:t xml:space="preserve"> </w:t>
      </w:r>
      <w:r w:rsidR="008C1810">
        <w:rPr>
          <w:rFonts w:ascii="David" w:hAnsi="David" w:cs="David"/>
          <w:color w:val="000000"/>
          <w:rtl/>
        </w:rPr>
        <w:t>ב</w:t>
      </w:r>
      <w:r w:rsidR="008C1810">
        <w:rPr>
          <w:rFonts w:ascii="David" w:hAnsi="David" w:cs="David" w:hint="cs"/>
          <w:color w:val="000000"/>
          <w:rtl/>
        </w:rPr>
        <w:t>גין</w:t>
      </w:r>
      <w:r>
        <w:rPr>
          <w:rFonts w:ascii="David" w:hAnsi="David" w:cs="David"/>
          <w:color w:val="000000"/>
          <w:rtl/>
        </w:rPr>
        <w:t xml:space="preserve"> הטעיה. </w:t>
      </w:r>
    </w:p>
    <w:p w:rsidR="00824402" w:rsidRPr="00141F7E" w:rsidRDefault="00141F7E" w:rsidP="00141F7E">
      <w:pPr>
        <w:pStyle w:val="a3"/>
        <w:numPr>
          <w:ilvl w:val="0"/>
          <w:numId w:val="1"/>
        </w:numPr>
        <w:spacing w:before="240" w:after="240" w:line="360" w:lineRule="auto"/>
        <w:jc w:val="center"/>
        <w:rPr>
          <w:rFonts w:eastAsia="Times New Roman"/>
          <w:b/>
          <w:bCs/>
          <w:color w:val="000000"/>
        </w:rPr>
      </w:pPr>
      <w:r w:rsidRPr="00141F7E">
        <w:rPr>
          <w:rFonts w:eastAsia="Times New Roman" w:hint="cs"/>
          <w:b/>
          <w:bCs/>
          <w:color w:val="000000"/>
          <w:rtl/>
        </w:rPr>
        <w:lastRenderedPageBreak/>
        <w:t>הפרת</w:t>
      </w:r>
      <w:r w:rsidRPr="00141F7E">
        <w:rPr>
          <w:rFonts w:eastAsia="Times New Roman"/>
          <w:b/>
          <w:bCs/>
          <w:color w:val="000000"/>
          <w:rtl/>
        </w:rPr>
        <w:t xml:space="preserve"> </w:t>
      </w:r>
      <w:r w:rsidR="00824402" w:rsidRPr="00141F7E">
        <w:rPr>
          <w:rFonts w:eastAsia="Times New Roman"/>
          <w:b/>
          <w:bCs/>
          <w:color w:val="000000"/>
          <w:rtl/>
        </w:rPr>
        <w:t>זיכרון הדברים</w:t>
      </w:r>
    </w:p>
    <w:p w:rsidR="00141F7E" w:rsidRDefault="00141F7E" w:rsidP="00824402">
      <w:pPr>
        <w:spacing w:before="240" w:after="0" w:line="360" w:lineRule="auto"/>
        <w:rPr>
          <w:rFonts w:eastAsia="Times New Roman"/>
          <w:b/>
          <w:bCs/>
          <w:color w:val="000000"/>
          <w:rtl/>
        </w:rPr>
      </w:pPr>
      <w:r w:rsidRPr="00141F7E">
        <w:rPr>
          <w:rFonts w:eastAsia="Times New Roman" w:hint="cs"/>
          <w:b/>
          <w:bCs/>
          <w:color w:val="000000"/>
          <w:rtl/>
        </w:rPr>
        <w:t>הפרה יסודית</w:t>
      </w:r>
    </w:p>
    <w:p w:rsidR="004B091B" w:rsidRPr="00691975" w:rsidRDefault="00691975" w:rsidP="00812A05">
      <w:pPr>
        <w:spacing w:before="240" w:after="0" w:line="360" w:lineRule="auto"/>
        <w:rPr>
          <w:rFonts w:eastAsia="Times New Roman"/>
          <w:color w:val="000000"/>
          <w:rtl/>
        </w:rPr>
      </w:pPr>
      <w:r w:rsidRPr="00691975">
        <w:rPr>
          <w:rFonts w:eastAsia="Times New Roman" w:hint="cs"/>
          <w:color w:val="000000"/>
          <w:rtl/>
        </w:rPr>
        <w:t xml:space="preserve">במשפט האזרחי </w:t>
      </w:r>
      <w:r>
        <w:rPr>
          <w:rFonts w:eastAsia="Times New Roman" w:hint="cs"/>
          <w:color w:val="000000"/>
          <w:rtl/>
        </w:rPr>
        <w:t>רואים את המתקשרים בחוזה כמי שהבטיחו לנהוג בצורה מסוימת</w:t>
      </w:r>
      <w:r w:rsidR="00F91E41">
        <w:rPr>
          <w:rFonts w:eastAsia="Times New Roman" w:hint="cs"/>
          <w:color w:val="000000"/>
          <w:rtl/>
        </w:rPr>
        <w:t xml:space="preserve">, </w:t>
      </w:r>
      <w:r w:rsidR="00F91E41" w:rsidRPr="00812A05">
        <w:rPr>
          <w:rFonts w:eastAsia="Times New Roman" w:hint="cs"/>
          <w:b/>
          <w:bCs/>
          <w:color w:val="000000"/>
          <w:rtl/>
        </w:rPr>
        <w:t>התנהגות שונה מה</w:t>
      </w:r>
      <w:r w:rsidR="00812A05">
        <w:rPr>
          <w:rFonts w:eastAsia="Times New Roman" w:hint="cs"/>
          <w:b/>
          <w:bCs/>
          <w:color w:val="000000"/>
          <w:rtl/>
        </w:rPr>
        <w:t>סכמת הצדדים</w:t>
      </w:r>
      <w:r w:rsidR="00F91E41" w:rsidRPr="00812A05">
        <w:rPr>
          <w:rFonts w:eastAsia="Times New Roman" w:hint="cs"/>
          <w:b/>
          <w:bCs/>
          <w:color w:val="000000"/>
          <w:rtl/>
        </w:rPr>
        <w:t xml:space="preserve"> מהווה הפרה</w:t>
      </w:r>
      <w:r w:rsidR="00F91E41">
        <w:rPr>
          <w:rFonts w:eastAsia="Times New Roman" w:hint="cs"/>
          <w:color w:val="000000"/>
          <w:rtl/>
        </w:rPr>
        <w:t>.</w:t>
      </w:r>
      <w:r>
        <w:rPr>
          <w:rStyle w:val="a6"/>
          <w:rFonts w:eastAsia="Times New Roman"/>
          <w:color w:val="000000"/>
          <w:rtl/>
        </w:rPr>
        <w:footnoteReference w:id="44"/>
      </w:r>
      <w:r w:rsidR="00F91E41">
        <w:rPr>
          <w:rFonts w:eastAsia="Times New Roman" w:hint="cs"/>
          <w:color w:val="000000"/>
          <w:rtl/>
        </w:rPr>
        <w:t xml:space="preserve"> הפרה יסודית</w:t>
      </w:r>
      <w:r w:rsidR="00F91E41">
        <w:rPr>
          <w:rStyle w:val="a6"/>
          <w:rFonts w:eastAsia="Times New Roman"/>
          <w:color w:val="000000"/>
          <w:rtl/>
        </w:rPr>
        <w:footnoteReference w:id="45"/>
      </w:r>
      <w:r w:rsidR="00F91E41">
        <w:rPr>
          <w:rFonts w:eastAsia="Times New Roman" w:hint="cs"/>
          <w:color w:val="000000"/>
          <w:rtl/>
        </w:rPr>
        <w:t xml:space="preserve"> הינה </w:t>
      </w:r>
      <w:r w:rsidR="00F91E41" w:rsidRPr="00812A05">
        <w:rPr>
          <w:rFonts w:eastAsia="Times New Roman" w:hint="cs"/>
          <w:b/>
          <w:bCs/>
          <w:color w:val="000000"/>
          <w:rtl/>
        </w:rPr>
        <w:t xml:space="preserve">הפרה </w:t>
      </w:r>
      <w:r w:rsidR="00F91E41" w:rsidRPr="00812A05">
        <w:rPr>
          <w:rFonts w:eastAsia="Times New Roman"/>
          <w:b/>
          <w:bCs/>
          <w:color w:val="000000"/>
          <w:rtl/>
        </w:rPr>
        <w:t>שאדם סביר לא היה מתקשר בחוזה לו ידע עליה לפני כריתתו</w:t>
      </w:r>
      <w:r w:rsidR="00F91E41" w:rsidRPr="00824402">
        <w:rPr>
          <w:rFonts w:eastAsia="Times New Roman"/>
          <w:color w:val="000000"/>
          <w:rtl/>
        </w:rPr>
        <w:t>.</w:t>
      </w:r>
      <w:r w:rsidR="00970B64">
        <w:rPr>
          <w:rFonts w:eastAsia="Times New Roman" w:hint="cs"/>
          <w:color w:val="000000"/>
          <w:rtl/>
        </w:rPr>
        <w:t xml:space="preserve"> הפרה זו מזכה את נפגע ההפרה בסעדי הביטול, אכיפה ופיצויים. </w:t>
      </w:r>
    </w:p>
    <w:p w:rsidR="00091B66" w:rsidRDefault="00AD3587" w:rsidP="00812A05">
      <w:pPr>
        <w:spacing w:before="240" w:after="0" w:line="360" w:lineRule="auto"/>
        <w:jc w:val="both"/>
        <w:rPr>
          <w:rFonts w:eastAsia="Times New Roman"/>
          <w:color w:val="000000"/>
          <w:rtl/>
        </w:rPr>
      </w:pPr>
      <w:r>
        <w:rPr>
          <w:rFonts w:eastAsia="Times New Roman"/>
          <w:color w:val="000000"/>
          <w:rtl/>
        </w:rPr>
        <w:t>אם ביהמ"ש </w:t>
      </w:r>
      <w:r w:rsidR="00824402" w:rsidRPr="00824402">
        <w:rPr>
          <w:rFonts w:eastAsia="Times New Roman"/>
          <w:color w:val="000000"/>
          <w:rtl/>
        </w:rPr>
        <w:t xml:space="preserve">יקבל את טענות הנתבעים הנוגעות לתוקפו המחייב של </w:t>
      </w:r>
      <w:r w:rsidR="004B091B" w:rsidRPr="00824402">
        <w:rPr>
          <w:rFonts w:eastAsia="Times New Roman" w:hint="cs"/>
          <w:color w:val="000000"/>
          <w:rtl/>
        </w:rPr>
        <w:t>זיכרו</w:t>
      </w:r>
      <w:r w:rsidR="004B091B" w:rsidRPr="00824402">
        <w:rPr>
          <w:rFonts w:eastAsia="Times New Roman" w:hint="eastAsia"/>
          <w:color w:val="000000"/>
          <w:rtl/>
        </w:rPr>
        <w:t>ן</w:t>
      </w:r>
      <w:r w:rsidR="00824402" w:rsidRPr="00824402">
        <w:rPr>
          <w:rFonts w:eastAsia="Times New Roman"/>
          <w:color w:val="000000"/>
          <w:rtl/>
        </w:rPr>
        <w:t xml:space="preserve"> הדברים ולבטלותו של החוזה השני, </w:t>
      </w:r>
      <w:r w:rsidR="00824402" w:rsidRPr="00812A05">
        <w:rPr>
          <w:rFonts w:eastAsia="Times New Roman"/>
          <w:b/>
          <w:bCs/>
          <w:color w:val="000000"/>
          <w:rtl/>
        </w:rPr>
        <w:t xml:space="preserve">יוכלו הנתבעים לטעון להפרה </w:t>
      </w:r>
      <w:r w:rsidR="004B091B" w:rsidRPr="00812A05">
        <w:rPr>
          <w:rFonts w:eastAsia="Times New Roman" w:hint="cs"/>
          <w:b/>
          <w:bCs/>
          <w:color w:val="000000"/>
          <w:rtl/>
        </w:rPr>
        <w:t>יסודי</w:t>
      </w:r>
      <w:r w:rsidR="004B091B" w:rsidRPr="00812A05">
        <w:rPr>
          <w:rFonts w:eastAsia="Times New Roman" w:hint="eastAsia"/>
          <w:b/>
          <w:bCs/>
          <w:color w:val="000000"/>
          <w:rtl/>
        </w:rPr>
        <w:t>ת</w:t>
      </w:r>
      <w:r w:rsidR="00091B66" w:rsidRPr="00812A05">
        <w:rPr>
          <w:rFonts w:eastAsia="Times New Roman"/>
          <w:b/>
          <w:bCs/>
          <w:color w:val="000000"/>
          <w:rtl/>
        </w:rPr>
        <w:t xml:space="preserve"> של החוזה</w:t>
      </w:r>
      <w:r w:rsidR="00824402" w:rsidRPr="00812A05">
        <w:rPr>
          <w:rFonts w:eastAsia="Times New Roman"/>
          <w:b/>
          <w:bCs/>
          <w:color w:val="000000"/>
          <w:rtl/>
        </w:rPr>
        <w:t>, מכוח סעיף 6</w:t>
      </w:r>
      <w:r w:rsidR="00091B66" w:rsidRPr="00812A05">
        <w:rPr>
          <w:rFonts w:eastAsia="Times New Roman"/>
          <w:b/>
          <w:bCs/>
          <w:color w:val="000000"/>
          <w:rtl/>
        </w:rPr>
        <w:t xml:space="preserve"> לחוק</w:t>
      </w:r>
      <w:r w:rsidR="00824402" w:rsidRPr="00812A05">
        <w:rPr>
          <w:rFonts w:eastAsia="Times New Roman"/>
          <w:b/>
          <w:bCs/>
          <w:color w:val="000000"/>
          <w:rtl/>
        </w:rPr>
        <w:t xml:space="preserve"> החוזים</w:t>
      </w:r>
      <w:r w:rsidR="00955778">
        <w:rPr>
          <w:rFonts w:eastAsia="Times New Roman" w:hint="cs"/>
          <w:color w:val="000000"/>
          <w:rtl/>
        </w:rPr>
        <w:t>.</w:t>
      </w:r>
      <w:r w:rsidR="00691975" w:rsidRPr="00955778">
        <w:rPr>
          <w:rStyle w:val="a6"/>
          <w:rFonts w:eastAsia="Times New Roman"/>
          <w:color w:val="000000"/>
          <w:rtl/>
        </w:rPr>
        <w:footnoteReference w:id="46"/>
      </w:r>
      <w:r w:rsidR="00955778">
        <w:rPr>
          <w:rFonts w:eastAsia="Times New Roman" w:hint="cs"/>
          <w:color w:val="000000"/>
          <w:rtl/>
        </w:rPr>
        <w:t xml:space="preserve"> </w:t>
      </w:r>
      <w:r w:rsidR="00812A05">
        <w:rPr>
          <w:rFonts w:eastAsia="Times New Roman" w:hint="cs"/>
          <w:color w:val="000000"/>
          <w:rtl/>
        </w:rPr>
        <w:t xml:space="preserve"> </w:t>
      </w:r>
      <w:r w:rsidR="00824402" w:rsidRPr="00824402">
        <w:rPr>
          <w:rFonts w:eastAsia="Times New Roman"/>
          <w:color w:val="000000"/>
          <w:rtl/>
        </w:rPr>
        <w:t xml:space="preserve">סעיף זה מגדיר הפרה יסודית כהפרה שאדם סביר לא היה מתקשר בחוזה לו ידע עליה לפני כריתתו. במקרה זה, </w:t>
      </w:r>
      <w:r w:rsidR="00812A05" w:rsidRPr="00812A05">
        <w:rPr>
          <w:rFonts w:eastAsia="Times New Roman" w:hint="cs"/>
          <w:b/>
          <w:bCs/>
          <w:color w:val="000000"/>
          <w:rtl/>
        </w:rPr>
        <w:t xml:space="preserve">התובעים </w:t>
      </w:r>
      <w:r w:rsidR="00824402" w:rsidRPr="00812A05">
        <w:rPr>
          <w:rFonts w:eastAsia="Times New Roman"/>
          <w:b/>
          <w:bCs/>
          <w:color w:val="000000"/>
          <w:rtl/>
        </w:rPr>
        <w:t>לא היו מסכימים ל</w:t>
      </w:r>
      <w:r w:rsidR="00091B66" w:rsidRPr="00812A05">
        <w:rPr>
          <w:rFonts w:eastAsia="Times New Roman" w:hint="cs"/>
          <w:b/>
          <w:bCs/>
          <w:color w:val="000000"/>
          <w:rtl/>
        </w:rPr>
        <w:t>היכנס ל</w:t>
      </w:r>
      <w:r w:rsidR="00824402" w:rsidRPr="00812A05">
        <w:rPr>
          <w:rFonts w:eastAsia="Times New Roman"/>
          <w:b/>
          <w:bCs/>
          <w:color w:val="000000"/>
          <w:rtl/>
        </w:rPr>
        <w:t>חוזה</w:t>
      </w:r>
      <w:r w:rsidR="00824402" w:rsidRPr="00824402">
        <w:rPr>
          <w:rFonts w:eastAsia="Times New Roman"/>
          <w:color w:val="000000"/>
          <w:rtl/>
        </w:rPr>
        <w:t xml:space="preserve"> לו ידעו כי הנתבעת לא יכולה</w:t>
      </w:r>
      <w:r w:rsidR="00812A05">
        <w:rPr>
          <w:rFonts w:eastAsia="Times New Roman"/>
          <w:color w:val="000000"/>
          <w:rtl/>
        </w:rPr>
        <w:t xml:space="preserve"> להעביר להם את דירתה ללא אישור </w:t>
      </w:r>
      <w:r w:rsidR="00824402" w:rsidRPr="00824402">
        <w:rPr>
          <w:rFonts w:eastAsia="Times New Roman"/>
          <w:color w:val="000000"/>
          <w:rtl/>
        </w:rPr>
        <w:t xml:space="preserve">ועדת הקבלה. חוסר יכולתה של הנתבעת לעמוד בתנאי החוזה ולהעביר לתובעים את הדירה על פי תנאי </w:t>
      </w:r>
      <w:r w:rsidR="004B091B" w:rsidRPr="00824402">
        <w:rPr>
          <w:rFonts w:eastAsia="Times New Roman" w:hint="cs"/>
          <w:color w:val="000000"/>
          <w:rtl/>
        </w:rPr>
        <w:t>זיכרו</w:t>
      </w:r>
      <w:r w:rsidR="004B091B" w:rsidRPr="00824402">
        <w:rPr>
          <w:rFonts w:eastAsia="Times New Roman" w:hint="eastAsia"/>
          <w:color w:val="000000"/>
          <w:rtl/>
        </w:rPr>
        <w:t>ן</w:t>
      </w:r>
      <w:r w:rsidR="00824402" w:rsidRPr="00824402">
        <w:rPr>
          <w:rFonts w:eastAsia="Times New Roman"/>
          <w:color w:val="000000"/>
          <w:rtl/>
        </w:rPr>
        <w:t xml:space="preserve"> הדברים המחייב (שלא כוללים עמידה בתנאי ועדת הקבלה) מהווה הפרה יסודית של החוזה. על כן,</w:t>
      </w:r>
      <w:r w:rsidR="00091B66">
        <w:rPr>
          <w:rFonts w:eastAsia="Times New Roman"/>
          <w:color w:val="000000"/>
          <w:rtl/>
        </w:rPr>
        <w:t xml:space="preserve"> </w:t>
      </w:r>
      <w:r w:rsidR="00812A05">
        <w:rPr>
          <w:rFonts w:eastAsia="Times New Roman"/>
          <w:b/>
          <w:bCs/>
          <w:color w:val="000000"/>
          <w:rtl/>
        </w:rPr>
        <w:t>מבקשים ה</w:t>
      </w:r>
      <w:r w:rsidR="00812A05">
        <w:rPr>
          <w:rFonts w:eastAsia="Times New Roman" w:hint="cs"/>
          <w:b/>
          <w:bCs/>
          <w:color w:val="000000"/>
          <w:rtl/>
        </w:rPr>
        <w:t>תובעים</w:t>
      </w:r>
      <w:r w:rsidR="00091B66" w:rsidRPr="00812A05">
        <w:rPr>
          <w:rFonts w:eastAsia="Times New Roman"/>
          <w:b/>
          <w:bCs/>
          <w:color w:val="000000"/>
          <w:rtl/>
        </w:rPr>
        <w:t xml:space="preserve"> סעדים בגין </w:t>
      </w:r>
      <w:r w:rsidR="00091B66" w:rsidRPr="00812A05">
        <w:rPr>
          <w:rFonts w:eastAsia="Times New Roman" w:hint="cs"/>
          <w:b/>
          <w:bCs/>
          <w:color w:val="000000"/>
          <w:rtl/>
        </w:rPr>
        <w:t>ה</w:t>
      </w:r>
      <w:r w:rsidR="00091B66" w:rsidRPr="00812A05">
        <w:rPr>
          <w:rFonts w:eastAsia="Times New Roman"/>
          <w:b/>
          <w:bCs/>
          <w:color w:val="000000"/>
          <w:rtl/>
        </w:rPr>
        <w:t>הפרה</w:t>
      </w:r>
      <w:r w:rsidR="00091B66">
        <w:rPr>
          <w:rFonts w:eastAsia="Times New Roman" w:hint="cs"/>
          <w:color w:val="000000"/>
          <w:rtl/>
        </w:rPr>
        <w:t>.</w:t>
      </w:r>
    </w:p>
    <w:p w:rsidR="00812A05" w:rsidRPr="004019F1" w:rsidRDefault="00824402" w:rsidP="004019F1">
      <w:pPr>
        <w:spacing w:before="240" w:after="0" w:line="360" w:lineRule="auto"/>
        <w:jc w:val="both"/>
        <w:rPr>
          <w:rFonts w:ascii="Times New Roman" w:eastAsia="Times New Roman" w:hAnsi="Times New Roman" w:cs="Times New Roman" w:hint="cs"/>
          <w:rtl/>
        </w:rPr>
      </w:pPr>
      <w:r w:rsidRPr="00824402">
        <w:rPr>
          <w:rFonts w:eastAsia="Times New Roman"/>
          <w:color w:val="000000"/>
          <w:rtl/>
        </w:rPr>
        <w:t>יש לציין כי מעת שהוכח כי הת</w:t>
      </w:r>
      <w:r w:rsidR="00C25906">
        <w:rPr>
          <w:rFonts w:eastAsia="Times New Roman"/>
          <w:color w:val="000000"/>
          <w:rtl/>
        </w:rPr>
        <w:t xml:space="preserve">קיימה הפרה זכאים התובעים לסעדי </w:t>
      </w:r>
      <w:r w:rsidRPr="00824402">
        <w:rPr>
          <w:rFonts w:eastAsia="Times New Roman"/>
          <w:color w:val="000000"/>
          <w:rtl/>
        </w:rPr>
        <w:t>אכיפה, ביטול ופיצוי</w:t>
      </w:r>
      <w:r w:rsidR="00F34954">
        <w:rPr>
          <w:rFonts w:eastAsia="Times New Roman" w:hint="cs"/>
          <w:color w:val="000000"/>
          <w:rtl/>
        </w:rPr>
        <w:t>.</w:t>
      </w:r>
      <w:r w:rsidR="00091B66">
        <w:rPr>
          <w:rStyle w:val="a6"/>
          <w:rFonts w:eastAsia="Times New Roman"/>
          <w:color w:val="000000"/>
          <w:rtl/>
        </w:rPr>
        <w:footnoteReference w:id="47"/>
      </w:r>
      <w:r w:rsidRPr="00824402">
        <w:rPr>
          <w:rFonts w:eastAsia="Times New Roman"/>
          <w:color w:val="000000"/>
          <w:rtl/>
        </w:rPr>
        <w:t xml:space="preserve"> </w:t>
      </w:r>
      <w:r w:rsidRPr="00F34954">
        <w:rPr>
          <w:rFonts w:eastAsia="Times New Roman"/>
          <w:color w:val="000000"/>
          <w:rtl/>
        </w:rPr>
        <w:t>במקרה זה נראה כי</w:t>
      </w:r>
      <w:r w:rsidR="00C25906">
        <w:rPr>
          <w:rFonts w:eastAsia="Times New Roman"/>
          <w:color w:val="000000"/>
          <w:rtl/>
        </w:rPr>
        <w:t xml:space="preserve"> לא ניתן לבצע אכיפה שכן היא תהי</w:t>
      </w:r>
      <w:r w:rsidRPr="00F34954">
        <w:rPr>
          <w:rFonts w:eastAsia="Times New Roman"/>
          <w:color w:val="000000"/>
          <w:rtl/>
        </w:rPr>
        <w:t>ה בלתי צודקת בנסיבות העניין</w:t>
      </w:r>
      <w:r w:rsidR="00F34954">
        <w:rPr>
          <w:rFonts w:eastAsia="Times New Roman" w:hint="cs"/>
          <w:color w:val="000000"/>
          <w:rtl/>
        </w:rPr>
        <w:t>,</w:t>
      </w:r>
      <w:r w:rsidR="00091B66" w:rsidRPr="00F34954">
        <w:rPr>
          <w:rStyle w:val="a6"/>
          <w:rFonts w:eastAsia="Times New Roman"/>
          <w:color w:val="000000"/>
          <w:rtl/>
        </w:rPr>
        <w:footnoteReference w:id="48"/>
      </w:r>
      <w:r w:rsidR="00F34954">
        <w:rPr>
          <w:rFonts w:eastAsia="Times New Roman"/>
          <w:color w:val="000000"/>
          <w:rtl/>
        </w:rPr>
        <w:t xml:space="preserve"> מכיוון </w:t>
      </w:r>
      <w:r w:rsidR="00F34954">
        <w:rPr>
          <w:rFonts w:eastAsia="Times New Roman" w:hint="cs"/>
          <w:color w:val="000000"/>
          <w:rtl/>
        </w:rPr>
        <w:t>ש</w:t>
      </w:r>
      <w:r w:rsidRPr="00F34954">
        <w:rPr>
          <w:rFonts w:eastAsia="Times New Roman"/>
          <w:color w:val="000000"/>
          <w:rtl/>
        </w:rPr>
        <w:t>התובעים לא עמדו בתנאי ועדת הקבלה</w:t>
      </w:r>
      <w:r w:rsidR="00F34954">
        <w:rPr>
          <w:rFonts w:eastAsia="Times New Roman" w:hint="cs"/>
          <w:color w:val="000000"/>
          <w:rtl/>
        </w:rPr>
        <w:t>.</w:t>
      </w:r>
      <w:r w:rsidR="00C25906">
        <w:rPr>
          <w:rFonts w:eastAsia="Times New Roman"/>
          <w:color w:val="000000"/>
          <w:rtl/>
        </w:rPr>
        <w:t xml:space="preserve"> </w:t>
      </w:r>
      <w:r w:rsidRPr="00F34954">
        <w:rPr>
          <w:rFonts w:eastAsia="Times New Roman"/>
          <w:color w:val="000000"/>
          <w:rtl/>
        </w:rPr>
        <w:t>לכן</w:t>
      </w:r>
      <w:r w:rsidR="00F34954">
        <w:rPr>
          <w:rFonts w:eastAsia="Times New Roman" w:hint="cs"/>
          <w:color w:val="000000"/>
          <w:rtl/>
        </w:rPr>
        <w:t>,</w:t>
      </w:r>
      <w:r w:rsidRPr="00F34954">
        <w:rPr>
          <w:rFonts w:eastAsia="Times New Roman"/>
          <w:color w:val="000000"/>
          <w:rtl/>
        </w:rPr>
        <w:t xml:space="preserve"> אכיפה תפגע בייחודיות של הקיבוץ ו</w:t>
      </w:r>
      <w:r w:rsidR="00F34954">
        <w:rPr>
          <w:rFonts w:eastAsia="Times New Roman" w:hint="cs"/>
          <w:color w:val="000000"/>
          <w:rtl/>
        </w:rPr>
        <w:t>ב</w:t>
      </w:r>
      <w:r w:rsidR="00C25906">
        <w:rPr>
          <w:rFonts w:eastAsia="Times New Roman"/>
          <w:color w:val="000000"/>
          <w:rtl/>
        </w:rPr>
        <w:t>יושביו</w:t>
      </w:r>
      <w:r w:rsidR="00C25906">
        <w:rPr>
          <w:rFonts w:eastAsia="Times New Roman" w:hint="cs"/>
          <w:color w:val="000000"/>
          <w:rtl/>
        </w:rPr>
        <w:t>, ו</w:t>
      </w:r>
      <w:r w:rsidRPr="00824402">
        <w:rPr>
          <w:rFonts w:eastAsia="Times New Roman"/>
          <w:color w:val="000000"/>
          <w:rtl/>
        </w:rPr>
        <w:t xml:space="preserve">על </w:t>
      </w:r>
      <w:r w:rsidRPr="00C25906">
        <w:rPr>
          <w:rFonts w:eastAsia="Times New Roman"/>
          <w:b/>
          <w:bCs/>
          <w:color w:val="000000"/>
          <w:rtl/>
        </w:rPr>
        <w:t>כן יוכלו התובעים לדרוש לביטול החוזה ו</w:t>
      </w:r>
      <w:r w:rsidR="00C25906" w:rsidRPr="00C25906">
        <w:rPr>
          <w:rFonts w:eastAsia="Times New Roman" w:hint="cs"/>
          <w:b/>
          <w:bCs/>
          <w:color w:val="000000"/>
          <w:rtl/>
        </w:rPr>
        <w:t>ל</w:t>
      </w:r>
      <w:r w:rsidRPr="00C25906">
        <w:rPr>
          <w:rFonts w:eastAsia="Times New Roman"/>
          <w:b/>
          <w:bCs/>
          <w:color w:val="000000"/>
          <w:rtl/>
        </w:rPr>
        <w:t>פיצויים בגין ההפרה</w:t>
      </w:r>
      <w:r w:rsidRPr="00824402">
        <w:rPr>
          <w:rFonts w:eastAsia="Times New Roman"/>
          <w:color w:val="000000"/>
          <w:rtl/>
        </w:rPr>
        <w:t>. ע"פ ס'7(א)</w:t>
      </w:r>
      <w:r w:rsidR="00091B66">
        <w:rPr>
          <w:rFonts w:eastAsia="Times New Roman" w:hint="cs"/>
          <w:color w:val="000000"/>
          <w:rtl/>
        </w:rPr>
        <w:t xml:space="preserve"> לחוק </w:t>
      </w:r>
      <w:r w:rsidR="00091B66" w:rsidRPr="00C25906">
        <w:rPr>
          <w:rFonts w:eastAsia="Times New Roman" w:hint="cs"/>
          <w:color w:val="000000"/>
          <w:rtl/>
        </w:rPr>
        <w:t>התרופות</w:t>
      </w:r>
      <w:r w:rsidR="00091B66" w:rsidRPr="00C25906">
        <w:rPr>
          <w:rStyle w:val="a6"/>
          <w:rFonts w:eastAsia="Times New Roman"/>
          <w:color w:val="000000"/>
          <w:rtl/>
        </w:rPr>
        <w:footnoteReference w:id="49"/>
      </w:r>
      <w:r w:rsidRPr="00C25906">
        <w:rPr>
          <w:rFonts w:eastAsia="Times New Roman"/>
          <w:color w:val="000000"/>
          <w:rtl/>
        </w:rPr>
        <w:t xml:space="preserve"> זכאים התובעים לסעד הביטול, שכן ההפרה במקרה זה הינה יסודית.  על הביטול להיות בהודעה לנתבעת תוך זמן סביר</w:t>
      </w:r>
      <w:r w:rsidR="00091B66" w:rsidRPr="00C25906">
        <w:rPr>
          <w:rStyle w:val="a6"/>
          <w:rFonts w:eastAsia="Times New Roman"/>
          <w:color w:val="000000"/>
          <w:rtl/>
        </w:rPr>
        <w:footnoteReference w:id="50"/>
      </w:r>
      <w:r w:rsidRPr="00C25906">
        <w:rPr>
          <w:rFonts w:eastAsia="Times New Roman"/>
          <w:color w:val="000000"/>
          <w:rtl/>
        </w:rPr>
        <w:t xml:space="preserve"> מעת שגילו </w:t>
      </w:r>
      <w:r w:rsidRPr="00824402">
        <w:rPr>
          <w:rFonts w:eastAsia="Times New Roman"/>
          <w:color w:val="000000"/>
          <w:rtl/>
        </w:rPr>
        <w:t xml:space="preserve">כי לא תוכל לקיים את </w:t>
      </w:r>
      <w:r w:rsidR="00091B66" w:rsidRPr="00824402">
        <w:rPr>
          <w:rFonts w:eastAsia="Times New Roman" w:hint="cs"/>
          <w:color w:val="000000"/>
          <w:rtl/>
        </w:rPr>
        <w:t>זיכרו</w:t>
      </w:r>
      <w:r w:rsidR="00091B66" w:rsidRPr="00824402">
        <w:rPr>
          <w:rFonts w:eastAsia="Times New Roman" w:hint="eastAsia"/>
          <w:color w:val="000000"/>
          <w:rtl/>
        </w:rPr>
        <w:t>ן</w:t>
      </w:r>
      <w:r w:rsidRPr="00824402">
        <w:rPr>
          <w:rFonts w:eastAsia="Times New Roman"/>
          <w:color w:val="000000"/>
          <w:rtl/>
        </w:rPr>
        <w:t xml:space="preserve"> הדברים ולמכור להם את נכסה. בנוסף, יהיו זכאים התובעים לפיצוי</w:t>
      </w:r>
      <w:r w:rsidR="00C25906">
        <w:rPr>
          <w:rFonts w:eastAsia="Times New Roman" w:hint="cs"/>
          <w:color w:val="000000"/>
          <w:rtl/>
        </w:rPr>
        <w:t xml:space="preserve"> ע"פ ס'10 לחוק התרופות</w:t>
      </w:r>
      <w:r w:rsidR="00C25906">
        <w:rPr>
          <w:rStyle w:val="a6"/>
          <w:rFonts w:eastAsia="Times New Roman"/>
          <w:color w:val="000000"/>
          <w:rtl/>
        </w:rPr>
        <w:footnoteReference w:id="51"/>
      </w:r>
      <w:r w:rsidR="00091B66">
        <w:rPr>
          <w:rFonts w:eastAsia="Times New Roman" w:hint="cs"/>
          <w:color w:val="000000"/>
          <w:rtl/>
        </w:rPr>
        <w:t xml:space="preserve"> </w:t>
      </w:r>
      <w:r w:rsidRPr="00824402">
        <w:rPr>
          <w:rFonts w:eastAsia="Times New Roman"/>
          <w:color w:val="000000"/>
          <w:rtl/>
        </w:rPr>
        <w:t xml:space="preserve">בגין הנזקים </w:t>
      </w:r>
      <w:r w:rsidR="00091B66" w:rsidRPr="00824402">
        <w:rPr>
          <w:rFonts w:eastAsia="Times New Roman" w:hint="cs"/>
          <w:color w:val="000000"/>
          <w:rtl/>
        </w:rPr>
        <w:t>הצפויי</w:t>
      </w:r>
      <w:r w:rsidR="00091B66" w:rsidRPr="00824402">
        <w:rPr>
          <w:rFonts w:eastAsia="Times New Roman" w:hint="eastAsia"/>
          <w:color w:val="000000"/>
          <w:rtl/>
        </w:rPr>
        <w:t>ם</w:t>
      </w:r>
      <w:r w:rsidRPr="00824402">
        <w:rPr>
          <w:rFonts w:eastAsia="Times New Roman"/>
          <w:color w:val="000000"/>
          <w:rtl/>
        </w:rPr>
        <w:t xml:space="preserve"> שנגרמו כתוצאה מן ההפרה</w:t>
      </w:r>
      <w:r w:rsidR="00F34954">
        <w:rPr>
          <w:rFonts w:eastAsia="Times New Roman" w:hint="cs"/>
          <w:color w:val="000000"/>
          <w:rtl/>
        </w:rPr>
        <w:t>.</w:t>
      </w:r>
      <w:r w:rsidRPr="00824402">
        <w:rPr>
          <w:rFonts w:eastAsia="Times New Roman"/>
          <w:color w:val="000000"/>
          <w:rtl/>
        </w:rPr>
        <w:t xml:space="preserve"> התובעים ידרשו פיצויי הסתמכות אשר מטרתם להעמיד את הנפגעים במקום בו היו טרם נכנסו למשא ומתן</w:t>
      </w:r>
      <w:r w:rsidR="00E8248D">
        <w:rPr>
          <w:rFonts w:eastAsia="Times New Roman" w:hint="cs"/>
          <w:color w:val="000000"/>
          <w:rtl/>
        </w:rPr>
        <w:t>.</w:t>
      </w:r>
      <w:r w:rsidR="00091B66">
        <w:rPr>
          <w:rStyle w:val="a6"/>
          <w:rFonts w:eastAsia="Times New Roman"/>
          <w:color w:val="000000"/>
          <w:rtl/>
        </w:rPr>
        <w:footnoteReference w:id="52"/>
      </w:r>
      <w:r w:rsidRPr="00824402">
        <w:rPr>
          <w:rFonts w:eastAsia="Times New Roman"/>
          <w:color w:val="000000"/>
          <w:rtl/>
        </w:rPr>
        <w:t xml:space="preserve"> פיצוי</w:t>
      </w:r>
      <w:r w:rsidR="00C25906">
        <w:rPr>
          <w:rFonts w:eastAsia="Times New Roman" w:hint="cs"/>
          <w:color w:val="000000"/>
          <w:rtl/>
        </w:rPr>
        <w:t>י</w:t>
      </w:r>
      <w:r w:rsidRPr="00824402">
        <w:rPr>
          <w:rFonts w:eastAsia="Times New Roman"/>
          <w:color w:val="000000"/>
          <w:rtl/>
        </w:rPr>
        <w:t xml:space="preserve">ם אלה יפצו את הזוג </w:t>
      </w:r>
      <w:r w:rsidR="00C25906">
        <w:rPr>
          <w:rFonts w:eastAsia="Times New Roman" w:hint="cs"/>
          <w:color w:val="000000"/>
          <w:rtl/>
        </w:rPr>
        <w:t xml:space="preserve">על הפסדיהם בשל </w:t>
      </w:r>
      <w:r w:rsidR="00C25906">
        <w:rPr>
          <w:rFonts w:eastAsia="Times New Roman"/>
          <w:color w:val="000000"/>
          <w:rtl/>
        </w:rPr>
        <w:t>הוצאות המ</w:t>
      </w:r>
      <w:r w:rsidR="00C25906">
        <w:rPr>
          <w:rFonts w:eastAsia="Times New Roman" w:hint="cs"/>
          <w:color w:val="000000"/>
          <w:rtl/>
        </w:rPr>
        <w:t>שא ומתן</w:t>
      </w:r>
      <w:r w:rsidRPr="00824402">
        <w:rPr>
          <w:rFonts w:eastAsia="Times New Roman"/>
          <w:color w:val="000000"/>
          <w:rtl/>
        </w:rPr>
        <w:t>, פגישות עם הבנק לבירור משכנתא, הפסד עסקאות חלופיות והוצאות נוספות שהוציאו כחלק מהחוזה . </w:t>
      </w:r>
    </w:p>
    <w:p w:rsidR="00824402" w:rsidRDefault="00141F7E" w:rsidP="00091B66">
      <w:pPr>
        <w:spacing w:before="240" w:after="0" w:line="360" w:lineRule="auto"/>
        <w:jc w:val="both"/>
        <w:rPr>
          <w:rFonts w:ascii="Times New Roman" w:eastAsia="Times New Roman" w:hAnsi="Times New Roman" w:cs="Times New Roman"/>
          <w:b/>
          <w:bCs/>
          <w:rtl/>
        </w:rPr>
      </w:pPr>
      <w:r w:rsidRPr="00141F7E">
        <w:rPr>
          <w:rFonts w:eastAsia="Times New Roman" w:hint="cs"/>
          <w:b/>
          <w:bCs/>
          <w:color w:val="000000"/>
          <w:rtl/>
        </w:rPr>
        <w:t>העדר תום לב</w:t>
      </w:r>
    </w:p>
    <w:p w:rsidR="003D4C87" w:rsidRPr="00824402" w:rsidRDefault="003D4C87" w:rsidP="00C25906">
      <w:pPr>
        <w:spacing w:before="240" w:after="0" w:line="360" w:lineRule="auto"/>
        <w:jc w:val="both"/>
        <w:rPr>
          <w:rFonts w:ascii="Times New Roman" w:eastAsia="Times New Roman" w:hAnsi="Times New Roman" w:cs="Times New Roman"/>
          <w:b/>
          <w:bCs/>
          <w:rtl/>
        </w:rPr>
      </w:pPr>
      <w:r w:rsidRPr="003D4C87">
        <w:rPr>
          <w:rFonts w:eastAsia="Times New Roman"/>
          <w:rtl/>
        </w:rPr>
        <w:t xml:space="preserve">חובת </w:t>
      </w:r>
      <w:r w:rsidRPr="00435C22">
        <w:rPr>
          <w:rFonts w:eastAsia="Times New Roman"/>
          <w:b/>
          <w:bCs/>
          <w:rtl/>
        </w:rPr>
        <w:t>תום הלב הינה החובה לנהוג בדרך מקובלת ובתום לב במהלך משא ומתן</w:t>
      </w:r>
      <w:r>
        <w:rPr>
          <w:rStyle w:val="a6"/>
          <w:rFonts w:eastAsia="Times New Roman"/>
          <w:rtl/>
        </w:rPr>
        <w:footnoteReference w:id="53"/>
      </w:r>
      <w:r>
        <w:rPr>
          <w:rFonts w:eastAsia="Times New Roman" w:hint="cs"/>
          <w:rtl/>
        </w:rPr>
        <w:t xml:space="preserve"> </w:t>
      </w:r>
      <w:r w:rsidRPr="003D4C87">
        <w:rPr>
          <w:rFonts w:eastAsia="Times New Roman"/>
          <w:rtl/>
        </w:rPr>
        <w:t>ובמהלך קיום חיובים ושימוש בזכויות הנובעים מהחוזה</w:t>
      </w:r>
      <w:r>
        <w:rPr>
          <w:rFonts w:eastAsia="Times New Roman" w:hint="cs"/>
          <w:rtl/>
        </w:rPr>
        <w:t>.</w:t>
      </w:r>
      <w:r w:rsidR="007D4845">
        <w:rPr>
          <w:rStyle w:val="a6"/>
          <w:rFonts w:eastAsia="Times New Roman"/>
          <w:rtl/>
        </w:rPr>
        <w:footnoteReference w:id="54"/>
      </w:r>
      <w:r w:rsidRPr="003D4C87">
        <w:rPr>
          <w:rFonts w:eastAsia="Times New Roman"/>
          <w:rtl/>
        </w:rPr>
        <w:t xml:space="preserve"> ח</w:t>
      </w:r>
      <w:r w:rsidR="007D4845">
        <w:rPr>
          <w:rFonts w:eastAsia="Times New Roman"/>
          <w:rtl/>
        </w:rPr>
        <w:t>ובה זו חלה על כל הצדדים לחוזה.</w:t>
      </w:r>
      <w:r w:rsidR="007D4845">
        <w:rPr>
          <w:rStyle w:val="a6"/>
          <w:rFonts w:eastAsia="Times New Roman"/>
          <w:rtl/>
        </w:rPr>
        <w:footnoteReference w:id="55"/>
      </w:r>
      <w:r w:rsidR="007D4845">
        <w:rPr>
          <w:rFonts w:eastAsia="Times New Roman"/>
          <w:rtl/>
        </w:rPr>
        <w:t xml:space="preserve"> </w:t>
      </w:r>
      <w:r w:rsidR="007D4845">
        <w:rPr>
          <w:rFonts w:eastAsia="Times New Roman" w:hint="cs"/>
          <w:rtl/>
        </w:rPr>
        <w:t xml:space="preserve"> </w:t>
      </w:r>
      <w:r w:rsidRPr="003D4C87">
        <w:rPr>
          <w:rFonts w:eastAsia="Times New Roman"/>
          <w:rtl/>
        </w:rPr>
        <w:t>לפיכך, עולה כי חובת תום הלב חלה הן בשלב החוזי והן בשלב הטרום חוזי</w:t>
      </w:r>
      <w:r w:rsidR="00C25906">
        <w:rPr>
          <w:rFonts w:eastAsia="Times New Roman" w:hint="cs"/>
          <w:rtl/>
        </w:rPr>
        <w:t xml:space="preserve">. </w:t>
      </w:r>
      <w:r w:rsidRPr="003D4C87">
        <w:rPr>
          <w:rFonts w:eastAsia="Times New Roman"/>
          <w:rtl/>
        </w:rPr>
        <w:t xml:space="preserve">מן הגדרתו עולה כי תום לב הינו מושג שסתום שיש ליצוק לתוכו תוכן. על כן, ישנן מגוון רחב של התנהגויות בעת קיום המשא ומתן אשר </w:t>
      </w:r>
      <w:r w:rsidRPr="003D4C87">
        <w:rPr>
          <w:rFonts w:eastAsia="Times New Roman"/>
          <w:rtl/>
        </w:rPr>
        <w:lastRenderedPageBreak/>
        <w:t>יכולות להיחשב כחוסר תום לב. אחת מהתנהגויות אלה הינה אי גילוי פרט מהותי בקיום משא ומתן</w:t>
      </w:r>
      <w:r w:rsidRPr="003D4C87">
        <w:rPr>
          <w:rFonts w:ascii="Times New Roman" w:eastAsia="Times New Roman" w:hAnsi="Times New Roman" w:cs="Times New Roman"/>
          <w:b/>
          <w:bCs/>
          <w:rtl/>
        </w:rPr>
        <w:t>.</w:t>
      </w:r>
    </w:p>
    <w:p w:rsidR="00824402" w:rsidRPr="00435C22" w:rsidRDefault="00824402" w:rsidP="00E8248D">
      <w:pPr>
        <w:spacing w:before="240" w:after="0" w:line="360" w:lineRule="auto"/>
        <w:jc w:val="both"/>
        <w:rPr>
          <w:rFonts w:ascii="Times New Roman" w:eastAsia="Times New Roman" w:hAnsi="Times New Roman" w:cs="Times New Roman"/>
          <w:b/>
          <w:bCs/>
          <w:rtl/>
        </w:rPr>
      </w:pPr>
      <w:r w:rsidRPr="00435C22">
        <w:rPr>
          <w:rFonts w:eastAsia="Times New Roman"/>
          <w:b/>
          <w:bCs/>
          <w:color w:val="000000"/>
          <w:rtl/>
        </w:rPr>
        <w:t>הנתבעים יטענו כי אי הגילוי של הנתבעת מהווה חוסר תום לב</w:t>
      </w:r>
      <w:r w:rsidR="00087611">
        <w:rPr>
          <w:rStyle w:val="a6"/>
          <w:rFonts w:eastAsia="Times New Roman"/>
          <w:color w:val="000000"/>
          <w:rtl/>
        </w:rPr>
        <w:footnoteReference w:id="56"/>
      </w:r>
      <w:r w:rsidRPr="00824402">
        <w:rPr>
          <w:rFonts w:eastAsia="Times New Roman"/>
          <w:color w:val="000000"/>
          <w:rtl/>
        </w:rPr>
        <w:t xml:space="preserve"> בניהול משא ומתן ע"פ ס'12א לחוק החוזים</w:t>
      </w:r>
      <w:r w:rsidR="00E8248D">
        <w:rPr>
          <w:rFonts w:eastAsia="Times New Roman" w:hint="cs"/>
          <w:color w:val="000000"/>
          <w:rtl/>
        </w:rPr>
        <w:t>.</w:t>
      </w:r>
      <w:r w:rsidR="00091B66">
        <w:rPr>
          <w:rStyle w:val="a6"/>
          <w:rFonts w:eastAsia="Times New Roman"/>
          <w:color w:val="000000"/>
          <w:rtl/>
        </w:rPr>
        <w:footnoteReference w:id="57"/>
      </w:r>
      <w:r w:rsidR="00E8248D">
        <w:rPr>
          <w:rFonts w:eastAsia="Times New Roman" w:hint="cs"/>
          <w:color w:val="000000"/>
          <w:rtl/>
        </w:rPr>
        <w:t xml:space="preserve"> </w:t>
      </w:r>
      <w:r w:rsidRPr="00824402">
        <w:rPr>
          <w:rFonts w:eastAsia="Times New Roman"/>
          <w:color w:val="000000"/>
          <w:rtl/>
        </w:rPr>
        <w:t xml:space="preserve">ע"פ סעיף זה </w:t>
      </w:r>
      <w:r w:rsidR="00435C22">
        <w:rPr>
          <w:rFonts w:eastAsia="Times New Roman"/>
          <w:color w:val="000000"/>
          <w:rtl/>
        </w:rPr>
        <w:t xml:space="preserve">על הצדדים למשא ומתן לנהוג בדרך </w:t>
      </w:r>
      <w:r w:rsidRPr="00824402">
        <w:rPr>
          <w:rFonts w:eastAsia="Times New Roman"/>
          <w:color w:val="000000"/>
          <w:rtl/>
        </w:rPr>
        <w:t>מקובלת ובתום לב. במקרה זה, בעת שבחרה הנתבעת שלא לספר לתובעים כי על מנת להתגורר בישוב יש צורך לעמוד בתנאי ועדת הקבלה</w:t>
      </w:r>
      <w:r w:rsidR="00435C22">
        <w:rPr>
          <w:rFonts w:eastAsia="Times New Roman" w:hint="cs"/>
          <w:color w:val="000000"/>
          <w:rtl/>
        </w:rPr>
        <w:t>,</w:t>
      </w:r>
      <w:r w:rsidRPr="00824402">
        <w:rPr>
          <w:rFonts w:eastAsia="Times New Roman"/>
          <w:color w:val="000000"/>
          <w:rtl/>
        </w:rPr>
        <w:t xml:space="preserve"> היא הפרת את חובת הגילוי החלה עליה מכוח עקרון תום הלב. ניתן לראות כי </w:t>
      </w:r>
      <w:r w:rsidR="00091B66">
        <w:rPr>
          <w:rFonts w:eastAsia="Times New Roman" w:hint="cs"/>
          <w:color w:val="000000"/>
          <w:rtl/>
        </w:rPr>
        <w:t>בפסיקה</w:t>
      </w:r>
      <w:r w:rsidR="00091B66">
        <w:rPr>
          <w:rStyle w:val="a6"/>
          <w:rFonts w:eastAsia="Times New Roman"/>
          <w:color w:val="000000"/>
          <w:rtl/>
        </w:rPr>
        <w:footnoteReference w:id="58"/>
      </w:r>
      <w:r w:rsidR="00091B66">
        <w:rPr>
          <w:rFonts w:eastAsia="Times New Roman" w:hint="cs"/>
          <w:color w:val="000000"/>
          <w:rtl/>
        </w:rPr>
        <w:t xml:space="preserve"> </w:t>
      </w:r>
      <w:r w:rsidRPr="00824402">
        <w:rPr>
          <w:rFonts w:eastAsia="Times New Roman"/>
          <w:color w:val="333333"/>
          <w:rtl/>
        </w:rPr>
        <w:t xml:space="preserve">נקבע כי </w:t>
      </w:r>
      <w:r w:rsidRPr="00435C22">
        <w:rPr>
          <w:rFonts w:eastAsia="Times New Roman"/>
          <w:b/>
          <w:bCs/>
          <w:color w:val="333333"/>
          <w:rtl/>
        </w:rPr>
        <w:t>בין החובות המוטלות על הצדדים בעת קיום המשא ומתן קיימת החובה שלא להטעות את הצד השני ע"י אי גילוי של מידע מהותי לעסקה. </w:t>
      </w:r>
    </w:p>
    <w:p w:rsidR="00824402" w:rsidRPr="00435C22" w:rsidRDefault="00824402" w:rsidP="002C0550">
      <w:pPr>
        <w:spacing w:before="240" w:after="0" w:line="360" w:lineRule="auto"/>
        <w:jc w:val="both"/>
        <w:rPr>
          <w:rFonts w:eastAsia="Times New Roman"/>
          <w:b/>
          <w:bCs/>
          <w:color w:val="000000"/>
        </w:rPr>
      </w:pPr>
      <w:r w:rsidRPr="00824402">
        <w:rPr>
          <w:rFonts w:eastAsia="Times New Roman"/>
          <w:color w:val="000000"/>
          <w:rtl/>
        </w:rPr>
        <w:t xml:space="preserve">מעת שהוכח כי אי הגילוי של הנתבעת מהווה הפרה של חובת תום הלב, </w:t>
      </w:r>
      <w:r w:rsidRPr="00435C22">
        <w:rPr>
          <w:rFonts w:eastAsia="Times New Roman"/>
          <w:b/>
          <w:bCs/>
          <w:color w:val="000000"/>
          <w:rtl/>
        </w:rPr>
        <w:t>יוכלו התוב</w:t>
      </w:r>
      <w:r w:rsidR="00435C22">
        <w:rPr>
          <w:rFonts w:eastAsia="Times New Roman"/>
          <w:b/>
          <w:bCs/>
          <w:color w:val="000000"/>
          <w:rtl/>
        </w:rPr>
        <w:t>עים לדרוש פיצוי בגי</w:t>
      </w:r>
      <w:r w:rsidR="00435C22">
        <w:rPr>
          <w:rFonts w:eastAsia="Times New Roman" w:hint="cs"/>
          <w:b/>
          <w:bCs/>
          <w:color w:val="000000"/>
          <w:rtl/>
        </w:rPr>
        <w:t>נה</w:t>
      </w:r>
      <w:r w:rsidR="009F1F17">
        <w:rPr>
          <w:rFonts w:eastAsia="Times New Roman" w:hint="cs"/>
          <w:color w:val="000000"/>
          <w:rtl/>
        </w:rPr>
        <w:t>.</w:t>
      </w:r>
      <w:r w:rsidR="00091B66">
        <w:rPr>
          <w:rStyle w:val="a6"/>
          <w:rFonts w:eastAsia="Times New Roman"/>
          <w:color w:val="000000"/>
          <w:rtl/>
        </w:rPr>
        <w:footnoteReference w:id="59"/>
      </w:r>
      <w:r w:rsidRPr="00824402">
        <w:rPr>
          <w:rFonts w:eastAsia="Times New Roman"/>
          <w:color w:val="000000"/>
          <w:rtl/>
        </w:rPr>
        <w:t xml:space="preserve"> תחילה </w:t>
      </w:r>
      <w:r w:rsidR="00091B66">
        <w:rPr>
          <w:rFonts w:eastAsia="Times New Roman" w:hint="cs"/>
          <w:color w:val="000000"/>
          <w:rtl/>
        </w:rPr>
        <w:t>הוגבל ס'12</w:t>
      </w:r>
      <w:r w:rsidRPr="00824402">
        <w:rPr>
          <w:rFonts w:eastAsia="Times New Roman"/>
          <w:color w:val="000000"/>
          <w:rtl/>
        </w:rPr>
        <w:t xml:space="preserve"> לפיצויים שליליים בלבד אך נראה כי </w:t>
      </w:r>
      <w:r w:rsidR="00091B66">
        <w:rPr>
          <w:rFonts w:eastAsia="Times New Roman" w:hint="cs"/>
          <w:color w:val="000000"/>
          <w:rtl/>
        </w:rPr>
        <w:t>בפסיקה</w:t>
      </w:r>
      <w:r w:rsidR="00091B66">
        <w:rPr>
          <w:rStyle w:val="a6"/>
          <w:rFonts w:eastAsia="Times New Roman"/>
          <w:color w:val="000000"/>
          <w:rtl/>
        </w:rPr>
        <w:footnoteReference w:id="60"/>
      </w:r>
      <w:r w:rsidR="00091B66">
        <w:rPr>
          <w:rFonts w:eastAsia="Times New Roman" w:hint="cs"/>
          <w:color w:val="000000"/>
          <w:rtl/>
        </w:rPr>
        <w:t xml:space="preserve"> </w:t>
      </w:r>
      <w:r w:rsidRPr="00824402">
        <w:rPr>
          <w:rFonts w:eastAsia="Times New Roman"/>
          <w:color w:val="000000"/>
          <w:rtl/>
        </w:rPr>
        <w:t>נקבע כי סעיף 12(ב) לא מוגבל אך ורק ל"פיצויים השלי</w:t>
      </w:r>
      <w:r w:rsidR="00091B66">
        <w:rPr>
          <w:rFonts w:eastAsia="Times New Roman"/>
          <w:color w:val="000000"/>
          <w:rtl/>
        </w:rPr>
        <w:t>ליים", כשם שלא נפסקים בגינו רק </w:t>
      </w:r>
      <w:r w:rsidRPr="00824402">
        <w:rPr>
          <w:rFonts w:eastAsia="Times New Roman"/>
          <w:color w:val="000000"/>
          <w:rtl/>
        </w:rPr>
        <w:t>"פיצויים חיוביים". הפיצוי תלוי בנסיבות המקרה תוך שיקולים כגון רמת חוסר תום-הלב, הצפיות של ההפרה, התקדמות המשא ומתן ועוד. במקרה דנן ניתן לראות כי חוסר תום הלב היה גדול שכן הנתבעת ידעה על קיום ועדת הקבלה ולא עשתה מ</w:t>
      </w:r>
      <w:r w:rsidR="002C0550">
        <w:rPr>
          <w:rFonts w:eastAsia="Times New Roman"/>
          <w:color w:val="000000"/>
          <w:rtl/>
        </w:rPr>
        <w:t>אמץ מיוחד על מנת להשיג מידע זה</w:t>
      </w:r>
      <w:r w:rsidR="002C0550">
        <w:rPr>
          <w:rFonts w:eastAsia="Times New Roman" w:hint="cs"/>
          <w:color w:val="000000"/>
          <w:rtl/>
        </w:rPr>
        <w:t xml:space="preserve">. </w:t>
      </w:r>
      <w:r w:rsidRPr="00824402">
        <w:rPr>
          <w:rFonts w:eastAsia="Times New Roman"/>
          <w:color w:val="000000"/>
          <w:rtl/>
        </w:rPr>
        <w:t>בנוסף</w:t>
      </w:r>
      <w:r w:rsidR="002C0550">
        <w:rPr>
          <w:rFonts w:eastAsia="Times New Roman" w:hint="cs"/>
          <w:color w:val="000000"/>
          <w:rtl/>
        </w:rPr>
        <w:t>,</w:t>
      </w:r>
      <w:r w:rsidRPr="00824402">
        <w:rPr>
          <w:rFonts w:eastAsia="Times New Roman"/>
          <w:color w:val="000000"/>
          <w:rtl/>
        </w:rPr>
        <w:t xml:space="preserve"> היו הצדדים בשלב מתקדם במשא ומתן שכן גילו על התנאי רק בעת החתימה. על כן</w:t>
      </w:r>
      <w:r w:rsidR="00435C22" w:rsidRPr="00435C22">
        <w:rPr>
          <w:rFonts w:eastAsia="Times New Roman" w:hint="cs"/>
          <w:b/>
          <w:bCs/>
          <w:color w:val="000000"/>
          <w:rtl/>
        </w:rPr>
        <w:t>,</w:t>
      </w:r>
      <w:r w:rsidRPr="00435C22">
        <w:rPr>
          <w:rFonts w:eastAsia="Times New Roman"/>
          <w:b/>
          <w:bCs/>
          <w:color w:val="000000"/>
          <w:rtl/>
        </w:rPr>
        <w:t xml:space="preserve"> יוכלו התובעים לדרוש פיצוי חיובי, </w:t>
      </w:r>
      <w:r w:rsidR="002C0550">
        <w:rPr>
          <w:rFonts w:eastAsia="Times New Roman" w:hint="cs"/>
          <w:b/>
          <w:bCs/>
          <w:color w:val="000000"/>
          <w:rtl/>
        </w:rPr>
        <w:t>ה</w:t>
      </w:r>
      <w:r w:rsidRPr="00435C22">
        <w:rPr>
          <w:rFonts w:eastAsia="Times New Roman"/>
          <w:b/>
          <w:bCs/>
          <w:color w:val="000000"/>
          <w:rtl/>
        </w:rPr>
        <w:t>מהווה את הרווח שהיה צפוי לתובעים מן העסקה. </w:t>
      </w:r>
    </w:p>
    <w:p w:rsidR="00824402" w:rsidRPr="00141F7E" w:rsidRDefault="00141F7E" w:rsidP="00141F7E">
      <w:pPr>
        <w:pStyle w:val="a3"/>
        <w:numPr>
          <w:ilvl w:val="0"/>
          <w:numId w:val="1"/>
        </w:numPr>
        <w:spacing w:before="240" w:after="0" w:line="360" w:lineRule="auto"/>
        <w:jc w:val="center"/>
        <w:rPr>
          <w:rFonts w:eastAsia="Times New Roman"/>
          <w:b/>
          <w:bCs/>
        </w:rPr>
      </w:pPr>
      <w:r w:rsidRPr="00141F7E">
        <w:rPr>
          <w:rFonts w:eastAsia="Times New Roman"/>
          <w:b/>
          <w:bCs/>
          <w:rtl/>
        </w:rPr>
        <w:t>איסור אפליה</w:t>
      </w:r>
    </w:p>
    <w:p w:rsidR="00824402" w:rsidRPr="00824402" w:rsidRDefault="0016428C" w:rsidP="00AD28AD">
      <w:pPr>
        <w:spacing w:before="240" w:after="240" w:line="360" w:lineRule="auto"/>
        <w:jc w:val="both"/>
        <w:rPr>
          <w:rFonts w:ascii="Times New Roman" w:eastAsia="Times New Roman" w:hAnsi="Times New Roman" w:cs="Times New Roman"/>
          <w:rtl/>
        </w:rPr>
      </w:pPr>
      <w:r>
        <w:rPr>
          <w:rFonts w:eastAsia="Times New Roman" w:hint="cs"/>
          <w:color w:val="000000"/>
          <w:rtl/>
        </w:rPr>
        <w:t>א</w:t>
      </w:r>
      <w:r w:rsidR="00824402" w:rsidRPr="00824402">
        <w:rPr>
          <w:rFonts w:eastAsia="Times New Roman"/>
          <w:color w:val="000000"/>
          <w:rtl/>
        </w:rPr>
        <w:t>פליה מוגדרת כ"</w:t>
      </w:r>
      <w:r w:rsidR="000A445F" w:rsidRPr="002C0550">
        <w:rPr>
          <w:rFonts w:eastAsia="Times New Roman"/>
          <w:b/>
          <w:bCs/>
          <w:color w:val="000000"/>
          <w:rtl/>
        </w:rPr>
        <w:t>הבדלה של אדם או של קבוצת אנשים מתוך דעה קדומה</w:t>
      </w:r>
      <w:r w:rsidR="000A445F">
        <w:rPr>
          <w:rFonts w:eastAsia="Times New Roman" w:hint="cs"/>
          <w:color w:val="000000"/>
          <w:rtl/>
        </w:rPr>
        <w:t>"</w:t>
      </w:r>
      <w:r w:rsidR="00AD28AD">
        <w:rPr>
          <w:rFonts w:eastAsia="Times New Roman" w:hint="cs"/>
          <w:color w:val="000000"/>
          <w:rtl/>
        </w:rPr>
        <w:t>.</w:t>
      </w:r>
      <w:r w:rsidR="000A445F">
        <w:rPr>
          <w:rStyle w:val="a6"/>
          <w:rFonts w:eastAsia="Times New Roman"/>
          <w:color w:val="000000"/>
          <w:rtl/>
        </w:rPr>
        <w:footnoteReference w:id="61"/>
      </w:r>
      <w:r w:rsidR="000A445F">
        <w:rPr>
          <w:rFonts w:eastAsia="Times New Roman"/>
          <w:color w:val="000000"/>
          <w:rtl/>
        </w:rPr>
        <w:t xml:space="preserve"> </w:t>
      </w:r>
      <w:r w:rsidR="000A445F">
        <w:rPr>
          <w:rFonts w:eastAsia="Times New Roman" w:hint="cs"/>
          <w:color w:val="000000"/>
          <w:rtl/>
        </w:rPr>
        <w:t>א</w:t>
      </w:r>
      <w:r w:rsidR="00824402" w:rsidRPr="00824402">
        <w:rPr>
          <w:rFonts w:eastAsia="Times New Roman"/>
          <w:color w:val="000000"/>
          <w:rtl/>
        </w:rPr>
        <w:t>פליה כוללת בתוכה יחס שונה, איפה ואיפה ויחס טוב לאד</w:t>
      </w:r>
      <w:r>
        <w:rPr>
          <w:rFonts w:eastAsia="Times New Roman"/>
          <w:color w:val="000000"/>
          <w:rtl/>
        </w:rPr>
        <w:t xml:space="preserve">ם אחד לעומת אחר. </w:t>
      </w:r>
      <w:r>
        <w:rPr>
          <w:rFonts w:eastAsia="Times New Roman" w:hint="cs"/>
          <w:color w:val="000000"/>
          <w:rtl/>
        </w:rPr>
        <w:t>א</w:t>
      </w:r>
      <w:r w:rsidR="00824402" w:rsidRPr="00824402">
        <w:rPr>
          <w:rFonts w:eastAsia="Times New Roman"/>
          <w:color w:val="000000"/>
          <w:rtl/>
        </w:rPr>
        <w:t>פליה תהייה אסורה כאשר אין לה הצדקה והיא נובעת משוני שאינו רלוונטי</w:t>
      </w:r>
      <w:r w:rsidR="003D4C87">
        <w:rPr>
          <w:rFonts w:eastAsia="Times New Roman" w:hint="cs"/>
          <w:color w:val="000000"/>
          <w:rtl/>
        </w:rPr>
        <w:t>.</w:t>
      </w:r>
      <w:r>
        <w:rPr>
          <w:rStyle w:val="a6"/>
          <w:rFonts w:eastAsia="Times New Roman"/>
          <w:color w:val="000000"/>
          <w:rtl/>
        </w:rPr>
        <w:footnoteReference w:id="62"/>
      </w:r>
      <w:r w:rsidR="003D4C87">
        <w:rPr>
          <w:rFonts w:eastAsia="Times New Roman" w:hint="cs"/>
          <w:color w:val="000000"/>
          <w:rtl/>
        </w:rPr>
        <w:t xml:space="preserve"> </w:t>
      </w:r>
      <w:r w:rsidR="00824402" w:rsidRPr="00824402">
        <w:rPr>
          <w:rFonts w:eastAsia="Times New Roman"/>
          <w:color w:val="000000"/>
          <w:rtl/>
        </w:rPr>
        <w:t>ע"פ ס'3 לחוק איסור הפליה</w:t>
      </w:r>
      <w:r>
        <w:rPr>
          <w:rStyle w:val="a6"/>
          <w:rFonts w:eastAsia="Times New Roman"/>
          <w:color w:val="000000"/>
          <w:rtl/>
        </w:rPr>
        <w:footnoteReference w:id="63"/>
      </w:r>
      <w:r>
        <w:rPr>
          <w:rFonts w:eastAsia="Times New Roman"/>
          <w:color w:val="000000"/>
          <w:rtl/>
        </w:rPr>
        <w:t xml:space="preserve"> </w:t>
      </w:r>
      <w:r>
        <w:rPr>
          <w:rFonts w:eastAsia="Times New Roman" w:hint="cs"/>
          <w:color w:val="000000"/>
          <w:rtl/>
        </w:rPr>
        <w:t xml:space="preserve"> </w:t>
      </w:r>
      <w:r>
        <w:rPr>
          <w:rFonts w:eastAsia="Times New Roman"/>
          <w:color w:val="000000"/>
          <w:rtl/>
        </w:rPr>
        <w:t xml:space="preserve">איסור </w:t>
      </w:r>
      <w:r>
        <w:rPr>
          <w:rFonts w:eastAsia="Times New Roman" w:hint="cs"/>
          <w:color w:val="000000"/>
          <w:rtl/>
        </w:rPr>
        <w:t>א</w:t>
      </w:r>
      <w:r w:rsidR="002C0550">
        <w:rPr>
          <w:rFonts w:eastAsia="Times New Roman"/>
          <w:color w:val="000000"/>
          <w:rtl/>
        </w:rPr>
        <w:t>פליה חל על מי שעיסוקו הוא ב</w:t>
      </w:r>
      <w:r w:rsidR="002C0550">
        <w:rPr>
          <w:rFonts w:eastAsia="Times New Roman" w:hint="cs"/>
          <w:color w:val="000000"/>
          <w:rtl/>
        </w:rPr>
        <w:t>א</w:t>
      </w:r>
      <w:r w:rsidR="00824402" w:rsidRPr="00824402">
        <w:rPr>
          <w:rFonts w:eastAsia="Times New Roman"/>
          <w:color w:val="000000"/>
          <w:rtl/>
        </w:rPr>
        <w:t>ספקת מוצר, במתן שירו</w:t>
      </w:r>
      <w:r>
        <w:rPr>
          <w:rFonts w:eastAsia="Times New Roman"/>
          <w:color w:val="000000"/>
          <w:rtl/>
        </w:rPr>
        <w:t>ת ציבורי או בהפעלת מקום ציבורי</w:t>
      </w:r>
      <w:r w:rsidR="00824402" w:rsidRPr="00824402">
        <w:rPr>
          <w:rFonts w:eastAsia="Times New Roman"/>
          <w:color w:val="000000"/>
          <w:rtl/>
        </w:rPr>
        <w:t>. אומנם</w:t>
      </w:r>
      <w:r>
        <w:rPr>
          <w:rFonts w:eastAsia="Times New Roman" w:hint="cs"/>
          <w:color w:val="000000"/>
          <w:rtl/>
        </w:rPr>
        <w:t>,</w:t>
      </w:r>
      <w:r w:rsidR="00824402" w:rsidRPr="00824402">
        <w:rPr>
          <w:rFonts w:eastAsia="Times New Roman"/>
          <w:color w:val="000000"/>
          <w:rtl/>
        </w:rPr>
        <w:t xml:space="preserve"> </w:t>
      </w:r>
      <w:r>
        <w:rPr>
          <w:rFonts w:eastAsia="Times New Roman"/>
          <w:color w:val="000000"/>
          <w:rtl/>
        </w:rPr>
        <w:t xml:space="preserve">מכוח חוק זה אין איסור מפורש על </w:t>
      </w:r>
      <w:r>
        <w:rPr>
          <w:rFonts w:eastAsia="Times New Roman" w:hint="cs"/>
          <w:color w:val="000000"/>
          <w:rtl/>
        </w:rPr>
        <w:t>א</w:t>
      </w:r>
      <w:r w:rsidR="00824402" w:rsidRPr="00824402">
        <w:rPr>
          <w:rFonts w:eastAsia="Times New Roman"/>
          <w:color w:val="000000"/>
          <w:rtl/>
        </w:rPr>
        <w:t>פליה מצד אנשים פרטיים</w:t>
      </w:r>
      <w:r>
        <w:rPr>
          <w:rFonts w:eastAsia="Times New Roman" w:hint="cs"/>
          <w:color w:val="000000"/>
          <w:rtl/>
        </w:rPr>
        <w:t xml:space="preserve">, אך </w:t>
      </w:r>
      <w:r>
        <w:rPr>
          <w:rFonts w:eastAsia="Times New Roman"/>
          <w:color w:val="000000"/>
          <w:rtl/>
        </w:rPr>
        <w:t xml:space="preserve">יכול להיות כי </w:t>
      </w:r>
      <w:r>
        <w:rPr>
          <w:rFonts w:eastAsia="Times New Roman" w:hint="cs"/>
          <w:color w:val="000000"/>
          <w:rtl/>
        </w:rPr>
        <w:t>אפ</w:t>
      </w:r>
      <w:r w:rsidR="00824402" w:rsidRPr="00824402">
        <w:rPr>
          <w:rFonts w:eastAsia="Times New Roman"/>
          <w:color w:val="000000"/>
          <w:rtl/>
        </w:rPr>
        <w:t>ליה שכזו מהווה פגיעה בחוק יסוד ובזכויות הנגזרות ממנו</w:t>
      </w:r>
      <w:r>
        <w:rPr>
          <w:rFonts w:eastAsia="Times New Roman" w:hint="cs"/>
          <w:color w:val="000000"/>
          <w:rtl/>
        </w:rPr>
        <w:t>.</w:t>
      </w:r>
      <w:r>
        <w:rPr>
          <w:rFonts w:eastAsia="Times New Roman"/>
          <w:color w:val="000000"/>
          <w:rtl/>
        </w:rPr>
        <w:t xml:space="preserve"> </w:t>
      </w:r>
      <w:r w:rsidR="00824402" w:rsidRPr="00824402">
        <w:rPr>
          <w:rFonts w:eastAsia="Times New Roman"/>
          <w:color w:val="000000"/>
          <w:rtl/>
        </w:rPr>
        <w:t>על כ</w:t>
      </w:r>
      <w:r w:rsidR="00DF1769">
        <w:rPr>
          <w:rFonts w:eastAsia="Times New Roman" w:hint="cs"/>
          <w:color w:val="000000"/>
          <w:rtl/>
        </w:rPr>
        <w:t>ן,</w:t>
      </w:r>
      <w:r>
        <w:rPr>
          <w:rFonts w:eastAsia="Times New Roman"/>
          <w:color w:val="000000"/>
          <w:rtl/>
        </w:rPr>
        <w:t xml:space="preserve"> יוכל בית המשפט לקבוע כי עצם ה</w:t>
      </w:r>
      <w:r>
        <w:rPr>
          <w:rFonts w:eastAsia="Times New Roman" w:hint="cs"/>
          <w:color w:val="000000"/>
          <w:rtl/>
        </w:rPr>
        <w:t>א</w:t>
      </w:r>
      <w:r w:rsidR="00824402" w:rsidRPr="00824402">
        <w:rPr>
          <w:rFonts w:eastAsia="Times New Roman"/>
          <w:color w:val="000000"/>
          <w:rtl/>
        </w:rPr>
        <w:t>פליה מהווה ניהול משא ומתן בחוסר תום לב ושלא בדרך מקובלת ולפסוק פיצויים לצד הנפגע. </w:t>
      </w:r>
    </w:p>
    <w:p w:rsidR="00824402" w:rsidRPr="00824402" w:rsidRDefault="00824402" w:rsidP="00824402">
      <w:pPr>
        <w:spacing w:before="240" w:after="240" w:line="360" w:lineRule="auto"/>
        <w:jc w:val="both"/>
        <w:rPr>
          <w:rFonts w:ascii="Times New Roman" w:eastAsia="Times New Roman" w:hAnsi="Times New Roman" w:cs="Times New Roman"/>
          <w:rtl/>
        </w:rPr>
      </w:pPr>
      <w:r w:rsidRPr="00824402">
        <w:rPr>
          <w:rFonts w:eastAsia="Times New Roman"/>
          <w:color w:val="000000"/>
          <w:rtl/>
        </w:rPr>
        <w:t xml:space="preserve">די באמרת הנתבעת כי היא "אינה מעוניינת למכור לזוג חסר מוסר ומידות טובות שחי יחד </w:t>
      </w:r>
      <w:r w:rsidR="00DF1769">
        <w:rPr>
          <w:rFonts w:eastAsia="Times New Roman"/>
          <w:color w:val="000000"/>
          <w:rtl/>
        </w:rPr>
        <w:t xml:space="preserve">ללא ברית נישואין" כדי להעיד על </w:t>
      </w:r>
      <w:r w:rsidR="00DF1769">
        <w:rPr>
          <w:rFonts w:eastAsia="Times New Roman" w:hint="cs"/>
          <w:color w:val="000000"/>
          <w:rtl/>
        </w:rPr>
        <w:t>א</w:t>
      </w:r>
      <w:r w:rsidRPr="00824402">
        <w:rPr>
          <w:rFonts w:eastAsia="Times New Roman"/>
          <w:color w:val="000000"/>
          <w:rtl/>
        </w:rPr>
        <w:t>פליה מצדה כלפי התובעים.</w:t>
      </w:r>
    </w:p>
    <w:p w:rsidR="00824402" w:rsidRPr="00824402" w:rsidRDefault="00824402" w:rsidP="001C1738">
      <w:pPr>
        <w:spacing w:before="240" w:after="240" w:line="360" w:lineRule="auto"/>
        <w:jc w:val="both"/>
        <w:rPr>
          <w:rFonts w:ascii="Times New Roman" w:eastAsia="Times New Roman" w:hAnsi="Times New Roman" w:cs="Times New Roman"/>
          <w:rtl/>
        </w:rPr>
      </w:pPr>
      <w:r w:rsidRPr="00824402">
        <w:rPr>
          <w:rFonts w:eastAsia="Times New Roman"/>
          <w:color w:val="000000"/>
          <w:rtl/>
        </w:rPr>
        <w:t xml:space="preserve">כאמור, התובעים מבססים חלק זה בתביעתם על עילה חלופית, שנוגעת להפרת חובת </w:t>
      </w:r>
      <w:r w:rsidR="002C0550">
        <w:rPr>
          <w:rFonts w:eastAsia="Times New Roman"/>
          <w:color w:val="000000"/>
          <w:rtl/>
        </w:rPr>
        <w:t xml:space="preserve">תום הלב במשא ומתן לכריתת חוזה. </w:t>
      </w:r>
      <w:r w:rsidRPr="00824402">
        <w:rPr>
          <w:rFonts w:eastAsia="Times New Roman"/>
          <w:color w:val="000000"/>
          <w:rtl/>
        </w:rPr>
        <w:t>בשל היות הנתבעת אדם פרטי</w:t>
      </w:r>
      <w:r w:rsidR="002C0550">
        <w:rPr>
          <w:rFonts w:eastAsia="Times New Roman" w:hint="cs"/>
          <w:color w:val="000000"/>
          <w:rtl/>
        </w:rPr>
        <w:t>,</w:t>
      </w:r>
      <w:r w:rsidRPr="00824402">
        <w:rPr>
          <w:rFonts w:eastAsia="Times New Roman"/>
          <w:color w:val="000000"/>
          <w:rtl/>
        </w:rPr>
        <w:t xml:space="preserve"> לא חל עליה חוק איסור ההפליה</w:t>
      </w:r>
      <w:r w:rsidR="002C0550">
        <w:rPr>
          <w:rFonts w:eastAsia="Times New Roman" w:hint="cs"/>
          <w:color w:val="000000"/>
          <w:rtl/>
        </w:rPr>
        <w:t>,</w:t>
      </w:r>
      <w:r w:rsidR="00DF1769">
        <w:rPr>
          <w:rStyle w:val="a6"/>
          <w:rFonts w:eastAsia="Times New Roman"/>
          <w:color w:val="000000"/>
          <w:rtl/>
        </w:rPr>
        <w:footnoteReference w:id="64"/>
      </w:r>
      <w:r w:rsidRPr="00824402">
        <w:rPr>
          <w:rFonts w:eastAsia="Times New Roman"/>
          <w:color w:val="000000"/>
          <w:rtl/>
        </w:rPr>
        <w:t xml:space="preserve"> ולכן </w:t>
      </w:r>
      <w:r w:rsidR="00357501">
        <w:rPr>
          <w:rFonts w:eastAsia="Times New Roman" w:hint="cs"/>
          <w:color w:val="000000"/>
          <w:rtl/>
        </w:rPr>
        <w:lastRenderedPageBreak/>
        <w:t>ה</w:t>
      </w:r>
      <w:r w:rsidR="008142D1">
        <w:rPr>
          <w:rFonts w:eastAsia="Times New Roman" w:hint="cs"/>
          <w:color w:val="000000"/>
          <w:rtl/>
        </w:rPr>
        <w:t>תובעים</w:t>
      </w:r>
      <w:r w:rsidR="00357501">
        <w:rPr>
          <w:rFonts w:eastAsia="Times New Roman" w:hint="cs"/>
          <w:color w:val="000000"/>
          <w:rtl/>
        </w:rPr>
        <w:t xml:space="preserve"> </w:t>
      </w:r>
      <w:r w:rsidRPr="00824402">
        <w:rPr>
          <w:rFonts w:eastAsia="Times New Roman"/>
          <w:color w:val="000000"/>
          <w:rtl/>
        </w:rPr>
        <w:t xml:space="preserve">אינם יכולים לתבוע אותה מכוח זה. אמרת הנתבעת </w:t>
      </w:r>
      <w:r w:rsidR="00DF1769">
        <w:rPr>
          <w:rFonts w:eastAsia="Times New Roman" w:hint="cs"/>
          <w:color w:val="000000"/>
          <w:rtl/>
        </w:rPr>
        <w:t>ה</w:t>
      </w:r>
      <w:r w:rsidRPr="00824402">
        <w:rPr>
          <w:rFonts w:eastAsia="Times New Roman"/>
          <w:color w:val="000000"/>
          <w:rtl/>
        </w:rPr>
        <w:t>מעידה</w:t>
      </w:r>
      <w:r w:rsidR="001C1738">
        <w:rPr>
          <w:rFonts w:eastAsia="Times New Roman"/>
          <w:color w:val="000000"/>
          <w:rtl/>
        </w:rPr>
        <w:t xml:space="preserve"> על כך שבגין רקע דתי ותרבותי</w:t>
      </w:r>
      <w:r w:rsidRPr="00824402">
        <w:rPr>
          <w:rFonts w:eastAsia="Times New Roman"/>
          <w:color w:val="000000"/>
          <w:rtl/>
        </w:rPr>
        <w:t xml:space="preserve"> איננה מעוניינת להשכיר את דירתה לזוג מהווה התנהלות שלא בדרך המקובלת ושלא בתום לב. בבית המשפט העליון נקבע</w:t>
      </w:r>
      <w:r w:rsidR="00DF1769">
        <w:rPr>
          <w:rStyle w:val="a6"/>
          <w:rFonts w:eastAsia="Times New Roman"/>
          <w:color w:val="000000"/>
          <w:rtl/>
        </w:rPr>
        <w:footnoteReference w:id="65"/>
      </w:r>
      <w:r w:rsidR="00DF1769">
        <w:rPr>
          <w:rFonts w:eastAsia="Times New Roman"/>
          <w:color w:val="000000"/>
          <w:rtl/>
        </w:rPr>
        <w:t xml:space="preserve"> </w:t>
      </w:r>
      <w:r w:rsidR="001C1738">
        <w:rPr>
          <w:rFonts w:eastAsia="Times New Roman" w:hint="cs"/>
          <w:color w:val="000000"/>
          <w:rtl/>
        </w:rPr>
        <w:t xml:space="preserve"> </w:t>
      </w:r>
      <w:r w:rsidR="00DF1769">
        <w:rPr>
          <w:rFonts w:eastAsia="Times New Roman"/>
          <w:color w:val="000000"/>
          <w:rtl/>
        </w:rPr>
        <w:t xml:space="preserve">כי </w:t>
      </w:r>
      <w:r w:rsidR="00DF1769" w:rsidRPr="002C0550">
        <w:rPr>
          <w:rFonts w:eastAsia="Times New Roman"/>
          <w:b/>
          <w:bCs/>
          <w:color w:val="000000"/>
          <w:rtl/>
        </w:rPr>
        <w:t>איסור ה</w:t>
      </w:r>
      <w:r w:rsidR="00DF1769" w:rsidRPr="002C0550">
        <w:rPr>
          <w:rFonts w:eastAsia="Times New Roman" w:hint="cs"/>
          <w:b/>
          <w:bCs/>
          <w:color w:val="000000"/>
          <w:rtl/>
        </w:rPr>
        <w:t>א</w:t>
      </w:r>
      <w:r w:rsidRPr="002C0550">
        <w:rPr>
          <w:rFonts w:eastAsia="Times New Roman"/>
          <w:b/>
          <w:bCs/>
          <w:color w:val="000000"/>
          <w:rtl/>
        </w:rPr>
        <w:t>פליה מוחל</w:t>
      </w:r>
      <w:r w:rsidR="00DF1769" w:rsidRPr="002C0550">
        <w:rPr>
          <w:rFonts w:eastAsia="Times New Roman" w:hint="cs"/>
          <w:b/>
          <w:bCs/>
          <w:color w:val="000000"/>
          <w:rtl/>
        </w:rPr>
        <w:t xml:space="preserve"> </w:t>
      </w:r>
      <w:r w:rsidRPr="002C0550">
        <w:rPr>
          <w:rFonts w:eastAsia="Times New Roman"/>
          <w:b/>
          <w:bCs/>
          <w:color w:val="000000"/>
          <w:rtl/>
        </w:rPr>
        <w:t>על גורמים פרטיים דרך חובת תום הלב ועל כן יכולים התובעים לדרוש פיצוי</w:t>
      </w:r>
      <w:r w:rsidR="00DF1769">
        <w:rPr>
          <w:rStyle w:val="a6"/>
          <w:rFonts w:eastAsia="Times New Roman"/>
          <w:color w:val="000000"/>
          <w:rtl/>
        </w:rPr>
        <w:footnoteReference w:id="66"/>
      </w:r>
      <w:r w:rsidR="00E3479D">
        <w:rPr>
          <w:rFonts w:eastAsia="Times New Roman"/>
          <w:color w:val="000000"/>
          <w:rtl/>
        </w:rPr>
        <w:t xml:space="preserve"> </w:t>
      </w:r>
      <w:r w:rsidRPr="00824402">
        <w:rPr>
          <w:rFonts w:eastAsia="Times New Roman"/>
          <w:color w:val="000000"/>
          <w:rtl/>
        </w:rPr>
        <w:t>בגין הפרת חובה זו. </w:t>
      </w:r>
    </w:p>
    <w:p w:rsidR="00251E85" w:rsidRDefault="00141F7E" w:rsidP="00141F7E">
      <w:pPr>
        <w:pStyle w:val="a3"/>
        <w:numPr>
          <w:ilvl w:val="0"/>
          <w:numId w:val="1"/>
        </w:numPr>
        <w:spacing w:line="360" w:lineRule="auto"/>
        <w:jc w:val="center"/>
        <w:rPr>
          <w:b/>
          <w:bCs/>
        </w:rPr>
      </w:pPr>
      <w:r w:rsidRPr="00141F7E">
        <w:rPr>
          <w:rFonts w:hint="cs"/>
          <w:b/>
          <w:bCs/>
          <w:rtl/>
        </w:rPr>
        <w:t>סיכום</w:t>
      </w:r>
    </w:p>
    <w:p w:rsidR="00E8248D" w:rsidRPr="00E8248D" w:rsidRDefault="00E8248D" w:rsidP="00604AB6">
      <w:pPr>
        <w:spacing w:line="360" w:lineRule="auto"/>
        <w:jc w:val="both"/>
        <w:rPr>
          <w:rtl/>
        </w:rPr>
      </w:pPr>
      <w:r w:rsidRPr="00E8248D">
        <w:rPr>
          <w:rtl/>
        </w:rPr>
        <w:t xml:space="preserve">לאחר שהצגנו את </w:t>
      </w:r>
      <w:r w:rsidR="00A917FD">
        <w:rPr>
          <w:rFonts w:hint="cs"/>
          <w:rtl/>
        </w:rPr>
        <w:t>טענות התובעים</w:t>
      </w:r>
      <w:r w:rsidRPr="00E8248D">
        <w:rPr>
          <w:rtl/>
        </w:rPr>
        <w:t>, א</w:t>
      </w:r>
      <w:r>
        <w:rPr>
          <w:rtl/>
        </w:rPr>
        <w:t>נו סבורים כי על בית המשפט</w:t>
      </w:r>
      <w:r w:rsidRPr="00E8248D">
        <w:rPr>
          <w:rtl/>
        </w:rPr>
        <w:t xml:space="preserve"> להכיר בתוקפו המחייב של זיכרון הדברים ובבטלותו של החוזה הפורמלי שנחתם בין הצדדים, לפסוק פיצויים לטובת</w:t>
      </w:r>
      <w:r w:rsidR="00A917FD">
        <w:rPr>
          <w:rtl/>
        </w:rPr>
        <w:t xml:space="preserve"> התובעים בגין הפרת חובת תום הלב</w:t>
      </w:r>
      <w:r w:rsidR="00A917FD">
        <w:rPr>
          <w:rStyle w:val="a6"/>
          <w:rtl/>
        </w:rPr>
        <w:footnoteReference w:id="67"/>
      </w:r>
      <w:r w:rsidR="00A917FD">
        <w:rPr>
          <w:rFonts w:hint="cs"/>
          <w:rtl/>
        </w:rPr>
        <w:t xml:space="preserve"> </w:t>
      </w:r>
      <w:r w:rsidRPr="00E8248D">
        <w:rPr>
          <w:rtl/>
        </w:rPr>
        <w:t>וכן פיצויי הסתמכות</w:t>
      </w:r>
      <w:r w:rsidR="00A917FD">
        <w:rPr>
          <w:rStyle w:val="a6"/>
          <w:rtl/>
        </w:rPr>
        <w:footnoteReference w:id="68"/>
      </w:r>
      <w:r w:rsidRPr="00E8248D">
        <w:rPr>
          <w:rtl/>
        </w:rPr>
        <w:t xml:space="preserve"> בגין</w:t>
      </w:r>
      <w:r w:rsidR="00A917FD">
        <w:rPr>
          <w:rtl/>
        </w:rPr>
        <w:t xml:space="preserve"> הפרתו היסודית של זיכרון הדברים</w:t>
      </w:r>
      <w:r w:rsidR="00A917FD">
        <w:rPr>
          <w:rFonts w:hint="cs"/>
          <w:rtl/>
        </w:rPr>
        <w:t>.</w:t>
      </w:r>
    </w:p>
    <w:p w:rsidR="00E8248D" w:rsidRPr="00E8248D" w:rsidRDefault="00E8248D" w:rsidP="00604AB6">
      <w:pPr>
        <w:spacing w:line="360" w:lineRule="auto"/>
        <w:jc w:val="both"/>
        <w:rPr>
          <w:rtl/>
        </w:rPr>
      </w:pPr>
      <w:r w:rsidRPr="00E8248D">
        <w:rPr>
          <w:rtl/>
        </w:rPr>
        <w:t xml:space="preserve">כאמור, תוקפו של זיכרון הדברים מחייב משום שהוא מעיד על גמירות דעתם של הצדדים, הוא מסוים דיו ומקיים את דרישת הכתב ואת נוסחת הקשר. כמו כן, הדגשנו כי העדר החתימה אינו פוגם במעמדו של זיכרון הדברים כחוזה מחייב ותקף משפטית. יתר על כן, טענו כי החוזה השני אשר נחתם בין </w:t>
      </w:r>
      <w:r w:rsidR="00A917FD">
        <w:rPr>
          <w:rtl/>
        </w:rPr>
        <w:t>הצדדים בטל בשל הטעי</w:t>
      </w:r>
      <w:r w:rsidR="00A917FD">
        <w:rPr>
          <w:rFonts w:hint="cs"/>
          <w:rtl/>
        </w:rPr>
        <w:t>ה</w:t>
      </w:r>
      <w:r w:rsidRPr="00E8248D">
        <w:rPr>
          <w:rtl/>
        </w:rPr>
        <w:t>.</w:t>
      </w:r>
      <w:r w:rsidR="00A917FD">
        <w:rPr>
          <w:rStyle w:val="a6"/>
          <w:rtl/>
        </w:rPr>
        <w:footnoteReference w:id="69"/>
      </w:r>
      <w:r w:rsidRPr="00E8248D">
        <w:rPr>
          <w:rtl/>
        </w:rPr>
        <w:t xml:space="preserve"> אי גילוי פרט מהותי, כגון תנאי ועדת הקבלה, מה</w:t>
      </w:r>
      <w:r w:rsidR="008337A4">
        <w:rPr>
          <w:rtl/>
        </w:rPr>
        <w:t>ווה הטעיה במחדל שניתן לבטל בגינ</w:t>
      </w:r>
      <w:r w:rsidR="00604AB6">
        <w:rPr>
          <w:rFonts w:hint="cs"/>
          <w:rtl/>
        </w:rPr>
        <w:t>ה</w:t>
      </w:r>
      <w:r w:rsidRPr="00E8248D">
        <w:rPr>
          <w:rtl/>
        </w:rPr>
        <w:t xml:space="preserve"> את החוזה.</w:t>
      </w:r>
    </w:p>
    <w:p w:rsidR="00E8248D" w:rsidRPr="00E8248D" w:rsidRDefault="00E8248D" w:rsidP="00604AB6">
      <w:pPr>
        <w:spacing w:line="360" w:lineRule="auto"/>
        <w:jc w:val="both"/>
        <w:rPr>
          <w:rtl/>
        </w:rPr>
      </w:pPr>
      <w:r w:rsidRPr="00E8248D">
        <w:rPr>
          <w:rtl/>
        </w:rPr>
        <w:t>כמו כן, אי גילוי תנאי ועדת הקבלה בשלב זיכרון הדברים מהווה הפרה יסודית</w:t>
      </w:r>
      <w:r w:rsidR="00604AB6">
        <w:rPr>
          <w:rStyle w:val="a6"/>
          <w:rtl/>
        </w:rPr>
        <w:footnoteReference w:id="70"/>
      </w:r>
      <w:r w:rsidRPr="00E8248D">
        <w:rPr>
          <w:rtl/>
        </w:rPr>
        <w:t xml:space="preserve"> של מסמך זה משום שסביר להניח שאדם סביר</w:t>
      </w:r>
      <w:r w:rsidR="00292910">
        <w:rPr>
          <w:rFonts w:hint="cs"/>
          <w:rtl/>
        </w:rPr>
        <w:t>,</w:t>
      </w:r>
      <w:r w:rsidRPr="00E8248D">
        <w:rPr>
          <w:rtl/>
        </w:rPr>
        <w:t xml:space="preserve"> שאינו נשוי ואינו טבעוני</w:t>
      </w:r>
      <w:r w:rsidR="00292910">
        <w:rPr>
          <w:rFonts w:hint="cs"/>
          <w:rtl/>
        </w:rPr>
        <w:t>,</w:t>
      </w:r>
      <w:r w:rsidRPr="00E8248D">
        <w:rPr>
          <w:rtl/>
        </w:rPr>
        <w:t xml:space="preserve"> לא היה מתקשר בחוזה מסוג זה, אילו היה יודע מראש כי החוזה תלוי באישור ועדת הקבלה שניתן לזוגות נש</w:t>
      </w:r>
      <w:r w:rsidR="001333F6">
        <w:rPr>
          <w:rtl/>
        </w:rPr>
        <w:t>ואים וטבעונים בלבד. בשל הפרה ז</w:t>
      </w:r>
      <w:r w:rsidR="001333F6">
        <w:rPr>
          <w:rFonts w:hint="cs"/>
          <w:rtl/>
        </w:rPr>
        <w:t>ו</w:t>
      </w:r>
      <w:r w:rsidRPr="00E8248D">
        <w:rPr>
          <w:rtl/>
        </w:rPr>
        <w:t xml:space="preserve"> עומדת לתובעים הזכות לדרוש פיצויי הסתמכות, אשר יעמידו אותם במקום בו היו אילו החוזה לא היה נכרת מעולם. אי גילוי זה מהווה גם הפרה של חובת תום הלב במשא ומתן שמקנה פיצויים נוספים ונפרדים מפיצויי ההסתמכות. </w:t>
      </w:r>
    </w:p>
    <w:p w:rsidR="00214149" w:rsidRDefault="00E8248D" w:rsidP="00604AB6">
      <w:pPr>
        <w:spacing w:line="360" w:lineRule="auto"/>
        <w:jc w:val="both"/>
        <w:rPr>
          <w:rtl/>
        </w:rPr>
      </w:pPr>
      <w:r w:rsidRPr="00E8248D">
        <w:rPr>
          <w:rtl/>
        </w:rPr>
        <w:t>בנוסף, אנו סבורים כי הנתבעת הפרה את חובת תום הלב במהלך המשא ומתן מול הנתבעים גם כשהצהירה כי אינה תמכור את דירתה לבני הזוג משום שאינם נשואים וטבעונים (מה שהופך אותם, מנקודת מבטה, גם ללא מוסריים). הצהרה זאת היא בגדר אפליה פסולה וניהול משא ומתן ממניעים אלו מהווה הפרה חמורה של חובת תום הלב</w:t>
      </w:r>
      <w:r w:rsidR="0012420A">
        <w:rPr>
          <w:rFonts w:hint="cs"/>
          <w:rtl/>
        </w:rPr>
        <w:t>,</w:t>
      </w:r>
      <w:r w:rsidRPr="00E8248D">
        <w:rPr>
          <w:rtl/>
        </w:rPr>
        <w:t xml:space="preserve"> שהנתבעים יכ</w:t>
      </w:r>
      <w:r w:rsidR="00C25906">
        <w:rPr>
          <w:rtl/>
        </w:rPr>
        <w:t>ולים לדרוש בגינה פיצויים נוספים</w:t>
      </w:r>
      <w:r w:rsidR="00C25906">
        <w:rPr>
          <w:rFonts w:hint="cs"/>
          <w:rtl/>
        </w:rPr>
        <w:t>.</w:t>
      </w:r>
    </w:p>
    <w:p w:rsidR="004019F1" w:rsidRDefault="004019F1" w:rsidP="00214149">
      <w:pPr>
        <w:spacing w:line="360" w:lineRule="auto"/>
        <w:jc w:val="center"/>
        <w:rPr>
          <w:b/>
          <w:bCs/>
          <w:rtl/>
        </w:rPr>
      </w:pPr>
    </w:p>
    <w:p w:rsidR="004019F1" w:rsidRDefault="004019F1" w:rsidP="00214149">
      <w:pPr>
        <w:spacing w:line="360" w:lineRule="auto"/>
        <w:jc w:val="center"/>
        <w:rPr>
          <w:b/>
          <w:bCs/>
          <w:rtl/>
        </w:rPr>
      </w:pPr>
    </w:p>
    <w:p w:rsidR="004019F1" w:rsidRDefault="004019F1" w:rsidP="00214149">
      <w:pPr>
        <w:spacing w:line="360" w:lineRule="auto"/>
        <w:jc w:val="center"/>
        <w:rPr>
          <w:b/>
          <w:bCs/>
          <w:rtl/>
        </w:rPr>
      </w:pPr>
    </w:p>
    <w:p w:rsidR="004019F1" w:rsidRDefault="004019F1" w:rsidP="00214149">
      <w:pPr>
        <w:spacing w:line="360" w:lineRule="auto"/>
        <w:jc w:val="center"/>
        <w:rPr>
          <w:b/>
          <w:bCs/>
          <w:rtl/>
        </w:rPr>
      </w:pPr>
    </w:p>
    <w:p w:rsidR="004019F1" w:rsidRDefault="004019F1" w:rsidP="00214149">
      <w:pPr>
        <w:spacing w:line="360" w:lineRule="auto"/>
        <w:jc w:val="center"/>
        <w:rPr>
          <w:b/>
          <w:bCs/>
          <w:rtl/>
        </w:rPr>
      </w:pPr>
    </w:p>
    <w:p w:rsidR="00214149" w:rsidRDefault="00214149" w:rsidP="00214149">
      <w:pPr>
        <w:spacing w:line="360" w:lineRule="auto"/>
        <w:jc w:val="center"/>
        <w:rPr>
          <w:b/>
          <w:bCs/>
          <w:rtl/>
        </w:rPr>
      </w:pPr>
      <w:bookmarkStart w:id="0" w:name="_GoBack"/>
      <w:bookmarkEnd w:id="0"/>
      <w:r w:rsidRPr="00214149">
        <w:rPr>
          <w:rFonts w:hint="cs"/>
          <w:b/>
          <w:bCs/>
          <w:rtl/>
        </w:rPr>
        <w:lastRenderedPageBreak/>
        <w:t>ביבליוגרפיה</w:t>
      </w:r>
    </w:p>
    <w:p w:rsidR="00214149" w:rsidRDefault="00214149" w:rsidP="00214149">
      <w:pPr>
        <w:spacing w:line="360" w:lineRule="auto"/>
        <w:rPr>
          <w:b/>
          <w:bCs/>
          <w:rtl/>
        </w:rPr>
      </w:pPr>
      <w:r>
        <w:rPr>
          <w:rFonts w:hint="cs"/>
          <w:b/>
          <w:bCs/>
          <w:rtl/>
        </w:rPr>
        <w:t>חקיקה</w:t>
      </w:r>
    </w:p>
    <w:p w:rsidR="00214149" w:rsidRDefault="00214149" w:rsidP="00FF302D">
      <w:pPr>
        <w:spacing w:line="360" w:lineRule="auto"/>
        <w:rPr>
          <w:rtl/>
        </w:rPr>
      </w:pPr>
      <w:r w:rsidRPr="00214149">
        <w:rPr>
          <w:rtl/>
        </w:rPr>
        <w:t xml:space="preserve">חוק החוזים (חלק כללי), </w:t>
      </w:r>
      <w:r w:rsidRPr="00214149">
        <w:rPr>
          <w:rFonts w:hint="cs"/>
          <w:rtl/>
        </w:rPr>
        <w:t>ה</w:t>
      </w:r>
      <w:r w:rsidRPr="00214149">
        <w:rPr>
          <w:rtl/>
        </w:rPr>
        <w:t>תשל"ג-1973</w:t>
      </w:r>
      <w:r w:rsidR="00FF302D">
        <w:rPr>
          <w:rFonts w:hint="cs"/>
          <w:rtl/>
        </w:rPr>
        <w:t xml:space="preserve">, ס"ח 118. </w:t>
      </w:r>
    </w:p>
    <w:p w:rsidR="00FF302D" w:rsidRDefault="00214149" w:rsidP="00FF302D">
      <w:pPr>
        <w:spacing w:line="360" w:lineRule="auto"/>
        <w:rPr>
          <w:rtl/>
        </w:rPr>
      </w:pPr>
      <w:r w:rsidRPr="00214149">
        <w:rPr>
          <w:rtl/>
        </w:rPr>
        <w:t xml:space="preserve">חוק החוזים (תרופות בשל הפרת חוזה), </w:t>
      </w:r>
      <w:r w:rsidRPr="00214149">
        <w:rPr>
          <w:rFonts w:hint="cs"/>
          <w:rtl/>
        </w:rPr>
        <w:t>ה</w:t>
      </w:r>
      <w:r w:rsidRPr="00214149">
        <w:rPr>
          <w:rtl/>
        </w:rPr>
        <w:t>תשל"א-1970</w:t>
      </w:r>
      <w:r w:rsidR="00FF302D">
        <w:rPr>
          <w:rFonts w:hint="cs"/>
          <w:rtl/>
        </w:rPr>
        <w:t xml:space="preserve">, ס"ח 16. </w:t>
      </w:r>
    </w:p>
    <w:p w:rsidR="00214149" w:rsidRPr="000D7A84" w:rsidRDefault="00214149" w:rsidP="00214149">
      <w:pPr>
        <w:spacing w:line="360" w:lineRule="auto"/>
        <w:rPr>
          <w:rtl/>
        </w:rPr>
      </w:pPr>
      <w:r w:rsidRPr="00214149">
        <w:rPr>
          <w:rtl/>
        </w:rPr>
        <w:t xml:space="preserve">חוק איסור הפליה במוצרים, בשירותים ובכניסה למקומות בידור ולמקומות ציבוריים, </w:t>
      </w:r>
      <w:r w:rsidRPr="00214149">
        <w:rPr>
          <w:rFonts w:hint="cs"/>
          <w:rtl/>
        </w:rPr>
        <w:t>ה</w:t>
      </w:r>
      <w:r w:rsidRPr="00214149">
        <w:rPr>
          <w:rtl/>
        </w:rPr>
        <w:t>תשס"א-2000</w:t>
      </w:r>
      <w:r w:rsidR="000D7A84">
        <w:rPr>
          <w:rFonts w:hint="cs"/>
          <w:rtl/>
        </w:rPr>
        <w:t xml:space="preserve">, </w:t>
      </w:r>
      <w:r w:rsidR="00FF302D">
        <w:rPr>
          <w:rFonts w:hint="cs"/>
          <w:rtl/>
        </w:rPr>
        <w:t xml:space="preserve">ס"ח </w:t>
      </w:r>
      <w:r w:rsidR="000D7A84">
        <w:rPr>
          <w:rFonts w:hint="cs"/>
          <w:rtl/>
        </w:rPr>
        <w:t xml:space="preserve">58. </w:t>
      </w:r>
    </w:p>
    <w:p w:rsidR="00DF6DA3" w:rsidRDefault="00DF6DA3" w:rsidP="00DF6DA3">
      <w:pPr>
        <w:spacing w:line="360" w:lineRule="auto"/>
        <w:rPr>
          <w:rtl/>
        </w:rPr>
      </w:pPr>
      <w:r w:rsidRPr="003A6EE3">
        <w:rPr>
          <w:rtl/>
        </w:rPr>
        <w:t xml:space="preserve">חוק המקרקעין, </w:t>
      </w:r>
      <w:r>
        <w:rPr>
          <w:rFonts w:hint="cs"/>
          <w:rtl/>
        </w:rPr>
        <w:t>ה</w:t>
      </w:r>
      <w:r w:rsidRPr="003A6EE3">
        <w:rPr>
          <w:rtl/>
        </w:rPr>
        <w:t>תשכ"ט-1969</w:t>
      </w:r>
      <w:r w:rsidR="000D7A84">
        <w:rPr>
          <w:rFonts w:hint="cs"/>
          <w:rtl/>
        </w:rPr>
        <w:t xml:space="preserve">, ס"ח 259. </w:t>
      </w:r>
    </w:p>
    <w:p w:rsidR="00DF6DA3" w:rsidRDefault="00DF6DA3" w:rsidP="00DF6DA3">
      <w:pPr>
        <w:spacing w:line="360" w:lineRule="auto"/>
        <w:rPr>
          <w:b/>
          <w:bCs/>
          <w:rtl/>
        </w:rPr>
      </w:pPr>
      <w:r w:rsidRPr="00DF6DA3">
        <w:rPr>
          <w:rFonts w:hint="cs"/>
          <w:b/>
          <w:bCs/>
          <w:rtl/>
        </w:rPr>
        <w:t>פסיקה</w:t>
      </w:r>
    </w:p>
    <w:p w:rsidR="00D235B9" w:rsidRDefault="00DF6DA3" w:rsidP="00D235B9">
      <w:pPr>
        <w:pStyle w:val="a4"/>
        <w:rPr>
          <w:sz w:val="24"/>
          <w:szCs w:val="24"/>
          <w:rtl/>
        </w:rPr>
      </w:pPr>
      <w:r w:rsidRPr="00D235B9">
        <w:rPr>
          <w:sz w:val="24"/>
          <w:szCs w:val="24"/>
          <w:rtl/>
        </w:rPr>
        <w:t xml:space="preserve">ע"א 158/77 </w:t>
      </w:r>
      <w:r w:rsidRPr="00D235B9">
        <w:rPr>
          <w:b/>
          <w:bCs/>
          <w:sz w:val="24"/>
          <w:szCs w:val="24"/>
          <w:rtl/>
        </w:rPr>
        <w:t>רבינאי נ' חברת מן שקד בע"מ (בפירוק)</w:t>
      </w:r>
      <w:r w:rsidRPr="00D235B9">
        <w:rPr>
          <w:sz w:val="24"/>
          <w:szCs w:val="24"/>
          <w:rtl/>
        </w:rPr>
        <w:t xml:space="preserve">, פ"ד ל"ג(2) </w:t>
      </w:r>
      <w:r w:rsidRPr="00D235B9">
        <w:rPr>
          <w:rFonts w:hint="cs"/>
          <w:sz w:val="24"/>
          <w:szCs w:val="24"/>
          <w:rtl/>
        </w:rPr>
        <w:t>281</w:t>
      </w:r>
      <w:r w:rsidR="00D235B9">
        <w:rPr>
          <w:rFonts w:hint="cs"/>
          <w:sz w:val="24"/>
          <w:szCs w:val="24"/>
          <w:rtl/>
        </w:rPr>
        <w:t xml:space="preserve"> (1971). </w:t>
      </w:r>
      <w:r w:rsidRPr="00D235B9">
        <w:rPr>
          <w:rFonts w:hint="cs"/>
          <w:sz w:val="24"/>
          <w:szCs w:val="24"/>
          <w:rtl/>
        </w:rPr>
        <w:t xml:space="preserve"> </w:t>
      </w:r>
    </w:p>
    <w:p w:rsidR="00D235B9" w:rsidRDefault="00D235B9" w:rsidP="00D235B9">
      <w:pPr>
        <w:pStyle w:val="a4"/>
        <w:rPr>
          <w:sz w:val="24"/>
          <w:szCs w:val="24"/>
          <w:rtl/>
        </w:rPr>
      </w:pPr>
    </w:p>
    <w:p w:rsidR="00DF6DA3" w:rsidRDefault="00DF6DA3" w:rsidP="00D235B9">
      <w:pPr>
        <w:pStyle w:val="a4"/>
        <w:rPr>
          <w:sz w:val="24"/>
          <w:szCs w:val="24"/>
          <w:rtl/>
        </w:rPr>
      </w:pPr>
      <w:r w:rsidRPr="00D235B9">
        <w:rPr>
          <w:sz w:val="24"/>
          <w:szCs w:val="24"/>
          <w:rtl/>
        </w:rPr>
        <w:t xml:space="preserve">ע"א </w:t>
      </w:r>
      <w:r w:rsidRPr="00D235B9">
        <w:rPr>
          <w:rFonts w:hint="cs"/>
          <w:sz w:val="24"/>
          <w:szCs w:val="24"/>
          <w:rtl/>
        </w:rPr>
        <w:t>440/75</w:t>
      </w:r>
      <w:r w:rsidRPr="00D235B9">
        <w:rPr>
          <w:sz w:val="24"/>
          <w:szCs w:val="24"/>
          <w:rtl/>
        </w:rPr>
        <w:t xml:space="preserve"> </w:t>
      </w:r>
      <w:r w:rsidRPr="00D235B9">
        <w:rPr>
          <w:b/>
          <w:bCs/>
          <w:sz w:val="24"/>
          <w:szCs w:val="24"/>
          <w:rtl/>
        </w:rPr>
        <w:t>זנדבנק נ׳ דנציגר</w:t>
      </w:r>
      <w:r w:rsidRPr="00D235B9">
        <w:rPr>
          <w:sz w:val="24"/>
          <w:szCs w:val="24"/>
          <w:rtl/>
        </w:rPr>
        <w:t>, פ׳׳ד ל</w:t>
      </w:r>
      <w:r w:rsidR="006A39AE">
        <w:rPr>
          <w:rFonts w:hint="cs"/>
          <w:sz w:val="24"/>
          <w:szCs w:val="24"/>
          <w:rtl/>
        </w:rPr>
        <w:t>(2) 260, בעמ' 267 (1976).</w:t>
      </w:r>
    </w:p>
    <w:p w:rsidR="00D235B9" w:rsidRPr="00D235B9" w:rsidRDefault="00D235B9" w:rsidP="00D235B9">
      <w:pPr>
        <w:pStyle w:val="a4"/>
        <w:rPr>
          <w:sz w:val="24"/>
          <w:szCs w:val="24"/>
        </w:rPr>
      </w:pPr>
    </w:p>
    <w:p w:rsidR="00DF6DA3" w:rsidRPr="00D235B9" w:rsidRDefault="00DF6DA3" w:rsidP="00D0543B">
      <w:pPr>
        <w:pStyle w:val="a4"/>
        <w:rPr>
          <w:sz w:val="24"/>
          <w:szCs w:val="24"/>
        </w:rPr>
      </w:pPr>
      <w:r w:rsidRPr="00D235B9">
        <w:rPr>
          <w:sz w:val="24"/>
          <w:szCs w:val="24"/>
          <w:rtl/>
        </w:rPr>
        <w:t xml:space="preserve">ע״א </w:t>
      </w:r>
      <w:r w:rsidRPr="00D235B9">
        <w:rPr>
          <w:rFonts w:hint="cs"/>
          <w:sz w:val="24"/>
          <w:szCs w:val="24"/>
          <w:rtl/>
        </w:rPr>
        <w:t xml:space="preserve">692/86 </w:t>
      </w:r>
      <w:r w:rsidRPr="00D235B9">
        <w:rPr>
          <w:b/>
          <w:bCs/>
          <w:sz w:val="24"/>
          <w:szCs w:val="24"/>
          <w:rtl/>
        </w:rPr>
        <w:t>בוטקובסקי נ׳ גת</w:t>
      </w:r>
      <w:r w:rsidRPr="00D235B9">
        <w:rPr>
          <w:sz w:val="24"/>
          <w:szCs w:val="24"/>
          <w:rtl/>
        </w:rPr>
        <w:t>, פ״ד מד(1</w:t>
      </w:r>
      <w:r w:rsidR="00D235B9">
        <w:rPr>
          <w:rFonts w:hint="cs"/>
          <w:sz w:val="24"/>
          <w:szCs w:val="24"/>
          <w:rtl/>
        </w:rPr>
        <w:t>) 57 (1989).</w:t>
      </w:r>
      <w:r w:rsidRPr="00D235B9">
        <w:rPr>
          <w:rFonts w:hint="cs"/>
          <w:sz w:val="24"/>
          <w:szCs w:val="24"/>
          <w:rtl/>
        </w:rPr>
        <w:t xml:space="preserve"> </w:t>
      </w:r>
    </w:p>
    <w:p w:rsidR="00D0543B" w:rsidRDefault="00D0543B" w:rsidP="00DF6DA3">
      <w:pPr>
        <w:pStyle w:val="a4"/>
        <w:rPr>
          <w:sz w:val="24"/>
          <w:szCs w:val="24"/>
          <w:rtl/>
        </w:rPr>
      </w:pPr>
    </w:p>
    <w:p w:rsidR="00DF6DA3" w:rsidRDefault="00DF6DA3" w:rsidP="00DF6DA3">
      <w:pPr>
        <w:pStyle w:val="a4"/>
        <w:rPr>
          <w:sz w:val="24"/>
          <w:szCs w:val="24"/>
          <w:rtl/>
        </w:rPr>
      </w:pPr>
      <w:r w:rsidRPr="00D235B9">
        <w:rPr>
          <w:sz w:val="24"/>
          <w:szCs w:val="24"/>
          <w:rtl/>
        </w:rPr>
        <w:t>ע״א</w:t>
      </w:r>
      <w:r w:rsidRPr="00D235B9">
        <w:rPr>
          <w:rFonts w:hint="cs"/>
          <w:sz w:val="24"/>
          <w:szCs w:val="24"/>
          <w:rtl/>
        </w:rPr>
        <w:t xml:space="preserve"> 133/89 </w:t>
      </w:r>
      <w:r w:rsidRPr="00D0543B">
        <w:rPr>
          <w:b/>
          <w:bCs/>
          <w:sz w:val="24"/>
          <w:szCs w:val="24"/>
          <w:rtl/>
        </w:rPr>
        <w:t>החברה לפיתוח חוף התכלת (</w:t>
      </w:r>
      <w:proofErr w:type="spellStart"/>
      <w:r w:rsidR="00D0543B" w:rsidRPr="00D0543B">
        <w:rPr>
          <w:b/>
          <w:bCs/>
          <w:sz w:val="24"/>
          <w:szCs w:val="24"/>
          <w:rtl/>
        </w:rPr>
        <w:t>תל־אביב</w:t>
      </w:r>
      <w:proofErr w:type="spellEnd"/>
      <w:r w:rsidR="00D0543B" w:rsidRPr="00D0543B">
        <w:rPr>
          <w:b/>
          <w:bCs/>
          <w:sz w:val="24"/>
          <w:szCs w:val="24"/>
          <w:rtl/>
        </w:rPr>
        <w:t>־ הרצליה) בע״מ נ׳ מנהל מ</w:t>
      </w:r>
      <w:r w:rsidR="00D0543B" w:rsidRPr="00D0543B">
        <w:rPr>
          <w:rFonts w:hint="cs"/>
          <w:b/>
          <w:bCs/>
          <w:sz w:val="24"/>
          <w:szCs w:val="24"/>
          <w:rtl/>
        </w:rPr>
        <w:t>ס</w:t>
      </w:r>
      <w:r w:rsidRPr="00D0543B">
        <w:rPr>
          <w:b/>
          <w:bCs/>
          <w:sz w:val="24"/>
          <w:szCs w:val="24"/>
          <w:rtl/>
        </w:rPr>
        <w:t xml:space="preserve"> שבח מקרקעין</w:t>
      </w:r>
      <w:r w:rsidRPr="00D235B9">
        <w:rPr>
          <w:sz w:val="24"/>
          <w:szCs w:val="24"/>
          <w:rtl/>
        </w:rPr>
        <w:t xml:space="preserve">, פ״ד </w:t>
      </w:r>
      <w:proofErr w:type="spellStart"/>
      <w:r w:rsidRPr="00D235B9">
        <w:rPr>
          <w:sz w:val="24"/>
          <w:szCs w:val="24"/>
          <w:rtl/>
        </w:rPr>
        <w:t>מז</w:t>
      </w:r>
      <w:proofErr w:type="spellEnd"/>
      <w:r w:rsidRPr="00D235B9">
        <w:rPr>
          <w:sz w:val="24"/>
          <w:szCs w:val="24"/>
          <w:rtl/>
        </w:rPr>
        <w:t>(5</w:t>
      </w:r>
      <w:r w:rsidR="006A39AE">
        <w:rPr>
          <w:rFonts w:hint="cs"/>
          <w:sz w:val="24"/>
          <w:szCs w:val="24"/>
          <w:rtl/>
        </w:rPr>
        <w:t xml:space="preserve">) 689 (1993). </w:t>
      </w:r>
    </w:p>
    <w:p w:rsidR="00D0543B" w:rsidRPr="00D235B9" w:rsidRDefault="00D0543B" w:rsidP="00DF6DA3">
      <w:pPr>
        <w:pStyle w:val="a4"/>
        <w:rPr>
          <w:sz w:val="24"/>
          <w:szCs w:val="24"/>
          <w:rtl/>
        </w:rPr>
      </w:pPr>
    </w:p>
    <w:p w:rsidR="00052E10" w:rsidRDefault="00DF6DA3" w:rsidP="00052E10">
      <w:pPr>
        <w:pStyle w:val="a4"/>
        <w:rPr>
          <w:sz w:val="24"/>
          <w:szCs w:val="24"/>
          <w:rtl/>
        </w:rPr>
      </w:pPr>
      <w:r w:rsidRPr="00D235B9">
        <w:rPr>
          <w:sz w:val="24"/>
          <w:szCs w:val="24"/>
          <w:rtl/>
        </w:rPr>
        <w:t xml:space="preserve">ע״א </w:t>
      </w:r>
      <w:r w:rsidRPr="00D235B9">
        <w:rPr>
          <w:rFonts w:hint="cs"/>
          <w:sz w:val="24"/>
          <w:szCs w:val="24"/>
          <w:rtl/>
        </w:rPr>
        <w:t xml:space="preserve">651/72 </w:t>
      </w:r>
      <w:r w:rsidRPr="00052E10">
        <w:rPr>
          <w:b/>
          <w:bCs/>
          <w:sz w:val="24"/>
          <w:szCs w:val="24"/>
          <w:rtl/>
        </w:rPr>
        <w:t>פסט</w:t>
      </w:r>
      <w:r w:rsidRPr="00052E10">
        <w:rPr>
          <w:rFonts w:hint="cs"/>
          <w:b/>
          <w:bCs/>
          <w:sz w:val="24"/>
          <w:szCs w:val="24"/>
          <w:rtl/>
        </w:rPr>
        <w:t>רנק</w:t>
      </w:r>
      <w:r w:rsidRPr="00052E10">
        <w:rPr>
          <w:b/>
          <w:bCs/>
          <w:sz w:val="24"/>
          <w:szCs w:val="24"/>
          <w:rtl/>
        </w:rPr>
        <w:t xml:space="preserve"> </w:t>
      </w:r>
      <w:r w:rsidRPr="00052E10">
        <w:rPr>
          <w:rFonts w:hint="cs"/>
          <w:b/>
          <w:bCs/>
          <w:sz w:val="24"/>
          <w:szCs w:val="24"/>
          <w:rtl/>
        </w:rPr>
        <w:t>נ'</w:t>
      </w:r>
      <w:r w:rsidRPr="00052E10">
        <w:rPr>
          <w:b/>
          <w:bCs/>
          <w:sz w:val="24"/>
          <w:szCs w:val="24"/>
          <w:rtl/>
        </w:rPr>
        <w:t xml:space="preserve"> חברת יוסף לוי</w:t>
      </w:r>
      <w:r w:rsidRPr="00D235B9">
        <w:rPr>
          <w:sz w:val="24"/>
          <w:szCs w:val="24"/>
          <w:rtl/>
        </w:rPr>
        <w:t xml:space="preserve">, פ״ד </w:t>
      </w:r>
      <w:proofErr w:type="spellStart"/>
      <w:r w:rsidRPr="00D235B9">
        <w:rPr>
          <w:sz w:val="24"/>
          <w:szCs w:val="24"/>
          <w:rtl/>
        </w:rPr>
        <w:t>כח</w:t>
      </w:r>
      <w:proofErr w:type="spellEnd"/>
      <w:r w:rsidRPr="00D235B9">
        <w:rPr>
          <w:sz w:val="24"/>
          <w:szCs w:val="24"/>
          <w:rtl/>
        </w:rPr>
        <w:t>(1</w:t>
      </w:r>
      <w:r w:rsidR="00AD43C0">
        <w:rPr>
          <w:rFonts w:hint="cs"/>
          <w:sz w:val="24"/>
          <w:szCs w:val="24"/>
          <w:rtl/>
        </w:rPr>
        <w:t xml:space="preserve">) 617 (1974). </w:t>
      </w:r>
    </w:p>
    <w:p w:rsidR="00DF6DA3" w:rsidRPr="00D235B9" w:rsidRDefault="00DF6DA3" w:rsidP="00052E10">
      <w:pPr>
        <w:pStyle w:val="a4"/>
        <w:rPr>
          <w:sz w:val="24"/>
          <w:szCs w:val="24"/>
        </w:rPr>
      </w:pPr>
      <w:r w:rsidRPr="00D235B9">
        <w:rPr>
          <w:rFonts w:hint="cs"/>
          <w:sz w:val="24"/>
          <w:szCs w:val="24"/>
          <w:rtl/>
        </w:rPr>
        <w:t xml:space="preserve"> </w:t>
      </w:r>
    </w:p>
    <w:p w:rsidR="00DF6DA3" w:rsidRPr="00D235B9" w:rsidRDefault="00DF6DA3" w:rsidP="00052E10">
      <w:pPr>
        <w:pStyle w:val="a4"/>
        <w:rPr>
          <w:sz w:val="24"/>
          <w:szCs w:val="24"/>
        </w:rPr>
      </w:pPr>
      <w:r w:rsidRPr="00D235B9">
        <w:rPr>
          <w:rFonts w:hint="cs"/>
          <w:sz w:val="24"/>
          <w:szCs w:val="24"/>
          <w:rtl/>
        </w:rPr>
        <w:t xml:space="preserve">ע"א 649/73 </w:t>
      </w:r>
      <w:r w:rsidRPr="00052E10">
        <w:rPr>
          <w:rFonts w:hint="cs"/>
          <w:b/>
          <w:bCs/>
          <w:sz w:val="24"/>
          <w:szCs w:val="24"/>
          <w:rtl/>
        </w:rPr>
        <w:t>קפולסקי נ' גני גולן בע"מ</w:t>
      </w:r>
      <w:r w:rsidRPr="00D235B9">
        <w:rPr>
          <w:rFonts w:hint="cs"/>
          <w:sz w:val="24"/>
          <w:szCs w:val="24"/>
          <w:rtl/>
        </w:rPr>
        <w:t xml:space="preserve">, פ"ד </w:t>
      </w:r>
      <w:proofErr w:type="spellStart"/>
      <w:r w:rsidRPr="00D235B9">
        <w:rPr>
          <w:rFonts w:hint="cs"/>
          <w:sz w:val="24"/>
          <w:szCs w:val="24"/>
          <w:rtl/>
        </w:rPr>
        <w:t>כח</w:t>
      </w:r>
      <w:proofErr w:type="spellEnd"/>
      <w:r w:rsidRPr="00D235B9">
        <w:rPr>
          <w:rFonts w:hint="cs"/>
          <w:sz w:val="24"/>
          <w:szCs w:val="24"/>
          <w:rtl/>
        </w:rPr>
        <w:t xml:space="preserve">(2) </w:t>
      </w:r>
      <w:r w:rsidR="006A39AE">
        <w:rPr>
          <w:rFonts w:hint="cs"/>
          <w:sz w:val="24"/>
          <w:szCs w:val="24"/>
          <w:rtl/>
        </w:rPr>
        <w:t>291 (1974).</w:t>
      </w:r>
    </w:p>
    <w:p w:rsidR="00052E10" w:rsidRDefault="00052E10" w:rsidP="00DF6DA3">
      <w:pPr>
        <w:pStyle w:val="a4"/>
        <w:rPr>
          <w:sz w:val="24"/>
          <w:szCs w:val="24"/>
          <w:rtl/>
        </w:rPr>
      </w:pPr>
    </w:p>
    <w:p w:rsidR="00052E10" w:rsidRDefault="00052E10" w:rsidP="00052E10">
      <w:pPr>
        <w:pStyle w:val="a4"/>
        <w:rPr>
          <w:sz w:val="24"/>
          <w:szCs w:val="24"/>
          <w:rtl/>
        </w:rPr>
      </w:pPr>
      <w:r>
        <w:rPr>
          <w:sz w:val="24"/>
          <w:szCs w:val="24"/>
          <w:rtl/>
        </w:rPr>
        <w:t>ע"א 33</w:t>
      </w:r>
      <w:r>
        <w:rPr>
          <w:rFonts w:hint="cs"/>
          <w:sz w:val="24"/>
          <w:szCs w:val="24"/>
          <w:rtl/>
        </w:rPr>
        <w:t>5/</w:t>
      </w:r>
      <w:r w:rsidR="00DF6DA3" w:rsidRPr="00D235B9">
        <w:rPr>
          <w:sz w:val="24"/>
          <w:szCs w:val="24"/>
          <w:rtl/>
        </w:rPr>
        <w:t>78 </w:t>
      </w:r>
      <w:r w:rsidR="00DF6DA3" w:rsidRPr="00052E10">
        <w:rPr>
          <w:b/>
          <w:bCs/>
          <w:sz w:val="24"/>
          <w:szCs w:val="24"/>
          <w:rtl/>
        </w:rPr>
        <w:t>שאלתיאל</w:t>
      </w:r>
      <w:r w:rsidR="00DF6DA3" w:rsidRPr="00052E10">
        <w:rPr>
          <w:rFonts w:hint="cs"/>
          <w:b/>
          <w:bCs/>
          <w:sz w:val="24"/>
          <w:szCs w:val="24"/>
          <w:rtl/>
        </w:rPr>
        <w:t xml:space="preserve"> נ'</w:t>
      </w:r>
      <w:r w:rsidR="00DF6DA3" w:rsidRPr="00052E10">
        <w:rPr>
          <w:b/>
          <w:bCs/>
          <w:sz w:val="24"/>
          <w:szCs w:val="24"/>
          <w:rtl/>
        </w:rPr>
        <w:t xml:space="preserve"> שנ</w:t>
      </w:r>
      <w:r w:rsidR="00DF6DA3" w:rsidRPr="00052E10">
        <w:rPr>
          <w:rFonts w:hint="cs"/>
          <w:b/>
          <w:bCs/>
          <w:sz w:val="24"/>
          <w:szCs w:val="24"/>
          <w:rtl/>
        </w:rPr>
        <w:t>י</w:t>
      </w:r>
      <w:r w:rsidR="00DF6DA3" w:rsidRPr="00D235B9">
        <w:rPr>
          <w:rFonts w:hint="cs"/>
          <w:sz w:val="24"/>
          <w:szCs w:val="24"/>
          <w:rtl/>
        </w:rPr>
        <w:t xml:space="preserve">, </w:t>
      </w:r>
      <w:r w:rsidR="00DF6DA3" w:rsidRPr="00D235B9">
        <w:rPr>
          <w:sz w:val="24"/>
          <w:szCs w:val="24"/>
          <w:rtl/>
        </w:rPr>
        <w:t>פ"ד לו(2) 151</w:t>
      </w:r>
      <w:r w:rsidR="00AD43C0">
        <w:rPr>
          <w:rFonts w:hint="cs"/>
          <w:sz w:val="24"/>
          <w:szCs w:val="24"/>
          <w:rtl/>
        </w:rPr>
        <w:t xml:space="preserve"> (1981).</w:t>
      </w:r>
    </w:p>
    <w:p w:rsidR="00052E10" w:rsidRDefault="00052E10" w:rsidP="00052E10">
      <w:pPr>
        <w:pStyle w:val="a4"/>
        <w:rPr>
          <w:sz w:val="24"/>
          <w:szCs w:val="24"/>
          <w:rtl/>
        </w:rPr>
      </w:pPr>
    </w:p>
    <w:p w:rsidR="00052E10" w:rsidRDefault="00DF6DA3" w:rsidP="000D7A84">
      <w:pPr>
        <w:pStyle w:val="a4"/>
        <w:rPr>
          <w:sz w:val="24"/>
          <w:szCs w:val="24"/>
          <w:rtl/>
        </w:rPr>
      </w:pPr>
      <w:r w:rsidRPr="00D235B9">
        <w:rPr>
          <w:rFonts w:hint="cs"/>
          <w:sz w:val="24"/>
          <w:szCs w:val="24"/>
          <w:rtl/>
        </w:rPr>
        <w:t xml:space="preserve">ע"א 986/93 </w:t>
      </w:r>
      <w:r w:rsidRPr="000D7A84">
        <w:rPr>
          <w:rFonts w:hint="cs"/>
          <w:b/>
          <w:bCs/>
          <w:sz w:val="24"/>
          <w:szCs w:val="24"/>
          <w:rtl/>
        </w:rPr>
        <w:t>קלמר נ' גיא</w:t>
      </w:r>
      <w:r w:rsidR="006A39AE">
        <w:rPr>
          <w:rFonts w:hint="cs"/>
          <w:sz w:val="24"/>
          <w:szCs w:val="24"/>
          <w:rtl/>
        </w:rPr>
        <w:t xml:space="preserve">, פ"ד נ(1) 185 (1996). </w:t>
      </w:r>
    </w:p>
    <w:p w:rsidR="00052E10" w:rsidRDefault="00052E10" w:rsidP="00052E10">
      <w:pPr>
        <w:pStyle w:val="a4"/>
        <w:rPr>
          <w:sz w:val="24"/>
          <w:szCs w:val="24"/>
          <w:rtl/>
        </w:rPr>
      </w:pPr>
    </w:p>
    <w:p w:rsidR="00DF6DA3" w:rsidRPr="00D235B9" w:rsidRDefault="00DF6DA3" w:rsidP="006A39AE">
      <w:pPr>
        <w:pStyle w:val="a4"/>
        <w:rPr>
          <w:sz w:val="24"/>
          <w:szCs w:val="24"/>
          <w:rtl/>
        </w:rPr>
      </w:pPr>
      <w:r w:rsidRPr="00D235B9">
        <w:rPr>
          <w:sz w:val="24"/>
          <w:szCs w:val="24"/>
          <w:rtl/>
        </w:rPr>
        <w:t xml:space="preserve">ע״א </w:t>
      </w:r>
      <w:r w:rsidR="000D7A84">
        <w:rPr>
          <w:rFonts w:hint="cs"/>
          <w:sz w:val="24"/>
          <w:szCs w:val="24"/>
          <w:rtl/>
        </w:rPr>
        <w:t xml:space="preserve">235/75 </w:t>
      </w:r>
      <w:r w:rsidRPr="00D235B9">
        <w:rPr>
          <w:sz w:val="24"/>
          <w:szCs w:val="24"/>
          <w:rtl/>
        </w:rPr>
        <w:t xml:space="preserve"> </w:t>
      </w:r>
      <w:proofErr w:type="spellStart"/>
      <w:r w:rsidR="000D7A84" w:rsidRPr="000D7A84">
        <w:rPr>
          <w:b/>
          <w:bCs/>
          <w:sz w:val="24"/>
          <w:szCs w:val="24"/>
          <w:rtl/>
        </w:rPr>
        <w:t>ק</w:t>
      </w:r>
      <w:r w:rsidR="000D7A84" w:rsidRPr="000D7A84">
        <w:rPr>
          <w:rFonts w:hint="cs"/>
          <w:b/>
          <w:bCs/>
          <w:sz w:val="24"/>
          <w:szCs w:val="24"/>
          <w:rtl/>
        </w:rPr>
        <w:t>א</w:t>
      </w:r>
      <w:r w:rsidRPr="000D7A84">
        <w:rPr>
          <w:b/>
          <w:bCs/>
          <w:sz w:val="24"/>
          <w:szCs w:val="24"/>
          <w:rtl/>
        </w:rPr>
        <w:t>דרי</w:t>
      </w:r>
      <w:proofErr w:type="spellEnd"/>
      <w:r w:rsidRPr="000D7A84">
        <w:rPr>
          <w:b/>
          <w:bCs/>
          <w:sz w:val="24"/>
          <w:szCs w:val="24"/>
          <w:rtl/>
        </w:rPr>
        <w:t xml:space="preserve"> נ׳ מסדר האחיות צ׳רל</w:t>
      </w:r>
      <w:r w:rsidRPr="000D7A84">
        <w:rPr>
          <w:rFonts w:hint="cs"/>
          <w:b/>
          <w:bCs/>
          <w:sz w:val="24"/>
          <w:szCs w:val="24"/>
          <w:rtl/>
        </w:rPr>
        <w:t>ס</w:t>
      </w:r>
      <w:r w:rsidRPr="000D7A84">
        <w:rPr>
          <w:b/>
          <w:bCs/>
          <w:sz w:val="24"/>
          <w:szCs w:val="24"/>
          <w:rtl/>
        </w:rPr>
        <w:t xml:space="preserve"> ה</w:t>
      </w:r>
      <w:r w:rsidRPr="000D7A84">
        <w:rPr>
          <w:rFonts w:hint="cs"/>
          <w:b/>
          <w:bCs/>
          <w:sz w:val="24"/>
          <w:szCs w:val="24"/>
          <w:rtl/>
        </w:rPr>
        <w:t>ק</w:t>
      </w:r>
      <w:r w:rsidRPr="000D7A84">
        <w:rPr>
          <w:b/>
          <w:bCs/>
          <w:sz w:val="24"/>
          <w:szCs w:val="24"/>
          <w:rtl/>
        </w:rPr>
        <w:t>דוש</w:t>
      </w:r>
      <w:r w:rsidRPr="00D235B9">
        <w:rPr>
          <w:sz w:val="24"/>
          <w:szCs w:val="24"/>
          <w:rtl/>
        </w:rPr>
        <w:t>, פ״ד ל(1</w:t>
      </w:r>
      <w:r w:rsidRPr="00D235B9">
        <w:rPr>
          <w:rFonts w:hint="cs"/>
          <w:sz w:val="24"/>
          <w:szCs w:val="24"/>
          <w:rtl/>
        </w:rPr>
        <w:t>)</w:t>
      </w:r>
      <w:r w:rsidRPr="00D235B9">
        <w:rPr>
          <w:sz w:val="24"/>
          <w:szCs w:val="24"/>
          <w:rtl/>
        </w:rPr>
        <w:t xml:space="preserve"> </w:t>
      </w:r>
      <w:r w:rsidRPr="00D235B9">
        <w:rPr>
          <w:rFonts w:hint="cs"/>
          <w:sz w:val="24"/>
          <w:szCs w:val="24"/>
          <w:rtl/>
        </w:rPr>
        <w:t>800</w:t>
      </w:r>
      <w:r w:rsidR="006A39AE">
        <w:rPr>
          <w:rFonts w:hint="cs"/>
          <w:sz w:val="24"/>
          <w:szCs w:val="24"/>
          <w:rtl/>
        </w:rPr>
        <w:t xml:space="preserve"> (1976). </w:t>
      </w:r>
    </w:p>
    <w:p w:rsidR="00DF6DA3" w:rsidRPr="00D235B9" w:rsidRDefault="00DF6DA3" w:rsidP="00DF6DA3">
      <w:pPr>
        <w:pStyle w:val="a4"/>
        <w:rPr>
          <w:sz w:val="24"/>
          <w:szCs w:val="24"/>
          <w:rtl/>
        </w:rPr>
      </w:pPr>
    </w:p>
    <w:p w:rsidR="00E54164" w:rsidRDefault="00DF6DA3" w:rsidP="00524463">
      <w:pPr>
        <w:pStyle w:val="a4"/>
        <w:rPr>
          <w:sz w:val="24"/>
          <w:szCs w:val="24"/>
          <w:rtl/>
        </w:rPr>
      </w:pPr>
      <w:r w:rsidRPr="00D235B9">
        <w:rPr>
          <w:sz w:val="24"/>
          <w:szCs w:val="24"/>
          <w:rtl/>
        </w:rPr>
        <w:t>ע"א 139</w:t>
      </w:r>
      <w:r w:rsidR="00E54164">
        <w:rPr>
          <w:rFonts w:hint="cs"/>
          <w:sz w:val="24"/>
          <w:szCs w:val="24"/>
          <w:rtl/>
        </w:rPr>
        <w:t>/</w:t>
      </w:r>
      <w:r w:rsidRPr="00D235B9">
        <w:rPr>
          <w:sz w:val="24"/>
          <w:szCs w:val="24"/>
          <w:rtl/>
        </w:rPr>
        <w:t xml:space="preserve">54  </w:t>
      </w:r>
      <w:proofErr w:type="spellStart"/>
      <w:r w:rsidRPr="00E54164">
        <w:rPr>
          <w:b/>
          <w:bCs/>
          <w:sz w:val="24"/>
          <w:szCs w:val="24"/>
          <w:rtl/>
        </w:rPr>
        <w:t>גרייד</w:t>
      </w:r>
      <w:r w:rsidRPr="00E54164">
        <w:rPr>
          <w:rFonts w:hint="cs"/>
          <w:b/>
          <w:bCs/>
          <w:sz w:val="24"/>
          <w:szCs w:val="24"/>
          <w:rtl/>
        </w:rPr>
        <w:t>ל</w:t>
      </w:r>
      <w:proofErr w:type="spellEnd"/>
      <w:r w:rsidRPr="00E54164">
        <w:rPr>
          <w:rFonts w:hint="cs"/>
          <w:b/>
          <w:bCs/>
          <w:sz w:val="24"/>
          <w:szCs w:val="24"/>
          <w:rtl/>
        </w:rPr>
        <w:t xml:space="preserve"> נ' </w:t>
      </w:r>
      <w:r w:rsidRPr="00E54164">
        <w:rPr>
          <w:b/>
          <w:bCs/>
          <w:sz w:val="24"/>
          <w:szCs w:val="24"/>
          <w:rtl/>
        </w:rPr>
        <w:t>הורביץ</w:t>
      </w:r>
      <w:r w:rsidR="00524463">
        <w:rPr>
          <w:rFonts w:hint="cs"/>
          <w:sz w:val="24"/>
          <w:szCs w:val="24"/>
          <w:rtl/>
        </w:rPr>
        <w:t>,</w:t>
      </w:r>
      <w:r w:rsidRPr="00D235B9">
        <w:rPr>
          <w:rFonts w:hint="cs"/>
          <w:sz w:val="24"/>
          <w:szCs w:val="24"/>
          <w:rtl/>
        </w:rPr>
        <w:t xml:space="preserve"> פ"ד</w:t>
      </w:r>
      <w:r w:rsidR="00524463">
        <w:rPr>
          <w:rFonts w:hint="cs"/>
          <w:sz w:val="24"/>
          <w:szCs w:val="24"/>
          <w:rtl/>
        </w:rPr>
        <w:t xml:space="preserve"> </w:t>
      </w:r>
      <w:r w:rsidRPr="00D235B9">
        <w:rPr>
          <w:sz w:val="24"/>
          <w:szCs w:val="24"/>
          <w:rtl/>
        </w:rPr>
        <w:t>יא</w:t>
      </w:r>
      <w:r w:rsidRPr="00D235B9">
        <w:rPr>
          <w:rFonts w:hint="cs"/>
          <w:sz w:val="24"/>
          <w:szCs w:val="24"/>
          <w:rtl/>
        </w:rPr>
        <w:t>(1)</w:t>
      </w:r>
      <w:r w:rsidRPr="00D235B9">
        <w:rPr>
          <w:sz w:val="24"/>
          <w:szCs w:val="24"/>
          <w:rtl/>
        </w:rPr>
        <w:t xml:space="preserve"> 57</w:t>
      </w:r>
      <w:r w:rsidR="00AD43C0">
        <w:rPr>
          <w:rFonts w:hint="cs"/>
          <w:sz w:val="24"/>
          <w:szCs w:val="24"/>
          <w:rtl/>
        </w:rPr>
        <w:t xml:space="preserve"> (1957).</w:t>
      </w:r>
    </w:p>
    <w:p w:rsidR="00FF302D" w:rsidRDefault="00FF302D" w:rsidP="00FF302D">
      <w:pPr>
        <w:pStyle w:val="a4"/>
        <w:rPr>
          <w:sz w:val="24"/>
          <w:szCs w:val="24"/>
          <w:rtl/>
        </w:rPr>
      </w:pPr>
    </w:p>
    <w:p w:rsidR="00DF6DA3" w:rsidRDefault="00DF6DA3" w:rsidP="00E54164">
      <w:pPr>
        <w:pStyle w:val="a4"/>
        <w:rPr>
          <w:sz w:val="24"/>
          <w:szCs w:val="24"/>
          <w:rtl/>
        </w:rPr>
      </w:pPr>
      <w:r w:rsidRPr="00D235B9">
        <w:rPr>
          <w:sz w:val="24"/>
          <w:szCs w:val="24"/>
          <w:rtl/>
        </w:rPr>
        <w:t>ע"א 44</w:t>
      </w:r>
      <w:r w:rsidR="00E54164">
        <w:rPr>
          <w:rFonts w:hint="cs"/>
          <w:sz w:val="24"/>
          <w:szCs w:val="24"/>
          <w:rtl/>
        </w:rPr>
        <w:t>/</w:t>
      </w:r>
      <w:r w:rsidRPr="00D235B9">
        <w:rPr>
          <w:sz w:val="24"/>
          <w:szCs w:val="24"/>
          <w:rtl/>
        </w:rPr>
        <w:t>66 </w:t>
      </w:r>
      <w:r w:rsidRPr="00524463">
        <w:rPr>
          <w:b/>
          <w:bCs/>
          <w:sz w:val="24"/>
          <w:szCs w:val="24"/>
          <w:rtl/>
        </w:rPr>
        <w:t>ל</w:t>
      </w:r>
      <w:r w:rsidR="006A39AE">
        <w:rPr>
          <w:rFonts w:hint="cs"/>
          <w:b/>
          <w:bCs/>
          <w:sz w:val="24"/>
          <w:szCs w:val="24"/>
          <w:rtl/>
        </w:rPr>
        <w:t>א</w:t>
      </w:r>
      <w:r w:rsidRPr="00524463">
        <w:rPr>
          <w:b/>
          <w:bCs/>
          <w:sz w:val="24"/>
          <w:szCs w:val="24"/>
          <w:rtl/>
        </w:rPr>
        <w:t>קי דרייב בע"מ נ</w:t>
      </w:r>
      <w:r w:rsidRPr="00524463">
        <w:rPr>
          <w:b/>
          <w:bCs/>
          <w:sz w:val="24"/>
          <w:szCs w:val="24"/>
        </w:rPr>
        <w:t>'</w:t>
      </w:r>
      <w:r w:rsidRPr="00524463">
        <w:rPr>
          <w:rFonts w:hint="cs"/>
          <w:b/>
          <w:bCs/>
          <w:sz w:val="24"/>
          <w:szCs w:val="24"/>
          <w:rtl/>
        </w:rPr>
        <w:t xml:space="preserve"> </w:t>
      </w:r>
      <w:r w:rsidRPr="00524463">
        <w:rPr>
          <w:b/>
          <w:bCs/>
          <w:sz w:val="24"/>
          <w:szCs w:val="24"/>
          <w:rtl/>
        </w:rPr>
        <w:t xml:space="preserve">הרץ אמריקן אקספרס אינטרנשיונל </w:t>
      </w:r>
      <w:proofErr w:type="spellStart"/>
      <w:r w:rsidRPr="00524463">
        <w:rPr>
          <w:b/>
          <w:bCs/>
          <w:sz w:val="24"/>
          <w:szCs w:val="24"/>
          <w:rtl/>
        </w:rPr>
        <w:t>לימיט</w:t>
      </w:r>
      <w:r w:rsidRPr="00524463">
        <w:rPr>
          <w:rFonts w:hint="cs"/>
          <w:b/>
          <w:bCs/>
          <w:sz w:val="24"/>
          <w:szCs w:val="24"/>
          <w:rtl/>
        </w:rPr>
        <w:t>ד</w:t>
      </w:r>
      <w:proofErr w:type="spellEnd"/>
      <w:r w:rsidRPr="00D235B9">
        <w:rPr>
          <w:rFonts w:hint="cs"/>
          <w:sz w:val="24"/>
          <w:szCs w:val="24"/>
          <w:rtl/>
        </w:rPr>
        <w:t>,</w:t>
      </w:r>
      <w:r w:rsidRPr="00D235B9">
        <w:rPr>
          <w:sz w:val="24"/>
          <w:szCs w:val="24"/>
        </w:rPr>
        <w:t xml:space="preserve"> </w:t>
      </w:r>
      <w:r w:rsidRPr="00D235B9">
        <w:rPr>
          <w:sz w:val="24"/>
          <w:szCs w:val="24"/>
          <w:rtl/>
        </w:rPr>
        <w:t xml:space="preserve">פ"ד </w:t>
      </w:r>
      <w:proofErr w:type="spellStart"/>
      <w:r w:rsidRPr="00D235B9">
        <w:rPr>
          <w:sz w:val="24"/>
          <w:szCs w:val="24"/>
          <w:rtl/>
        </w:rPr>
        <w:t>כא</w:t>
      </w:r>
      <w:proofErr w:type="spellEnd"/>
      <w:r w:rsidRPr="00D235B9">
        <w:rPr>
          <w:sz w:val="24"/>
          <w:szCs w:val="24"/>
          <w:rtl/>
        </w:rPr>
        <w:t>(1) 576</w:t>
      </w:r>
      <w:r w:rsidR="006A39AE">
        <w:rPr>
          <w:rFonts w:hint="cs"/>
          <w:sz w:val="24"/>
          <w:szCs w:val="24"/>
          <w:rtl/>
        </w:rPr>
        <w:t xml:space="preserve"> (1967). </w:t>
      </w:r>
    </w:p>
    <w:p w:rsidR="00E54164" w:rsidRDefault="00E54164" w:rsidP="00DF6DA3">
      <w:pPr>
        <w:pStyle w:val="a4"/>
        <w:rPr>
          <w:sz w:val="24"/>
          <w:szCs w:val="24"/>
          <w:rtl/>
        </w:rPr>
      </w:pPr>
    </w:p>
    <w:p w:rsidR="00DF6DA3" w:rsidRPr="00D235B9" w:rsidRDefault="00E54164" w:rsidP="00E54164">
      <w:pPr>
        <w:pStyle w:val="a4"/>
        <w:rPr>
          <w:sz w:val="24"/>
          <w:szCs w:val="24"/>
          <w:rtl/>
        </w:rPr>
      </w:pPr>
      <w:r>
        <w:rPr>
          <w:rFonts w:hint="cs"/>
          <w:sz w:val="24"/>
          <w:szCs w:val="24"/>
          <w:rtl/>
        </w:rPr>
        <w:t xml:space="preserve">ד"נ 7/81 </w:t>
      </w:r>
      <w:r w:rsidR="00DF6DA3" w:rsidRPr="00524463">
        <w:rPr>
          <w:b/>
          <w:bCs/>
          <w:sz w:val="24"/>
          <w:szCs w:val="24"/>
          <w:rtl/>
        </w:rPr>
        <w:t>פנידר חברה להשקעות פתוח ובנין בע״מ נ׳ קסטרו</w:t>
      </w:r>
      <w:r w:rsidR="00DF6DA3" w:rsidRPr="00D235B9">
        <w:rPr>
          <w:sz w:val="24"/>
          <w:szCs w:val="24"/>
          <w:rtl/>
        </w:rPr>
        <w:t>, פ״ד לז</w:t>
      </w:r>
      <w:r w:rsidR="00DF6DA3" w:rsidRPr="00D235B9">
        <w:rPr>
          <w:rFonts w:hint="cs"/>
          <w:sz w:val="24"/>
          <w:szCs w:val="24"/>
          <w:rtl/>
        </w:rPr>
        <w:t xml:space="preserve">(4) </w:t>
      </w:r>
      <w:r w:rsidR="006A39AE">
        <w:rPr>
          <w:rFonts w:hint="cs"/>
          <w:sz w:val="24"/>
          <w:szCs w:val="24"/>
          <w:rtl/>
        </w:rPr>
        <w:t xml:space="preserve">673 (1983). </w:t>
      </w:r>
    </w:p>
    <w:p w:rsidR="00DF6DA3" w:rsidRPr="00D235B9" w:rsidRDefault="00DF6DA3" w:rsidP="00DF6DA3">
      <w:pPr>
        <w:pStyle w:val="a4"/>
        <w:rPr>
          <w:sz w:val="24"/>
          <w:szCs w:val="24"/>
          <w:rtl/>
        </w:rPr>
      </w:pPr>
    </w:p>
    <w:p w:rsidR="00DF6DA3" w:rsidRPr="00D235B9" w:rsidRDefault="00DF6DA3" w:rsidP="00524463">
      <w:pPr>
        <w:pStyle w:val="a4"/>
        <w:rPr>
          <w:sz w:val="24"/>
          <w:szCs w:val="24"/>
          <w:rtl/>
        </w:rPr>
      </w:pPr>
      <w:r w:rsidRPr="00D235B9">
        <w:rPr>
          <w:sz w:val="24"/>
          <w:szCs w:val="24"/>
          <w:rtl/>
        </w:rPr>
        <w:t>ע"א 838</w:t>
      </w:r>
      <w:r w:rsidRPr="00D235B9">
        <w:rPr>
          <w:rFonts w:hint="cs"/>
          <w:sz w:val="24"/>
          <w:szCs w:val="24"/>
          <w:rtl/>
        </w:rPr>
        <w:t>/</w:t>
      </w:r>
      <w:r w:rsidRPr="00D235B9">
        <w:rPr>
          <w:sz w:val="24"/>
          <w:szCs w:val="24"/>
          <w:rtl/>
        </w:rPr>
        <w:t xml:space="preserve">75  </w:t>
      </w:r>
      <w:proofErr w:type="spellStart"/>
      <w:r w:rsidRPr="00524463">
        <w:rPr>
          <w:b/>
          <w:bCs/>
          <w:sz w:val="24"/>
          <w:szCs w:val="24"/>
          <w:rtl/>
        </w:rPr>
        <w:t>ספקטור</w:t>
      </w:r>
      <w:proofErr w:type="spellEnd"/>
      <w:r w:rsidRPr="00524463">
        <w:rPr>
          <w:b/>
          <w:bCs/>
          <w:sz w:val="24"/>
          <w:szCs w:val="24"/>
          <w:rtl/>
        </w:rPr>
        <w:t> נ</w:t>
      </w:r>
      <w:r w:rsidRPr="00524463">
        <w:rPr>
          <w:rFonts w:hint="cs"/>
          <w:b/>
          <w:bCs/>
          <w:sz w:val="24"/>
          <w:szCs w:val="24"/>
          <w:rtl/>
        </w:rPr>
        <w:t>'</w:t>
      </w:r>
      <w:r w:rsidRPr="00524463">
        <w:rPr>
          <w:b/>
          <w:bCs/>
          <w:sz w:val="24"/>
          <w:szCs w:val="24"/>
          <w:rtl/>
        </w:rPr>
        <w:t xml:space="preserve"> צרפתי</w:t>
      </w:r>
      <w:r w:rsidR="00524463">
        <w:rPr>
          <w:rFonts w:hint="cs"/>
          <w:sz w:val="24"/>
          <w:szCs w:val="24"/>
          <w:rtl/>
        </w:rPr>
        <w:t xml:space="preserve">, </w:t>
      </w:r>
      <w:r w:rsidRPr="00D235B9">
        <w:rPr>
          <w:rFonts w:hint="cs"/>
          <w:sz w:val="24"/>
          <w:szCs w:val="24"/>
          <w:rtl/>
        </w:rPr>
        <w:t xml:space="preserve">פ"ד </w:t>
      </w:r>
      <w:r w:rsidRPr="00D235B9">
        <w:rPr>
          <w:sz w:val="24"/>
          <w:szCs w:val="24"/>
          <w:rtl/>
        </w:rPr>
        <w:t xml:space="preserve">לב(1) </w:t>
      </w:r>
      <w:r w:rsidR="006A39AE">
        <w:rPr>
          <w:rFonts w:hint="cs"/>
          <w:sz w:val="24"/>
          <w:szCs w:val="24"/>
          <w:rtl/>
        </w:rPr>
        <w:t xml:space="preserve"> </w:t>
      </w:r>
      <w:r w:rsidRPr="00D235B9">
        <w:rPr>
          <w:sz w:val="24"/>
          <w:szCs w:val="24"/>
          <w:rtl/>
        </w:rPr>
        <w:t>231</w:t>
      </w:r>
      <w:r w:rsidR="006A39AE">
        <w:rPr>
          <w:rFonts w:hint="cs"/>
          <w:sz w:val="24"/>
          <w:szCs w:val="24"/>
          <w:rtl/>
        </w:rPr>
        <w:t xml:space="preserve"> (1977).</w:t>
      </w:r>
    </w:p>
    <w:p w:rsidR="00FF302D" w:rsidRDefault="00FF302D" w:rsidP="00DF6DA3">
      <w:pPr>
        <w:pStyle w:val="a4"/>
        <w:rPr>
          <w:sz w:val="24"/>
          <w:szCs w:val="24"/>
          <w:rtl/>
        </w:rPr>
      </w:pPr>
    </w:p>
    <w:p w:rsidR="00FF302D" w:rsidRDefault="00DF6DA3" w:rsidP="00524463">
      <w:pPr>
        <w:pStyle w:val="a4"/>
        <w:rPr>
          <w:sz w:val="24"/>
          <w:szCs w:val="24"/>
          <w:rtl/>
        </w:rPr>
      </w:pPr>
      <w:r w:rsidRPr="00D235B9">
        <w:rPr>
          <w:sz w:val="24"/>
          <w:szCs w:val="24"/>
          <w:rtl/>
        </w:rPr>
        <w:t>ע"א</w:t>
      </w:r>
      <w:r w:rsidRPr="00D235B9">
        <w:rPr>
          <w:rFonts w:hint="cs"/>
          <w:sz w:val="24"/>
          <w:szCs w:val="24"/>
          <w:rtl/>
        </w:rPr>
        <w:t xml:space="preserve"> 6370/00</w:t>
      </w:r>
      <w:r w:rsidRPr="00D235B9">
        <w:rPr>
          <w:sz w:val="24"/>
          <w:szCs w:val="24"/>
          <w:rtl/>
        </w:rPr>
        <w:t xml:space="preserve"> </w:t>
      </w:r>
      <w:r w:rsidRPr="00524463">
        <w:rPr>
          <w:b/>
          <w:bCs/>
          <w:sz w:val="24"/>
          <w:szCs w:val="24"/>
          <w:rtl/>
        </w:rPr>
        <w:t>קל בנ</w:t>
      </w:r>
      <w:r w:rsidRPr="00524463">
        <w:rPr>
          <w:rFonts w:hint="cs"/>
          <w:b/>
          <w:bCs/>
          <w:sz w:val="24"/>
          <w:szCs w:val="24"/>
          <w:rtl/>
        </w:rPr>
        <w:t>ין</w:t>
      </w:r>
      <w:r w:rsidRPr="00524463">
        <w:rPr>
          <w:b/>
          <w:bCs/>
          <w:sz w:val="24"/>
          <w:szCs w:val="24"/>
        </w:rPr>
        <w:t xml:space="preserve"> </w:t>
      </w:r>
      <w:r w:rsidRPr="00524463">
        <w:rPr>
          <w:b/>
          <w:bCs/>
          <w:sz w:val="24"/>
          <w:szCs w:val="24"/>
          <w:rtl/>
        </w:rPr>
        <w:t xml:space="preserve">בע"מ נ' </w:t>
      </w:r>
      <w:proofErr w:type="spellStart"/>
      <w:r w:rsidRPr="00524463">
        <w:rPr>
          <w:rFonts w:hint="cs"/>
          <w:b/>
          <w:bCs/>
          <w:sz w:val="24"/>
          <w:szCs w:val="24"/>
          <w:rtl/>
        </w:rPr>
        <w:t>ע.ר.מ</w:t>
      </w:r>
      <w:proofErr w:type="spellEnd"/>
      <w:r w:rsidRPr="00524463">
        <w:rPr>
          <w:b/>
          <w:bCs/>
          <w:sz w:val="24"/>
          <w:szCs w:val="24"/>
          <w:rtl/>
        </w:rPr>
        <w:t xml:space="preserve"> רעננה לבניה והשכרה</w:t>
      </w:r>
      <w:r w:rsidRPr="00524463">
        <w:rPr>
          <w:rFonts w:hint="cs"/>
          <w:b/>
          <w:bCs/>
          <w:sz w:val="24"/>
          <w:szCs w:val="24"/>
          <w:rtl/>
        </w:rPr>
        <w:t xml:space="preserve"> בע"מ</w:t>
      </w:r>
      <w:r w:rsidRPr="00D235B9">
        <w:rPr>
          <w:rFonts w:hint="cs"/>
          <w:sz w:val="24"/>
          <w:szCs w:val="24"/>
          <w:rtl/>
        </w:rPr>
        <w:t>, פ"ד נו(3) 289</w:t>
      </w:r>
      <w:r w:rsidR="006A39AE">
        <w:rPr>
          <w:rFonts w:hint="cs"/>
          <w:sz w:val="24"/>
          <w:szCs w:val="24"/>
          <w:rtl/>
        </w:rPr>
        <w:t xml:space="preserve"> (2002). </w:t>
      </w:r>
      <w:r w:rsidRPr="00D235B9">
        <w:rPr>
          <w:rFonts w:hint="cs"/>
          <w:sz w:val="24"/>
          <w:szCs w:val="24"/>
          <w:rtl/>
        </w:rPr>
        <w:t xml:space="preserve"> </w:t>
      </w:r>
    </w:p>
    <w:p w:rsidR="00FF302D" w:rsidRDefault="00FF302D" w:rsidP="00FF302D">
      <w:pPr>
        <w:pStyle w:val="a4"/>
        <w:rPr>
          <w:sz w:val="24"/>
          <w:szCs w:val="24"/>
          <w:rtl/>
        </w:rPr>
      </w:pPr>
    </w:p>
    <w:p w:rsidR="00D24336" w:rsidRDefault="00D24336" w:rsidP="00524463">
      <w:pPr>
        <w:pStyle w:val="a4"/>
        <w:rPr>
          <w:sz w:val="24"/>
          <w:szCs w:val="24"/>
          <w:rtl/>
        </w:rPr>
      </w:pPr>
      <w:proofErr w:type="spellStart"/>
      <w:r w:rsidRPr="00D235B9">
        <w:rPr>
          <w:sz w:val="24"/>
          <w:szCs w:val="24"/>
          <w:rtl/>
        </w:rPr>
        <w:t>דנג"ץ</w:t>
      </w:r>
      <w:proofErr w:type="spellEnd"/>
      <w:r w:rsidRPr="00D235B9">
        <w:rPr>
          <w:sz w:val="24"/>
          <w:szCs w:val="24"/>
          <w:rtl/>
        </w:rPr>
        <w:t xml:space="preserve"> 4191</w:t>
      </w:r>
      <w:r w:rsidR="00E54164">
        <w:rPr>
          <w:rFonts w:hint="cs"/>
          <w:sz w:val="24"/>
          <w:szCs w:val="24"/>
          <w:rtl/>
        </w:rPr>
        <w:t>/</w:t>
      </w:r>
      <w:r w:rsidRPr="00D235B9">
        <w:rPr>
          <w:sz w:val="24"/>
          <w:szCs w:val="24"/>
          <w:rtl/>
        </w:rPr>
        <w:t>97 </w:t>
      </w:r>
      <w:r w:rsidRPr="00524463">
        <w:rPr>
          <w:b/>
          <w:bCs/>
          <w:sz w:val="24"/>
          <w:szCs w:val="24"/>
          <w:rtl/>
        </w:rPr>
        <w:t xml:space="preserve">אפרים </w:t>
      </w:r>
      <w:proofErr w:type="spellStart"/>
      <w:r w:rsidRPr="00524463">
        <w:rPr>
          <w:b/>
          <w:bCs/>
          <w:sz w:val="24"/>
          <w:szCs w:val="24"/>
          <w:rtl/>
        </w:rPr>
        <w:t>רקנט</w:t>
      </w:r>
      <w:proofErr w:type="spellEnd"/>
      <w:r w:rsidRPr="00524463">
        <w:rPr>
          <w:b/>
          <w:bCs/>
          <w:sz w:val="24"/>
          <w:szCs w:val="24"/>
          <w:rtl/>
        </w:rPr>
        <w:t> נ</w:t>
      </w:r>
      <w:r w:rsidRPr="00524463">
        <w:rPr>
          <w:b/>
          <w:bCs/>
          <w:sz w:val="24"/>
          <w:szCs w:val="24"/>
        </w:rPr>
        <w:t>' </w:t>
      </w:r>
      <w:r w:rsidRPr="00524463">
        <w:rPr>
          <w:b/>
          <w:bCs/>
          <w:sz w:val="24"/>
          <w:szCs w:val="24"/>
          <w:rtl/>
        </w:rPr>
        <w:t>בית-הדין הארצי לעבודה</w:t>
      </w:r>
      <w:r w:rsidR="00524463">
        <w:rPr>
          <w:rFonts w:hint="cs"/>
          <w:sz w:val="24"/>
          <w:szCs w:val="24"/>
          <w:rtl/>
        </w:rPr>
        <w:t xml:space="preserve">, </w:t>
      </w:r>
      <w:r w:rsidRPr="00D235B9">
        <w:rPr>
          <w:sz w:val="24"/>
          <w:szCs w:val="24"/>
          <w:rtl/>
        </w:rPr>
        <w:t xml:space="preserve">פ"ד נד(5) </w:t>
      </w:r>
      <w:r w:rsidRPr="00D235B9">
        <w:rPr>
          <w:rFonts w:hint="cs"/>
          <w:sz w:val="24"/>
          <w:szCs w:val="24"/>
          <w:rtl/>
        </w:rPr>
        <w:t xml:space="preserve">330 (2000). </w:t>
      </w:r>
    </w:p>
    <w:p w:rsidR="00524463" w:rsidRDefault="00524463" w:rsidP="00524463">
      <w:pPr>
        <w:pStyle w:val="a4"/>
        <w:rPr>
          <w:sz w:val="24"/>
          <w:szCs w:val="24"/>
          <w:rtl/>
        </w:rPr>
      </w:pPr>
    </w:p>
    <w:p w:rsidR="00524463" w:rsidRDefault="00524463" w:rsidP="00524463">
      <w:pPr>
        <w:pStyle w:val="a4"/>
        <w:rPr>
          <w:b/>
          <w:bCs/>
          <w:sz w:val="24"/>
          <w:szCs w:val="24"/>
          <w:rtl/>
        </w:rPr>
      </w:pPr>
      <w:r w:rsidRPr="00524463">
        <w:rPr>
          <w:rFonts w:hint="cs"/>
          <w:b/>
          <w:bCs/>
          <w:sz w:val="24"/>
          <w:szCs w:val="24"/>
          <w:rtl/>
        </w:rPr>
        <w:t>ספרות</w:t>
      </w:r>
    </w:p>
    <w:p w:rsidR="00524463" w:rsidRDefault="00524463" w:rsidP="00524463">
      <w:pPr>
        <w:pStyle w:val="a4"/>
        <w:rPr>
          <w:b/>
          <w:bCs/>
          <w:sz w:val="24"/>
          <w:szCs w:val="24"/>
          <w:rtl/>
        </w:rPr>
      </w:pPr>
    </w:p>
    <w:p w:rsidR="007C21FE" w:rsidRDefault="007C21FE" w:rsidP="007C21FE">
      <w:pPr>
        <w:pStyle w:val="a4"/>
        <w:rPr>
          <w:sz w:val="24"/>
          <w:szCs w:val="24"/>
          <w:rtl/>
        </w:rPr>
      </w:pPr>
      <w:r w:rsidRPr="007C21FE">
        <w:rPr>
          <w:sz w:val="24"/>
          <w:szCs w:val="24"/>
          <w:rtl/>
        </w:rPr>
        <w:t xml:space="preserve">גבריאלה שלו ואפי צמח </w:t>
      </w:r>
      <w:r w:rsidRPr="007C21FE">
        <w:rPr>
          <w:b/>
          <w:bCs/>
          <w:sz w:val="24"/>
          <w:szCs w:val="24"/>
          <w:rtl/>
        </w:rPr>
        <w:t>דיני חוזים</w:t>
      </w:r>
      <w:r w:rsidRPr="007C21FE">
        <w:rPr>
          <w:rFonts w:hint="cs"/>
          <w:sz w:val="24"/>
          <w:szCs w:val="24"/>
          <w:rtl/>
        </w:rPr>
        <w:t xml:space="preserve">, </w:t>
      </w:r>
      <w:r w:rsidRPr="007C21FE">
        <w:rPr>
          <w:sz w:val="24"/>
          <w:szCs w:val="24"/>
          <w:rtl/>
        </w:rPr>
        <w:t>(מהדורה רביעית, 2019</w:t>
      </w:r>
      <w:r w:rsidRPr="007C21FE">
        <w:rPr>
          <w:rFonts w:hint="cs"/>
          <w:sz w:val="24"/>
          <w:szCs w:val="24"/>
          <w:rtl/>
        </w:rPr>
        <w:t>)</w:t>
      </w:r>
      <w:r w:rsidRPr="007C21FE">
        <w:rPr>
          <w:sz w:val="24"/>
          <w:szCs w:val="24"/>
          <w:rtl/>
        </w:rPr>
        <w:t>.</w:t>
      </w:r>
    </w:p>
    <w:p w:rsidR="007C21FE" w:rsidRDefault="007C21FE" w:rsidP="007C21FE">
      <w:pPr>
        <w:pStyle w:val="a4"/>
        <w:rPr>
          <w:sz w:val="24"/>
          <w:szCs w:val="24"/>
          <w:rtl/>
        </w:rPr>
      </w:pPr>
    </w:p>
    <w:p w:rsidR="007C21FE" w:rsidRDefault="007C21FE" w:rsidP="007C21FE">
      <w:pPr>
        <w:pStyle w:val="a4"/>
        <w:rPr>
          <w:rtl/>
        </w:rPr>
      </w:pPr>
      <w:r w:rsidRPr="007C21FE">
        <w:rPr>
          <w:rFonts w:hint="cs"/>
          <w:sz w:val="24"/>
          <w:szCs w:val="24"/>
          <w:rtl/>
        </w:rPr>
        <w:t>יהודה אדר "</w:t>
      </w:r>
      <w:r w:rsidRPr="007C21FE">
        <w:rPr>
          <w:sz w:val="24"/>
          <w:szCs w:val="24"/>
          <w:rtl/>
        </w:rPr>
        <w:t>מסוימות וגמירת דעת – הילכו שתיים בנפרד</w:t>
      </w:r>
      <w:r w:rsidRPr="007C21FE">
        <w:rPr>
          <w:rFonts w:hint="cs"/>
          <w:sz w:val="24"/>
          <w:szCs w:val="24"/>
          <w:rtl/>
        </w:rPr>
        <w:t xml:space="preserve">?" </w:t>
      </w:r>
      <w:r w:rsidRPr="007C21FE">
        <w:rPr>
          <w:rFonts w:hint="cs"/>
          <w:b/>
          <w:bCs/>
          <w:sz w:val="24"/>
          <w:szCs w:val="24"/>
          <w:rtl/>
        </w:rPr>
        <w:t>משפטים</w:t>
      </w:r>
      <w:r w:rsidRPr="007C21FE">
        <w:rPr>
          <w:rFonts w:hint="cs"/>
          <w:sz w:val="24"/>
          <w:szCs w:val="24"/>
          <w:rtl/>
        </w:rPr>
        <w:t xml:space="preserve"> נא, (2020).</w:t>
      </w:r>
      <w:r>
        <w:rPr>
          <w:rFonts w:hint="cs"/>
          <w:rtl/>
        </w:rPr>
        <w:t xml:space="preserve"> </w:t>
      </w:r>
    </w:p>
    <w:p w:rsidR="007C21FE" w:rsidRPr="007C21FE" w:rsidRDefault="007C21FE" w:rsidP="007C21FE">
      <w:pPr>
        <w:pStyle w:val="a4"/>
        <w:rPr>
          <w:sz w:val="24"/>
          <w:szCs w:val="24"/>
          <w:rtl/>
        </w:rPr>
      </w:pPr>
    </w:p>
    <w:p w:rsidR="007C21FE" w:rsidRDefault="007C21FE" w:rsidP="007C21FE">
      <w:pPr>
        <w:pStyle w:val="a4"/>
        <w:rPr>
          <w:sz w:val="32"/>
          <w:szCs w:val="32"/>
          <w:rtl/>
        </w:rPr>
      </w:pPr>
      <w:r w:rsidRPr="007C21FE">
        <w:rPr>
          <w:rFonts w:hint="cs"/>
          <w:sz w:val="24"/>
          <w:szCs w:val="24"/>
          <w:rtl/>
        </w:rPr>
        <w:t xml:space="preserve">גבריאלה שלו "טעות בחתימה-האומנם לא נעשה דבר?" </w:t>
      </w:r>
      <w:r w:rsidRPr="007C21FE">
        <w:rPr>
          <w:rFonts w:hint="cs"/>
          <w:b/>
          <w:bCs/>
          <w:sz w:val="24"/>
          <w:szCs w:val="24"/>
          <w:rtl/>
        </w:rPr>
        <w:t>משפטים</w:t>
      </w:r>
      <w:r w:rsidRPr="007C21FE">
        <w:rPr>
          <w:rFonts w:hint="cs"/>
          <w:sz w:val="24"/>
          <w:szCs w:val="24"/>
          <w:rtl/>
        </w:rPr>
        <w:t xml:space="preserve"> יא 501, (1981).</w:t>
      </w:r>
    </w:p>
    <w:p w:rsidR="007C21FE" w:rsidRDefault="007C21FE" w:rsidP="007C21FE">
      <w:pPr>
        <w:pStyle w:val="a4"/>
        <w:rPr>
          <w:sz w:val="32"/>
          <w:szCs w:val="32"/>
          <w:rtl/>
        </w:rPr>
      </w:pPr>
    </w:p>
    <w:p w:rsidR="007C21FE" w:rsidRDefault="007C21FE" w:rsidP="007C21FE">
      <w:pPr>
        <w:pStyle w:val="a4"/>
        <w:rPr>
          <w:sz w:val="32"/>
          <w:szCs w:val="32"/>
          <w:rtl/>
        </w:rPr>
      </w:pPr>
      <w:r w:rsidRPr="007C21FE">
        <w:rPr>
          <w:sz w:val="24"/>
          <w:szCs w:val="24"/>
          <w:rtl/>
        </w:rPr>
        <w:t xml:space="preserve">מיכל אגמון-גונן, </w:t>
      </w:r>
      <w:r w:rsidRPr="007C21FE">
        <w:rPr>
          <w:b/>
          <w:bCs/>
          <w:sz w:val="24"/>
          <w:szCs w:val="24"/>
          <w:rtl/>
        </w:rPr>
        <w:t>אופקים חדשים במשפט - ההשבה בהקשרים חוזיים</w:t>
      </w:r>
      <w:r w:rsidRPr="007C21FE">
        <w:rPr>
          <w:rFonts w:hint="cs"/>
          <w:sz w:val="24"/>
          <w:szCs w:val="24"/>
          <w:rtl/>
        </w:rPr>
        <w:t xml:space="preserve"> 195</w:t>
      </w:r>
      <w:r w:rsidRPr="007C21FE">
        <w:rPr>
          <w:sz w:val="24"/>
          <w:szCs w:val="24"/>
          <w:rtl/>
        </w:rPr>
        <w:t xml:space="preserve"> </w:t>
      </w:r>
      <w:r w:rsidRPr="007C21FE">
        <w:rPr>
          <w:rFonts w:hint="cs"/>
          <w:sz w:val="24"/>
          <w:szCs w:val="24"/>
          <w:rtl/>
        </w:rPr>
        <w:t>(2001).</w:t>
      </w:r>
    </w:p>
    <w:p w:rsidR="007C21FE" w:rsidRDefault="007C21FE" w:rsidP="007C21FE">
      <w:pPr>
        <w:pStyle w:val="a4"/>
        <w:rPr>
          <w:sz w:val="32"/>
          <w:szCs w:val="32"/>
          <w:rtl/>
        </w:rPr>
      </w:pPr>
    </w:p>
    <w:p w:rsidR="007C21FE" w:rsidRPr="007C21FE" w:rsidRDefault="007C21FE" w:rsidP="007C21FE">
      <w:pPr>
        <w:pStyle w:val="a4"/>
        <w:rPr>
          <w:b/>
          <w:bCs/>
          <w:sz w:val="32"/>
          <w:szCs w:val="32"/>
          <w:rtl/>
        </w:rPr>
      </w:pPr>
      <w:r w:rsidRPr="007C21FE">
        <w:rPr>
          <w:rFonts w:hint="cs"/>
          <w:b/>
          <w:bCs/>
          <w:sz w:val="24"/>
          <w:szCs w:val="24"/>
          <w:rtl/>
        </w:rPr>
        <w:t>אתר אינטרנט</w:t>
      </w:r>
    </w:p>
    <w:p w:rsidR="007C21FE" w:rsidRDefault="007C21FE" w:rsidP="007C21FE">
      <w:pPr>
        <w:pStyle w:val="a4"/>
        <w:rPr>
          <w:sz w:val="24"/>
          <w:szCs w:val="24"/>
          <w:rtl/>
        </w:rPr>
      </w:pPr>
    </w:p>
    <w:p w:rsidR="007C21FE" w:rsidRDefault="007C21FE" w:rsidP="007C21FE">
      <w:pPr>
        <w:pStyle w:val="a4"/>
        <w:rPr>
          <w:sz w:val="24"/>
          <w:szCs w:val="24"/>
          <w:rtl/>
        </w:rPr>
      </w:pPr>
      <w:r w:rsidRPr="007C21FE">
        <w:rPr>
          <w:rFonts w:hint="cs"/>
          <w:sz w:val="24"/>
          <w:szCs w:val="24"/>
          <w:rtl/>
        </w:rPr>
        <w:t xml:space="preserve">אריאל ארליך, </w:t>
      </w:r>
      <w:hyperlink r:id="rId8" w:history="1">
        <w:r w:rsidRPr="007C21FE">
          <w:rPr>
            <w:rStyle w:val="Hyperlink"/>
            <w:color w:val="auto"/>
            <w:sz w:val="24"/>
            <w:szCs w:val="24"/>
            <w:u w:val="none"/>
            <w:rtl/>
          </w:rPr>
          <w:t>הפרדה או הפליה – הצעה לניתוח מושגי והבחנות שימושיות</w:t>
        </w:r>
      </w:hyperlink>
      <w:r w:rsidRPr="007C21FE">
        <w:rPr>
          <w:sz w:val="24"/>
          <w:szCs w:val="24"/>
        </w:rPr>
        <w:t xml:space="preserve"> </w:t>
      </w:r>
      <w:r w:rsidRPr="007C21FE">
        <w:rPr>
          <w:b/>
          <w:bCs/>
          <w:sz w:val="24"/>
          <w:szCs w:val="24"/>
        </w:rPr>
        <w:t xml:space="preserve">ICON-S-IL Blog </w:t>
      </w:r>
      <w:r w:rsidRPr="007C21FE">
        <w:rPr>
          <w:rFonts w:hint="cs"/>
          <w:sz w:val="24"/>
          <w:szCs w:val="24"/>
          <w:rtl/>
        </w:rPr>
        <w:t xml:space="preserve"> </w:t>
      </w:r>
      <w:r w:rsidRPr="007C21FE">
        <w:rPr>
          <w:sz w:val="24"/>
          <w:szCs w:val="24"/>
        </w:rPr>
        <w:t>(22.10.2019)</w:t>
      </w:r>
      <w:r w:rsidRPr="007C21FE">
        <w:rPr>
          <w:rFonts w:hint="cs"/>
          <w:sz w:val="24"/>
          <w:szCs w:val="24"/>
          <w:rtl/>
        </w:rPr>
        <w:t xml:space="preserve"> </w:t>
      </w:r>
      <w:r w:rsidRPr="007C21FE">
        <w:rPr>
          <w:rStyle w:val="Hyperlink"/>
          <w:sz w:val="24"/>
          <w:szCs w:val="24"/>
        </w:rPr>
        <w:t>israeliconstitutionalism.wordpress.com/2019/10/22/</w:t>
      </w:r>
      <w:r w:rsidRPr="007C21FE">
        <w:rPr>
          <w:rStyle w:val="Hyperlink"/>
          <w:rFonts w:hint="cs"/>
          <w:sz w:val="24"/>
          <w:szCs w:val="24"/>
          <w:rtl/>
        </w:rPr>
        <w:t>.</w:t>
      </w:r>
    </w:p>
    <w:p w:rsidR="007C21FE" w:rsidRDefault="007C21FE" w:rsidP="007C21FE">
      <w:pPr>
        <w:pStyle w:val="a4"/>
        <w:rPr>
          <w:sz w:val="24"/>
          <w:szCs w:val="24"/>
          <w:rtl/>
        </w:rPr>
      </w:pPr>
    </w:p>
    <w:p w:rsidR="007C21FE" w:rsidRPr="007C21FE" w:rsidRDefault="007C21FE" w:rsidP="007C21FE">
      <w:pPr>
        <w:pStyle w:val="a4"/>
        <w:rPr>
          <w:b/>
          <w:bCs/>
          <w:sz w:val="24"/>
          <w:szCs w:val="24"/>
          <w:rtl/>
        </w:rPr>
      </w:pPr>
      <w:r w:rsidRPr="007C21FE">
        <w:rPr>
          <w:rFonts w:hint="cs"/>
          <w:b/>
          <w:bCs/>
          <w:sz w:val="24"/>
          <w:szCs w:val="24"/>
          <w:rtl/>
        </w:rPr>
        <w:t>מילונים ואנציקלופדיות</w:t>
      </w:r>
    </w:p>
    <w:p w:rsidR="00AD28AD" w:rsidRDefault="00AD28AD" w:rsidP="007C21FE">
      <w:pPr>
        <w:pStyle w:val="a4"/>
        <w:rPr>
          <w:sz w:val="24"/>
          <w:szCs w:val="24"/>
          <w:rtl/>
        </w:rPr>
      </w:pPr>
    </w:p>
    <w:p w:rsidR="007C21FE" w:rsidRPr="007C21FE" w:rsidRDefault="00AD28AD" w:rsidP="007C21FE">
      <w:pPr>
        <w:pStyle w:val="a4"/>
        <w:rPr>
          <w:sz w:val="24"/>
          <w:szCs w:val="24"/>
          <w:rtl/>
        </w:rPr>
      </w:pPr>
      <w:r w:rsidRPr="00AD28AD">
        <w:rPr>
          <w:sz w:val="24"/>
          <w:szCs w:val="24"/>
          <w:rtl/>
        </w:rPr>
        <w:t xml:space="preserve">אפליה" אברהם אבן שושן </w:t>
      </w:r>
      <w:r w:rsidRPr="00AD28AD">
        <w:rPr>
          <w:b/>
          <w:bCs/>
          <w:sz w:val="24"/>
          <w:szCs w:val="24"/>
          <w:rtl/>
        </w:rPr>
        <w:t>המילון החדש</w:t>
      </w:r>
      <w:r w:rsidRPr="00AD28AD">
        <w:rPr>
          <w:sz w:val="24"/>
          <w:szCs w:val="24"/>
          <w:rtl/>
        </w:rPr>
        <w:t xml:space="preserve"> 139 (שלמה אבן שושן עורך ראשי 1998).</w:t>
      </w:r>
    </w:p>
    <w:sectPr w:rsidR="007C21FE" w:rsidRPr="007C21FE" w:rsidSect="0021789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D6" w:rsidRDefault="00F912D6" w:rsidP="00271034">
      <w:pPr>
        <w:spacing w:after="0" w:line="240" w:lineRule="auto"/>
      </w:pPr>
      <w:r>
        <w:separator/>
      </w:r>
    </w:p>
  </w:endnote>
  <w:endnote w:type="continuationSeparator" w:id="0">
    <w:p w:rsidR="00F912D6" w:rsidRDefault="00F912D6" w:rsidP="0027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D6" w:rsidRDefault="00F912D6" w:rsidP="00271034">
      <w:pPr>
        <w:spacing w:after="0" w:line="240" w:lineRule="auto"/>
      </w:pPr>
      <w:r>
        <w:separator/>
      </w:r>
    </w:p>
  </w:footnote>
  <w:footnote w:type="continuationSeparator" w:id="0">
    <w:p w:rsidR="00F912D6" w:rsidRDefault="00F912D6" w:rsidP="00271034">
      <w:pPr>
        <w:spacing w:after="0" w:line="240" w:lineRule="auto"/>
      </w:pPr>
      <w:r>
        <w:continuationSeparator/>
      </w:r>
    </w:p>
  </w:footnote>
  <w:footnote w:id="1">
    <w:p w:rsidR="0081495E" w:rsidRPr="00866F75" w:rsidRDefault="0081495E" w:rsidP="005E63BB">
      <w:pPr>
        <w:pStyle w:val="a4"/>
        <w:rPr>
          <w:rtl/>
        </w:rPr>
      </w:pPr>
      <w:r>
        <w:rPr>
          <w:rStyle w:val="a6"/>
        </w:rPr>
        <w:footnoteRef/>
      </w:r>
      <w:r>
        <w:rPr>
          <w:rFonts w:hint="cs"/>
          <w:rtl/>
        </w:rPr>
        <w:t xml:space="preserve"> </w:t>
      </w:r>
      <w:r w:rsidRPr="005E63BB">
        <w:rPr>
          <w:rtl/>
        </w:rPr>
        <w:t xml:space="preserve">גבריאלה </w:t>
      </w:r>
      <w:r>
        <w:rPr>
          <w:rtl/>
        </w:rPr>
        <w:t xml:space="preserve">שלו </w:t>
      </w:r>
      <w:r w:rsidRPr="005E63BB">
        <w:rPr>
          <w:rtl/>
        </w:rPr>
        <w:t xml:space="preserve">ואפי </w:t>
      </w:r>
      <w:r>
        <w:rPr>
          <w:rtl/>
        </w:rPr>
        <w:t xml:space="preserve">צמח </w:t>
      </w:r>
      <w:r w:rsidRPr="005E63BB">
        <w:rPr>
          <w:b/>
          <w:bCs/>
          <w:rtl/>
        </w:rPr>
        <w:t>דיני חוזים</w:t>
      </w:r>
      <w:r>
        <w:rPr>
          <w:rFonts w:hint="cs"/>
          <w:rtl/>
        </w:rPr>
        <w:t>, פרק 7 עמ'</w:t>
      </w:r>
      <w:r>
        <w:rPr>
          <w:rtl/>
        </w:rPr>
        <w:t xml:space="preserve"> </w:t>
      </w:r>
      <w:r>
        <w:rPr>
          <w:rFonts w:hint="cs"/>
          <w:rtl/>
        </w:rPr>
        <w:t xml:space="preserve">164 </w:t>
      </w:r>
      <w:r>
        <w:rPr>
          <w:rtl/>
        </w:rPr>
        <w:t>(</w:t>
      </w:r>
      <w:r w:rsidRPr="005E63BB">
        <w:rPr>
          <w:rtl/>
        </w:rPr>
        <w:t>מהדורה רביעית, 2019</w:t>
      </w:r>
      <w:r>
        <w:rPr>
          <w:rFonts w:hint="cs"/>
          <w:rtl/>
        </w:rPr>
        <w:t>)</w:t>
      </w:r>
      <w:r w:rsidRPr="005E63BB">
        <w:rPr>
          <w:rtl/>
        </w:rPr>
        <w:t>.</w:t>
      </w:r>
    </w:p>
  </w:footnote>
  <w:footnote w:id="2">
    <w:p w:rsidR="0081495E" w:rsidRDefault="0081495E" w:rsidP="00C57731">
      <w:pPr>
        <w:pStyle w:val="a4"/>
      </w:pPr>
      <w:r>
        <w:rPr>
          <w:rStyle w:val="a6"/>
        </w:rPr>
        <w:footnoteRef/>
      </w:r>
      <w:r>
        <w:rPr>
          <w:rtl/>
        </w:rPr>
        <w:t xml:space="preserve"> </w:t>
      </w:r>
      <w:r w:rsidRPr="00C57731">
        <w:rPr>
          <w:rFonts w:hint="cs"/>
          <w:rtl/>
        </w:rPr>
        <w:t>ס'26, ל</w:t>
      </w:r>
      <w:r w:rsidRPr="00C57731">
        <w:rPr>
          <w:rtl/>
        </w:rPr>
        <w:t xml:space="preserve">חוק החוזים (חלק כללי), </w:t>
      </w:r>
      <w:r>
        <w:rPr>
          <w:rFonts w:hint="cs"/>
          <w:rtl/>
        </w:rPr>
        <w:t>ה</w:t>
      </w:r>
      <w:r w:rsidRPr="00C57731">
        <w:rPr>
          <w:rtl/>
        </w:rPr>
        <w:t>תשל"ג-1973</w:t>
      </w:r>
      <w:r w:rsidR="00FF2399">
        <w:rPr>
          <w:rFonts w:hint="cs"/>
          <w:rtl/>
        </w:rPr>
        <w:t xml:space="preserve"> (להלן: חוק החוזים).</w:t>
      </w:r>
    </w:p>
  </w:footnote>
  <w:footnote w:id="3">
    <w:p w:rsidR="0081495E" w:rsidRDefault="0081495E" w:rsidP="000067E8">
      <w:pPr>
        <w:pStyle w:val="a4"/>
      </w:pPr>
      <w:r>
        <w:rPr>
          <w:rStyle w:val="a6"/>
        </w:rPr>
        <w:footnoteRef/>
      </w:r>
      <w:r>
        <w:rPr>
          <w:rtl/>
        </w:rPr>
        <w:t xml:space="preserve"> </w:t>
      </w:r>
      <w:r w:rsidR="00FF2399">
        <w:rPr>
          <w:rFonts w:hint="cs"/>
          <w:rtl/>
        </w:rPr>
        <w:t>שם, ס'15 לחוק החוזים.</w:t>
      </w:r>
    </w:p>
  </w:footnote>
  <w:footnote w:id="4">
    <w:p w:rsidR="0081495E" w:rsidRDefault="0081495E" w:rsidP="000067E8">
      <w:pPr>
        <w:pStyle w:val="a4"/>
      </w:pPr>
      <w:r>
        <w:rPr>
          <w:rStyle w:val="a6"/>
        </w:rPr>
        <w:footnoteRef/>
      </w:r>
      <w:r>
        <w:rPr>
          <w:rtl/>
        </w:rPr>
        <w:t xml:space="preserve"> </w:t>
      </w:r>
      <w:r>
        <w:rPr>
          <w:rFonts w:hint="cs"/>
          <w:rtl/>
        </w:rPr>
        <w:t>שם, ס'12א</w:t>
      </w:r>
      <w:r w:rsidR="00FF2399">
        <w:rPr>
          <w:rFonts w:hint="cs"/>
          <w:rtl/>
        </w:rPr>
        <w:t xml:space="preserve"> לחוק החוזים. </w:t>
      </w:r>
    </w:p>
  </w:footnote>
  <w:footnote w:id="5">
    <w:p w:rsidR="0081495E" w:rsidRPr="00DA383A" w:rsidRDefault="0081495E" w:rsidP="00DA383A">
      <w:pPr>
        <w:pStyle w:val="a4"/>
      </w:pPr>
      <w:r>
        <w:rPr>
          <w:rStyle w:val="a6"/>
        </w:rPr>
        <w:footnoteRef/>
      </w:r>
      <w:r>
        <w:rPr>
          <w:rtl/>
        </w:rPr>
        <w:t xml:space="preserve"> </w:t>
      </w:r>
      <w:r w:rsidRPr="00DA383A">
        <w:rPr>
          <w:rFonts w:hint="cs"/>
          <w:rtl/>
        </w:rPr>
        <w:t xml:space="preserve">שם, </w:t>
      </w:r>
      <w:r>
        <w:rPr>
          <w:rFonts w:hint="cs"/>
          <w:rtl/>
        </w:rPr>
        <w:t>ס'12ב</w:t>
      </w:r>
      <w:r w:rsidR="00FF2399">
        <w:rPr>
          <w:rFonts w:hint="cs"/>
          <w:rtl/>
        </w:rPr>
        <w:t xml:space="preserve"> לחו</w:t>
      </w:r>
      <w:r w:rsidR="007837BD">
        <w:rPr>
          <w:rFonts w:hint="cs"/>
          <w:rtl/>
        </w:rPr>
        <w:t>ק החוזים</w:t>
      </w:r>
      <w:r w:rsidR="00FF2399">
        <w:rPr>
          <w:rFonts w:hint="cs"/>
          <w:rtl/>
        </w:rPr>
        <w:t xml:space="preserve">. </w:t>
      </w:r>
    </w:p>
  </w:footnote>
  <w:footnote w:id="6">
    <w:p w:rsidR="00955778" w:rsidRDefault="0081495E" w:rsidP="00955778">
      <w:pPr>
        <w:pStyle w:val="a4"/>
      </w:pPr>
      <w:r>
        <w:rPr>
          <w:rStyle w:val="a6"/>
        </w:rPr>
        <w:footnoteRef/>
      </w:r>
      <w:r>
        <w:rPr>
          <w:rtl/>
        </w:rPr>
        <w:t xml:space="preserve"> </w:t>
      </w:r>
      <w:r>
        <w:rPr>
          <w:rFonts w:hint="cs"/>
          <w:rtl/>
        </w:rPr>
        <w:t>ס'6, ל</w:t>
      </w:r>
      <w:r w:rsidRPr="004112EF">
        <w:rPr>
          <w:rtl/>
        </w:rPr>
        <w:t xml:space="preserve">חוק החוזים (תרופות בשל הפרת חוזה), </w:t>
      </w:r>
      <w:r>
        <w:rPr>
          <w:rFonts w:hint="cs"/>
          <w:rtl/>
        </w:rPr>
        <w:t>ה</w:t>
      </w:r>
      <w:r w:rsidR="00FF2399">
        <w:rPr>
          <w:rtl/>
        </w:rPr>
        <w:t>תשל"א-197</w:t>
      </w:r>
      <w:r w:rsidR="00FF2399">
        <w:rPr>
          <w:rFonts w:hint="cs"/>
          <w:rtl/>
        </w:rPr>
        <w:t xml:space="preserve">0 (להלן: חוק התרופות). </w:t>
      </w:r>
    </w:p>
  </w:footnote>
  <w:footnote w:id="7">
    <w:p w:rsidR="0081495E" w:rsidRDefault="0081495E" w:rsidP="00FF2399">
      <w:pPr>
        <w:pStyle w:val="a4"/>
        <w:rPr>
          <w:rtl/>
        </w:rPr>
      </w:pPr>
      <w:r>
        <w:rPr>
          <w:rStyle w:val="a6"/>
        </w:rPr>
        <w:footnoteRef/>
      </w:r>
      <w:r>
        <w:rPr>
          <w:rtl/>
        </w:rPr>
        <w:t xml:space="preserve"> </w:t>
      </w:r>
      <w:r w:rsidR="00FF2399">
        <w:rPr>
          <w:rFonts w:hint="cs"/>
          <w:rtl/>
        </w:rPr>
        <w:t xml:space="preserve">שם, ס'10 לחוק התרופות. </w:t>
      </w:r>
      <w:r>
        <w:rPr>
          <w:rFonts w:hint="cs"/>
          <w:rtl/>
        </w:rPr>
        <w:t xml:space="preserve"> </w:t>
      </w:r>
    </w:p>
  </w:footnote>
  <w:footnote w:id="8">
    <w:p w:rsidR="0081495E" w:rsidRDefault="0081495E">
      <w:pPr>
        <w:pStyle w:val="a4"/>
      </w:pPr>
      <w:r>
        <w:rPr>
          <w:rStyle w:val="a6"/>
        </w:rPr>
        <w:footnoteRef/>
      </w:r>
      <w:r>
        <w:rPr>
          <w:rtl/>
        </w:rPr>
        <w:t xml:space="preserve"> </w:t>
      </w:r>
      <w:r w:rsidR="007837BD">
        <w:rPr>
          <w:rFonts w:hint="cs"/>
          <w:rtl/>
        </w:rPr>
        <w:t xml:space="preserve">שם, ס'3א לחוק החוזים. </w:t>
      </w:r>
    </w:p>
  </w:footnote>
  <w:footnote w:id="9">
    <w:p w:rsidR="0081495E" w:rsidRDefault="0081495E" w:rsidP="00955778">
      <w:pPr>
        <w:pStyle w:val="a4"/>
        <w:rPr>
          <w:rtl/>
        </w:rPr>
      </w:pPr>
      <w:r>
        <w:rPr>
          <w:rStyle w:val="a6"/>
        </w:rPr>
        <w:footnoteRef/>
      </w:r>
      <w:r>
        <w:rPr>
          <w:rtl/>
        </w:rPr>
        <w:t xml:space="preserve"> </w:t>
      </w:r>
      <w:r>
        <w:rPr>
          <w:rFonts w:hint="cs"/>
          <w:rtl/>
        </w:rPr>
        <w:t>ס'3, ל</w:t>
      </w:r>
      <w:r w:rsidRPr="00BB6D18">
        <w:rPr>
          <w:rtl/>
        </w:rPr>
        <w:t xml:space="preserve">חוק איסור הפליה במוצרים, בשירותים ובכניסה למקומות בידור ולמקומות ציבוריים, </w:t>
      </w:r>
      <w:r>
        <w:rPr>
          <w:rFonts w:hint="cs"/>
          <w:rtl/>
        </w:rPr>
        <w:t>ה</w:t>
      </w:r>
      <w:r w:rsidRPr="00BB6D18">
        <w:rPr>
          <w:rtl/>
        </w:rPr>
        <w:t>תשס"א-2000</w:t>
      </w:r>
      <w:r w:rsidR="007837BD">
        <w:rPr>
          <w:rFonts w:hint="cs"/>
          <w:rtl/>
        </w:rPr>
        <w:t xml:space="preserve"> (להלן: חוק איסור אפליה). </w:t>
      </w:r>
    </w:p>
  </w:footnote>
  <w:footnote w:id="10">
    <w:p w:rsidR="0081495E" w:rsidRDefault="0081495E">
      <w:pPr>
        <w:pStyle w:val="a4"/>
      </w:pPr>
      <w:r>
        <w:rPr>
          <w:rStyle w:val="a6"/>
        </w:rPr>
        <w:footnoteRef/>
      </w:r>
      <w:r>
        <w:rPr>
          <w:rtl/>
        </w:rPr>
        <w:t xml:space="preserve"> </w:t>
      </w:r>
      <w:r>
        <w:rPr>
          <w:rFonts w:hint="cs"/>
          <w:rtl/>
        </w:rPr>
        <w:t>ס'12ב, לעיל ה"ש 2.</w:t>
      </w:r>
    </w:p>
  </w:footnote>
  <w:footnote w:id="11">
    <w:p w:rsidR="0081495E" w:rsidRDefault="0081495E">
      <w:pPr>
        <w:pStyle w:val="a4"/>
      </w:pPr>
      <w:r>
        <w:rPr>
          <w:rStyle w:val="a6"/>
        </w:rPr>
        <w:footnoteRef/>
      </w:r>
      <w:r>
        <w:rPr>
          <w:rtl/>
        </w:rPr>
        <w:t xml:space="preserve"> </w:t>
      </w:r>
      <w:r>
        <w:rPr>
          <w:rFonts w:hint="cs"/>
          <w:rtl/>
        </w:rPr>
        <w:t xml:space="preserve">שלו וצמח </w:t>
      </w:r>
      <w:r w:rsidRPr="001657E0">
        <w:rPr>
          <w:rFonts w:hint="cs"/>
          <w:b/>
          <w:bCs/>
          <w:rtl/>
        </w:rPr>
        <w:t>דיני חוזים</w:t>
      </w:r>
      <w:r>
        <w:rPr>
          <w:rFonts w:hint="cs"/>
          <w:rtl/>
        </w:rPr>
        <w:t xml:space="preserve">, לעיל ה"ש 1, בעמ' 188-190. </w:t>
      </w:r>
    </w:p>
  </w:footnote>
  <w:footnote w:id="12">
    <w:p w:rsidR="0081495E" w:rsidRPr="000B7B0F" w:rsidRDefault="0081495E" w:rsidP="000B7B0F">
      <w:pPr>
        <w:pStyle w:val="a4"/>
        <w:rPr>
          <w:rtl/>
        </w:rPr>
      </w:pPr>
      <w:r>
        <w:rPr>
          <w:rStyle w:val="a6"/>
        </w:rPr>
        <w:footnoteRef/>
      </w:r>
      <w:r>
        <w:rPr>
          <w:rtl/>
        </w:rPr>
        <w:t xml:space="preserve"> </w:t>
      </w:r>
      <w:r w:rsidRPr="000B7B0F">
        <w:rPr>
          <w:rFonts w:hint="cs"/>
          <w:rtl/>
        </w:rPr>
        <w:t>שם, בעמ' 188-190.</w:t>
      </w:r>
    </w:p>
  </w:footnote>
  <w:footnote w:id="13">
    <w:p w:rsidR="0081495E" w:rsidRDefault="0081495E" w:rsidP="000B7B0F">
      <w:pPr>
        <w:pStyle w:val="a4"/>
        <w:rPr>
          <w:rtl/>
        </w:rPr>
      </w:pPr>
      <w:r>
        <w:rPr>
          <w:rStyle w:val="a6"/>
        </w:rPr>
        <w:footnoteRef/>
      </w:r>
      <w:r>
        <w:rPr>
          <w:rtl/>
        </w:rPr>
        <w:t xml:space="preserve"> </w:t>
      </w:r>
      <w:r w:rsidRPr="000B7B0F">
        <w:rPr>
          <w:rtl/>
        </w:rPr>
        <w:t xml:space="preserve">ע"א 158/77 </w:t>
      </w:r>
      <w:r w:rsidRPr="000B7B0F">
        <w:rPr>
          <w:b/>
          <w:bCs/>
          <w:rtl/>
        </w:rPr>
        <w:t>רבינאי נ' חברת מן שקד בע"מ</w:t>
      </w:r>
      <w:r w:rsidRPr="000B7B0F">
        <w:rPr>
          <w:rtl/>
        </w:rPr>
        <w:t xml:space="preserve"> (בפירוק), פ"ד ל"ג(2) </w:t>
      </w:r>
      <w:r w:rsidRPr="000B7B0F">
        <w:rPr>
          <w:rFonts w:hint="cs"/>
          <w:rtl/>
        </w:rPr>
        <w:t xml:space="preserve">281, פס' 5 לפסק דינו של השופט ברק </w:t>
      </w:r>
      <w:r w:rsidRPr="000B7B0F">
        <w:rPr>
          <w:rtl/>
        </w:rPr>
        <w:t>(1979)</w:t>
      </w:r>
      <w:r w:rsidRPr="000B7B0F">
        <w:rPr>
          <w:rFonts w:hint="cs"/>
          <w:rtl/>
        </w:rPr>
        <w:t>.</w:t>
      </w:r>
    </w:p>
  </w:footnote>
  <w:footnote w:id="14">
    <w:p w:rsidR="0081495E" w:rsidRPr="00F956B7" w:rsidRDefault="0081495E" w:rsidP="00F956B7">
      <w:pPr>
        <w:pStyle w:val="a4"/>
      </w:pPr>
      <w:r>
        <w:rPr>
          <w:rStyle w:val="a6"/>
        </w:rPr>
        <w:footnoteRef/>
      </w:r>
      <w:r>
        <w:rPr>
          <w:rtl/>
        </w:rPr>
        <w:t xml:space="preserve"> </w:t>
      </w:r>
      <w:r>
        <w:rPr>
          <w:rFonts w:hint="cs"/>
          <w:rtl/>
        </w:rPr>
        <w:t xml:space="preserve">שם, </w:t>
      </w:r>
      <w:r w:rsidRPr="00F956B7">
        <w:rPr>
          <w:rtl/>
        </w:rPr>
        <w:t>פס' 5 לפסק דינו של השופט ברק</w:t>
      </w:r>
      <w:r>
        <w:rPr>
          <w:rFonts w:hint="cs"/>
          <w:rtl/>
        </w:rPr>
        <w:t xml:space="preserve">. </w:t>
      </w:r>
    </w:p>
  </w:footnote>
  <w:footnote w:id="15">
    <w:p w:rsidR="00FF2399" w:rsidRDefault="00FF2399">
      <w:pPr>
        <w:pStyle w:val="a4"/>
      </w:pPr>
      <w:r>
        <w:rPr>
          <w:rStyle w:val="a6"/>
        </w:rPr>
        <w:footnoteRef/>
      </w:r>
      <w:r>
        <w:rPr>
          <w:rtl/>
        </w:rPr>
        <w:t xml:space="preserve"> </w:t>
      </w:r>
      <w:r>
        <w:rPr>
          <w:rFonts w:hint="cs"/>
          <w:rtl/>
        </w:rPr>
        <w:t xml:space="preserve">ס'2 וס'5, לעיל ה"ש 2. </w:t>
      </w:r>
    </w:p>
  </w:footnote>
  <w:footnote w:id="16">
    <w:p w:rsidR="0081495E" w:rsidRDefault="0081495E" w:rsidP="00C64DCA">
      <w:pPr>
        <w:pStyle w:val="a4"/>
        <w:rPr>
          <w:rtl/>
        </w:rPr>
      </w:pPr>
      <w:r>
        <w:rPr>
          <w:rStyle w:val="a6"/>
        </w:rPr>
        <w:footnoteRef/>
      </w:r>
      <w:r>
        <w:rPr>
          <w:rtl/>
        </w:rPr>
        <w:t xml:space="preserve"> </w:t>
      </w:r>
      <w:r>
        <w:rPr>
          <w:rFonts w:hint="cs"/>
          <w:rtl/>
        </w:rPr>
        <w:t>יהודה אדר "</w:t>
      </w:r>
      <w:r w:rsidRPr="00C64DCA">
        <w:rPr>
          <w:rtl/>
        </w:rPr>
        <w:t>מסוימות וגמירת דעת – הילכו שתיים בנפרד</w:t>
      </w:r>
      <w:r>
        <w:rPr>
          <w:rFonts w:hint="cs"/>
          <w:rtl/>
        </w:rPr>
        <w:t xml:space="preserve">?" </w:t>
      </w:r>
      <w:r w:rsidRPr="00C64DCA">
        <w:rPr>
          <w:rFonts w:hint="cs"/>
          <w:b/>
          <w:bCs/>
          <w:rtl/>
        </w:rPr>
        <w:t>משפטים</w:t>
      </w:r>
      <w:r>
        <w:rPr>
          <w:rFonts w:hint="cs"/>
          <w:rtl/>
        </w:rPr>
        <w:t xml:space="preserve"> נא, בעמ' 5 (2020). </w:t>
      </w:r>
    </w:p>
  </w:footnote>
  <w:footnote w:id="17">
    <w:p w:rsidR="0081495E" w:rsidRDefault="0081495E" w:rsidP="00104FB2">
      <w:pPr>
        <w:pStyle w:val="a4"/>
      </w:pPr>
      <w:r>
        <w:rPr>
          <w:rStyle w:val="a6"/>
        </w:rPr>
        <w:footnoteRef/>
      </w:r>
      <w:r>
        <w:rPr>
          <w:rtl/>
        </w:rPr>
        <w:t xml:space="preserve"> ע"א </w:t>
      </w:r>
      <w:r>
        <w:rPr>
          <w:rFonts w:hint="cs"/>
          <w:rtl/>
        </w:rPr>
        <w:t>440/75</w:t>
      </w:r>
      <w:r w:rsidRPr="00104FB2">
        <w:rPr>
          <w:rtl/>
        </w:rPr>
        <w:t xml:space="preserve"> </w:t>
      </w:r>
      <w:r w:rsidRPr="00104FB2">
        <w:rPr>
          <w:b/>
          <w:bCs/>
          <w:rtl/>
        </w:rPr>
        <w:t>זנדבנק נ׳ דנציגר</w:t>
      </w:r>
      <w:r>
        <w:rPr>
          <w:rtl/>
        </w:rPr>
        <w:t>, פ׳׳ד ל</w:t>
      </w:r>
      <w:r w:rsidR="006A39AE">
        <w:rPr>
          <w:rFonts w:hint="cs"/>
          <w:rtl/>
        </w:rPr>
        <w:t xml:space="preserve">(2) 260, בעמ' 267 (1976). </w:t>
      </w:r>
    </w:p>
  </w:footnote>
  <w:footnote w:id="18">
    <w:p w:rsidR="0081495E" w:rsidRDefault="0081495E" w:rsidP="00633C79">
      <w:pPr>
        <w:pStyle w:val="a4"/>
        <w:rPr>
          <w:rtl/>
        </w:rPr>
      </w:pPr>
      <w:r>
        <w:rPr>
          <w:rStyle w:val="a6"/>
        </w:rPr>
        <w:footnoteRef/>
      </w:r>
      <w:r>
        <w:rPr>
          <w:rFonts w:hint="cs"/>
          <w:rtl/>
        </w:rPr>
        <w:t xml:space="preserve"> </w:t>
      </w:r>
      <w:r w:rsidRPr="00633C79">
        <w:rPr>
          <w:rFonts w:hint="cs"/>
          <w:rtl/>
        </w:rPr>
        <w:t>ס'</w:t>
      </w:r>
      <w:r>
        <w:rPr>
          <w:rFonts w:hint="cs"/>
          <w:rtl/>
        </w:rPr>
        <w:t>2 וס'5</w:t>
      </w:r>
      <w:r w:rsidRPr="00633C79">
        <w:rPr>
          <w:rFonts w:hint="cs"/>
          <w:rtl/>
        </w:rPr>
        <w:t>, לעיל ה"ש 2.</w:t>
      </w:r>
    </w:p>
  </w:footnote>
  <w:footnote w:id="19">
    <w:p w:rsidR="0081495E" w:rsidRDefault="0081495E" w:rsidP="00D235B9">
      <w:pPr>
        <w:pStyle w:val="a4"/>
      </w:pPr>
      <w:r>
        <w:rPr>
          <w:rStyle w:val="a6"/>
        </w:rPr>
        <w:footnoteRef/>
      </w:r>
      <w:r>
        <w:rPr>
          <w:rtl/>
        </w:rPr>
        <w:t xml:space="preserve"> </w:t>
      </w:r>
      <w:r w:rsidRPr="00EE23A2">
        <w:rPr>
          <w:rtl/>
        </w:rPr>
        <w:t xml:space="preserve">ע״א </w:t>
      </w:r>
      <w:r>
        <w:rPr>
          <w:rFonts w:hint="cs"/>
          <w:rtl/>
        </w:rPr>
        <w:t xml:space="preserve">692/86 </w:t>
      </w:r>
      <w:r w:rsidRPr="00EE23A2">
        <w:rPr>
          <w:b/>
          <w:bCs/>
          <w:rtl/>
        </w:rPr>
        <w:t>בוטקובסקי נ׳ גת</w:t>
      </w:r>
      <w:r>
        <w:rPr>
          <w:rtl/>
        </w:rPr>
        <w:t>, פ״ד מד(1</w:t>
      </w:r>
      <w:r>
        <w:rPr>
          <w:rFonts w:hint="cs"/>
          <w:rtl/>
        </w:rPr>
        <w:t xml:space="preserve">) 57, בעמ' </w:t>
      </w:r>
      <w:r w:rsidR="00D235B9">
        <w:rPr>
          <w:rFonts w:hint="cs"/>
          <w:rtl/>
        </w:rPr>
        <w:t xml:space="preserve">66 (1989). </w:t>
      </w:r>
    </w:p>
  </w:footnote>
  <w:footnote w:id="20">
    <w:p w:rsidR="0081495E" w:rsidRDefault="0081495E">
      <w:pPr>
        <w:pStyle w:val="a4"/>
      </w:pPr>
      <w:r>
        <w:rPr>
          <w:rStyle w:val="a6"/>
        </w:rPr>
        <w:footnoteRef/>
      </w:r>
      <w:r>
        <w:rPr>
          <w:rtl/>
        </w:rPr>
        <w:t xml:space="preserve"> </w:t>
      </w:r>
      <w:r>
        <w:rPr>
          <w:rFonts w:hint="cs"/>
          <w:rtl/>
        </w:rPr>
        <w:t xml:space="preserve">שם, בעמ' 65-66. </w:t>
      </w:r>
    </w:p>
  </w:footnote>
  <w:footnote w:id="21">
    <w:p w:rsidR="0081495E" w:rsidRDefault="0081495E" w:rsidP="00EE23A2">
      <w:pPr>
        <w:pStyle w:val="a4"/>
        <w:rPr>
          <w:rtl/>
        </w:rPr>
      </w:pPr>
      <w:r>
        <w:rPr>
          <w:rStyle w:val="a6"/>
        </w:rPr>
        <w:footnoteRef/>
      </w:r>
      <w:r>
        <w:rPr>
          <w:rFonts w:hint="cs"/>
          <w:rtl/>
        </w:rPr>
        <w:t xml:space="preserve"> </w:t>
      </w:r>
      <w:r>
        <w:rPr>
          <w:rtl/>
        </w:rPr>
        <w:t>ע״א</w:t>
      </w:r>
      <w:r>
        <w:rPr>
          <w:rFonts w:hint="cs"/>
          <w:rtl/>
        </w:rPr>
        <w:t xml:space="preserve"> 133/89 </w:t>
      </w:r>
      <w:r w:rsidRPr="00EA739F">
        <w:rPr>
          <w:b/>
          <w:bCs/>
          <w:rtl/>
        </w:rPr>
        <w:t>החברה לפיתוח חוף התכלת (</w:t>
      </w:r>
      <w:proofErr w:type="spellStart"/>
      <w:r w:rsidR="00D0543B">
        <w:rPr>
          <w:b/>
          <w:bCs/>
          <w:rtl/>
        </w:rPr>
        <w:t>תל־אביב</w:t>
      </w:r>
      <w:proofErr w:type="spellEnd"/>
      <w:r w:rsidR="00D0543B">
        <w:rPr>
          <w:b/>
          <w:bCs/>
          <w:rtl/>
        </w:rPr>
        <w:t>־ הרצליה) בע״מ נ׳ מנהל מ</w:t>
      </w:r>
      <w:r w:rsidR="00D0543B">
        <w:rPr>
          <w:rFonts w:hint="cs"/>
          <w:b/>
          <w:bCs/>
          <w:rtl/>
        </w:rPr>
        <w:t>ס</w:t>
      </w:r>
      <w:r w:rsidRPr="00EA739F">
        <w:rPr>
          <w:b/>
          <w:bCs/>
          <w:rtl/>
        </w:rPr>
        <w:t xml:space="preserve"> שבח מקרקעין</w:t>
      </w:r>
      <w:r>
        <w:rPr>
          <w:rtl/>
        </w:rPr>
        <w:t xml:space="preserve">, פ״ד </w:t>
      </w:r>
      <w:proofErr w:type="spellStart"/>
      <w:r>
        <w:rPr>
          <w:rtl/>
        </w:rPr>
        <w:t>מז</w:t>
      </w:r>
      <w:proofErr w:type="spellEnd"/>
      <w:r>
        <w:rPr>
          <w:rtl/>
        </w:rPr>
        <w:t>(5</w:t>
      </w:r>
      <w:r>
        <w:rPr>
          <w:rFonts w:hint="cs"/>
          <w:rtl/>
        </w:rPr>
        <w:t>) 689, פסקה</w:t>
      </w:r>
      <w:r w:rsidR="006A39AE">
        <w:rPr>
          <w:rFonts w:hint="cs"/>
          <w:rtl/>
        </w:rPr>
        <w:t xml:space="preserve"> 33 לפסק דינו של השופט לוין (1993).</w:t>
      </w:r>
    </w:p>
  </w:footnote>
  <w:footnote w:id="22">
    <w:p w:rsidR="0081495E" w:rsidRPr="007214F6" w:rsidRDefault="0081495E" w:rsidP="003A6EE3">
      <w:pPr>
        <w:pStyle w:val="a4"/>
      </w:pPr>
      <w:r w:rsidRPr="007214F6">
        <w:rPr>
          <w:rStyle w:val="a6"/>
        </w:rPr>
        <w:footnoteRef/>
      </w:r>
      <w:r>
        <w:rPr>
          <w:rtl/>
        </w:rPr>
        <w:t xml:space="preserve"> </w:t>
      </w:r>
      <w:r>
        <w:rPr>
          <w:rFonts w:hint="cs"/>
          <w:rtl/>
        </w:rPr>
        <w:t xml:space="preserve">ס'26, לעיל ה"ש 2. </w:t>
      </w:r>
    </w:p>
  </w:footnote>
  <w:footnote w:id="23">
    <w:p w:rsidR="0081495E" w:rsidRDefault="0081495E" w:rsidP="003A6EE3">
      <w:pPr>
        <w:pStyle w:val="a4"/>
        <w:rPr>
          <w:rtl/>
        </w:rPr>
      </w:pPr>
      <w:r>
        <w:rPr>
          <w:rStyle w:val="a6"/>
        </w:rPr>
        <w:footnoteRef/>
      </w:r>
      <w:r>
        <w:rPr>
          <w:rtl/>
        </w:rPr>
        <w:t xml:space="preserve"> </w:t>
      </w:r>
      <w:r>
        <w:rPr>
          <w:rFonts w:hint="cs"/>
          <w:rtl/>
        </w:rPr>
        <w:t>ס'8, ל</w:t>
      </w:r>
      <w:r w:rsidRPr="003A6EE3">
        <w:rPr>
          <w:rtl/>
        </w:rPr>
        <w:t xml:space="preserve">חוק המקרקעין, </w:t>
      </w:r>
      <w:r>
        <w:rPr>
          <w:rFonts w:hint="cs"/>
          <w:rtl/>
        </w:rPr>
        <w:t>ה</w:t>
      </w:r>
      <w:r w:rsidRPr="003A6EE3">
        <w:rPr>
          <w:rtl/>
        </w:rPr>
        <w:t>תשכ"ט-1969</w:t>
      </w:r>
      <w:r w:rsidR="00A35527">
        <w:rPr>
          <w:rFonts w:hint="cs"/>
          <w:rtl/>
        </w:rPr>
        <w:t xml:space="preserve"> (להלן: חוק המקרקעין). </w:t>
      </w:r>
    </w:p>
  </w:footnote>
  <w:footnote w:id="24">
    <w:p w:rsidR="0081495E" w:rsidRPr="00920C4F" w:rsidRDefault="0081495E" w:rsidP="00920C4F">
      <w:pPr>
        <w:pStyle w:val="a4"/>
        <w:rPr>
          <w:rtl/>
        </w:rPr>
      </w:pPr>
      <w:r>
        <w:rPr>
          <w:rStyle w:val="a6"/>
        </w:rPr>
        <w:footnoteRef/>
      </w:r>
      <w:r>
        <w:rPr>
          <w:rtl/>
        </w:rPr>
        <w:t xml:space="preserve"> </w:t>
      </w:r>
      <w:r w:rsidRPr="00920C4F">
        <w:rPr>
          <w:rFonts w:hint="cs"/>
          <w:rtl/>
        </w:rPr>
        <w:t xml:space="preserve">שלו וצמח </w:t>
      </w:r>
      <w:r w:rsidRPr="00920C4F">
        <w:rPr>
          <w:rFonts w:hint="cs"/>
          <w:b/>
          <w:bCs/>
          <w:rtl/>
        </w:rPr>
        <w:t>דיני חוזים</w:t>
      </w:r>
      <w:r w:rsidRPr="00920C4F">
        <w:rPr>
          <w:rFonts w:hint="cs"/>
          <w:rtl/>
        </w:rPr>
        <w:t xml:space="preserve">, לעיל ה"ש 1, בעמ' </w:t>
      </w:r>
      <w:r>
        <w:rPr>
          <w:rFonts w:hint="cs"/>
          <w:rtl/>
        </w:rPr>
        <w:t>266.</w:t>
      </w:r>
    </w:p>
  </w:footnote>
  <w:footnote w:id="25">
    <w:p w:rsidR="0081495E" w:rsidRDefault="0081495E" w:rsidP="002C0E39">
      <w:pPr>
        <w:pStyle w:val="a4"/>
      </w:pPr>
      <w:r>
        <w:rPr>
          <w:rStyle w:val="a6"/>
        </w:rPr>
        <w:footnoteRef/>
      </w:r>
      <w:r>
        <w:rPr>
          <w:rtl/>
        </w:rPr>
        <w:t xml:space="preserve"> ע״א </w:t>
      </w:r>
      <w:r>
        <w:rPr>
          <w:rFonts w:hint="cs"/>
          <w:rtl/>
        </w:rPr>
        <w:t xml:space="preserve">651/72 </w:t>
      </w:r>
      <w:r w:rsidRPr="000B3E24">
        <w:rPr>
          <w:b/>
          <w:bCs/>
          <w:rtl/>
        </w:rPr>
        <w:t>פסט</w:t>
      </w:r>
      <w:r w:rsidRPr="000B3E24">
        <w:rPr>
          <w:rFonts w:hint="cs"/>
          <w:b/>
          <w:bCs/>
          <w:rtl/>
        </w:rPr>
        <w:t>רנק</w:t>
      </w:r>
      <w:r w:rsidRPr="000B3E24">
        <w:rPr>
          <w:b/>
          <w:bCs/>
          <w:rtl/>
        </w:rPr>
        <w:t xml:space="preserve"> </w:t>
      </w:r>
      <w:r w:rsidRPr="000B3E24">
        <w:rPr>
          <w:rFonts w:hint="cs"/>
          <w:b/>
          <w:bCs/>
          <w:rtl/>
        </w:rPr>
        <w:t>נ'</w:t>
      </w:r>
      <w:r w:rsidRPr="000B3E24">
        <w:rPr>
          <w:b/>
          <w:bCs/>
          <w:rtl/>
        </w:rPr>
        <w:t xml:space="preserve"> חברת יוסף לוי</w:t>
      </w:r>
      <w:r>
        <w:rPr>
          <w:rtl/>
        </w:rPr>
        <w:t xml:space="preserve">, פ״ד </w:t>
      </w:r>
      <w:proofErr w:type="spellStart"/>
      <w:r>
        <w:rPr>
          <w:rtl/>
        </w:rPr>
        <w:t>כח</w:t>
      </w:r>
      <w:proofErr w:type="spellEnd"/>
      <w:r>
        <w:rPr>
          <w:rtl/>
        </w:rPr>
        <w:t>(1</w:t>
      </w:r>
      <w:r w:rsidR="00AD43C0">
        <w:rPr>
          <w:rFonts w:hint="cs"/>
          <w:rtl/>
        </w:rPr>
        <w:t xml:space="preserve">) 617, בעמ' 620 (1974). </w:t>
      </w:r>
    </w:p>
  </w:footnote>
  <w:footnote w:id="26">
    <w:p w:rsidR="0081495E" w:rsidRDefault="0081495E">
      <w:pPr>
        <w:pStyle w:val="a4"/>
      </w:pPr>
      <w:r>
        <w:rPr>
          <w:rStyle w:val="a6"/>
        </w:rPr>
        <w:footnoteRef/>
      </w:r>
      <w:r>
        <w:rPr>
          <w:rtl/>
        </w:rPr>
        <w:t xml:space="preserve"> </w:t>
      </w:r>
      <w:r>
        <w:rPr>
          <w:rFonts w:hint="cs"/>
          <w:rtl/>
        </w:rPr>
        <w:t xml:space="preserve">ע"א 649/73 </w:t>
      </w:r>
      <w:r w:rsidRPr="003C47D1">
        <w:rPr>
          <w:rFonts w:hint="cs"/>
          <w:b/>
          <w:bCs/>
          <w:rtl/>
        </w:rPr>
        <w:t>קפולסקי נ' גני גולן בע"מ</w:t>
      </w:r>
      <w:r w:rsidR="006A39AE">
        <w:rPr>
          <w:rFonts w:hint="cs"/>
          <w:rtl/>
        </w:rPr>
        <w:t xml:space="preserve">, פ"ד </w:t>
      </w:r>
      <w:proofErr w:type="spellStart"/>
      <w:r w:rsidR="006A39AE">
        <w:rPr>
          <w:rFonts w:hint="cs"/>
          <w:rtl/>
        </w:rPr>
        <w:t>כח</w:t>
      </w:r>
      <w:proofErr w:type="spellEnd"/>
      <w:r w:rsidR="006A39AE">
        <w:rPr>
          <w:rFonts w:hint="cs"/>
          <w:rtl/>
        </w:rPr>
        <w:t>(2) 291, בעמ' 296 (1974).</w:t>
      </w:r>
    </w:p>
  </w:footnote>
  <w:footnote w:id="27">
    <w:p w:rsidR="0081495E" w:rsidRPr="00470FD4" w:rsidRDefault="0081495E" w:rsidP="006A39AE">
      <w:pPr>
        <w:pStyle w:val="a4"/>
      </w:pPr>
      <w:r>
        <w:rPr>
          <w:rStyle w:val="a6"/>
        </w:rPr>
        <w:footnoteRef/>
      </w:r>
      <w:r>
        <w:rPr>
          <w:rtl/>
        </w:rPr>
        <w:t xml:space="preserve"> </w:t>
      </w:r>
      <w:r w:rsidRPr="00470FD4">
        <w:rPr>
          <w:rtl/>
        </w:rPr>
        <w:t>ע"א 335-78 </w:t>
      </w:r>
      <w:r w:rsidRPr="00470FD4">
        <w:rPr>
          <w:b/>
          <w:bCs/>
          <w:rtl/>
        </w:rPr>
        <w:t>שאלתיאל</w:t>
      </w:r>
      <w:r w:rsidRPr="00470FD4">
        <w:rPr>
          <w:rFonts w:hint="cs"/>
          <w:b/>
          <w:bCs/>
          <w:rtl/>
        </w:rPr>
        <w:t xml:space="preserve"> נ'</w:t>
      </w:r>
      <w:r>
        <w:rPr>
          <w:b/>
          <w:bCs/>
          <w:rtl/>
        </w:rPr>
        <w:t xml:space="preserve"> שנ</w:t>
      </w:r>
      <w:r>
        <w:rPr>
          <w:rFonts w:hint="cs"/>
          <w:b/>
          <w:bCs/>
          <w:rtl/>
        </w:rPr>
        <w:t xml:space="preserve">י, </w:t>
      </w:r>
      <w:r w:rsidRPr="00470FD4">
        <w:rPr>
          <w:rtl/>
        </w:rPr>
        <w:t>פ"ד לו(2) 151</w:t>
      </w:r>
      <w:r w:rsidR="00AD43C0">
        <w:rPr>
          <w:rFonts w:hint="cs"/>
          <w:rtl/>
        </w:rPr>
        <w:t xml:space="preserve">, בעמ' 161 (1981). </w:t>
      </w:r>
    </w:p>
  </w:footnote>
  <w:footnote w:id="28">
    <w:p w:rsidR="0081495E" w:rsidRDefault="0081495E" w:rsidP="000D7A84">
      <w:pPr>
        <w:pStyle w:val="a4"/>
      </w:pPr>
      <w:r>
        <w:rPr>
          <w:rStyle w:val="a6"/>
        </w:rPr>
        <w:footnoteRef/>
      </w:r>
      <w:r>
        <w:rPr>
          <w:rtl/>
        </w:rPr>
        <w:t xml:space="preserve"> </w:t>
      </w:r>
      <w:r>
        <w:rPr>
          <w:rFonts w:hint="cs"/>
          <w:rtl/>
        </w:rPr>
        <w:t xml:space="preserve">ע"א 986/93 </w:t>
      </w:r>
      <w:r w:rsidRPr="00AF0D28">
        <w:rPr>
          <w:rFonts w:hint="cs"/>
          <w:b/>
          <w:bCs/>
          <w:rtl/>
        </w:rPr>
        <w:t>קלמר נ' גיא</w:t>
      </w:r>
      <w:r w:rsidR="000D7A84">
        <w:rPr>
          <w:rFonts w:hint="cs"/>
          <w:rtl/>
        </w:rPr>
        <w:t>, פ"ד נ(1) 185, פס'</w:t>
      </w:r>
      <w:r w:rsidR="006A39AE">
        <w:rPr>
          <w:rFonts w:hint="cs"/>
          <w:rtl/>
        </w:rPr>
        <w:t xml:space="preserve"> 6 לפסק דינו של השופט זמיר (1996).</w:t>
      </w:r>
      <w:r>
        <w:rPr>
          <w:rFonts w:hint="cs"/>
          <w:rtl/>
        </w:rPr>
        <w:t xml:space="preserve"> </w:t>
      </w:r>
    </w:p>
  </w:footnote>
  <w:footnote w:id="29">
    <w:p w:rsidR="0081495E" w:rsidRDefault="0081495E" w:rsidP="000D7A84">
      <w:pPr>
        <w:pStyle w:val="a4"/>
        <w:rPr>
          <w:rtl/>
        </w:rPr>
      </w:pPr>
      <w:r>
        <w:rPr>
          <w:rStyle w:val="a6"/>
        </w:rPr>
        <w:footnoteRef/>
      </w:r>
      <w:r>
        <w:rPr>
          <w:rtl/>
        </w:rPr>
        <w:t xml:space="preserve"> </w:t>
      </w:r>
      <w:r w:rsidRPr="00960673">
        <w:rPr>
          <w:rtl/>
        </w:rPr>
        <w:t xml:space="preserve">ע״א </w:t>
      </w:r>
      <w:r w:rsidR="000D7A84">
        <w:rPr>
          <w:rFonts w:hint="cs"/>
          <w:rtl/>
        </w:rPr>
        <w:t>235/75</w:t>
      </w:r>
      <w:r>
        <w:rPr>
          <w:rtl/>
        </w:rPr>
        <w:t xml:space="preserve"> </w:t>
      </w:r>
      <w:proofErr w:type="spellStart"/>
      <w:r w:rsidRPr="00960673">
        <w:rPr>
          <w:b/>
          <w:bCs/>
          <w:rtl/>
        </w:rPr>
        <w:t>קאדרי</w:t>
      </w:r>
      <w:proofErr w:type="spellEnd"/>
      <w:r w:rsidRPr="00960673">
        <w:rPr>
          <w:b/>
          <w:bCs/>
          <w:rtl/>
        </w:rPr>
        <w:t xml:space="preserve"> נ׳ מסדר האחיות צ׳רל</w:t>
      </w:r>
      <w:r w:rsidRPr="00960673">
        <w:rPr>
          <w:rFonts w:hint="cs"/>
          <w:b/>
          <w:bCs/>
          <w:rtl/>
        </w:rPr>
        <w:t>ס</w:t>
      </w:r>
      <w:r w:rsidRPr="00960673">
        <w:rPr>
          <w:b/>
          <w:bCs/>
          <w:rtl/>
        </w:rPr>
        <w:t xml:space="preserve"> ה</w:t>
      </w:r>
      <w:r w:rsidRPr="00960673">
        <w:rPr>
          <w:rFonts w:hint="cs"/>
          <w:b/>
          <w:bCs/>
          <w:rtl/>
        </w:rPr>
        <w:t>ק</w:t>
      </w:r>
      <w:r w:rsidRPr="00960673">
        <w:rPr>
          <w:b/>
          <w:bCs/>
          <w:rtl/>
        </w:rPr>
        <w:t>דוש</w:t>
      </w:r>
      <w:r w:rsidRPr="00960673">
        <w:rPr>
          <w:rtl/>
        </w:rPr>
        <w:t>, פ״ד ל(1</w:t>
      </w:r>
      <w:r>
        <w:rPr>
          <w:rFonts w:hint="cs"/>
          <w:rtl/>
        </w:rPr>
        <w:t>)</w:t>
      </w:r>
      <w:r>
        <w:rPr>
          <w:rtl/>
        </w:rPr>
        <w:t xml:space="preserve"> </w:t>
      </w:r>
      <w:r w:rsidR="006A39AE">
        <w:rPr>
          <w:rFonts w:hint="cs"/>
          <w:rtl/>
        </w:rPr>
        <w:t xml:space="preserve">800 (1976). </w:t>
      </w:r>
    </w:p>
  </w:footnote>
  <w:footnote w:id="30">
    <w:p w:rsidR="0081495E" w:rsidRPr="006C5AAC" w:rsidRDefault="0081495E" w:rsidP="006C5AAC">
      <w:pPr>
        <w:pStyle w:val="a4"/>
      </w:pPr>
      <w:r>
        <w:rPr>
          <w:rStyle w:val="a6"/>
        </w:rPr>
        <w:footnoteRef/>
      </w:r>
      <w:r>
        <w:rPr>
          <w:rtl/>
        </w:rPr>
        <w:t xml:space="preserve"> </w:t>
      </w:r>
      <w:r w:rsidRPr="006C5AAC">
        <w:rPr>
          <w:rFonts w:hint="cs"/>
          <w:rtl/>
        </w:rPr>
        <w:t xml:space="preserve">עניין </w:t>
      </w:r>
      <w:r w:rsidRPr="006C5AAC">
        <w:rPr>
          <w:rFonts w:hint="cs"/>
          <w:b/>
          <w:bCs/>
          <w:rtl/>
        </w:rPr>
        <w:t>רבינאי</w:t>
      </w:r>
      <w:r w:rsidRPr="006C5AAC">
        <w:rPr>
          <w:rFonts w:hint="cs"/>
          <w:rtl/>
        </w:rPr>
        <w:t>, לעיל ה"ש 13.</w:t>
      </w:r>
    </w:p>
  </w:footnote>
  <w:footnote w:id="31">
    <w:p w:rsidR="0081495E" w:rsidRPr="00FA11CE" w:rsidRDefault="0081495E" w:rsidP="00FA11CE">
      <w:pPr>
        <w:pStyle w:val="a4"/>
      </w:pPr>
      <w:r>
        <w:rPr>
          <w:rStyle w:val="a6"/>
        </w:rPr>
        <w:footnoteRef/>
      </w:r>
      <w:r>
        <w:rPr>
          <w:rtl/>
        </w:rPr>
        <w:t xml:space="preserve"> </w:t>
      </w:r>
      <w:r w:rsidRPr="00FA11CE">
        <w:rPr>
          <w:rtl/>
        </w:rPr>
        <w:t>ע"א 139-54 </w:t>
      </w:r>
      <w:r>
        <w:rPr>
          <w:b/>
          <w:bCs/>
          <w:rtl/>
        </w:rPr>
        <w:t xml:space="preserve"> </w:t>
      </w:r>
      <w:proofErr w:type="spellStart"/>
      <w:r w:rsidRPr="00FA11CE">
        <w:rPr>
          <w:b/>
          <w:bCs/>
          <w:rtl/>
        </w:rPr>
        <w:t>גרייד</w:t>
      </w:r>
      <w:r w:rsidRPr="00FA11CE">
        <w:rPr>
          <w:rFonts w:hint="cs"/>
          <w:b/>
          <w:bCs/>
          <w:rtl/>
        </w:rPr>
        <w:t>ל</w:t>
      </w:r>
      <w:proofErr w:type="spellEnd"/>
      <w:r w:rsidRPr="00FA11CE">
        <w:rPr>
          <w:rFonts w:hint="cs"/>
          <w:b/>
          <w:bCs/>
          <w:rtl/>
        </w:rPr>
        <w:t xml:space="preserve"> נ' </w:t>
      </w:r>
      <w:r w:rsidRPr="00FA11CE">
        <w:rPr>
          <w:b/>
          <w:bCs/>
          <w:rtl/>
        </w:rPr>
        <w:t>הורביץ</w:t>
      </w:r>
      <w:r>
        <w:rPr>
          <w:rFonts w:hint="cs"/>
          <w:rtl/>
        </w:rPr>
        <w:t xml:space="preserve"> פ"ד</w:t>
      </w:r>
      <w:r w:rsidRPr="00FA11CE">
        <w:t xml:space="preserve">, </w:t>
      </w:r>
      <w:r w:rsidRPr="00FA11CE">
        <w:rPr>
          <w:rtl/>
        </w:rPr>
        <w:t>יא</w:t>
      </w:r>
      <w:r>
        <w:rPr>
          <w:rFonts w:hint="cs"/>
          <w:rtl/>
        </w:rPr>
        <w:t>(1)</w:t>
      </w:r>
      <w:r w:rsidRPr="00FA11CE">
        <w:rPr>
          <w:rtl/>
        </w:rPr>
        <w:t xml:space="preserve"> 57</w:t>
      </w:r>
      <w:r>
        <w:rPr>
          <w:rFonts w:hint="cs"/>
          <w:rtl/>
        </w:rPr>
        <w:t xml:space="preserve">, </w:t>
      </w:r>
      <w:r w:rsidR="00AD43C0">
        <w:rPr>
          <w:rFonts w:hint="cs"/>
          <w:rtl/>
        </w:rPr>
        <w:t>פס' 1 לפסק דינו של השופט זוסמן (1957).</w:t>
      </w:r>
    </w:p>
  </w:footnote>
  <w:footnote w:id="32">
    <w:p w:rsidR="0081495E" w:rsidRDefault="0081495E">
      <w:pPr>
        <w:pStyle w:val="a4"/>
      </w:pPr>
      <w:r>
        <w:rPr>
          <w:rStyle w:val="a6"/>
        </w:rPr>
        <w:footnoteRef/>
      </w:r>
      <w:r>
        <w:rPr>
          <w:rtl/>
        </w:rPr>
        <w:t xml:space="preserve"> </w:t>
      </w:r>
      <w:r>
        <w:rPr>
          <w:rFonts w:hint="cs"/>
          <w:rtl/>
        </w:rPr>
        <w:t xml:space="preserve">עניין </w:t>
      </w:r>
      <w:r w:rsidRPr="006F0E9D">
        <w:rPr>
          <w:rFonts w:hint="cs"/>
          <w:b/>
          <w:bCs/>
          <w:rtl/>
        </w:rPr>
        <w:t>רבינאי</w:t>
      </w:r>
      <w:r>
        <w:rPr>
          <w:rFonts w:hint="cs"/>
          <w:rtl/>
        </w:rPr>
        <w:t xml:space="preserve">, לעיל ה"ש 13. </w:t>
      </w:r>
    </w:p>
  </w:footnote>
  <w:footnote w:id="33">
    <w:p w:rsidR="0081495E" w:rsidRDefault="0081495E">
      <w:pPr>
        <w:pStyle w:val="a4"/>
        <w:rPr>
          <w:rtl/>
        </w:rPr>
      </w:pPr>
      <w:r>
        <w:rPr>
          <w:rStyle w:val="a6"/>
        </w:rPr>
        <w:footnoteRef/>
      </w:r>
      <w:r>
        <w:rPr>
          <w:rtl/>
        </w:rPr>
        <w:t xml:space="preserve"> </w:t>
      </w:r>
      <w:r>
        <w:rPr>
          <w:rFonts w:hint="cs"/>
          <w:rtl/>
        </w:rPr>
        <w:t xml:space="preserve">גבריאלה שלו "טעות בחתימה-האומנם לא נעשה דבר?" </w:t>
      </w:r>
      <w:r w:rsidRPr="001D77DE">
        <w:rPr>
          <w:rFonts w:hint="cs"/>
          <w:b/>
          <w:bCs/>
          <w:rtl/>
        </w:rPr>
        <w:t>משפטים</w:t>
      </w:r>
      <w:r>
        <w:rPr>
          <w:rFonts w:hint="cs"/>
          <w:rtl/>
        </w:rPr>
        <w:t xml:space="preserve"> יא 501, בעמ' 505 (1981).</w:t>
      </w:r>
    </w:p>
  </w:footnote>
  <w:footnote w:id="34">
    <w:p w:rsidR="0081495E" w:rsidRDefault="0081495E">
      <w:pPr>
        <w:pStyle w:val="a4"/>
        <w:rPr>
          <w:rtl/>
        </w:rPr>
      </w:pPr>
      <w:r>
        <w:rPr>
          <w:rStyle w:val="a6"/>
        </w:rPr>
        <w:footnoteRef/>
      </w:r>
      <w:r>
        <w:rPr>
          <w:rtl/>
        </w:rPr>
        <w:t xml:space="preserve"> </w:t>
      </w:r>
      <w:r>
        <w:rPr>
          <w:rFonts w:hint="cs"/>
          <w:rtl/>
        </w:rPr>
        <w:t xml:space="preserve">עניין </w:t>
      </w:r>
      <w:r w:rsidRPr="001D77DE">
        <w:rPr>
          <w:rFonts w:hint="cs"/>
          <w:b/>
          <w:bCs/>
          <w:rtl/>
        </w:rPr>
        <w:t>בוטקובסקי</w:t>
      </w:r>
      <w:r>
        <w:rPr>
          <w:rFonts w:hint="cs"/>
          <w:rtl/>
        </w:rPr>
        <w:t xml:space="preserve">, לעיל ה"ש 18. </w:t>
      </w:r>
    </w:p>
  </w:footnote>
  <w:footnote w:id="35">
    <w:p w:rsidR="0081495E" w:rsidRDefault="0081495E">
      <w:pPr>
        <w:pStyle w:val="a4"/>
      </w:pPr>
      <w:r>
        <w:rPr>
          <w:rStyle w:val="a6"/>
        </w:rPr>
        <w:footnoteRef/>
      </w:r>
      <w:r>
        <w:rPr>
          <w:rtl/>
        </w:rPr>
        <w:t xml:space="preserve"> </w:t>
      </w:r>
      <w:r>
        <w:rPr>
          <w:rFonts w:hint="cs"/>
          <w:rtl/>
        </w:rPr>
        <w:t xml:space="preserve">שם, בעמ' 66. </w:t>
      </w:r>
    </w:p>
  </w:footnote>
  <w:footnote w:id="36">
    <w:p w:rsidR="0081495E" w:rsidRPr="009C2DDC" w:rsidRDefault="0081495E" w:rsidP="0081495E">
      <w:pPr>
        <w:pStyle w:val="a4"/>
        <w:rPr>
          <w:rtl/>
        </w:rPr>
      </w:pPr>
      <w:r>
        <w:rPr>
          <w:rStyle w:val="a6"/>
        </w:rPr>
        <w:footnoteRef/>
      </w:r>
      <w:r>
        <w:rPr>
          <w:rtl/>
        </w:rPr>
        <w:t xml:space="preserve"> </w:t>
      </w:r>
      <w:r w:rsidRPr="0081495E">
        <w:rPr>
          <w:rFonts w:hint="cs"/>
          <w:rtl/>
        </w:rPr>
        <w:t xml:space="preserve">שלו וצמח </w:t>
      </w:r>
      <w:r w:rsidRPr="0081495E">
        <w:rPr>
          <w:rFonts w:hint="cs"/>
          <w:b/>
          <w:bCs/>
          <w:rtl/>
        </w:rPr>
        <w:t>דיני חוזים</w:t>
      </w:r>
      <w:r w:rsidRPr="0081495E">
        <w:rPr>
          <w:rFonts w:hint="cs"/>
          <w:rtl/>
        </w:rPr>
        <w:t xml:space="preserve">, לעיל ה"ש 1, בעמ' </w:t>
      </w:r>
      <w:r>
        <w:rPr>
          <w:rFonts w:hint="cs"/>
          <w:rtl/>
        </w:rPr>
        <w:t xml:space="preserve">585. </w:t>
      </w:r>
    </w:p>
  </w:footnote>
  <w:footnote w:id="37">
    <w:p w:rsidR="0081495E" w:rsidRDefault="0081495E">
      <w:pPr>
        <w:pStyle w:val="a4"/>
        <w:rPr>
          <w:rtl/>
        </w:rPr>
      </w:pPr>
      <w:r>
        <w:rPr>
          <w:rStyle w:val="a6"/>
        </w:rPr>
        <w:footnoteRef/>
      </w:r>
      <w:r>
        <w:rPr>
          <w:rtl/>
        </w:rPr>
        <w:t xml:space="preserve"> </w:t>
      </w:r>
      <w:r>
        <w:rPr>
          <w:rFonts w:hint="cs"/>
          <w:rtl/>
        </w:rPr>
        <w:t xml:space="preserve">שם, בעמ' 590. </w:t>
      </w:r>
    </w:p>
  </w:footnote>
  <w:footnote w:id="38">
    <w:p w:rsidR="0081495E" w:rsidRPr="003838D8" w:rsidRDefault="0081495E" w:rsidP="0081495E">
      <w:pPr>
        <w:pStyle w:val="a4"/>
        <w:rPr>
          <w:rtl/>
        </w:rPr>
      </w:pPr>
      <w:r>
        <w:rPr>
          <w:rStyle w:val="a6"/>
        </w:rPr>
        <w:footnoteRef/>
      </w:r>
      <w:r>
        <w:rPr>
          <w:rtl/>
        </w:rPr>
        <w:t xml:space="preserve"> </w:t>
      </w:r>
      <w:r>
        <w:rPr>
          <w:rFonts w:hint="cs"/>
          <w:rtl/>
        </w:rPr>
        <w:t>ס'27,</w:t>
      </w:r>
      <w:r w:rsidRPr="003838D8">
        <w:rPr>
          <w:rFonts w:hint="cs"/>
          <w:rtl/>
        </w:rPr>
        <w:t xml:space="preserve"> </w:t>
      </w:r>
      <w:r>
        <w:rPr>
          <w:rFonts w:hint="cs"/>
          <w:rtl/>
        </w:rPr>
        <w:t xml:space="preserve">לעיל ה"ש 2. </w:t>
      </w:r>
    </w:p>
  </w:footnote>
  <w:footnote w:id="39">
    <w:p w:rsidR="0081495E" w:rsidRDefault="0081495E">
      <w:pPr>
        <w:pStyle w:val="a4"/>
        <w:rPr>
          <w:rtl/>
        </w:rPr>
      </w:pPr>
      <w:r>
        <w:rPr>
          <w:rStyle w:val="a6"/>
        </w:rPr>
        <w:footnoteRef/>
      </w:r>
      <w:r>
        <w:rPr>
          <w:rtl/>
        </w:rPr>
        <w:t xml:space="preserve"> </w:t>
      </w:r>
      <w:r w:rsidR="009E63EE">
        <w:rPr>
          <w:rFonts w:hint="cs"/>
          <w:rtl/>
        </w:rPr>
        <w:t>שם, ס'15 לחוק החוזים.</w:t>
      </w:r>
    </w:p>
  </w:footnote>
  <w:footnote w:id="40">
    <w:p w:rsidR="0081495E" w:rsidRPr="0081495E" w:rsidRDefault="0081495E" w:rsidP="0081495E">
      <w:pPr>
        <w:pStyle w:val="a4"/>
      </w:pPr>
      <w:r>
        <w:rPr>
          <w:rStyle w:val="a6"/>
        </w:rPr>
        <w:footnoteRef/>
      </w:r>
      <w:r>
        <w:rPr>
          <w:rtl/>
        </w:rPr>
        <w:t xml:space="preserve"> </w:t>
      </w:r>
      <w:r w:rsidRPr="0081495E">
        <w:rPr>
          <w:rFonts w:hint="cs"/>
          <w:rtl/>
        </w:rPr>
        <w:t xml:space="preserve">שלו וצמח </w:t>
      </w:r>
      <w:r w:rsidRPr="0081495E">
        <w:rPr>
          <w:rFonts w:hint="cs"/>
          <w:b/>
          <w:bCs/>
          <w:rtl/>
        </w:rPr>
        <w:t>דיני חוזים</w:t>
      </w:r>
      <w:r w:rsidRPr="0081495E">
        <w:rPr>
          <w:rFonts w:hint="cs"/>
          <w:rtl/>
        </w:rPr>
        <w:t xml:space="preserve">, לעיל ה"ש 1, בעמ' </w:t>
      </w:r>
      <w:r>
        <w:rPr>
          <w:rFonts w:hint="cs"/>
          <w:rtl/>
        </w:rPr>
        <w:t xml:space="preserve">376. </w:t>
      </w:r>
    </w:p>
  </w:footnote>
  <w:footnote w:id="41">
    <w:p w:rsidR="00B423AD" w:rsidRPr="00B423AD" w:rsidRDefault="00B423AD" w:rsidP="00B423AD">
      <w:pPr>
        <w:pStyle w:val="a4"/>
        <w:rPr>
          <w:rtl/>
        </w:rPr>
      </w:pPr>
      <w:r>
        <w:rPr>
          <w:rStyle w:val="a6"/>
        </w:rPr>
        <w:footnoteRef/>
      </w:r>
      <w:r>
        <w:rPr>
          <w:rtl/>
        </w:rPr>
        <w:t xml:space="preserve"> </w:t>
      </w:r>
      <w:r w:rsidRPr="00B423AD">
        <w:rPr>
          <w:rFonts w:hint="cs"/>
          <w:rtl/>
        </w:rPr>
        <w:t>ס'15, לעיל ה"ש 2.</w:t>
      </w:r>
    </w:p>
  </w:footnote>
  <w:footnote w:id="42">
    <w:p w:rsidR="0081495E" w:rsidRDefault="0081495E" w:rsidP="00B423AD">
      <w:pPr>
        <w:pStyle w:val="a4"/>
      </w:pPr>
      <w:r>
        <w:rPr>
          <w:rStyle w:val="a6"/>
        </w:rPr>
        <w:footnoteRef/>
      </w:r>
      <w:r>
        <w:rPr>
          <w:rtl/>
        </w:rPr>
        <w:t xml:space="preserve"> </w:t>
      </w:r>
      <w:r w:rsidR="00B423AD">
        <w:rPr>
          <w:rFonts w:hint="cs"/>
          <w:rtl/>
        </w:rPr>
        <w:t xml:space="preserve">שם, ס'15 לחוק החוזים. </w:t>
      </w:r>
      <w:r>
        <w:rPr>
          <w:rFonts w:hint="cs"/>
          <w:rtl/>
        </w:rPr>
        <w:t xml:space="preserve"> </w:t>
      </w:r>
    </w:p>
  </w:footnote>
  <w:footnote w:id="43">
    <w:p w:rsidR="009F121B" w:rsidRPr="009F121B" w:rsidRDefault="0081495E" w:rsidP="009F121B">
      <w:pPr>
        <w:pStyle w:val="a4"/>
      </w:pPr>
      <w:r>
        <w:rPr>
          <w:rStyle w:val="a6"/>
        </w:rPr>
        <w:footnoteRef/>
      </w:r>
      <w:r>
        <w:rPr>
          <w:rtl/>
        </w:rPr>
        <w:t xml:space="preserve"> </w:t>
      </w:r>
      <w:r w:rsidR="009F121B" w:rsidRPr="009F121B">
        <w:rPr>
          <w:rtl/>
        </w:rPr>
        <w:t>ע"א 44-66 </w:t>
      </w:r>
      <w:r w:rsidR="009F121B" w:rsidRPr="009F121B">
        <w:rPr>
          <w:b/>
          <w:bCs/>
          <w:rtl/>
        </w:rPr>
        <w:t>ל</w:t>
      </w:r>
      <w:r w:rsidR="006A39AE">
        <w:rPr>
          <w:rFonts w:hint="cs"/>
          <w:b/>
          <w:bCs/>
          <w:rtl/>
        </w:rPr>
        <w:t>א</w:t>
      </w:r>
      <w:r w:rsidR="009F121B" w:rsidRPr="009F121B">
        <w:rPr>
          <w:b/>
          <w:bCs/>
          <w:rtl/>
        </w:rPr>
        <w:t>קי דרייב בע"מ</w:t>
      </w:r>
      <w:r w:rsidR="009F121B" w:rsidRPr="009F121B">
        <w:rPr>
          <w:rtl/>
        </w:rPr>
        <w:t> נ</w:t>
      </w:r>
      <w:r w:rsidR="009F121B">
        <w:t>'</w:t>
      </w:r>
      <w:r w:rsidR="009F121B">
        <w:rPr>
          <w:rFonts w:hint="cs"/>
          <w:b/>
          <w:bCs/>
          <w:rtl/>
        </w:rPr>
        <w:t xml:space="preserve"> </w:t>
      </w:r>
      <w:r w:rsidR="009F121B" w:rsidRPr="009F121B">
        <w:rPr>
          <w:b/>
          <w:bCs/>
          <w:rtl/>
        </w:rPr>
        <w:t xml:space="preserve">הרץ </w:t>
      </w:r>
      <w:r w:rsidR="009F121B">
        <w:rPr>
          <w:b/>
          <w:bCs/>
          <w:rtl/>
        </w:rPr>
        <w:t xml:space="preserve">אמריקן אקספרס אינטרנשיונל </w:t>
      </w:r>
      <w:proofErr w:type="spellStart"/>
      <w:r w:rsidR="009F121B">
        <w:rPr>
          <w:b/>
          <w:bCs/>
          <w:rtl/>
        </w:rPr>
        <w:t>לימיט</w:t>
      </w:r>
      <w:r w:rsidR="009F121B">
        <w:rPr>
          <w:rFonts w:hint="cs"/>
          <w:b/>
          <w:bCs/>
          <w:rtl/>
        </w:rPr>
        <w:t>ד</w:t>
      </w:r>
      <w:proofErr w:type="spellEnd"/>
      <w:r w:rsidR="009F121B">
        <w:rPr>
          <w:rFonts w:hint="cs"/>
          <w:b/>
          <w:bCs/>
          <w:rtl/>
        </w:rPr>
        <w:t>,</w:t>
      </w:r>
      <w:r w:rsidR="009F121B" w:rsidRPr="009F121B">
        <w:t xml:space="preserve"> </w:t>
      </w:r>
      <w:r w:rsidR="009F121B" w:rsidRPr="009F121B">
        <w:rPr>
          <w:rtl/>
        </w:rPr>
        <w:t xml:space="preserve">פ"ד </w:t>
      </w:r>
      <w:proofErr w:type="spellStart"/>
      <w:r w:rsidR="009F121B" w:rsidRPr="009F121B">
        <w:rPr>
          <w:rtl/>
        </w:rPr>
        <w:t>כא</w:t>
      </w:r>
      <w:proofErr w:type="spellEnd"/>
      <w:r w:rsidR="009F121B" w:rsidRPr="009F121B">
        <w:rPr>
          <w:rtl/>
        </w:rPr>
        <w:t>(1) 576</w:t>
      </w:r>
      <w:r w:rsidR="009F121B">
        <w:rPr>
          <w:rFonts w:hint="cs"/>
          <w:rtl/>
        </w:rPr>
        <w:t>, פסקאו</w:t>
      </w:r>
      <w:r w:rsidR="006A39AE">
        <w:rPr>
          <w:rFonts w:hint="cs"/>
          <w:rtl/>
        </w:rPr>
        <w:t>ת 6-11 לפסק דינו של השופט הלוי (1967).</w:t>
      </w:r>
    </w:p>
    <w:p w:rsidR="0081495E" w:rsidRPr="009F121B" w:rsidRDefault="0081495E" w:rsidP="009F121B">
      <w:pPr>
        <w:pStyle w:val="a4"/>
      </w:pPr>
    </w:p>
  </w:footnote>
  <w:footnote w:id="44">
    <w:p w:rsidR="0081495E" w:rsidRDefault="0081495E" w:rsidP="00970B64">
      <w:pPr>
        <w:pStyle w:val="a4"/>
      </w:pPr>
      <w:r>
        <w:rPr>
          <w:rStyle w:val="a6"/>
        </w:rPr>
        <w:footnoteRef/>
      </w:r>
      <w:r>
        <w:rPr>
          <w:rtl/>
        </w:rPr>
        <w:t xml:space="preserve"> </w:t>
      </w:r>
      <w:r w:rsidRPr="00970B64">
        <w:rPr>
          <w:rtl/>
        </w:rPr>
        <w:t xml:space="preserve">מיכל אגמון-גונן, </w:t>
      </w:r>
      <w:r w:rsidRPr="00970B64">
        <w:rPr>
          <w:b/>
          <w:bCs/>
          <w:rtl/>
        </w:rPr>
        <w:t>אופקים חדשים במשפט - ההשבה בהקשרים חוזיים</w:t>
      </w:r>
      <w:r>
        <w:rPr>
          <w:rFonts w:hint="cs"/>
          <w:rtl/>
        </w:rPr>
        <w:t xml:space="preserve"> 195</w:t>
      </w:r>
      <w:r>
        <w:rPr>
          <w:rtl/>
        </w:rPr>
        <w:t xml:space="preserve"> </w:t>
      </w:r>
      <w:r>
        <w:rPr>
          <w:rFonts w:hint="cs"/>
          <w:rtl/>
        </w:rPr>
        <w:t xml:space="preserve">(2001). </w:t>
      </w:r>
    </w:p>
  </w:footnote>
  <w:footnote w:id="45">
    <w:p w:rsidR="0081495E" w:rsidRDefault="0081495E">
      <w:pPr>
        <w:pStyle w:val="a4"/>
      </w:pPr>
      <w:r>
        <w:rPr>
          <w:rStyle w:val="a6"/>
        </w:rPr>
        <w:footnoteRef/>
      </w:r>
      <w:r>
        <w:rPr>
          <w:rtl/>
        </w:rPr>
        <w:t xml:space="preserve"> </w:t>
      </w:r>
      <w:r w:rsidR="00955778">
        <w:rPr>
          <w:rFonts w:hint="cs"/>
          <w:rtl/>
        </w:rPr>
        <w:t xml:space="preserve">ס'6, לעיל ה"ש 6. </w:t>
      </w:r>
    </w:p>
  </w:footnote>
  <w:footnote w:id="46">
    <w:p w:rsidR="0081495E" w:rsidRDefault="0081495E">
      <w:pPr>
        <w:pStyle w:val="a4"/>
      </w:pPr>
      <w:r>
        <w:rPr>
          <w:rStyle w:val="a6"/>
        </w:rPr>
        <w:footnoteRef/>
      </w:r>
      <w:r>
        <w:rPr>
          <w:rtl/>
        </w:rPr>
        <w:t xml:space="preserve"> </w:t>
      </w:r>
      <w:r w:rsidR="00955778">
        <w:rPr>
          <w:rFonts w:hint="cs"/>
          <w:rtl/>
        </w:rPr>
        <w:t xml:space="preserve">שם. </w:t>
      </w:r>
    </w:p>
  </w:footnote>
  <w:footnote w:id="47">
    <w:p w:rsidR="0081495E" w:rsidRDefault="0081495E">
      <w:pPr>
        <w:pStyle w:val="a4"/>
        <w:rPr>
          <w:rtl/>
        </w:rPr>
      </w:pPr>
      <w:r>
        <w:rPr>
          <w:rStyle w:val="a6"/>
        </w:rPr>
        <w:footnoteRef/>
      </w:r>
      <w:r>
        <w:rPr>
          <w:rtl/>
        </w:rPr>
        <w:t xml:space="preserve"> </w:t>
      </w:r>
      <w:r w:rsidR="00F34954">
        <w:rPr>
          <w:rFonts w:hint="cs"/>
          <w:rtl/>
        </w:rPr>
        <w:t xml:space="preserve">ס'2, לעיל ה"ש 6. </w:t>
      </w:r>
    </w:p>
  </w:footnote>
  <w:footnote w:id="48">
    <w:p w:rsidR="0081495E" w:rsidRDefault="0081495E">
      <w:pPr>
        <w:pStyle w:val="a4"/>
        <w:rPr>
          <w:rtl/>
        </w:rPr>
      </w:pPr>
      <w:r>
        <w:rPr>
          <w:rStyle w:val="a6"/>
        </w:rPr>
        <w:footnoteRef/>
      </w:r>
      <w:r>
        <w:rPr>
          <w:rtl/>
        </w:rPr>
        <w:t xml:space="preserve"> </w:t>
      </w:r>
      <w:r w:rsidR="00C25906">
        <w:rPr>
          <w:rFonts w:hint="cs"/>
          <w:rtl/>
        </w:rPr>
        <w:t xml:space="preserve">שם,ס'3א לחוק התרופות. </w:t>
      </w:r>
    </w:p>
  </w:footnote>
  <w:footnote w:id="49">
    <w:p w:rsidR="0081495E" w:rsidRDefault="0081495E">
      <w:pPr>
        <w:pStyle w:val="a4"/>
      </w:pPr>
      <w:r>
        <w:rPr>
          <w:rStyle w:val="a6"/>
        </w:rPr>
        <w:footnoteRef/>
      </w:r>
      <w:r>
        <w:rPr>
          <w:rtl/>
        </w:rPr>
        <w:t xml:space="preserve"> </w:t>
      </w:r>
      <w:r w:rsidR="00C25906">
        <w:rPr>
          <w:rFonts w:hint="cs"/>
          <w:rtl/>
        </w:rPr>
        <w:t xml:space="preserve">שם, ס'7א לחוק התרופות. </w:t>
      </w:r>
    </w:p>
  </w:footnote>
  <w:footnote w:id="50">
    <w:p w:rsidR="0081495E" w:rsidRDefault="0081495E">
      <w:pPr>
        <w:pStyle w:val="a4"/>
      </w:pPr>
      <w:r>
        <w:rPr>
          <w:rStyle w:val="a6"/>
        </w:rPr>
        <w:footnoteRef/>
      </w:r>
      <w:r>
        <w:rPr>
          <w:rtl/>
        </w:rPr>
        <w:t xml:space="preserve"> </w:t>
      </w:r>
      <w:r w:rsidR="00C25906">
        <w:rPr>
          <w:rFonts w:hint="cs"/>
          <w:rtl/>
        </w:rPr>
        <w:t xml:space="preserve">שם, ס'8 לחוק התרופות. </w:t>
      </w:r>
    </w:p>
  </w:footnote>
  <w:footnote w:id="51">
    <w:p w:rsidR="00C25906" w:rsidRPr="00C25906" w:rsidRDefault="00C25906" w:rsidP="00C25906">
      <w:pPr>
        <w:pStyle w:val="a4"/>
      </w:pPr>
      <w:r>
        <w:rPr>
          <w:rStyle w:val="a6"/>
        </w:rPr>
        <w:footnoteRef/>
      </w:r>
      <w:r>
        <w:rPr>
          <w:rtl/>
        </w:rPr>
        <w:t xml:space="preserve"> </w:t>
      </w:r>
      <w:r w:rsidRPr="00C25906">
        <w:rPr>
          <w:rFonts w:hint="cs"/>
          <w:rtl/>
        </w:rPr>
        <w:t>שם, ס'10 לחוק התרופות.</w:t>
      </w:r>
    </w:p>
  </w:footnote>
  <w:footnote w:id="52">
    <w:p w:rsidR="0081495E" w:rsidRPr="00F34954" w:rsidRDefault="0081495E" w:rsidP="00F34954">
      <w:pPr>
        <w:pStyle w:val="a4"/>
      </w:pPr>
      <w:r>
        <w:rPr>
          <w:rStyle w:val="a6"/>
        </w:rPr>
        <w:footnoteRef/>
      </w:r>
      <w:r>
        <w:rPr>
          <w:rtl/>
        </w:rPr>
        <w:t xml:space="preserve"> </w:t>
      </w:r>
      <w:r w:rsidR="00F34954" w:rsidRPr="00F34954">
        <w:rPr>
          <w:rtl/>
        </w:rPr>
        <w:t>ע"א 1846</w:t>
      </w:r>
      <w:r w:rsidR="00F34954">
        <w:rPr>
          <w:rFonts w:hint="cs"/>
          <w:rtl/>
        </w:rPr>
        <w:t>/</w:t>
      </w:r>
      <w:r w:rsidR="00F34954" w:rsidRPr="00F34954">
        <w:rPr>
          <w:rtl/>
        </w:rPr>
        <w:t>92 </w:t>
      </w:r>
      <w:r w:rsidR="00F34954" w:rsidRPr="00F34954">
        <w:rPr>
          <w:b/>
          <w:bCs/>
          <w:rtl/>
        </w:rPr>
        <w:t>נפתלי לוי</w:t>
      </w:r>
      <w:r w:rsidR="00F34954" w:rsidRPr="00F34954">
        <w:rPr>
          <w:rtl/>
        </w:rPr>
        <w:t> נ</w:t>
      </w:r>
      <w:r w:rsidR="00F34954" w:rsidRPr="00F34954">
        <w:t>' </w:t>
      </w:r>
      <w:r w:rsidR="00F34954" w:rsidRPr="00F34954">
        <w:rPr>
          <w:b/>
          <w:bCs/>
          <w:rtl/>
        </w:rPr>
        <w:t>מבט בניה בע"מ</w:t>
      </w:r>
      <w:r w:rsidR="00F34954">
        <w:rPr>
          <w:rFonts w:hint="cs"/>
          <w:rtl/>
        </w:rPr>
        <w:t>,</w:t>
      </w:r>
      <w:r w:rsidR="00E8248D">
        <w:rPr>
          <w:rFonts w:hint="cs"/>
          <w:rtl/>
        </w:rPr>
        <w:t xml:space="preserve"> פ"ד</w:t>
      </w:r>
      <w:r w:rsidR="00F34954">
        <w:rPr>
          <w:rFonts w:hint="cs"/>
          <w:rtl/>
        </w:rPr>
        <w:t xml:space="preserve"> </w:t>
      </w:r>
      <w:proofErr w:type="spellStart"/>
      <w:r w:rsidR="00F34954">
        <w:rPr>
          <w:rFonts w:hint="cs"/>
          <w:rtl/>
        </w:rPr>
        <w:t>מז</w:t>
      </w:r>
      <w:proofErr w:type="spellEnd"/>
      <w:r w:rsidR="00F34954">
        <w:rPr>
          <w:rFonts w:hint="cs"/>
          <w:rtl/>
        </w:rPr>
        <w:t>(4) 49</w:t>
      </w:r>
      <w:r w:rsidR="00E8248D">
        <w:rPr>
          <w:rFonts w:hint="cs"/>
          <w:rtl/>
        </w:rPr>
        <w:t>,</w:t>
      </w:r>
      <w:r w:rsidR="00F34954">
        <w:rPr>
          <w:rFonts w:hint="cs"/>
          <w:rtl/>
        </w:rPr>
        <w:t xml:space="preserve"> פס' 6 לפסק דינו של השופט שמגר. </w:t>
      </w:r>
    </w:p>
  </w:footnote>
  <w:footnote w:id="53">
    <w:p w:rsidR="003D4C87" w:rsidRDefault="003D4C87">
      <w:pPr>
        <w:pStyle w:val="a4"/>
      </w:pPr>
      <w:r>
        <w:rPr>
          <w:rStyle w:val="a6"/>
        </w:rPr>
        <w:footnoteRef/>
      </w:r>
      <w:r>
        <w:rPr>
          <w:rtl/>
        </w:rPr>
        <w:t xml:space="preserve"> </w:t>
      </w:r>
      <w:r w:rsidR="00D53555">
        <w:rPr>
          <w:rFonts w:hint="cs"/>
          <w:rtl/>
        </w:rPr>
        <w:t>ס'12א, לעיל ה"ש 2.</w:t>
      </w:r>
    </w:p>
  </w:footnote>
  <w:footnote w:id="54">
    <w:p w:rsidR="007D4845" w:rsidRDefault="007D4845">
      <w:pPr>
        <w:pStyle w:val="a4"/>
      </w:pPr>
      <w:r>
        <w:rPr>
          <w:rStyle w:val="a6"/>
        </w:rPr>
        <w:footnoteRef/>
      </w:r>
      <w:r>
        <w:rPr>
          <w:rtl/>
        </w:rPr>
        <w:t xml:space="preserve"> </w:t>
      </w:r>
      <w:r w:rsidR="002C0550">
        <w:rPr>
          <w:rFonts w:hint="cs"/>
          <w:rtl/>
        </w:rPr>
        <w:t xml:space="preserve">שם, ס'12ב לחוק החוזים. </w:t>
      </w:r>
    </w:p>
  </w:footnote>
  <w:footnote w:id="55">
    <w:p w:rsidR="007D4845" w:rsidRPr="007D4845" w:rsidRDefault="007D4845" w:rsidP="007D4845">
      <w:pPr>
        <w:pStyle w:val="a4"/>
        <w:rPr>
          <w:rtl/>
        </w:rPr>
      </w:pPr>
      <w:r>
        <w:rPr>
          <w:rStyle w:val="a6"/>
        </w:rPr>
        <w:footnoteRef/>
      </w:r>
      <w:r>
        <w:rPr>
          <w:rtl/>
        </w:rPr>
        <w:t xml:space="preserve"> </w:t>
      </w:r>
      <w:r w:rsidRPr="007D4845">
        <w:rPr>
          <w:rtl/>
        </w:rPr>
        <w:t xml:space="preserve">ע״א 92/4839 </w:t>
      </w:r>
      <w:r w:rsidRPr="007D4845">
        <w:rPr>
          <w:b/>
          <w:bCs/>
          <w:rtl/>
        </w:rPr>
        <w:t>גנז נ׳ כץ</w:t>
      </w:r>
      <w:r>
        <w:rPr>
          <w:rtl/>
        </w:rPr>
        <w:t>, פ״ד מח(4</w:t>
      </w:r>
      <w:r>
        <w:rPr>
          <w:rFonts w:hint="cs"/>
          <w:rtl/>
        </w:rPr>
        <w:t xml:space="preserve">) 749, פס' 7 לפסק דינו של השופט קדמי (1994). </w:t>
      </w:r>
    </w:p>
  </w:footnote>
  <w:footnote w:id="56">
    <w:p w:rsidR="0081495E" w:rsidRPr="00087611" w:rsidRDefault="0081495E" w:rsidP="00E54164">
      <w:pPr>
        <w:pStyle w:val="a4"/>
        <w:rPr>
          <w:rtl/>
        </w:rPr>
      </w:pPr>
      <w:r>
        <w:rPr>
          <w:rStyle w:val="a6"/>
        </w:rPr>
        <w:footnoteRef/>
      </w:r>
      <w:r>
        <w:rPr>
          <w:rtl/>
        </w:rPr>
        <w:t xml:space="preserve"> </w:t>
      </w:r>
      <w:r w:rsidRPr="00087611">
        <w:rPr>
          <w:rtl/>
        </w:rPr>
        <w:t>ד״</w:t>
      </w:r>
      <w:r w:rsidR="00E54164">
        <w:rPr>
          <w:rFonts w:hint="cs"/>
          <w:rtl/>
        </w:rPr>
        <w:t>נ 7/81</w:t>
      </w:r>
      <w:r w:rsidRPr="00087611">
        <w:rPr>
          <w:rtl/>
        </w:rPr>
        <w:t xml:space="preserve"> </w:t>
      </w:r>
      <w:r w:rsidRPr="00282018">
        <w:rPr>
          <w:b/>
          <w:bCs/>
          <w:rtl/>
        </w:rPr>
        <w:t>פנידר חברה להשקעות פתוח ובנין בע״מ נ׳ קסטרו</w:t>
      </w:r>
      <w:r>
        <w:rPr>
          <w:rtl/>
        </w:rPr>
        <w:t>, פ״ד לז</w:t>
      </w:r>
      <w:r>
        <w:rPr>
          <w:rFonts w:hint="cs"/>
          <w:rtl/>
        </w:rPr>
        <w:t xml:space="preserve">(4) </w:t>
      </w:r>
      <w:r w:rsidR="006A39AE">
        <w:rPr>
          <w:rFonts w:hint="cs"/>
          <w:rtl/>
        </w:rPr>
        <w:t>673 (1983).</w:t>
      </w:r>
    </w:p>
  </w:footnote>
  <w:footnote w:id="57">
    <w:p w:rsidR="0081495E" w:rsidRDefault="0081495E">
      <w:pPr>
        <w:pStyle w:val="a4"/>
      </w:pPr>
      <w:r>
        <w:rPr>
          <w:rStyle w:val="a6"/>
        </w:rPr>
        <w:footnoteRef/>
      </w:r>
      <w:r>
        <w:rPr>
          <w:rtl/>
        </w:rPr>
        <w:t xml:space="preserve"> </w:t>
      </w:r>
      <w:r w:rsidR="00E8248D">
        <w:rPr>
          <w:rFonts w:hint="cs"/>
          <w:rtl/>
        </w:rPr>
        <w:t xml:space="preserve">ס'12א, לעיל ה"ש 2. </w:t>
      </w:r>
    </w:p>
  </w:footnote>
  <w:footnote w:id="58">
    <w:p w:rsidR="0081495E" w:rsidRPr="00E8248D" w:rsidRDefault="0081495E" w:rsidP="00524463">
      <w:pPr>
        <w:pStyle w:val="a4"/>
        <w:rPr>
          <w:rtl/>
        </w:rPr>
      </w:pPr>
      <w:r>
        <w:rPr>
          <w:rStyle w:val="a6"/>
        </w:rPr>
        <w:footnoteRef/>
      </w:r>
      <w:r>
        <w:rPr>
          <w:rtl/>
        </w:rPr>
        <w:t xml:space="preserve"> </w:t>
      </w:r>
      <w:r w:rsidR="00E8248D" w:rsidRPr="00E8248D">
        <w:rPr>
          <w:rtl/>
        </w:rPr>
        <w:t>ע"א 838</w:t>
      </w:r>
      <w:r w:rsidR="00E8248D">
        <w:rPr>
          <w:rFonts w:hint="cs"/>
          <w:rtl/>
        </w:rPr>
        <w:t>/</w:t>
      </w:r>
      <w:r w:rsidR="00E8248D" w:rsidRPr="00E8248D">
        <w:rPr>
          <w:rtl/>
        </w:rPr>
        <w:t>75 </w:t>
      </w:r>
      <w:r w:rsidR="00E8248D" w:rsidRPr="00E8248D">
        <w:rPr>
          <w:b/>
          <w:bCs/>
          <w:rtl/>
        </w:rPr>
        <w:t xml:space="preserve"> </w:t>
      </w:r>
      <w:proofErr w:type="spellStart"/>
      <w:r w:rsidR="00E8248D" w:rsidRPr="00E8248D">
        <w:rPr>
          <w:b/>
          <w:bCs/>
          <w:rtl/>
        </w:rPr>
        <w:t>ספקטור</w:t>
      </w:r>
      <w:proofErr w:type="spellEnd"/>
      <w:r w:rsidR="00E8248D" w:rsidRPr="00E8248D">
        <w:rPr>
          <w:b/>
          <w:bCs/>
          <w:rtl/>
        </w:rPr>
        <w:t> נ</w:t>
      </w:r>
      <w:r w:rsidR="00E8248D" w:rsidRPr="00E8248D">
        <w:rPr>
          <w:rFonts w:hint="cs"/>
          <w:b/>
          <w:bCs/>
          <w:rtl/>
        </w:rPr>
        <w:t>'</w:t>
      </w:r>
      <w:r w:rsidR="00E8248D" w:rsidRPr="00E8248D">
        <w:rPr>
          <w:b/>
          <w:bCs/>
          <w:rtl/>
        </w:rPr>
        <w:t xml:space="preserve"> צרפתי</w:t>
      </w:r>
      <w:r w:rsidR="00524463">
        <w:rPr>
          <w:rFonts w:hint="cs"/>
          <w:rtl/>
        </w:rPr>
        <w:t xml:space="preserve">, </w:t>
      </w:r>
      <w:r w:rsidR="00E8248D">
        <w:rPr>
          <w:rFonts w:hint="cs"/>
          <w:rtl/>
        </w:rPr>
        <w:t xml:space="preserve">פ"ד </w:t>
      </w:r>
      <w:r w:rsidR="00E8248D" w:rsidRPr="00E8248D">
        <w:rPr>
          <w:rtl/>
        </w:rPr>
        <w:t>לב(1) 231</w:t>
      </w:r>
      <w:r w:rsidR="00E8248D">
        <w:rPr>
          <w:rFonts w:hint="cs"/>
          <w:rtl/>
        </w:rPr>
        <w:t>, בעמ' 241</w:t>
      </w:r>
      <w:r w:rsidR="006A39AE">
        <w:rPr>
          <w:rFonts w:hint="cs"/>
          <w:rtl/>
        </w:rPr>
        <w:t xml:space="preserve"> (1977)</w:t>
      </w:r>
      <w:r w:rsidR="00E8248D">
        <w:rPr>
          <w:rFonts w:hint="cs"/>
          <w:rtl/>
        </w:rPr>
        <w:t xml:space="preserve">. </w:t>
      </w:r>
    </w:p>
  </w:footnote>
  <w:footnote w:id="59">
    <w:p w:rsidR="0081495E" w:rsidRDefault="0081495E">
      <w:pPr>
        <w:pStyle w:val="a4"/>
        <w:rPr>
          <w:rtl/>
        </w:rPr>
      </w:pPr>
      <w:r>
        <w:rPr>
          <w:rStyle w:val="a6"/>
        </w:rPr>
        <w:footnoteRef/>
      </w:r>
      <w:r>
        <w:rPr>
          <w:rtl/>
        </w:rPr>
        <w:t xml:space="preserve"> </w:t>
      </w:r>
      <w:r w:rsidR="009F1F17">
        <w:rPr>
          <w:rFonts w:hint="cs"/>
          <w:rtl/>
        </w:rPr>
        <w:t xml:space="preserve">ס'12ב, לעיל ה"ש 2. </w:t>
      </w:r>
    </w:p>
  </w:footnote>
  <w:footnote w:id="60">
    <w:p w:rsidR="0081495E" w:rsidRDefault="0081495E" w:rsidP="009C604B">
      <w:pPr>
        <w:pStyle w:val="a4"/>
      </w:pPr>
      <w:r>
        <w:rPr>
          <w:rStyle w:val="a6"/>
        </w:rPr>
        <w:footnoteRef/>
      </w:r>
      <w:r>
        <w:rPr>
          <w:rtl/>
        </w:rPr>
        <w:t xml:space="preserve"> </w:t>
      </w:r>
      <w:r w:rsidR="009C604B" w:rsidRPr="009C604B">
        <w:rPr>
          <w:rtl/>
        </w:rPr>
        <w:t>ע"א</w:t>
      </w:r>
      <w:r w:rsidR="009C604B">
        <w:rPr>
          <w:rFonts w:hint="cs"/>
          <w:rtl/>
        </w:rPr>
        <w:t xml:space="preserve"> </w:t>
      </w:r>
      <w:r w:rsidR="006E39B9">
        <w:rPr>
          <w:rFonts w:hint="cs"/>
          <w:rtl/>
        </w:rPr>
        <w:t>6370/00</w:t>
      </w:r>
      <w:r w:rsidR="009C604B">
        <w:rPr>
          <w:rtl/>
        </w:rPr>
        <w:t xml:space="preserve"> </w:t>
      </w:r>
      <w:r w:rsidR="009C604B" w:rsidRPr="006E39B9">
        <w:rPr>
          <w:b/>
          <w:bCs/>
          <w:rtl/>
        </w:rPr>
        <w:t>קל בנ</w:t>
      </w:r>
      <w:r w:rsidR="009C604B" w:rsidRPr="006E39B9">
        <w:rPr>
          <w:rFonts w:hint="cs"/>
          <w:b/>
          <w:bCs/>
          <w:rtl/>
        </w:rPr>
        <w:t>ין</w:t>
      </w:r>
      <w:r w:rsidR="009C604B" w:rsidRPr="006E39B9">
        <w:rPr>
          <w:b/>
          <w:bCs/>
        </w:rPr>
        <w:t xml:space="preserve"> </w:t>
      </w:r>
      <w:r w:rsidR="009C604B" w:rsidRPr="006E39B9">
        <w:rPr>
          <w:b/>
          <w:bCs/>
          <w:rtl/>
        </w:rPr>
        <w:t xml:space="preserve">בע"מ נ' </w:t>
      </w:r>
      <w:proofErr w:type="spellStart"/>
      <w:r w:rsidR="009C604B" w:rsidRPr="006E39B9">
        <w:rPr>
          <w:rFonts w:hint="cs"/>
          <w:b/>
          <w:bCs/>
          <w:rtl/>
        </w:rPr>
        <w:t>ע.ר.מ</w:t>
      </w:r>
      <w:proofErr w:type="spellEnd"/>
      <w:r w:rsidR="009C604B" w:rsidRPr="006E39B9">
        <w:rPr>
          <w:b/>
          <w:bCs/>
          <w:rtl/>
        </w:rPr>
        <w:t xml:space="preserve"> רעננה לבניה והשכרה</w:t>
      </w:r>
      <w:r w:rsidR="009C604B" w:rsidRPr="006E39B9">
        <w:rPr>
          <w:rFonts w:hint="cs"/>
          <w:b/>
          <w:bCs/>
          <w:rtl/>
        </w:rPr>
        <w:t xml:space="preserve"> בע"מ</w:t>
      </w:r>
      <w:r w:rsidR="009C604B">
        <w:rPr>
          <w:rFonts w:hint="cs"/>
          <w:rtl/>
        </w:rPr>
        <w:t xml:space="preserve">, פ"ד נו(3) </w:t>
      </w:r>
      <w:r w:rsidR="006A39AE">
        <w:rPr>
          <w:rFonts w:hint="cs"/>
          <w:rtl/>
        </w:rPr>
        <w:t xml:space="preserve">289 (2002). </w:t>
      </w:r>
    </w:p>
  </w:footnote>
  <w:footnote w:id="61">
    <w:p w:rsidR="0081495E" w:rsidRDefault="0081495E" w:rsidP="00AD28AD">
      <w:pPr>
        <w:pStyle w:val="a4"/>
      </w:pPr>
      <w:r>
        <w:rPr>
          <w:rStyle w:val="a6"/>
        </w:rPr>
        <w:footnoteRef/>
      </w:r>
      <w:r>
        <w:rPr>
          <w:rtl/>
        </w:rPr>
        <w:t xml:space="preserve"> </w:t>
      </w:r>
      <w:r w:rsidR="00AD28AD" w:rsidRPr="00AD28AD">
        <w:rPr>
          <w:rtl/>
        </w:rPr>
        <w:t xml:space="preserve">אפליה" אברהם אבן שושן </w:t>
      </w:r>
      <w:r w:rsidR="00AD28AD" w:rsidRPr="00AD28AD">
        <w:rPr>
          <w:b/>
          <w:bCs/>
          <w:rtl/>
        </w:rPr>
        <w:t>המילון החדש</w:t>
      </w:r>
      <w:r w:rsidR="00AD28AD" w:rsidRPr="00AD28AD">
        <w:rPr>
          <w:rtl/>
        </w:rPr>
        <w:t xml:space="preserve"> 139 (שלמה אבן שושן עורך ראשי 1998).</w:t>
      </w:r>
    </w:p>
  </w:footnote>
  <w:footnote w:id="62">
    <w:p w:rsidR="0081495E" w:rsidRPr="003D4C87" w:rsidRDefault="0081495E" w:rsidP="003D4C87">
      <w:pPr>
        <w:pStyle w:val="a4"/>
      </w:pPr>
      <w:r>
        <w:rPr>
          <w:rStyle w:val="a6"/>
        </w:rPr>
        <w:footnoteRef/>
      </w:r>
      <w:r>
        <w:rPr>
          <w:rtl/>
        </w:rPr>
        <w:t xml:space="preserve"> </w:t>
      </w:r>
      <w:r w:rsidR="003D4C87">
        <w:rPr>
          <w:rFonts w:hint="cs"/>
          <w:rtl/>
        </w:rPr>
        <w:t xml:space="preserve">אריאל ארליך, </w:t>
      </w:r>
      <w:hyperlink r:id="rId1" w:history="1">
        <w:r w:rsidR="003D4C87" w:rsidRPr="003D4C87">
          <w:rPr>
            <w:rtl/>
          </w:rPr>
          <w:t>הפרדה או הפליה – הצעה לניתוח מושגי והבחנות שימושיות</w:t>
        </w:r>
      </w:hyperlink>
      <w:r w:rsidR="003D4C87">
        <w:t xml:space="preserve"> </w:t>
      </w:r>
      <w:r w:rsidR="003D4C87" w:rsidRPr="003D4C87">
        <w:rPr>
          <w:b/>
          <w:bCs/>
        </w:rPr>
        <w:t>ICON-S-IL Blog</w:t>
      </w:r>
      <w:r w:rsidR="003D4C87">
        <w:rPr>
          <w:b/>
          <w:bCs/>
        </w:rPr>
        <w:t xml:space="preserve"> </w:t>
      </w:r>
      <w:r w:rsidR="003D4C87">
        <w:rPr>
          <w:rFonts w:hint="cs"/>
          <w:rtl/>
        </w:rPr>
        <w:t xml:space="preserve"> </w:t>
      </w:r>
      <w:r w:rsidR="003D4C87" w:rsidRPr="003D4C87">
        <w:t>(22.10.2019)</w:t>
      </w:r>
      <w:r w:rsidR="003D4C87">
        <w:rPr>
          <w:rFonts w:hint="cs"/>
          <w:rtl/>
        </w:rPr>
        <w:t xml:space="preserve"> </w:t>
      </w:r>
      <w:r w:rsidR="003D4C87" w:rsidRPr="007C21FE">
        <w:rPr>
          <w:rStyle w:val="Hyperlink"/>
        </w:rPr>
        <w:t>israeliconstitutionalism.wordpress.com/2019/10/22/</w:t>
      </w:r>
      <w:r w:rsidR="003D4C87" w:rsidRPr="007C21FE">
        <w:rPr>
          <w:rStyle w:val="Hyperlink"/>
          <w:rFonts w:hint="cs"/>
          <w:rtl/>
        </w:rPr>
        <w:t>.</w:t>
      </w:r>
    </w:p>
  </w:footnote>
  <w:footnote w:id="63">
    <w:p w:rsidR="0081495E" w:rsidRDefault="0081495E">
      <w:pPr>
        <w:pStyle w:val="a4"/>
      </w:pPr>
      <w:r>
        <w:rPr>
          <w:rStyle w:val="a6"/>
        </w:rPr>
        <w:footnoteRef/>
      </w:r>
      <w:r>
        <w:rPr>
          <w:rtl/>
        </w:rPr>
        <w:t xml:space="preserve"> </w:t>
      </w:r>
      <w:r w:rsidR="006E39B9">
        <w:rPr>
          <w:rFonts w:hint="cs"/>
          <w:rtl/>
        </w:rPr>
        <w:t xml:space="preserve">ס'3, לעיל ה"ש 9. </w:t>
      </w:r>
    </w:p>
  </w:footnote>
  <w:footnote w:id="64">
    <w:p w:rsidR="0081495E" w:rsidRDefault="0081495E">
      <w:pPr>
        <w:pStyle w:val="a4"/>
        <w:rPr>
          <w:rtl/>
        </w:rPr>
      </w:pPr>
      <w:r>
        <w:rPr>
          <w:rStyle w:val="a6"/>
        </w:rPr>
        <w:footnoteRef/>
      </w:r>
      <w:r>
        <w:rPr>
          <w:rtl/>
        </w:rPr>
        <w:t xml:space="preserve"> </w:t>
      </w:r>
      <w:r w:rsidR="00A917FD">
        <w:rPr>
          <w:rFonts w:hint="cs"/>
          <w:rtl/>
        </w:rPr>
        <w:t xml:space="preserve">ס'3, לעיל ה"ש 9. </w:t>
      </w:r>
    </w:p>
  </w:footnote>
  <w:footnote w:id="65">
    <w:p w:rsidR="0081495E" w:rsidRPr="00E3479D" w:rsidRDefault="0081495E" w:rsidP="00DF6DA3">
      <w:pPr>
        <w:pStyle w:val="a4"/>
      </w:pPr>
      <w:r>
        <w:rPr>
          <w:rStyle w:val="a6"/>
        </w:rPr>
        <w:footnoteRef/>
      </w:r>
      <w:r>
        <w:rPr>
          <w:rtl/>
        </w:rPr>
        <w:t xml:space="preserve"> </w:t>
      </w:r>
      <w:r w:rsidR="00E3479D" w:rsidRPr="00E3479D">
        <w:t> </w:t>
      </w:r>
      <w:proofErr w:type="spellStart"/>
      <w:r w:rsidR="00E3479D" w:rsidRPr="00E3479D">
        <w:rPr>
          <w:rtl/>
        </w:rPr>
        <w:t>דנג"ץ</w:t>
      </w:r>
      <w:proofErr w:type="spellEnd"/>
      <w:r w:rsidR="00E3479D" w:rsidRPr="00E3479D">
        <w:rPr>
          <w:rtl/>
        </w:rPr>
        <w:t xml:space="preserve"> 4191-97 </w:t>
      </w:r>
      <w:r w:rsidR="00E3479D" w:rsidRPr="00E3479D">
        <w:rPr>
          <w:b/>
          <w:bCs/>
          <w:rtl/>
        </w:rPr>
        <w:t xml:space="preserve">אפרים </w:t>
      </w:r>
      <w:proofErr w:type="spellStart"/>
      <w:r w:rsidR="00E3479D" w:rsidRPr="00E3479D">
        <w:rPr>
          <w:b/>
          <w:bCs/>
          <w:rtl/>
        </w:rPr>
        <w:t>רקנט</w:t>
      </w:r>
      <w:proofErr w:type="spellEnd"/>
      <w:r w:rsidR="00E3479D" w:rsidRPr="00E3479D">
        <w:rPr>
          <w:rtl/>
        </w:rPr>
        <w:t> נ</w:t>
      </w:r>
      <w:r w:rsidR="00E3479D" w:rsidRPr="00E3479D">
        <w:t>' </w:t>
      </w:r>
      <w:r w:rsidR="00DF6DA3">
        <w:rPr>
          <w:b/>
          <w:bCs/>
          <w:rtl/>
        </w:rPr>
        <w:t>בית-הדין הארצי לעבוד</w:t>
      </w:r>
      <w:r w:rsidR="00DF6DA3">
        <w:rPr>
          <w:rFonts w:hint="cs"/>
          <w:b/>
          <w:bCs/>
          <w:rtl/>
        </w:rPr>
        <w:t>ה</w:t>
      </w:r>
      <w:r w:rsidR="00E3479D" w:rsidRPr="00E3479D">
        <w:t>,</w:t>
      </w:r>
      <w:r w:rsidR="00DF6DA3">
        <w:rPr>
          <w:rFonts w:hint="cs"/>
          <w:rtl/>
        </w:rPr>
        <w:t xml:space="preserve"> פ"ד</w:t>
      </w:r>
      <w:r w:rsidR="00E3479D" w:rsidRPr="00E3479D">
        <w:rPr>
          <w:rtl/>
        </w:rPr>
        <w:t xml:space="preserve"> נד(5) </w:t>
      </w:r>
      <w:r w:rsidR="00E3479D">
        <w:rPr>
          <w:rFonts w:hint="cs"/>
          <w:rtl/>
        </w:rPr>
        <w:t xml:space="preserve">330 (2000). </w:t>
      </w:r>
    </w:p>
  </w:footnote>
  <w:footnote w:id="66">
    <w:p w:rsidR="0081495E" w:rsidRDefault="0081495E">
      <w:pPr>
        <w:pStyle w:val="a4"/>
        <w:rPr>
          <w:rtl/>
        </w:rPr>
      </w:pPr>
      <w:r>
        <w:rPr>
          <w:rStyle w:val="a6"/>
        </w:rPr>
        <w:footnoteRef/>
      </w:r>
      <w:r>
        <w:rPr>
          <w:rtl/>
        </w:rPr>
        <w:t xml:space="preserve"> </w:t>
      </w:r>
      <w:r w:rsidR="00E3479D">
        <w:rPr>
          <w:rFonts w:hint="cs"/>
          <w:rtl/>
        </w:rPr>
        <w:t xml:space="preserve">ס'12ב, לעיל ה"ש 2. </w:t>
      </w:r>
    </w:p>
  </w:footnote>
  <w:footnote w:id="67">
    <w:p w:rsidR="00A917FD" w:rsidRDefault="00A917FD">
      <w:pPr>
        <w:pStyle w:val="a4"/>
      </w:pPr>
      <w:r>
        <w:rPr>
          <w:rStyle w:val="a6"/>
        </w:rPr>
        <w:footnoteRef/>
      </w:r>
      <w:r>
        <w:rPr>
          <w:rtl/>
        </w:rPr>
        <w:t xml:space="preserve"> </w:t>
      </w:r>
      <w:r>
        <w:rPr>
          <w:rFonts w:hint="cs"/>
          <w:rtl/>
        </w:rPr>
        <w:t xml:space="preserve">שם. </w:t>
      </w:r>
    </w:p>
  </w:footnote>
  <w:footnote w:id="68">
    <w:p w:rsidR="00A917FD" w:rsidRDefault="00A917FD">
      <w:pPr>
        <w:pStyle w:val="a4"/>
      </w:pPr>
      <w:r>
        <w:rPr>
          <w:rStyle w:val="a6"/>
        </w:rPr>
        <w:footnoteRef/>
      </w:r>
      <w:r>
        <w:rPr>
          <w:rtl/>
        </w:rPr>
        <w:t xml:space="preserve"> </w:t>
      </w:r>
      <w:r>
        <w:rPr>
          <w:rFonts w:hint="cs"/>
          <w:rtl/>
        </w:rPr>
        <w:t xml:space="preserve">ס'10, לעיל ה"ש 6. </w:t>
      </w:r>
    </w:p>
  </w:footnote>
  <w:footnote w:id="69">
    <w:p w:rsidR="00214149" w:rsidRDefault="00A917FD" w:rsidP="00214149">
      <w:pPr>
        <w:pStyle w:val="a4"/>
      </w:pPr>
      <w:r>
        <w:rPr>
          <w:rStyle w:val="a6"/>
        </w:rPr>
        <w:footnoteRef/>
      </w:r>
      <w:r>
        <w:rPr>
          <w:rtl/>
        </w:rPr>
        <w:t xml:space="preserve"> </w:t>
      </w:r>
      <w:r>
        <w:rPr>
          <w:rFonts w:hint="cs"/>
          <w:rtl/>
        </w:rPr>
        <w:t xml:space="preserve">ס'15, לעיל ה"ש 2. </w:t>
      </w:r>
    </w:p>
  </w:footnote>
  <w:footnote w:id="70">
    <w:p w:rsidR="00604AB6" w:rsidRDefault="00604AB6">
      <w:pPr>
        <w:pStyle w:val="a4"/>
      </w:pPr>
      <w:r>
        <w:rPr>
          <w:rStyle w:val="a6"/>
        </w:rPr>
        <w:footnoteRef/>
      </w:r>
      <w:r>
        <w:rPr>
          <w:rtl/>
        </w:rPr>
        <w:t xml:space="preserve"> </w:t>
      </w:r>
      <w:r>
        <w:rPr>
          <w:rFonts w:hint="cs"/>
          <w:rtl/>
        </w:rPr>
        <w:t xml:space="preserve">ס'6, לעיל ה"ש 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154E0"/>
    <w:multiLevelType w:val="hybridMultilevel"/>
    <w:tmpl w:val="1778CFF8"/>
    <w:lvl w:ilvl="0" w:tplc="E94ED6DA">
      <w:start w:val="1"/>
      <w:numFmt w:val="hebrew1"/>
      <w:lvlText w:val="%1."/>
      <w:lvlJc w:val="left"/>
      <w:pPr>
        <w:ind w:left="720" w:hanging="360"/>
      </w:pPr>
      <w:rPr>
        <w:rFonts w:ascii="David" w:hAnsi="David" w:cs="Davi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02"/>
    <w:rsid w:val="000067E8"/>
    <w:rsid w:val="00034CCC"/>
    <w:rsid w:val="00052E10"/>
    <w:rsid w:val="000627E4"/>
    <w:rsid w:val="00087611"/>
    <w:rsid w:val="00091B66"/>
    <w:rsid w:val="00092FD8"/>
    <w:rsid w:val="0009712C"/>
    <w:rsid w:val="000A445F"/>
    <w:rsid w:val="000B3E24"/>
    <w:rsid w:val="000B7B0F"/>
    <w:rsid w:val="000D42F6"/>
    <w:rsid w:val="000D7A84"/>
    <w:rsid w:val="00100A46"/>
    <w:rsid w:val="00104FB2"/>
    <w:rsid w:val="0012420A"/>
    <w:rsid w:val="001333F6"/>
    <w:rsid w:val="001348A6"/>
    <w:rsid w:val="00141F7E"/>
    <w:rsid w:val="00146691"/>
    <w:rsid w:val="0016311B"/>
    <w:rsid w:val="00164180"/>
    <w:rsid w:val="0016428C"/>
    <w:rsid w:val="001657E0"/>
    <w:rsid w:val="001C1738"/>
    <w:rsid w:val="001C2D9B"/>
    <w:rsid w:val="001D135B"/>
    <w:rsid w:val="001D77DE"/>
    <w:rsid w:val="001E6569"/>
    <w:rsid w:val="00213856"/>
    <w:rsid w:val="00214149"/>
    <w:rsid w:val="0021789E"/>
    <w:rsid w:val="002352D6"/>
    <w:rsid w:val="00251E85"/>
    <w:rsid w:val="00271034"/>
    <w:rsid w:val="00282018"/>
    <w:rsid w:val="0028272F"/>
    <w:rsid w:val="00292910"/>
    <w:rsid w:val="002A734B"/>
    <w:rsid w:val="002C0550"/>
    <w:rsid w:val="002C0E39"/>
    <w:rsid w:val="00303F1E"/>
    <w:rsid w:val="00316CA4"/>
    <w:rsid w:val="00357501"/>
    <w:rsid w:val="003646C2"/>
    <w:rsid w:val="003838D8"/>
    <w:rsid w:val="003A6EE3"/>
    <w:rsid w:val="003C47D1"/>
    <w:rsid w:val="003D4C87"/>
    <w:rsid w:val="004019F1"/>
    <w:rsid w:val="004112EF"/>
    <w:rsid w:val="00435C22"/>
    <w:rsid w:val="00464FF3"/>
    <w:rsid w:val="00470FD4"/>
    <w:rsid w:val="004A3E06"/>
    <w:rsid w:val="004B091B"/>
    <w:rsid w:val="004B4A35"/>
    <w:rsid w:val="00524463"/>
    <w:rsid w:val="00573CEF"/>
    <w:rsid w:val="005B5304"/>
    <w:rsid w:val="005E3187"/>
    <w:rsid w:val="005E4FAC"/>
    <w:rsid w:val="005E63BB"/>
    <w:rsid w:val="00604AB6"/>
    <w:rsid w:val="00633C79"/>
    <w:rsid w:val="00667E75"/>
    <w:rsid w:val="00691975"/>
    <w:rsid w:val="006A39AE"/>
    <w:rsid w:val="006C5AAC"/>
    <w:rsid w:val="006E39B9"/>
    <w:rsid w:val="006F0417"/>
    <w:rsid w:val="006F0E9D"/>
    <w:rsid w:val="007214F6"/>
    <w:rsid w:val="00723894"/>
    <w:rsid w:val="00726C28"/>
    <w:rsid w:val="00735087"/>
    <w:rsid w:val="00743720"/>
    <w:rsid w:val="00747459"/>
    <w:rsid w:val="00756C04"/>
    <w:rsid w:val="007837BD"/>
    <w:rsid w:val="007B6F41"/>
    <w:rsid w:val="007C21FE"/>
    <w:rsid w:val="007C6FEA"/>
    <w:rsid w:val="007D4845"/>
    <w:rsid w:val="00812A05"/>
    <w:rsid w:val="008142D1"/>
    <w:rsid w:val="0081495E"/>
    <w:rsid w:val="00824402"/>
    <w:rsid w:val="008337A4"/>
    <w:rsid w:val="00866F75"/>
    <w:rsid w:val="008C1810"/>
    <w:rsid w:val="00907D81"/>
    <w:rsid w:val="00920C4F"/>
    <w:rsid w:val="00925819"/>
    <w:rsid w:val="00955778"/>
    <w:rsid w:val="00960673"/>
    <w:rsid w:val="00970B64"/>
    <w:rsid w:val="00970D4F"/>
    <w:rsid w:val="00981ECE"/>
    <w:rsid w:val="009C2DDC"/>
    <w:rsid w:val="009C604B"/>
    <w:rsid w:val="009D1499"/>
    <w:rsid w:val="009E63EE"/>
    <w:rsid w:val="009F121B"/>
    <w:rsid w:val="009F1F17"/>
    <w:rsid w:val="00A065E0"/>
    <w:rsid w:val="00A12085"/>
    <w:rsid w:val="00A35527"/>
    <w:rsid w:val="00A521E3"/>
    <w:rsid w:val="00A61D47"/>
    <w:rsid w:val="00A917FD"/>
    <w:rsid w:val="00AD28AD"/>
    <w:rsid w:val="00AD3587"/>
    <w:rsid w:val="00AD43C0"/>
    <w:rsid w:val="00AF0D28"/>
    <w:rsid w:val="00B008A2"/>
    <w:rsid w:val="00B0144A"/>
    <w:rsid w:val="00B423AD"/>
    <w:rsid w:val="00B74744"/>
    <w:rsid w:val="00BA0527"/>
    <w:rsid w:val="00BA750E"/>
    <w:rsid w:val="00BB6D18"/>
    <w:rsid w:val="00BE37F7"/>
    <w:rsid w:val="00BF17CC"/>
    <w:rsid w:val="00C10365"/>
    <w:rsid w:val="00C25906"/>
    <w:rsid w:val="00C53350"/>
    <w:rsid w:val="00C57731"/>
    <w:rsid w:val="00C64DCA"/>
    <w:rsid w:val="00C77F39"/>
    <w:rsid w:val="00CB3A2A"/>
    <w:rsid w:val="00D0543B"/>
    <w:rsid w:val="00D235B9"/>
    <w:rsid w:val="00D24336"/>
    <w:rsid w:val="00D53555"/>
    <w:rsid w:val="00D677C1"/>
    <w:rsid w:val="00DA383A"/>
    <w:rsid w:val="00DB7611"/>
    <w:rsid w:val="00DF1769"/>
    <w:rsid w:val="00DF6DA3"/>
    <w:rsid w:val="00E20AC0"/>
    <w:rsid w:val="00E3479D"/>
    <w:rsid w:val="00E54164"/>
    <w:rsid w:val="00E56CE2"/>
    <w:rsid w:val="00E8248D"/>
    <w:rsid w:val="00EA739F"/>
    <w:rsid w:val="00EE23A2"/>
    <w:rsid w:val="00F34954"/>
    <w:rsid w:val="00F912D6"/>
    <w:rsid w:val="00F91E41"/>
    <w:rsid w:val="00F956B7"/>
    <w:rsid w:val="00FA11CE"/>
    <w:rsid w:val="00FB50F9"/>
    <w:rsid w:val="00FC5AE9"/>
    <w:rsid w:val="00FF2399"/>
    <w:rsid w:val="00FF30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82A"/>
  <w15:chartTrackingRefBased/>
  <w15:docId w15:val="{3E8B6EC0-7682-4F5B-AEB4-A66A4DF4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721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0876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24402"/>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nhideWhenUsed/>
    <w:rsid w:val="00824402"/>
    <w:rPr>
      <w:color w:val="0000FF"/>
      <w:u w:val="single"/>
    </w:rPr>
  </w:style>
  <w:style w:type="paragraph" w:styleId="a3">
    <w:name w:val="List Paragraph"/>
    <w:basedOn w:val="a"/>
    <w:uiPriority w:val="34"/>
    <w:qFormat/>
    <w:rsid w:val="00824402"/>
    <w:pPr>
      <w:ind w:left="720"/>
      <w:contextualSpacing/>
    </w:pPr>
  </w:style>
  <w:style w:type="paragraph" w:styleId="a4">
    <w:name w:val="footnote text"/>
    <w:basedOn w:val="a"/>
    <w:link w:val="a5"/>
    <w:uiPriority w:val="99"/>
    <w:unhideWhenUsed/>
    <w:rsid w:val="00271034"/>
    <w:pPr>
      <w:spacing w:after="0" w:line="240" w:lineRule="auto"/>
    </w:pPr>
    <w:rPr>
      <w:sz w:val="20"/>
      <w:szCs w:val="20"/>
    </w:rPr>
  </w:style>
  <w:style w:type="character" w:customStyle="1" w:styleId="a5">
    <w:name w:val="טקסט הערת שוליים תו"/>
    <w:basedOn w:val="a0"/>
    <w:link w:val="a4"/>
    <w:uiPriority w:val="99"/>
    <w:rsid w:val="00271034"/>
    <w:rPr>
      <w:sz w:val="20"/>
      <w:szCs w:val="20"/>
    </w:rPr>
  </w:style>
  <w:style w:type="character" w:styleId="a6">
    <w:name w:val="footnote reference"/>
    <w:basedOn w:val="a0"/>
    <w:uiPriority w:val="99"/>
    <w:semiHidden/>
    <w:unhideWhenUsed/>
    <w:rsid w:val="00271034"/>
    <w:rPr>
      <w:vertAlign w:val="superscript"/>
    </w:rPr>
  </w:style>
  <w:style w:type="character" w:customStyle="1" w:styleId="50">
    <w:name w:val="כותרת 5 תו"/>
    <w:basedOn w:val="a0"/>
    <w:link w:val="5"/>
    <w:uiPriority w:val="9"/>
    <w:semiHidden/>
    <w:rsid w:val="00087611"/>
    <w:rPr>
      <w:rFonts w:asciiTheme="majorHAnsi" w:eastAsiaTheme="majorEastAsia" w:hAnsiTheme="majorHAnsi" w:cstheme="majorBidi"/>
      <w:color w:val="2E74B5" w:themeColor="accent1" w:themeShade="BF"/>
    </w:rPr>
  </w:style>
  <w:style w:type="character" w:customStyle="1" w:styleId="10">
    <w:name w:val="כותרת 1 תו"/>
    <w:basedOn w:val="a0"/>
    <w:link w:val="1"/>
    <w:uiPriority w:val="9"/>
    <w:rsid w:val="007214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580">
      <w:bodyDiv w:val="1"/>
      <w:marLeft w:val="0"/>
      <w:marRight w:val="0"/>
      <w:marTop w:val="0"/>
      <w:marBottom w:val="0"/>
      <w:divBdr>
        <w:top w:val="none" w:sz="0" w:space="0" w:color="auto"/>
        <w:left w:val="none" w:sz="0" w:space="0" w:color="auto"/>
        <w:bottom w:val="none" w:sz="0" w:space="0" w:color="auto"/>
        <w:right w:val="none" w:sz="0" w:space="0" w:color="auto"/>
      </w:divBdr>
    </w:div>
    <w:div w:id="244726021">
      <w:bodyDiv w:val="1"/>
      <w:marLeft w:val="0"/>
      <w:marRight w:val="0"/>
      <w:marTop w:val="0"/>
      <w:marBottom w:val="0"/>
      <w:divBdr>
        <w:top w:val="none" w:sz="0" w:space="0" w:color="auto"/>
        <w:left w:val="none" w:sz="0" w:space="0" w:color="auto"/>
        <w:bottom w:val="none" w:sz="0" w:space="0" w:color="auto"/>
        <w:right w:val="none" w:sz="0" w:space="0" w:color="auto"/>
      </w:divBdr>
    </w:div>
    <w:div w:id="331833578">
      <w:bodyDiv w:val="1"/>
      <w:marLeft w:val="0"/>
      <w:marRight w:val="0"/>
      <w:marTop w:val="0"/>
      <w:marBottom w:val="0"/>
      <w:divBdr>
        <w:top w:val="none" w:sz="0" w:space="0" w:color="auto"/>
        <w:left w:val="none" w:sz="0" w:space="0" w:color="auto"/>
        <w:bottom w:val="none" w:sz="0" w:space="0" w:color="auto"/>
        <w:right w:val="none" w:sz="0" w:space="0" w:color="auto"/>
      </w:divBdr>
    </w:div>
    <w:div w:id="557284733">
      <w:bodyDiv w:val="1"/>
      <w:marLeft w:val="0"/>
      <w:marRight w:val="0"/>
      <w:marTop w:val="0"/>
      <w:marBottom w:val="0"/>
      <w:divBdr>
        <w:top w:val="none" w:sz="0" w:space="0" w:color="auto"/>
        <w:left w:val="none" w:sz="0" w:space="0" w:color="auto"/>
        <w:bottom w:val="none" w:sz="0" w:space="0" w:color="auto"/>
        <w:right w:val="none" w:sz="0" w:space="0" w:color="auto"/>
      </w:divBdr>
    </w:div>
    <w:div w:id="610743142">
      <w:bodyDiv w:val="1"/>
      <w:marLeft w:val="0"/>
      <w:marRight w:val="0"/>
      <w:marTop w:val="0"/>
      <w:marBottom w:val="0"/>
      <w:divBdr>
        <w:top w:val="none" w:sz="0" w:space="0" w:color="auto"/>
        <w:left w:val="none" w:sz="0" w:space="0" w:color="auto"/>
        <w:bottom w:val="none" w:sz="0" w:space="0" w:color="auto"/>
        <w:right w:val="none" w:sz="0" w:space="0" w:color="auto"/>
      </w:divBdr>
    </w:div>
    <w:div w:id="859858151">
      <w:bodyDiv w:val="1"/>
      <w:marLeft w:val="0"/>
      <w:marRight w:val="0"/>
      <w:marTop w:val="0"/>
      <w:marBottom w:val="0"/>
      <w:divBdr>
        <w:top w:val="none" w:sz="0" w:space="0" w:color="auto"/>
        <w:left w:val="none" w:sz="0" w:space="0" w:color="auto"/>
        <w:bottom w:val="none" w:sz="0" w:space="0" w:color="auto"/>
        <w:right w:val="none" w:sz="0" w:space="0" w:color="auto"/>
      </w:divBdr>
    </w:div>
    <w:div w:id="994340011">
      <w:bodyDiv w:val="1"/>
      <w:marLeft w:val="0"/>
      <w:marRight w:val="0"/>
      <w:marTop w:val="0"/>
      <w:marBottom w:val="0"/>
      <w:divBdr>
        <w:top w:val="none" w:sz="0" w:space="0" w:color="auto"/>
        <w:left w:val="none" w:sz="0" w:space="0" w:color="auto"/>
        <w:bottom w:val="none" w:sz="0" w:space="0" w:color="auto"/>
        <w:right w:val="none" w:sz="0" w:space="0" w:color="auto"/>
      </w:divBdr>
    </w:div>
    <w:div w:id="1061756716">
      <w:bodyDiv w:val="1"/>
      <w:marLeft w:val="0"/>
      <w:marRight w:val="0"/>
      <w:marTop w:val="0"/>
      <w:marBottom w:val="0"/>
      <w:divBdr>
        <w:top w:val="none" w:sz="0" w:space="0" w:color="auto"/>
        <w:left w:val="none" w:sz="0" w:space="0" w:color="auto"/>
        <w:bottom w:val="none" w:sz="0" w:space="0" w:color="auto"/>
        <w:right w:val="none" w:sz="0" w:space="0" w:color="auto"/>
      </w:divBdr>
    </w:div>
    <w:div w:id="1308239438">
      <w:bodyDiv w:val="1"/>
      <w:marLeft w:val="0"/>
      <w:marRight w:val="0"/>
      <w:marTop w:val="0"/>
      <w:marBottom w:val="0"/>
      <w:divBdr>
        <w:top w:val="none" w:sz="0" w:space="0" w:color="auto"/>
        <w:left w:val="none" w:sz="0" w:space="0" w:color="auto"/>
        <w:bottom w:val="none" w:sz="0" w:space="0" w:color="auto"/>
        <w:right w:val="none" w:sz="0" w:space="0" w:color="auto"/>
      </w:divBdr>
    </w:div>
    <w:div w:id="1399670275">
      <w:bodyDiv w:val="1"/>
      <w:marLeft w:val="0"/>
      <w:marRight w:val="0"/>
      <w:marTop w:val="0"/>
      <w:marBottom w:val="0"/>
      <w:divBdr>
        <w:top w:val="none" w:sz="0" w:space="0" w:color="auto"/>
        <w:left w:val="none" w:sz="0" w:space="0" w:color="auto"/>
        <w:bottom w:val="none" w:sz="0" w:space="0" w:color="auto"/>
        <w:right w:val="none" w:sz="0" w:space="0" w:color="auto"/>
      </w:divBdr>
    </w:div>
    <w:div w:id="1568565067">
      <w:bodyDiv w:val="1"/>
      <w:marLeft w:val="0"/>
      <w:marRight w:val="0"/>
      <w:marTop w:val="0"/>
      <w:marBottom w:val="0"/>
      <w:divBdr>
        <w:top w:val="none" w:sz="0" w:space="0" w:color="auto"/>
        <w:left w:val="none" w:sz="0" w:space="0" w:color="auto"/>
        <w:bottom w:val="none" w:sz="0" w:space="0" w:color="auto"/>
        <w:right w:val="none" w:sz="0" w:space="0" w:color="auto"/>
      </w:divBdr>
    </w:div>
    <w:div w:id="1601716179">
      <w:bodyDiv w:val="1"/>
      <w:marLeft w:val="0"/>
      <w:marRight w:val="0"/>
      <w:marTop w:val="0"/>
      <w:marBottom w:val="0"/>
      <w:divBdr>
        <w:top w:val="none" w:sz="0" w:space="0" w:color="auto"/>
        <w:left w:val="none" w:sz="0" w:space="0" w:color="auto"/>
        <w:bottom w:val="none" w:sz="0" w:space="0" w:color="auto"/>
        <w:right w:val="none" w:sz="0" w:space="0" w:color="auto"/>
      </w:divBdr>
      <w:divsChild>
        <w:div w:id="1257521322">
          <w:marLeft w:val="0"/>
          <w:marRight w:val="0"/>
          <w:marTop w:val="0"/>
          <w:marBottom w:val="0"/>
          <w:divBdr>
            <w:top w:val="single" w:sz="6" w:space="8" w:color="CCCCCC"/>
            <w:left w:val="single" w:sz="6" w:space="8" w:color="CCCCCC"/>
            <w:bottom w:val="single" w:sz="6" w:space="8" w:color="CCCCCC"/>
            <w:right w:val="single" w:sz="6" w:space="11" w:color="CCCCCC"/>
          </w:divBdr>
        </w:div>
      </w:divsChild>
    </w:div>
    <w:div w:id="2002999927">
      <w:bodyDiv w:val="1"/>
      <w:marLeft w:val="0"/>
      <w:marRight w:val="0"/>
      <w:marTop w:val="0"/>
      <w:marBottom w:val="0"/>
      <w:divBdr>
        <w:top w:val="none" w:sz="0" w:space="0" w:color="auto"/>
        <w:left w:val="none" w:sz="0" w:space="0" w:color="auto"/>
        <w:bottom w:val="none" w:sz="0" w:space="0" w:color="auto"/>
        <w:right w:val="none" w:sz="0" w:space="0" w:color="auto"/>
      </w:divBdr>
    </w:div>
    <w:div w:id="20903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iconstitutionalism.wordpress.com/2019/10/22/%d7%94%d7%a4%d7%a8%d7%93%d7%94-%d7%90%d7%95-%d7%94%d7%a4%d7%9c%d7%99%d7%94-%d7%94%d7%a6%d7%a2%d7%94-%d7%9c%d7%a0%d7%99%d7%aa%d7%95%d7%97-%d7%9e%d7%95%d7%a9%d7%92%d7%99-%d7%95%d7%94%d7%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raeliconstitutionalism.wordpress.com/2019/10/22/%d7%94%d7%a4%d7%a8%d7%93%d7%94-%d7%90%d7%95-%d7%94%d7%a4%d7%9c%d7%99%d7%94-%d7%94%d7%a6%d7%a2%d7%94-%d7%9c%d7%a0%d7%99%d7%aa%d7%95%d7%97-%d7%9e%d7%95%d7%a9%d7%92%d7%99-%d7%95%d7%94%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466E-2E5E-40B9-8EE1-E5BBB8AD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14702</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Raz Halperin</cp:lastModifiedBy>
  <cp:revision>2</cp:revision>
  <dcterms:created xsi:type="dcterms:W3CDTF">2021-07-29T05:33:00Z</dcterms:created>
  <dcterms:modified xsi:type="dcterms:W3CDTF">2021-07-29T05:33:00Z</dcterms:modified>
</cp:coreProperties>
</file>