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AA2B" w14:textId="12B9AE40" w:rsidR="00405A2C" w:rsidRPr="00BF3CC0" w:rsidRDefault="00BF3CC0" w:rsidP="00BF3CC0">
      <w:pPr>
        <w:spacing w:after="0" w:line="360" w:lineRule="auto"/>
        <w:rPr>
          <w:rFonts w:asciiTheme="majorBidi" w:hAnsiTheme="majorBidi" w:cstheme="majorBidi"/>
          <w:b/>
          <w:bCs/>
          <w:sz w:val="24"/>
          <w:szCs w:val="24"/>
          <w:u w:val="single"/>
          <w:rtl/>
        </w:rPr>
      </w:pPr>
      <w:r w:rsidRPr="00BF3CC0">
        <w:rPr>
          <w:rFonts w:asciiTheme="majorBidi" w:hAnsiTheme="majorBidi" w:cstheme="majorBidi"/>
          <w:b/>
          <w:bCs/>
          <w:sz w:val="24"/>
          <w:szCs w:val="24"/>
          <w:u w:val="single"/>
          <w:rtl/>
        </w:rPr>
        <w:t>אירועון 2 – שילה תומר</w:t>
      </w:r>
    </w:p>
    <w:p w14:paraId="16D17D22" w14:textId="25D71095"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בבואי לדון ב</w:t>
      </w:r>
      <w:r w:rsidR="00416BC9">
        <w:rPr>
          <w:rFonts w:asciiTheme="majorBidi" w:hAnsiTheme="majorBidi" w:cstheme="majorBidi" w:hint="cs"/>
          <w:sz w:val="24"/>
          <w:szCs w:val="24"/>
          <w:rtl/>
        </w:rPr>
        <w:t>מקרה</w:t>
      </w:r>
      <w:r w:rsidRPr="00BF3CC0">
        <w:rPr>
          <w:rFonts w:asciiTheme="majorBidi" w:hAnsiTheme="majorBidi" w:cstheme="majorBidi"/>
          <w:sz w:val="24"/>
          <w:szCs w:val="24"/>
          <w:rtl/>
        </w:rPr>
        <w:t xml:space="preserve">, אתייחס למספר סוגיות משפטיות העולות </w:t>
      </w:r>
      <w:r w:rsidR="007109B8">
        <w:rPr>
          <w:rFonts w:asciiTheme="majorBidi" w:hAnsiTheme="majorBidi" w:cstheme="majorBidi" w:hint="cs"/>
          <w:sz w:val="24"/>
          <w:szCs w:val="24"/>
          <w:rtl/>
        </w:rPr>
        <w:t>מ</w:t>
      </w:r>
      <w:r w:rsidRPr="00BF3CC0">
        <w:rPr>
          <w:rFonts w:asciiTheme="majorBidi" w:hAnsiTheme="majorBidi" w:cstheme="majorBidi"/>
          <w:sz w:val="24"/>
          <w:szCs w:val="24"/>
          <w:rtl/>
        </w:rPr>
        <w:t>הצעדים בהם נקטה המדינה:</w:t>
      </w:r>
    </w:p>
    <w:p w14:paraId="7DBA39C5" w14:textId="77777777"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1. חיקוק חוק הסדרת פעילות עסקית בתקופת נגיף הקורונה (הוראת שעה), התשפ"א-2020 (להלן: החוק).</w:t>
      </w:r>
    </w:p>
    <w:p w14:paraId="6C473226" w14:textId="77777777"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2. תיקון תקנות הסדרת פעילות עסקית בתקופת נגיף הקורונה (הוראת שעה) (להלן: התקנה).</w:t>
      </w:r>
    </w:p>
    <w:p w14:paraId="025BD81D" w14:textId="77777777"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3. שימושו של שר הביטחון בסמכות הנתונה לו בחוק הגבלת תנועת אזרחים, התש"י-1950.</w:t>
      </w:r>
    </w:p>
    <w:p w14:paraId="187E9133" w14:textId="77777777" w:rsidR="00BF3CC0" w:rsidRPr="00BF3CC0" w:rsidRDefault="00BF3CC0" w:rsidP="00BF3CC0">
      <w:pPr>
        <w:spacing w:after="0" w:line="360" w:lineRule="auto"/>
        <w:jc w:val="both"/>
        <w:rPr>
          <w:rFonts w:asciiTheme="majorBidi" w:hAnsiTheme="majorBidi" w:cstheme="majorBidi"/>
          <w:b/>
          <w:bCs/>
          <w:sz w:val="24"/>
          <w:szCs w:val="24"/>
          <w:u w:val="single"/>
          <w:rtl/>
        </w:rPr>
      </w:pPr>
      <w:r w:rsidRPr="00BF3CC0">
        <w:rPr>
          <w:rFonts w:asciiTheme="majorBidi" w:hAnsiTheme="majorBidi" w:cstheme="majorBidi"/>
          <w:b/>
          <w:bCs/>
          <w:sz w:val="24"/>
          <w:szCs w:val="24"/>
          <w:u w:val="single"/>
          <w:rtl/>
        </w:rPr>
        <w:t>איתור הזכויות הנפגעות:</w:t>
      </w:r>
    </w:p>
    <w:p w14:paraId="4A952201" w14:textId="5FEF60A3"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תמיר וישראל (להלן: העותרים) יטענו </w:t>
      </w:r>
      <w:r w:rsidR="005077C4">
        <w:rPr>
          <w:rFonts w:asciiTheme="majorBidi" w:hAnsiTheme="majorBidi" w:cstheme="majorBidi" w:hint="cs"/>
          <w:sz w:val="24"/>
          <w:szCs w:val="24"/>
          <w:rtl/>
        </w:rPr>
        <w:t>ש</w:t>
      </w:r>
      <w:r w:rsidRPr="00BF3CC0">
        <w:rPr>
          <w:rFonts w:asciiTheme="majorBidi" w:hAnsiTheme="majorBidi" w:cstheme="majorBidi"/>
          <w:sz w:val="24"/>
          <w:szCs w:val="24"/>
          <w:rtl/>
        </w:rPr>
        <w:t>החוק, התקנה וכן שימושו של שר הביטחון בסמכותו פוגעים במספר זכויות:</w:t>
      </w:r>
    </w:p>
    <w:p w14:paraId="56464DFD" w14:textId="63DE82CD"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u w:val="single"/>
          <w:rtl/>
        </w:rPr>
        <w:t>הזכות לחופש העיסוק</w:t>
      </w:r>
      <w:r w:rsidRPr="00BF3CC0">
        <w:rPr>
          <w:rFonts w:asciiTheme="majorBidi" w:hAnsiTheme="majorBidi" w:cstheme="majorBidi"/>
          <w:sz w:val="24"/>
          <w:szCs w:val="24"/>
          <w:rtl/>
        </w:rPr>
        <w:t xml:space="preserve"> המעוגנת בחוק יסוד: חופש העיסוק נפגעת במקרה זה מאחר והחוק מחייב את בעלי העסקים להתקין אביזרים שונים על חשבונם </w:t>
      </w:r>
      <w:r w:rsidR="00A15ED7">
        <w:rPr>
          <w:rFonts w:asciiTheme="majorBidi" w:hAnsiTheme="majorBidi" w:cstheme="majorBidi" w:hint="cs"/>
          <w:sz w:val="24"/>
          <w:szCs w:val="24"/>
          <w:rtl/>
        </w:rPr>
        <w:t>בשביל</w:t>
      </w:r>
      <w:r w:rsidRPr="00BF3CC0">
        <w:rPr>
          <w:rFonts w:asciiTheme="majorBidi" w:hAnsiTheme="majorBidi" w:cstheme="majorBidi"/>
          <w:sz w:val="24"/>
          <w:szCs w:val="24"/>
          <w:rtl/>
        </w:rPr>
        <w:t xml:space="preserve"> לקבל את הרישיון הנדרש להפעלת העסק ממשרד הבריאות וכן התקנה של שר הבריאות ופעולתו של שר הביטחון יפחיתו משמעותית את כמות הלקוחות שיפקדו את העסקים.</w:t>
      </w:r>
    </w:p>
    <w:p w14:paraId="622AC3A4" w14:textId="77777777"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u w:val="single"/>
          <w:rtl/>
        </w:rPr>
        <w:t>הזכות לפרטיות</w:t>
      </w:r>
      <w:r w:rsidRPr="00BF3CC0">
        <w:rPr>
          <w:rFonts w:asciiTheme="majorBidi" w:hAnsiTheme="majorBidi" w:cstheme="majorBidi"/>
          <w:sz w:val="24"/>
          <w:szCs w:val="24"/>
          <w:rtl/>
        </w:rPr>
        <w:t xml:space="preserve"> המעוגנת בחוק יסוד: כבוד האדם וחירותו, נפגעת כאן גם היא מכיוון שהתנאים אותם מעמידה התקנה כוללים צילום של הלקוחות וזיהויים במערכת ביומטרית.</w:t>
      </w:r>
    </w:p>
    <w:p w14:paraId="1DA05787" w14:textId="77777777"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u w:val="single"/>
          <w:rtl/>
        </w:rPr>
        <w:t>הזכות לחופש התנועה</w:t>
      </w:r>
      <w:r w:rsidRPr="00BF3CC0">
        <w:rPr>
          <w:rFonts w:asciiTheme="majorBidi" w:hAnsiTheme="majorBidi" w:cstheme="majorBidi"/>
          <w:sz w:val="24"/>
          <w:szCs w:val="24"/>
          <w:rtl/>
        </w:rPr>
        <w:t xml:space="preserve"> המעוגנת גם היא בחוק יסוד: כבוד האדם וחירותו נפגעת גם מכיוון שעל פי חוק היסוד: כבוד האדם וחירותו כל אדם רשאי לצאת מישראל וכל אזרח ישראלי הנמצא בחו"ל ראשי להיכנס אליה ואילו לפי קביעתו של שר הביטחון הכניסה והיציאה מישראל אסורות.</w:t>
      </w:r>
    </w:p>
    <w:p w14:paraId="2B4A8D91" w14:textId="17E80A98" w:rsidR="00BF3CC0" w:rsidRPr="00BF3CC0" w:rsidRDefault="00BF3CC0" w:rsidP="00BF3CC0">
      <w:pPr>
        <w:spacing w:after="0" w:line="360" w:lineRule="auto"/>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יכולה המדינה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נקיטת הצעדים אשר יזמה המדינה נועדו לשמור על אינטרס ציבורי שהוא </w:t>
      </w:r>
      <w:r w:rsidRPr="00BF3CC0">
        <w:rPr>
          <w:rFonts w:asciiTheme="majorBidi" w:hAnsiTheme="majorBidi" w:cstheme="majorBidi"/>
          <w:sz w:val="24"/>
          <w:szCs w:val="24"/>
          <w:u w:val="single"/>
          <w:rtl/>
        </w:rPr>
        <w:t>בריאות הציבור</w:t>
      </w:r>
      <w:r w:rsidRPr="00BF3CC0">
        <w:rPr>
          <w:rFonts w:asciiTheme="majorBidi" w:hAnsiTheme="majorBidi" w:cstheme="majorBidi"/>
          <w:sz w:val="24"/>
          <w:szCs w:val="24"/>
          <w:rtl/>
        </w:rPr>
        <w:t>, שכן מטרת צעדים שהמדינה נקטה הייתה למנוע גל הדבקה חדש של מגפת הקורונה שיכל לגרום לנזק גופני לאזרחים רבים.</w:t>
      </w:r>
    </w:p>
    <w:p w14:paraId="6625BE01" w14:textId="77777777" w:rsidR="00BF3CC0" w:rsidRPr="00BF3CC0" w:rsidRDefault="00BF3CC0" w:rsidP="00BF3CC0">
      <w:pPr>
        <w:spacing w:after="0" w:line="360" w:lineRule="auto"/>
        <w:jc w:val="both"/>
        <w:rPr>
          <w:rFonts w:asciiTheme="majorBidi" w:hAnsiTheme="majorBidi" w:cstheme="majorBidi"/>
          <w:b/>
          <w:bCs/>
          <w:sz w:val="24"/>
          <w:szCs w:val="24"/>
          <w:u w:val="single"/>
          <w:rtl/>
        </w:rPr>
      </w:pPr>
      <w:r w:rsidRPr="00BF3CC0">
        <w:rPr>
          <w:rFonts w:asciiTheme="majorBidi" w:hAnsiTheme="majorBidi" w:cstheme="majorBidi"/>
          <w:b/>
          <w:bCs/>
          <w:sz w:val="24"/>
          <w:szCs w:val="24"/>
          <w:u w:val="single"/>
          <w:rtl/>
        </w:rPr>
        <w:t>"איזון אופקי" ו"איזון אנכי"</w:t>
      </w:r>
    </w:p>
    <w:p w14:paraId="50F70D65" w14:textId="3BEB21CA"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במקרה של התנגשויות זכויות ואינטרסים, ישנן שתי דרכים לאזן את ההתנגשות:</w:t>
      </w:r>
    </w:p>
    <w:p w14:paraId="30C9BE26" w14:textId="77777777" w:rsidR="00BF3CC0" w:rsidRPr="00BF3CC0" w:rsidRDefault="00BF3CC0" w:rsidP="00BF3CC0">
      <w:pPr>
        <w:pStyle w:val="a3"/>
        <w:numPr>
          <w:ilvl w:val="0"/>
          <w:numId w:val="2"/>
        </w:numPr>
        <w:spacing w:after="0" w:line="360" w:lineRule="auto"/>
        <w:jc w:val="both"/>
        <w:rPr>
          <w:rFonts w:asciiTheme="majorBidi" w:hAnsiTheme="majorBidi" w:cstheme="majorBidi"/>
          <w:sz w:val="24"/>
          <w:szCs w:val="24"/>
        </w:rPr>
      </w:pPr>
      <w:r w:rsidRPr="00BF3CC0">
        <w:rPr>
          <w:rFonts w:asciiTheme="majorBidi" w:hAnsiTheme="majorBidi" w:cstheme="majorBidi"/>
          <w:sz w:val="24"/>
          <w:szCs w:val="24"/>
          <w:u w:val="single"/>
          <w:rtl/>
        </w:rPr>
        <w:t>"איזון אופקי"</w:t>
      </w:r>
    </w:p>
    <w:p w14:paraId="46908535" w14:textId="77777777"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כאשר הזכויות הן שוות מעמד וניתן לפשר ולקיים את שתיהן.</w:t>
      </w:r>
    </w:p>
    <w:p w14:paraId="31530E15" w14:textId="77777777" w:rsidR="00BF3CC0" w:rsidRPr="00BF3CC0" w:rsidRDefault="00BF3CC0" w:rsidP="00BF3CC0">
      <w:pPr>
        <w:pStyle w:val="a3"/>
        <w:numPr>
          <w:ilvl w:val="0"/>
          <w:numId w:val="2"/>
        </w:numPr>
        <w:spacing w:after="0" w:line="360" w:lineRule="auto"/>
        <w:jc w:val="both"/>
        <w:rPr>
          <w:rFonts w:asciiTheme="majorBidi" w:hAnsiTheme="majorBidi" w:cstheme="majorBidi"/>
          <w:sz w:val="24"/>
          <w:szCs w:val="24"/>
        </w:rPr>
      </w:pPr>
      <w:r w:rsidRPr="00BF3CC0">
        <w:rPr>
          <w:rFonts w:asciiTheme="majorBidi" w:hAnsiTheme="majorBidi" w:cstheme="majorBidi"/>
          <w:sz w:val="24"/>
          <w:szCs w:val="24"/>
          <w:u w:val="single"/>
          <w:rtl/>
        </w:rPr>
        <w:t>"איזון אנכי"</w:t>
      </w:r>
    </w:p>
    <w:p w14:paraId="5A500E93" w14:textId="467C218B"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כאשר יש הבדלי חשיבות בין הצדדים, נכריע לטובת הזכות המרכזית מבינן.</w:t>
      </w:r>
    </w:p>
    <w:p w14:paraId="4C4BFA2A" w14:textId="77777777" w:rsidR="00BF3CC0" w:rsidRPr="00BF3CC0" w:rsidRDefault="00BF3CC0" w:rsidP="00BF3CC0">
      <w:pPr>
        <w:pStyle w:val="a3"/>
        <w:spacing w:after="0" w:line="360" w:lineRule="auto"/>
        <w:jc w:val="both"/>
        <w:rPr>
          <w:rFonts w:asciiTheme="majorBidi" w:hAnsiTheme="majorBidi" w:cstheme="majorBidi"/>
          <w:sz w:val="24"/>
          <w:szCs w:val="24"/>
          <w:rtl/>
        </w:rPr>
      </w:pPr>
    </w:p>
    <w:p w14:paraId="19C8F227" w14:textId="7848D2AD"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במקרה זה כשאין לנו איזון </w:t>
      </w:r>
      <w:r w:rsidR="00183B06">
        <w:rPr>
          <w:rFonts w:asciiTheme="majorBidi" w:hAnsiTheme="majorBidi" w:cstheme="majorBidi" w:hint="cs"/>
          <w:sz w:val="24"/>
          <w:szCs w:val="24"/>
          <w:rtl/>
        </w:rPr>
        <w:t>אופקי</w:t>
      </w:r>
      <w:r w:rsidRPr="00BF3CC0">
        <w:rPr>
          <w:rFonts w:asciiTheme="majorBidi" w:hAnsiTheme="majorBidi" w:cstheme="majorBidi"/>
          <w:sz w:val="24"/>
          <w:szCs w:val="24"/>
          <w:rtl/>
        </w:rPr>
        <w:t xml:space="preserve"> יאלץ ביהמ"ש לבצע איזון </w:t>
      </w:r>
      <w:r w:rsidR="00183B06">
        <w:rPr>
          <w:rFonts w:asciiTheme="majorBidi" w:hAnsiTheme="majorBidi" w:cstheme="majorBidi" w:hint="cs"/>
          <w:sz w:val="24"/>
          <w:szCs w:val="24"/>
          <w:rtl/>
        </w:rPr>
        <w:t>אנכי</w:t>
      </w:r>
      <w:r w:rsidRPr="00BF3CC0">
        <w:rPr>
          <w:rFonts w:asciiTheme="majorBidi" w:hAnsiTheme="majorBidi" w:cstheme="majorBidi"/>
          <w:sz w:val="24"/>
          <w:szCs w:val="24"/>
          <w:rtl/>
        </w:rPr>
        <w:t>.</w:t>
      </w:r>
    </w:p>
    <w:p w14:paraId="4CFE944A" w14:textId="6DB73EA0"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העותרים יטענו שלזכויות שנפגעו מעמד על חוקתי והפגיעה בהן קריטית יותר מן הפגיעה באינטרס הציבור לבריאות, שכן הזכות לבריאות הינה זכות לא מנויה ובמקרה זה מהווה פגיעה בזכויות אחרות.</w:t>
      </w:r>
    </w:p>
    <w:p w14:paraId="5D8BB7B8" w14:textId="7298F034" w:rsidR="00BF3CC0" w:rsidRPr="00BF3CC0" w:rsidRDefault="00BF3CC0" w:rsidP="00BF3CC0">
      <w:pPr>
        <w:pStyle w:val="a3"/>
        <w:spacing w:after="0" w:line="360" w:lineRule="auto"/>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יכולה המדינה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זכויות האדם אינן מוחלטות ואינטרס ציבור (במקרה זה בריאות הציבור) יכול במקרים מסוימים לגבור עליהן.</w:t>
      </w:r>
    </w:p>
    <w:p w14:paraId="5413E9B4" w14:textId="77777777" w:rsidR="00BF3CC0" w:rsidRPr="00BF3CC0" w:rsidRDefault="00BF3CC0" w:rsidP="00BF3CC0">
      <w:pPr>
        <w:spacing w:after="0" w:line="360" w:lineRule="auto"/>
        <w:jc w:val="both"/>
        <w:rPr>
          <w:rFonts w:asciiTheme="majorBidi" w:hAnsiTheme="majorBidi" w:cstheme="majorBidi"/>
          <w:sz w:val="24"/>
          <w:szCs w:val="24"/>
          <w:rtl/>
        </w:rPr>
      </w:pPr>
    </w:p>
    <w:p w14:paraId="1AF992C2" w14:textId="1E68ED1A" w:rsidR="00BF3CC0" w:rsidRPr="00BF3CC0" w:rsidRDefault="00BF3CC0" w:rsidP="00BF3CC0">
      <w:pPr>
        <w:spacing w:after="0" w:line="360" w:lineRule="auto"/>
        <w:jc w:val="both"/>
        <w:rPr>
          <w:rFonts w:asciiTheme="majorBidi" w:hAnsiTheme="majorBidi" w:cstheme="majorBidi"/>
          <w:b/>
          <w:bCs/>
          <w:sz w:val="24"/>
          <w:szCs w:val="24"/>
          <w:u w:val="single"/>
          <w:rtl/>
        </w:rPr>
      </w:pPr>
      <w:r w:rsidRPr="00BF3CC0">
        <w:rPr>
          <w:rFonts w:asciiTheme="majorBidi" w:hAnsiTheme="majorBidi" w:cstheme="majorBidi"/>
          <w:b/>
          <w:bCs/>
          <w:sz w:val="24"/>
          <w:szCs w:val="24"/>
          <w:u w:val="single"/>
          <w:rtl/>
        </w:rPr>
        <w:t>בחינ</w:t>
      </w:r>
      <w:r w:rsidR="00E51381">
        <w:rPr>
          <w:rFonts w:asciiTheme="majorBidi" w:hAnsiTheme="majorBidi" w:cstheme="majorBidi" w:hint="cs"/>
          <w:b/>
          <w:bCs/>
          <w:sz w:val="24"/>
          <w:szCs w:val="24"/>
          <w:u w:val="single"/>
          <w:rtl/>
        </w:rPr>
        <w:t>ות פסקת ההגבלה</w:t>
      </w:r>
    </w:p>
    <w:p w14:paraId="737FD352" w14:textId="55FA16E8" w:rsidR="00BF3CC0" w:rsidRPr="00BF3CC0" w:rsidRDefault="00BF3CC0" w:rsidP="00BF3CC0">
      <w:pPr>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כשנחקקת חקיקה במדרג נורמטיבי נמוך מחוקי היסוד יש לבחון האם הפגיעה של אותה חקיקה עומדת בתנאי פסקת ההגבלה של חוק היסוד. פסקות ההגבלה של חוק יסוד כבוד האדם וחירותו ופסקת ההגבלה של חוק יסוד חופש העיסוק זהות ומכילות בתוכם ארבעה תנאים מצטברים (תנופה, </w:t>
      </w:r>
      <w:proofErr w:type="spellStart"/>
      <w:r w:rsidRPr="00BF3CC0">
        <w:rPr>
          <w:rFonts w:asciiTheme="majorBidi" w:hAnsiTheme="majorBidi" w:cstheme="majorBidi"/>
          <w:sz w:val="24"/>
          <w:szCs w:val="24"/>
          <w:rtl/>
        </w:rPr>
        <w:t>דורנר</w:t>
      </w:r>
      <w:proofErr w:type="spellEnd"/>
      <w:r w:rsidRPr="00BF3CC0">
        <w:rPr>
          <w:rFonts w:asciiTheme="majorBidi" w:hAnsiTheme="majorBidi" w:cstheme="majorBidi"/>
          <w:sz w:val="24"/>
          <w:szCs w:val="24"/>
          <w:rtl/>
        </w:rPr>
        <w:t xml:space="preserve"> 1):</w:t>
      </w:r>
    </w:p>
    <w:p w14:paraId="09DAEF7F" w14:textId="77777777" w:rsidR="00BF3CC0" w:rsidRPr="00BF3CC0" w:rsidRDefault="00BF3CC0" w:rsidP="00BF3CC0">
      <w:pPr>
        <w:pStyle w:val="a3"/>
        <w:numPr>
          <w:ilvl w:val="0"/>
          <w:numId w:val="1"/>
        </w:numPr>
        <w:spacing w:after="0" w:line="360" w:lineRule="auto"/>
        <w:jc w:val="both"/>
        <w:rPr>
          <w:rFonts w:asciiTheme="majorBidi" w:hAnsiTheme="majorBidi" w:cstheme="majorBidi"/>
          <w:sz w:val="24"/>
          <w:szCs w:val="24"/>
          <w:u w:val="single"/>
        </w:rPr>
      </w:pPr>
      <w:r w:rsidRPr="00BF3CC0">
        <w:rPr>
          <w:rFonts w:asciiTheme="majorBidi" w:hAnsiTheme="majorBidi" w:cstheme="majorBidi"/>
          <w:sz w:val="24"/>
          <w:szCs w:val="24"/>
          <w:u w:val="single"/>
          <w:rtl/>
        </w:rPr>
        <w:t>מבחן ההסמכה - הפגיעה צריכה להיות מעוגנת בחוק</w:t>
      </w:r>
    </w:p>
    <w:p w14:paraId="2F22949C" w14:textId="764DA808"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העותרים יכולים לטעון כי אין למדינה את הסמכות לפגוע בזכויות הנ"ל ע"פ הגישה שניתן לפגוע בזכויות אלו בחקיקת משנה רק בקיום של שני תנאים מצטברים: 1. קיום הסמכה להתקין תקנות מסוג זה. 2. קיום הסכמה מפורשת לפגיעה בזכויות היסוד של אותה תקנה – הסמכה בלשון ברורה בה ניתן היתר לפגוע בזכויות (גזל, 407). בהקשר תנאים אלו ניתן לראות כי: 1. אע"פ שלשר הבריאות יש היתר להתקין תקנות בנושא, לא נכתב באופן מפורש מהו הגבול בו </w:t>
      </w:r>
      <w:r w:rsidR="00F91FB0">
        <w:rPr>
          <w:rFonts w:asciiTheme="majorBidi" w:hAnsiTheme="majorBidi" w:cstheme="majorBidi" w:hint="cs"/>
          <w:sz w:val="24"/>
          <w:szCs w:val="24"/>
          <w:rtl/>
        </w:rPr>
        <w:t>הוא יכול</w:t>
      </w:r>
      <w:r w:rsidRPr="00BF3CC0">
        <w:rPr>
          <w:rFonts w:asciiTheme="majorBidi" w:hAnsiTheme="majorBidi" w:cstheme="majorBidi"/>
          <w:sz w:val="24"/>
          <w:szCs w:val="24"/>
          <w:rtl/>
        </w:rPr>
        <w:t xml:space="preserve"> לפגוע בזכויות. 2. לשר הביטחון אין קיום הסמכה להתקין תקנות מסוג זה מתוקף החוק למרות שיש לו הסכמה לפגוע בזכות לחופש התנועה, אך גם פה למרות שחוק הגבלת תנועת אזרחים נהנה משמירת דינים (שכן הוא נחקק לפני 1992) ומוגן מפני ביקורת על חוקיותו יש לפרשו ברוח הוראת חוק היסוד ויש אפשרות לבחון אותו במבחני המידתיות (חורב, ברק 54).</w:t>
      </w:r>
    </w:p>
    <w:p w14:paraId="5CABE45C" w14:textId="34CF27EE" w:rsidR="00BF3CC0" w:rsidRPr="00BF3CC0" w:rsidRDefault="00BF3CC0" w:rsidP="00BF3CC0">
      <w:pPr>
        <w:pStyle w:val="a3"/>
        <w:spacing w:after="0" w:line="360" w:lineRule="auto"/>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תוכל המדינה להשיב </w:t>
      </w:r>
      <w:r w:rsidR="005077C4">
        <w:rPr>
          <w:rFonts w:asciiTheme="majorBidi" w:hAnsiTheme="majorBidi" w:cstheme="majorBidi" w:hint="cs"/>
          <w:sz w:val="24"/>
          <w:szCs w:val="24"/>
          <w:rtl/>
        </w:rPr>
        <w:t>שלפי</w:t>
      </w:r>
      <w:r w:rsidRPr="00BF3CC0">
        <w:rPr>
          <w:rFonts w:asciiTheme="majorBidi" w:hAnsiTheme="majorBidi" w:cstheme="majorBidi"/>
          <w:sz w:val="24"/>
          <w:szCs w:val="24"/>
          <w:rtl/>
        </w:rPr>
        <w:t xml:space="preserve"> גישת </w:t>
      </w:r>
      <w:r w:rsidRPr="00BF3CC0">
        <w:rPr>
          <w:rFonts w:asciiTheme="majorBidi" w:hAnsiTheme="majorBidi" w:cstheme="majorBidi"/>
          <w:sz w:val="24"/>
          <w:szCs w:val="24"/>
          <w:u w:val="single"/>
          <w:rtl/>
        </w:rPr>
        <w:t>תכלית החוק</w:t>
      </w:r>
      <w:r w:rsidRPr="00BF3CC0">
        <w:rPr>
          <w:rFonts w:asciiTheme="majorBidi" w:hAnsiTheme="majorBidi" w:cstheme="majorBidi"/>
          <w:sz w:val="24"/>
          <w:szCs w:val="24"/>
          <w:rtl/>
        </w:rPr>
        <w:t xml:space="preserve"> לא נדרשת הסמכה מפורשת בלשון החוק, אלא נדרש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הפגיעה תהיה כחלק מעצם הגשמת מטרה, ומאחר שמטרת הפגיעה באותן זכויות היא שמירה על בריאותם של האזרחים מוקנית למדינה הסמכות לפגוע באותן </w:t>
      </w:r>
      <w:commentRangeStart w:id="0"/>
      <w:r w:rsidRPr="00BF3CC0">
        <w:rPr>
          <w:rFonts w:asciiTheme="majorBidi" w:hAnsiTheme="majorBidi" w:cstheme="majorBidi"/>
          <w:sz w:val="24"/>
          <w:szCs w:val="24"/>
          <w:rtl/>
        </w:rPr>
        <w:t xml:space="preserve">זכויות </w:t>
      </w:r>
      <w:commentRangeEnd w:id="0"/>
      <w:r w:rsidR="008600A0">
        <w:rPr>
          <w:rStyle w:val="a4"/>
          <w:rtl/>
        </w:rPr>
        <w:commentReference w:id="0"/>
      </w:r>
      <w:r w:rsidRPr="00BF3CC0">
        <w:rPr>
          <w:rFonts w:asciiTheme="majorBidi" w:hAnsiTheme="majorBidi" w:cstheme="majorBidi"/>
          <w:sz w:val="24"/>
          <w:szCs w:val="24"/>
          <w:rtl/>
        </w:rPr>
        <w:t>(גזל, 408).</w:t>
      </w:r>
    </w:p>
    <w:p w14:paraId="49648665" w14:textId="77777777" w:rsidR="00BF3CC0" w:rsidRPr="00BF3CC0" w:rsidRDefault="00BF3CC0" w:rsidP="00BF3CC0">
      <w:pPr>
        <w:pStyle w:val="a3"/>
        <w:numPr>
          <w:ilvl w:val="0"/>
          <w:numId w:val="1"/>
        </w:numPr>
        <w:spacing w:after="0" w:line="360" w:lineRule="auto"/>
        <w:jc w:val="both"/>
        <w:rPr>
          <w:rFonts w:asciiTheme="majorBidi" w:hAnsiTheme="majorBidi" w:cstheme="majorBidi"/>
          <w:sz w:val="24"/>
          <w:szCs w:val="24"/>
        </w:rPr>
      </w:pPr>
      <w:r w:rsidRPr="00BF3CC0">
        <w:rPr>
          <w:rFonts w:asciiTheme="majorBidi" w:hAnsiTheme="majorBidi" w:cstheme="majorBidi"/>
          <w:sz w:val="24"/>
          <w:szCs w:val="24"/>
          <w:u w:val="single"/>
          <w:rtl/>
        </w:rPr>
        <w:t>החוק צריך להלום את ערכיה של מדינת ישראל</w:t>
      </w:r>
    </w:p>
    <w:p w14:paraId="3084BCE4" w14:textId="1C342E60"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המדינה יכולה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ערכי המדינה כמדינה יהודית הינם שמירה על הגוף והנפש, והתקנות וההגבלות באו במטרה להגן על האזרחים מגל הדבקות נוסף, וכן גם מן ההיבט הדמוקרטי הזכות לבריאות מעוגנת כערך (</w:t>
      </w:r>
      <w:proofErr w:type="spellStart"/>
      <w:r w:rsidRPr="00BF3CC0">
        <w:rPr>
          <w:rFonts w:asciiTheme="majorBidi" w:hAnsiTheme="majorBidi" w:cstheme="majorBidi"/>
          <w:sz w:val="24"/>
          <w:szCs w:val="24"/>
          <w:rtl/>
        </w:rPr>
        <w:t>דיזיין</w:t>
      </w:r>
      <w:proofErr w:type="spellEnd"/>
      <w:r w:rsidRPr="00BF3CC0">
        <w:rPr>
          <w:rFonts w:asciiTheme="majorBidi" w:hAnsiTheme="majorBidi" w:cstheme="majorBidi"/>
          <w:sz w:val="24"/>
          <w:szCs w:val="24"/>
          <w:rtl/>
        </w:rPr>
        <w:t>, ברק 15).</w:t>
      </w:r>
    </w:p>
    <w:p w14:paraId="6F4F3564" w14:textId="0533FD5D" w:rsidR="00BF3CC0" w:rsidRPr="00BF3CC0" w:rsidRDefault="00BF3CC0" w:rsidP="00BF3CC0">
      <w:pPr>
        <w:pStyle w:val="a3"/>
        <w:numPr>
          <w:ilvl w:val="0"/>
          <w:numId w:val="1"/>
        </w:numPr>
        <w:spacing w:after="0" w:line="360" w:lineRule="auto"/>
        <w:jc w:val="both"/>
        <w:rPr>
          <w:rFonts w:asciiTheme="majorBidi" w:hAnsiTheme="majorBidi" w:cstheme="majorBidi"/>
          <w:sz w:val="24"/>
          <w:szCs w:val="24"/>
        </w:rPr>
      </w:pPr>
      <w:r w:rsidRPr="00BF3CC0">
        <w:rPr>
          <w:rFonts w:asciiTheme="majorBidi" w:hAnsiTheme="majorBidi" w:cstheme="majorBidi"/>
          <w:sz w:val="24"/>
          <w:szCs w:val="24"/>
          <w:u w:val="single"/>
          <w:rtl/>
        </w:rPr>
        <w:t>תכלית החוק הפוגע צריכה להיות ראויה</w:t>
      </w:r>
    </w:p>
    <w:p w14:paraId="4CC030DE" w14:textId="18E3C8E8"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המדינה יכולה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מטרת הצעדים </w:t>
      </w:r>
      <w:r w:rsidR="00F54CE8">
        <w:rPr>
          <w:rFonts w:asciiTheme="majorBidi" w:hAnsiTheme="majorBidi" w:cstheme="majorBidi" w:hint="cs"/>
          <w:sz w:val="24"/>
          <w:szCs w:val="24"/>
          <w:rtl/>
        </w:rPr>
        <w:t>שננקטו</w:t>
      </w:r>
      <w:r w:rsidRPr="00BF3CC0">
        <w:rPr>
          <w:rFonts w:asciiTheme="majorBidi" w:hAnsiTheme="majorBidi" w:cstheme="majorBidi"/>
          <w:sz w:val="24"/>
          <w:szCs w:val="24"/>
          <w:rtl/>
        </w:rPr>
        <w:t xml:space="preserve"> היא הגנה על בריאות הציבור ולכן התכלית היא הבאת תועלת לציבור, ומאחר ואינטרס ציבורי גובר על כל זכות במקרים בהם קיימת וודאות חזקה שיגרם נזק ממשי במידה והמדינה לא תגביל זכויות אלה ועוצמת הפגיעות תהיה גבוהה, יש לראות </w:t>
      </w:r>
      <w:r w:rsidR="002C3B36">
        <w:rPr>
          <w:rFonts w:asciiTheme="majorBidi" w:hAnsiTheme="majorBidi" w:cstheme="majorBidi" w:hint="cs"/>
          <w:sz w:val="24"/>
          <w:szCs w:val="24"/>
          <w:rtl/>
        </w:rPr>
        <w:t>ש</w:t>
      </w:r>
      <w:r w:rsidRPr="00BF3CC0">
        <w:rPr>
          <w:rFonts w:asciiTheme="majorBidi" w:hAnsiTheme="majorBidi" w:cstheme="majorBidi"/>
          <w:sz w:val="24"/>
          <w:szCs w:val="24"/>
          <w:rtl/>
        </w:rPr>
        <w:t>התכלית ראויה (שטיין, ברק 18).</w:t>
      </w:r>
    </w:p>
    <w:p w14:paraId="041F9217" w14:textId="15FBC0A5" w:rsidR="00BF3CC0" w:rsidRPr="00BF3CC0" w:rsidRDefault="00BF3CC0" w:rsidP="00BF3CC0">
      <w:pPr>
        <w:pStyle w:val="a3"/>
        <w:spacing w:after="0" w:line="360" w:lineRule="auto"/>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יכולים לטעון העותרים </w:t>
      </w:r>
      <w:r w:rsidR="007109B8">
        <w:rPr>
          <w:rFonts w:asciiTheme="majorBidi" w:hAnsiTheme="majorBidi" w:cstheme="majorBidi" w:hint="cs"/>
          <w:sz w:val="24"/>
          <w:szCs w:val="24"/>
          <w:rtl/>
        </w:rPr>
        <w:t>ש</w:t>
      </w:r>
      <w:r w:rsidRPr="00BF3CC0">
        <w:rPr>
          <w:rFonts w:asciiTheme="majorBidi" w:hAnsiTheme="majorBidi" w:cstheme="majorBidi"/>
          <w:sz w:val="24"/>
          <w:szCs w:val="24"/>
          <w:rtl/>
        </w:rPr>
        <w:t>השימוש בהם כאמצעי להגשמת התכלית הבריאותית פוגע בכבודם ובזכויותיהם יתר על המידה ולכן התכלית איננה ראויה (</w:t>
      </w:r>
      <w:proofErr w:type="spellStart"/>
      <w:r w:rsidRPr="00BF3CC0">
        <w:rPr>
          <w:rFonts w:asciiTheme="majorBidi" w:hAnsiTheme="majorBidi" w:cstheme="majorBidi"/>
          <w:sz w:val="24"/>
          <w:szCs w:val="24"/>
          <w:rtl/>
        </w:rPr>
        <w:t>סטטמן</w:t>
      </w:r>
      <w:proofErr w:type="spellEnd"/>
      <w:r w:rsidRPr="00BF3CC0">
        <w:rPr>
          <w:rFonts w:asciiTheme="majorBidi" w:hAnsiTheme="majorBidi" w:cstheme="majorBidi"/>
          <w:sz w:val="24"/>
          <w:szCs w:val="24"/>
          <w:rtl/>
        </w:rPr>
        <w:t>, 545).</w:t>
      </w:r>
    </w:p>
    <w:p w14:paraId="4A341CE0" w14:textId="77777777" w:rsidR="00BF3CC0" w:rsidRPr="00BF3CC0" w:rsidRDefault="00BF3CC0" w:rsidP="00BF3CC0">
      <w:pPr>
        <w:pStyle w:val="a3"/>
        <w:numPr>
          <w:ilvl w:val="0"/>
          <w:numId w:val="1"/>
        </w:numPr>
        <w:spacing w:after="0" w:line="360" w:lineRule="auto"/>
        <w:jc w:val="both"/>
        <w:rPr>
          <w:rFonts w:asciiTheme="majorBidi" w:hAnsiTheme="majorBidi" w:cstheme="majorBidi"/>
          <w:sz w:val="24"/>
          <w:szCs w:val="24"/>
        </w:rPr>
      </w:pPr>
      <w:r w:rsidRPr="00BF3CC0">
        <w:rPr>
          <w:rFonts w:asciiTheme="majorBidi" w:hAnsiTheme="majorBidi" w:cstheme="majorBidi"/>
          <w:sz w:val="24"/>
          <w:szCs w:val="24"/>
          <w:u w:val="single"/>
          <w:rtl/>
        </w:rPr>
        <w:t>במידה שאינה עולה על הנדרש</w:t>
      </w:r>
    </w:p>
    <w:p w14:paraId="4C4490C5" w14:textId="759F3050" w:rsidR="00BF3CC0" w:rsidRPr="00BF3CC0" w:rsidRDefault="00BF3CC0" w:rsidP="00BF3CC0">
      <w:pPr>
        <w:pStyle w:val="a3"/>
        <w:spacing w:after="0" w:line="360" w:lineRule="auto"/>
        <w:jc w:val="both"/>
        <w:rPr>
          <w:rFonts w:asciiTheme="majorBidi" w:hAnsiTheme="majorBidi" w:cstheme="majorBidi"/>
          <w:sz w:val="24"/>
          <w:szCs w:val="24"/>
          <w:rtl/>
        </w:rPr>
      </w:pPr>
      <w:r w:rsidRPr="00BF3CC0">
        <w:rPr>
          <w:rFonts w:asciiTheme="majorBidi" w:hAnsiTheme="majorBidi" w:cstheme="majorBidi"/>
          <w:sz w:val="24"/>
          <w:szCs w:val="24"/>
          <w:rtl/>
        </w:rPr>
        <w:t xml:space="preserve">כדי לקבוע האם הפגיעה מידתית יש צורך לבחון את שלושת מבחני המידתיות באופן מצטבר (תנופה, </w:t>
      </w:r>
      <w:proofErr w:type="spellStart"/>
      <w:r w:rsidRPr="00BF3CC0">
        <w:rPr>
          <w:rFonts w:asciiTheme="majorBidi" w:hAnsiTheme="majorBidi" w:cstheme="majorBidi"/>
          <w:sz w:val="24"/>
          <w:szCs w:val="24"/>
          <w:rtl/>
        </w:rPr>
        <w:t>דורנר</w:t>
      </w:r>
      <w:proofErr w:type="spellEnd"/>
      <w:r w:rsidRPr="00BF3CC0">
        <w:rPr>
          <w:rFonts w:asciiTheme="majorBidi" w:hAnsiTheme="majorBidi" w:cstheme="majorBidi"/>
          <w:sz w:val="24"/>
          <w:szCs w:val="24"/>
          <w:rtl/>
        </w:rPr>
        <w:t xml:space="preserve"> 3):</w:t>
      </w:r>
    </w:p>
    <w:p w14:paraId="7D72B5C5" w14:textId="77777777" w:rsidR="00BF3CC0" w:rsidRPr="00BF3CC0" w:rsidRDefault="00BF3CC0" w:rsidP="00BF3CC0">
      <w:pPr>
        <w:pStyle w:val="a3"/>
        <w:numPr>
          <w:ilvl w:val="0"/>
          <w:numId w:val="3"/>
        </w:numPr>
        <w:spacing w:after="0" w:line="360" w:lineRule="auto"/>
        <w:jc w:val="both"/>
        <w:rPr>
          <w:rFonts w:asciiTheme="majorBidi" w:hAnsiTheme="majorBidi" w:cstheme="majorBidi"/>
          <w:sz w:val="24"/>
          <w:szCs w:val="24"/>
          <w:u w:val="single"/>
        </w:rPr>
      </w:pPr>
      <w:r w:rsidRPr="00BF3CC0">
        <w:rPr>
          <w:rFonts w:asciiTheme="majorBidi" w:hAnsiTheme="majorBidi" w:cstheme="majorBidi"/>
          <w:sz w:val="24"/>
          <w:szCs w:val="24"/>
          <w:u w:val="single"/>
          <w:rtl/>
        </w:rPr>
        <w:lastRenderedPageBreak/>
        <w:t>התאמת האמצעי הפוגע לתכלית</w:t>
      </w:r>
    </w:p>
    <w:p w14:paraId="34B44F76" w14:textId="36142404" w:rsidR="00BF3CC0" w:rsidRPr="00BF3CC0" w:rsidRDefault="001261AD" w:rsidP="00BF3CC0">
      <w:pPr>
        <w:pStyle w:val="a3"/>
        <w:spacing w:after="0" w:line="360" w:lineRule="auto"/>
        <w:ind w:left="1080"/>
        <w:jc w:val="both"/>
        <w:rPr>
          <w:rFonts w:asciiTheme="majorBidi" w:hAnsiTheme="majorBidi" w:cstheme="majorBidi"/>
          <w:sz w:val="24"/>
          <w:szCs w:val="24"/>
          <w:rtl/>
        </w:rPr>
      </w:pPr>
      <w:r>
        <w:rPr>
          <w:rFonts w:asciiTheme="majorBidi" w:hAnsiTheme="majorBidi" w:cstheme="majorBidi" w:hint="cs"/>
          <w:sz w:val="24"/>
          <w:szCs w:val="24"/>
          <w:rtl/>
        </w:rPr>
        <w:t>ה</w:t>
      </w:r>
      <w:r w:rsidR="00BF3CC0" w:rsidRPr="00BF3CC0">
        <w:rPr>
          <w:rFonts w:asciiTheme="majorBidi" w:hAnsiTheme="majorBidi" w:cstheme="majorBidi"/>
          <w:sz w:val="24"/>
          <w:szCs w:val="24"/>
          <w:rtl/>
        </w:rPr>
        <w:t>צעדים שנ</w:t>
      </w:r>
      <w:r w:rsidR="007109B8">
        <w:rPr>
          <w:rFonts w:asciiTheme="majorBidi" w:hAnsiTheme="majorBidi" w:cstheme="majorBidi" w:hint="cs"/>
          <w:sz w:val="24"/>
          <w:szCs w:val="24"/>
          <w:rtl/>
        </w:rPr>
        <w:t>נ</w:t>
      </w:r>
      <w:r w:rsidR="00BF3CC0" w:rsidRPr="00BF3CC0">
        <w:rPr>
          <w:rFonts w:asciiTheme="majorBidi" w:hAnsiTheme="majorBidi" w:cstheme="majorBidi"/>
          <w:sz w:val="24"/>
          <w:szCs w:val="24"/>
          <w:rtl/>
        </w:rPr>
        <w:t>קט</w:t>
      </w:r>
      <w:r w:rsidR="007109B8">
        <w:rPr>
          <w:rFonts w:asciiTheme="majorBidi" w:hAnsiTheme="majorBidi" w:cstheme="majorBidi" w:hint="cs"/>
          <w:sz w:val="24"/>
          <w:szCs w:val="24"/>
          <w:rtl/>
        </w:rPr>
        <w:t>ו</w:t>
      </w:r>
      <w:r w:rsidR="00BF3CC0" w:rsidRPr="00BF3CC0">
        <w:rPr>
          <w:rFonts w:asciiTheme="majorBidi" w:hAnsiTheme="majorBidi" w:cstheme="majorBidi"/>
          <w:sz w:val="24"/>
          <w:szCs w:val="24"/>
          <w:rtl/>
        </w:rPr>
        <w:t xml:space="preserve"> </w:t>
      </w:r>
      <w:r>
        <w:rPr>
          <w:rFonts w:asciiTheme="majorBidi" w:hAnsiTheme="majorBidi" w:cstheme="majorBidi" w:hint="cs"/>
          <w:sz w:val="24"/>
          <w:szCs w:val="24"/>
          <w:rtl/>
        </w:rPr>
        <w:t>באו</w:t>
      </w:r>
      <w:r w:rsidR="00BF3CC0" w:rsidRPr="00BF3CC0">
        <w:rPr>
          <w:rFonts w:asciiTheme="majorBidi" w:hAnsiTheme="majorBidi" w:cstheme="majorBidi"/>
          <w:sz w:val="24"/>
          <w:szCs w:val="24"/>
          <w:rtl/>
        </w:rPr>
        <w:t xml:space="preserve"> </w:t>
      </w:r>
      <w:r>
        <w:rPr>
          <w:rFonts w:asciiTheme="majorBidi" w:hAnsiTheme="majorBidi" w:cstheme="majorBidi" w:hint="cs"/>
          <w:sz w:val="24"/>
          <w:szCs w:val="24"/>
          <w:rtl/>
        </w:rPr>
        <w:t>במטרה</w:t>
      </w:r>
      <w:r w:rsidR="00BF3CC0" w:rsidRPr="00BF3CC0">
        <w:rPr>
          <w:rFonts w:asciiTheme="majorBidi" w:hAnsiTheme="majorBidi" w:cstheme="majorBidi"/>
          <w:sz w:val="24"/>
          <w:szCs w:val="24"/>
          <w:rtl/>
        </w:rPr>
        <w:t xml:space="preserve"> לשמור על בריאות האזרחים, לכן יכולים לטעון העותרים </w:t>
      </w:r>
      <w:r w:rsidR="005077C4">
        <w:rPr>
          <w:rFonts w:asciiTheme="majorBidi" w:hAnsiTheme="majorBidi" w:cstheme="majorBidi" w:hint="cs"/>
          <w:sz w:val="24"/>
          <w:szCs w:val="24"/>
          <w:rtl/>
        </w:rPr>
        <w:t>ש</w:t>
      </w:r>
      <w:r w:rsidR="00BF3CC0" w:rsidRPr="00BF3CC0">
        <w:rPr>
          <w:rFonts w:asciiTheme="majorBidi" w:hAnsiTheme="majorBidi" w:cstheme="majorBidi"/>
          <w:sz w:val="24"/>
          <w:szCs w:val="24"/>
          <w:rtl/>
        </w:rPr>
        <w:t>הלקוחות הם מקור הבעיה, ולכן יש להטיל הגבלות על הלקוחות ולא על העסקים. בנוסף החיוב בקבלת רישיון נוסף וכן החיוב בהתקנת מצלמות ואמצעי זיהוי ביומטריים אינם מגנים על בריאות הציבור והקשר בין הגבלות אלה לבין בריאות הציבור הוא קלוש עד לא קיים.</w:t>
      </w:r>
    </w:p>
    <w:p w14:paraId="04593651" w14:textId="70A03140" w:rsidR="00BF3CC0" w:rsidRPr="00BF3CC0" w:rsidRDefault="00BF3CC0" w:rsidP="00BF3CC0">
      <w:pPr>
        <w:pStyle w:val="a3"/>
        <w:spacing w:after="0" w:line="360" w:lineRule="auto"/>
        <w:ind w:left="1080"/>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יכולה המדינה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אותן הגבלות מתאימות לתכלית מכיוון שעצם החזקת הרישיון הנוסף נועד לוודא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אותו </w:t>
      </w:r>
      <w:r w:rsidR="005077C4">
        <w:rPr>
          <w:rFonts w:asciiTheme="majorBidi" w:hAnsiTheme="majorBidi" w:cstheme="majorBidi" w:hint="cs"/>
          <w:sz w:val="24"/>
          <w:szCs w:val="24"/>
          <w:rtl/>
        </w:rPr>
        <w:t>ה</w:t>
      </w:r>
      <w:r w:rsidRPr="00BF3CC0">
        <w:rPr>
          <w:rFonts w:asciiTheme="majorBidi" w:hAnsiTheme="majorBidi" w:cstheme="majorBidi"/>
          <w:sz w:val="24"/>
          <w:szCs w:val="24"/>
          <w:rtl/>
        </w:rPr>
        <w:t>עסק נאמן להנחיות משרד הבריאות והחיוב באמצעי זיהוי ביומטריים והתקנת מצלמות יוכל למנוע הדבקה בכך שאם אדם נמצא כחולה קורונה יוכלו לדעת היכן היה ומי היה בקרבתו.</w:t>
      </w:r>
    </w:p>
    <w:p w14:paraId="6D8569BC" w14:textId="77777777" w:rsidR="00BF3CC0" w:rsidRPr="00BF3CC0" w:rsidRDefault="00BF3CC0" w:rsidP="00BF3CC0">
      <w:pPr>
        <w:pStyle w:val="a3"/>
        <w:spacing w:after="0" w:line="360" w:lineRule="auto"/>
        <w:ind w:left="1080"/>
        <w:jc w:val="both"/>
        <w:rPr>
          <w:rFonts w:asciiTheme="majorBidi" w:hAnsiTheme="majorBidi" w:cstheme="majorBidi"/>
          <w:sz w:val="24"/>
          <w:szCs w:val="24"/>
        </w:rPr>
      </w:pPr>
    </w:p>
    <w:p w14:paraId="323646DC" w14:textId="77777777" w:rsidR="00BF3CC0" w:rsidRPr="00BF3CC0" w:rsidRDefault="00BF3CC0" w:rsidP="00BF3CC0">
      <w:pPr>
        <w:pStyle w:val="a3"/>
        <w:numPr>
          <w:ilvl w:val="0"/>
          <w:numId w:val="3"/>
        </w:numPr>
        <w:spacing w:after="0" w:line="360" w:lineRule="auto"/>
        <w:jc w:val="both"/>
        <w:rPr>
          <w:rFonts w:asciiTheme="majorBidi" w:hAnsiTheme="majorBidi" w:cstheme="majorBidi"/>
          <w:sz w:val="24"/>
          <w:szCs w:val="24"/>
          <w:u w:val="single"/>
        </w:rPr>
      </w:pPr>
      <w:r w:rsidRPr="00BF3CC0">
        <w:rPr>
          <w:rFonts w:asciiTheme="majorBidi" w:hAnsiTheme="majorBidi" w:cstheme="majorBidi"/>
          <w:sz w:val="24"/>
          <w:szCs w:val="24"/>
          <w:u w:val="single"/>
          <w:rtl/>
        </w:rPr>
        <w:t>האמצעי הפוגע בזכות במידה הפחותה ביותר לצורך השגת התכלית</w:t>
      </w:r>
    </w:p>
    <w:p w14:paraId="67493F9C" w14:textId="4C8E5923" w:rsidR="00BF3CC0" w:rsidRPr="00BF3CC0" w:rsidRDefault="00BF3CC0" w:rsidP="00BF3CC0">
      <w:pPr>
        <w:pStyle w:val="a3"/>
        <w:spacing w:after="0" w:line="360" w:lineRule="auto"/>
        <w:ind w:left="1080"/>
        <w:jc w:val="both"/>
        <w:rPr>
          <w:rFonts w:asciiTheme="majorBidi" w:hAnsiTheme="majorBidi" w:cstheme="majorBidi"/>
          <w:sz w:val="24"/>
          <w:szCs w:val="24"/>
          <w:rtl/>
        </w:rPr>
      </w:pPr>
      <w:r w:rsidRPr="00BF3CC0">
        <w:rPr>
          <w:rFonts w:asciiTheme="majorBidi" w:hAnsiTheme="majorBidi" w:cstheme="majorBidi"/>
          <w:sz w:val="24"/>
          <w:szCs w:val="24"/>
          <w:rtl/>
        </w:rPr>
        <w:t xml:space="preserve">העותרים יכולים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הפגיעה והנזק שנגרמים לבעלי העסקים יכולה להיות במידה פחותה, למשל: במקום חיוב התקנת מצלמות ואמצעי זיהוי ביומטריים הסתפקות רק באחד מהם, או במקום איסור מוחלט של יציאה וכניסה מהמדינה – הכנסה לבידוד לתקופה קצובה של יוצאים או נכנסים למדינה, כך שהזכויות יפגעו במידה פחותה.</w:t>
      </w:r>
    </w:p>
    <w:p w14:paraId="001A2DC6" w14:textId="557AAD86" w:rsidR="00BF3CC0" w:rsidRPr="00BF3CC0" w:rsidRDefault="00BF3CC0" w:rsidP="00BF3CC0">
      <w:pPr>
        <w:pStyle w:val="a3"/>
        <w:spacing w:after="0" w:line="360" w:lineRule="auto"/>
        <w:ind w:left="1080"/>
        <w:jc w:val="both"/>
        <w:rPr>
          <w:rFonts w:asciiTheme="majorBidi" w:hAnsiTheme="majorBidi" w:cstheme="majorBidi"/>
          <w:sz w:val="24"/>
          <w:szCs w:val="24"/>
          <w:rtl/>
        </w:rPr>
      </w:pPr>
      <w:r w:rsidRPr="00E72E62">
        <w:rPr>
          <w:rFonts w:asciiTheme="majorBidi" w:hAnsiTheme="majorBidi" w:cstheme="majorBidi"/>
          <w:b/>
          <w:bCs/>
          <w:sz w:val="24"/>
          <w:szCs w:val="24"/>
          <w:rtl/>
        </w:rPr>
        <w:t>מנגד</w:t>
      </w:r>
      <w:r w:rsidRPr="00BF3CC0">
        <w:rPr>
          <w:rFonts w:asciiTheme="majorBidi" w:hAnsiTheme="majorBidi" w:cstheme="majorBidi"/>
          <w:sz w:val="24"/>
          <w:szCs w:val="24"/>
          <w:rtl/>
        </w:rPr>
        <w:t xml:space="preserve"> יכולה המדינה לטעון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בשני הגלים הקודמים של מגפת הקורונה המדינה נקטה בצעדים נוקשים פחות, ולכן הפעם, בניגוד לפעמים הקודמות יש לנקוט בהגבלות קשות יותר </w:t>
      </w:r>
      <w:r w:rsidR="00A15ED7">
        <w:rPr>
          <w:rFonts w:asciiTheme="majorBidi" w:hAnsiTheme="majorBidi" w:cstheme="majorBidi" w:hint="cs"/>
          <w:sz w:val="24"/>
          <w:szCs w:val="24"/>
          <w:rtl/>
        </w:rPr>
        <w:t>בשביל</w:t>
      </w:r>
      <w:r w:rsidRPr="00BF3CC0">
        <w:rPr>
          <w:rFonts w:asciiTheme="majorBidi" w:hAnsiTheme="majorBidi" w:cstheme="majorBidi"/>
          <w:sz w:val="24"/>
          <w:szCs w:val="24"/>
          <w:rtl/>
        </w:rPr>
        <w:t xml:space="preserve"> שהמדינה תמנע מלהגיע למצב של גל שלישי ולכן אין אפשרות להפחית את הפגיעה בזכויות </w:t>
      </w:r>
      <w:r w:rsidR="003105C1">
        <w:rPr>
          <w:rFonts w:asciiTheme="majorBidi" w:hAnsiTheme="majorBidi" w:cstheme="majorBidi" w:hint="cs"/>
          <w:sz w:val="24"/>
          <w:szCs w:val="24"/>
          <w:rtl/>
        </w:rPr>
        <w:t>הפעם</w:t>
      </w:r>
      <w:r w:rsidRPr="00BF3CC0">
        <w:rPr>
          <w:rFonts w:asciiTheme="majorBidi" w:hAnsiTheme="majorBidi" w:cstheme="majorBidi"/>
          <w:sz w:val="24"/>
          <w:szCs w:val="24"/>
          <w:rtl/>
        </w:rPr>
        <w:t>.</w:t>
      </w:r>
    </w:p>
    <w:p w14:paraId="075AC034" w14:textId="77777777" w:rsidR="00BF3CC0" w:rsidRPr="00BF3CC0" w:rsidRDefault="00BF3CC0" w:rsidP="00BF3CC0">
      <w:pPr>
        <w:pStyle w:val="a3"/>
        <w:spacing w:after="0" w:line="360" w:lineRule="auto"/>
        <w:ind w:left="1080"/>
        <w:jc w:val="both"/>
        <w:rPr>
          <w:rFonts w:asciiTheme="majorBidi" w:hAnsiTheme="majorBidi" w:cstheme="majorBidi"/>
          <w:sz w:val="24"/>
          <w:szCs w:val="24"/>
        </w:rPr>
      </w:pPr>
    </w:p>
    <w:p w14:paraId="3F8C3201" w14:textId="77777777" w:rsidR="00BF3CC0" w:rsidRPr="00BF3CC0" w:rsidRDefault="00BF3CC0" w:rsidP="00BF3CC0">
      <w:pPr>
        <w:pStyle w:val="a3"/>
        <w:numPr>
          <w:ilvl w:val="0"/>
          <w:numId w:val="3"/>
        </w:numPr>
        <w:spacing w:after="0" w:line="360" w:lineRule="auto"/>
        <w:jc w:val="both"/>
        <w:rPr>
          <w:rFonts w:asciiTheme="majorBidi" w:hAnsiTheme="majorBidi" w:cstheme="majorBidi"/>
          <w:sz w:val="24"/>
          <w:szCs w:val="24"/>
          <w:u w:val="single"/>
        </w:rPr>
      </w:pPr>
      <w:commentRangeStart w:id="1"/>
      <w:r w:rsidRPr="00BF3CC0">
        <w:rPr>
          <w:rFonts w:asciiTheme="majorBidi" w:hAnsiTheme="majorBidi" w:cstheme="majorBidi"/>
          <w:sz w:val="24"/>
          <w:szCs w:val="24"/>
          <w:u w:val="single"/>
          <w:rtl/>
        </w:rPr>
        <w:t>תועלת מול נזק</w:t>
      </w:r>
      <w:commentRangeEnd w:id="1"/>
      <w:r w:rsidR="008600A0">
        <w:rPr>
          <w:rStyle w:val="a4"/>
          <w:rtl/>
        </w:rPr>
        <w:commentReference w:id="1"/>
      </w:r>
    </w:p>
    <w:p w14:paraId="0067318A" w14:textId="1F2AAB0D" w:rsidR="00BF3CC0" w:rsidRPr="00BF3CC0" w:rsidRDefault="00BF3CC0" w:rsidP="00BF3CC0">
      <w:pPr>
        <w:pStyle w:val="a3"/>
        <w:spacing w:after="0" w:line="360" w:lineRule="auto"/>
        <w:ind w:left="1080"/>
        <w:jc w:val="both"/>
        <w:rPr>
          <w:rFonts w:asciiTheme="majorBidi" w:hAnsiTheme="majorBidi" w:cstheme="majorBidi"/>
          <w:sz w:val="24"/>
          <w:szCs w:val="24"/>
          <w:rtl/>
        </w:rPr>
      </w:pPr>
      <w:r w:rsidRPr="00BF3CC0">
        <w:rPr>
          <w:rFonts w:asciiTheme="majorBidi" w:hAnsiTheme="majorBidi" w:cstheme="majorBidi"/>
          <w:sz w:val="24"/>
          <w:szCs w:val="24"/>
          <w:rtl/>
        </w:rPr>
        <w:t xml:space="preserve">מצד אחד ניתן לומר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הצעדים שנקטה המדינה אינם בהכרח ימגרו את המגיפה אך בעלי העסקים בהכרח יפגעו ולכן התועלת אינה שווה במקרה זה לנזק </w:t>
      </w:r>
      <w:r w:rsidR="00040F10">
        <w:rPr>
          <w:rFonts w:asciiTheme="majorBidi" w:hAnsiTheme="majorBidi" w:cstheme="majorBidi" w:hint="cs"/>
          <w:sz w:val="24"/>
          <w:szCs w:val="24"/>
          <w:rtl/>
        </w:rPr>
        <w:t>שי</w:t>
      </w:r>
      <w:r w:rsidRPr="00BF3CC0">
        <w:rPr>
          <w:rFonts w:asciiTheme="majorBidi" w:hAnsiTheme="majorBidi" w:cstheme="majorBidi"/>
          <w:sz w:val="24"/>
          <w:szCs w:val="24"/>
          <w:rtl/>
        </w:rPr>
        <w:t>גרם.</w:t>
      </w:r>
    </w:p>
    <w:p w14:paraId="11E435E1" w14:textId="770D6A90" w:rsidR="00BF3CC0" w:rsidRPr="00BF3CC0" w:rsidRDefault="00040F10" w:rsidP="00BF3CC0">
      <w:pPr>
        <w:pStyle w:val="a3"/>
        <w:spacing w:after="0" w:line="360" w:lineRule="auto"/>
        <w:ind w:left="1080"/>
        <w:jc w:val="both"/>
        <w:rPr>
          <w:rFonts w:asciiTheme="majorBidi" w:hAnsiTheme="majorBidi" w:cstheme="majorBidi"/>
          <w:sz w:val="24"/>
          <w:szCs w:val="24"/>
          <w:rtl/>
        </w:rPr>
      </w:pPr>
      <w:r w:rsidRPr="00E72E62">
        <w:rPr>
          <w:rFonts w:asciiTheme="majorBidi" w:hAnsiTheme="majorBidi" w:cstheme="majorBidi" w:hint="cs"/>
          <w:b/>
          <w:bCs/>
          <w:sz w:val="24"/>
          <w:szCs w:val="24"/>
          <w:rtl/>
        </w:rPr>
        <w:t>מנגד</w:t>
      </w:r>
      <w:r w:rsidR="00BF3CC0" w:rsidRPr="00BF3CC0">
        <w:rPr>
          <w:rFonts w:asciiTheme="majorBidi" w:hAnsiTheme="majorBidi" w:cstheme="majorBidi"/>
          <w:sz w:val="24"/>
          <w:szCs w:val="24"/>
          <w:rtl/>
        </w:rPr>
        <w:t xml:space="preserve"> ניתן לטעון </w:t>
      </w:r>
      <w:r w:rsidR="005077C4">
        <w:rPr>
          <w:rFonts w:asciiTheme="majorBidi" w:hAnsiTheme="majorBidi" w:cstheme="majorBidi" w:hint="cs"/>
          <w:sz w:val="24"/>
          <w:szCs w:val="24"/>
          <w:rtl/>
        </w:rPr>
        <w:t xml:space="preserve">כי </w:t>
      </w:r>
      <w:r w:rsidR="00BF3CC0" w:rsidRPr="00BF3CC0">
        <w:rPr>
          <w:rFonts w:asciiTheme="majorBidi" w:hAnsiTheme="majorBidi" w:cstheme="majorBidi"/>
          <w:sz w:val="24"/>
          <w:szCs w:val="24"/>
          <w:rtl/>
        </w:rPr>
        <w:t>לנגד המדינה עומדת בריאות האזרחים ולכן התועלת אותה המדינה מנסה להשיג היא אינטרס ציבורי רחב יותר מאשר הפגיעה בעסקים וכך התועלת במקרה זה עולה על הנזק שהצעדים שנקטה המדינה גורמים (תנופה, ברק 4).</w:t>
      </w:r>
    </w:p>
    <w:p w14:paraId="7AF3BBCC" w14:textId="77777777" w:rsidR="00BF3CC0" w:rsidRPr="00BF3CC0" w:rsidRDefault="00BF3CC0" w:rsidP="00BF3CC0">
      <w:pPr>
        <w:spacing w:after="0" w:line="360" w:lineRule="auto"/>
        <w:jc w:val="both"/>
        <w:rPr>
          <w:rFonts w:asciiTheme="majorBidi" w:hAnsiTheme="majorBidi" w:cstheme="majorBidi"/>
          <w:sz w:val="24"/>
          <w:szCs w:val="24"/>
          <w:rtl/>
        </w:rPr>
      </w:pPr>
    </w:p>
    <w:p w14:paraId="73787F1E" w14:textId="294EF0B4" w:rsidR="00BF3CC0" w:rsidRPr="00BF3CC0" w:rsidRDefault="00BF3CC0" w:rsidP="00BF3CC0">
      <w:pPr>
        <w:spacing w:after="0" w:line="360" w:lineRule="auto"/>
        <w:jc w:val="both"/>
        <w:rPr>
          <w:rFonts w:asciiTheme="majorBidi" w:hAnsiTheme="majorBidi" w:cstheme="majorBidi"/>
          <w:sz w:val="24"/>
          <w:szCs w:val="24"/>
        </w:rPr>
      </w:pPr>
      <w:r w:rsidRPr="00E72E62">
        <w:rPr>
          <w:rFonts w:asciiTheme="majorBidi" w:hAnsiTheme="majorBidi" w:cstheme="majorBidi"/>
          <w:b/>
          <w:bCs/>
          <w:sz w:val="24"/>
          <w:szCs w:val="24"/>
          <w:rtl/>
        </w:rPr>
        <w:t>לסיכום</w:t>
      </w:r>
      <w:r w:rsidR="00E72E62">
        <w:rPr>
          <w:rFonts w:asciiTheme="majorBidi" w:hAnsiTheme="majorBidi" w:cstheme="majorBidi" w:hint="cs"/>
          <w:sz w:val="24"/>
          <w:szCs w:val="24"/>
          <w:rtl/>
        </w:rPr>
        <w:t>,</w:t>
      </w:r>
      <w:r w:rsidRPr="00BF3CC0">
        <w:rPr>
          <w:rFonts w:asciiTheme="majorBidi" w:hAnsiTheme="majorBidi" w:cstheme="majorBidi"/>
          <w:sz w:val="24"/>
          <w:szCs w:val="24"/>
          <w:rtl/>
        </w:rPr>
        <w:t xml:space="preserve"> נראה </w:t>
      </w:r>
      <w:r w:rsidR="005077C4">
        <w:rPr>
          <w:rFonts w:asciiTheme="majorBidi" w:hAnsiTheme="majorBidi" w:cstheme="majorBidi" w:hint="cs"/>
          <w:sz w:val="24"/>
          <w:szCs w:val="24"/>
          <w:rtl/>
        </w:rPr>
        <w:t>ש</w:t>
      </w:r>
      <w:r w:rsidRPr="00BF3CC0">
        <w:rPr>
          <w:rFonts w:asciiTheme="majorBidi" w:hAnsiTheme="majorBidi" w:cstheme="majorBidi"/>
          <w:sz w:val="24"/>
          <w:szCs w:val="24"/>
          <w:rtl/>
        </w:rPr>
        <w:t xml:space="preserve">הצעדים </w:t>
      </w:r>
      <w:r w:rsidR="007109B8">
        <w:rPr>
          <w:rFonts w:asciiTheme="majorBidi" w:hAnsiTheme="majorBidi" w:cstheme="majorBidi" w:hint="cs"/>
          <w:sz w:val="24"/>
          <w:szCs w:val="24"/>
          <w:rtl/>
        </w:rPr>
        <w:t>שננקטו</w:t>
      </w:r>
      <w:r w:rsidRPr="00BF3CC0">
        <w:rPr>
          <w:rFonts w:asciiTheme="majorBidi" w:hAnsiTheme="majorBidi" w:cstheme="majorBidi"/>
          <w:sz w:val="24"/>
          <w:szCs w:val="24"/>
          <w:rtl/>
        </w:rPr>
        <w:t xml:space="preserve"> מתוך אינטרס לבריאות הציבור פוגעים בזכויות המוזכרות לעיל, ביהמ"ש יצטרך להחליט האם למתקיני התקנות יש סמכות להתקין תקנות מסוג זה והאם התקנות שהותקנו עומדות </w:t>
      </w:r>
      <w:r w:rsidR="004E44AA">
        <w:rPr>
          <w:rFonts w:asciiTheme="majorBidi" w:hAnsiTheme="majorBidi" w:cstheme="majorBidi" w:hint="cs"/>
          <w:sz w:val="24"/>
          <w:szCs w:val="24"/>
          <w:rtl/>
        </w:rPr>
        <w:t>ב</w:t>
      </w:r>
      <w:r w:rsidRPr="00BF3CC0">
        <w:rPr>
          <w:rFonts w:asciiTheme="majorBidi" w:hAnsiTheme="majorBidi" w:cstheme="majorBidi"/>
          <w:sz w:val="24"/>
          <w:szCs w:val="24"/>
          <w:rtl/>
        </w:rPr>
        <w:t>מבחני פסקת ההגבלה.</w:t>
      </w:r>
    </w:p>
    <w:p w14:paraId="785E80B9" w14:textId="77777777" w:rsidR="00BF3CC0" w:rsidRPr="00BF3CC0" w:rsidRDefault="00BF3CC0" w:rsidP="00BF3CC0">
      <w:pPr>
        <w:spacing w:after="0" w:line="360" w:lineRule="auto"/>
        <w:rPr>
          <w:rFonts w:asciiTheme="majorBidi" w:hAnsiTheme="majorBidi" w:cstheme="majorBidi"/>
          <w:b/>
          <w:bCs/>
          <w:sz w:val="24"/>
          <w:szCs w:val="24"/>
          <w:u w:val="single"/>
        </w:rPr>
      </w:pPr>
    </w:p>
    <w:sectPr w:rsidR="00BF3CC0" w:rsidRPr="00BF3CC0" w:rsidSect="00BF3CC0">
      <w:pgSz w:w="11906" w:h="16838"/>
      <w:pgMar w:top="1701" w:right="1701" w:bottom="1701" w:left="1701"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it Machluf" w:date="2020-12-27T09:57:00Z" w:initials="AM">
    <w:p w14:paraId="242B4C06" w14:textId="79048736" w:rsidR="008600A0" w:rsidRPr="008600A0" w:rsidRDefault="008600A0" w:rsidP="008600A0">
      <w:pPr>
        <w:pStyle w:val="a5"/>
      </w:pPr>
      <w:r>
        <w:rPr>
          <w:rStyle w:val="a4"/>
        </w:rPr>
        <w:annotationRef/>
      </w:r>
      <w:r>
        <w:rPr>
          <w:rStyle w:val="a4"/>
        </w:rPr>
        <w:annotationRef/>
      </w:r>
      <w:r>
        <w:rPr>
          <w:rFonts w:hint="cs"/>
          <w:rtl/>
        </w:rPr>
        <w:t>בנוסף, כ</w:t>
      </w:r>
      <w:r w:rsidRPr="001A14AD">
        <w:rPr>
          <w:rtl/>
        </w:rPr>
        <w:t xml:space="preserve">פי שנקבע במפקד הלאומי לבית המשפט יש מרחב גמישות במידת הנוקשות של הדרישה להסמכה מפורשת, התלויה </w:t>
      </w:r>
      <w:proofErr w:type="spellStart"/>
      <w:r w:rsidRPr="001A14AD">
        <w:rPr>
          <w:rtl/>
        </w:rPr>
        <w:t>בעצמת</w:t>
      </w:r>
      <w:proofErr w:type="spellEnd"/>
      <w:r w:rsidRPr="001A14AD">
        <w:rPr>
          <w:rtl/>
        </w:rPr>
        <w:t xml:space="preserve"> הפגיעה בזכות ובחשיבותה</w:t>
      </w:r>
      <w:r>
        <w:rPr>
          <w:rFonts w:hint="cs"/>
          <w:rtl/>
        </w:rPr>
        <w:t>.</w:t>
      </w:r>
      <w:r w:rsidRPr="001A14AD">
        <w:rPr>
          <w:rtl/>
        </w:rPr>
        <w:t xml:space="preserve"> </w:t>
      </w:r>
    </w:p>
  </w:comment>
  <w:comment w:id="1" w:author="Amit Machluf" w:date="2020-12-27T10:00:00Z" w:initials="AM">
    <w:p w14:paraId="04559A34" w14:textId="77777777" w:rsidR="008600A0" w:rsidRDefault="008600A0" w:rsidP="008600A0">
      <w:pPr>
        <w:pStyle w:val="a5"/>
        <w:rPr>
          <w:rtl/>
        </w:rPr>
      </w:pPr>
      <w:r>
        <w:rPr>
          <w:rStyle w:val="a4"/>
        </w:rPr>
        <w:annotationRef/>
      </w:r>
      <w:r>
        <w:rPr>
          <w:rFonts w:hint="cs"/>
          <w:rtl/>
        </w:rPr>
        <w:t xml:space="preserve">במבחן זה </w:t>
      </w:r>
      <w:r w:rsidRPr="008600A0">
        <w:rPr>
          <w:rFonts w:hint="cs"/>
          <w:rtl/>
        </w:rPr>
        <w:t xml:space="preserve">נדרש לקיים דיון דו-שלבי בהתאם לשני מבחני המשנה שהוצגו בפס"ד בית </w:t>
      </w:r>
      <w:proofErr w:type="spellStart"/>
      <w:r w:rsidRPr="008600A0">
        <w:rPr>
          <w:rFonts w:hint="cs"/>
          <w:rtl/>
        </w:rPr>
        <w:t>סוריק</w:t>
      </w:r>
      <w:proofErr w:type="spellEnd"/>
      <w:r w:rsidRPr="008600A0">
        <w:rPr>
          <w:rFonts w:hint="cs"/>
          <w:rtl/>
        </w:rPr>
        <w:t>.</w:t>
      </w:r>
    </w:p>
    <w:p w14:paraId="7DA406BF" w14:textId="77777777" w:rsidR="008600A0" w:rsidRDefault="008600A0" w:rsidP="008600A0">
      <w:pPr>
        <w:pStyle w:val="a5"/>
        <w:rPr>
          <w:rtl/>
        </w:rPr>
      </w:pPr>
    </w:p>
    <w:p w14:paraId="1A485FD3" w14:textId="3B978D74" w:rsidR="008600A0" w:rsidRDefault="008600A0" w:rsidP="008600A0">
      <w:pPr>
        <w:pStyle w:val="a5"/>
      </w:pPr>
      <w:r>
        <w:rPr>
          <w:rFonts w:hint="cs"/>
          <w:rtl/>
        </w:rPr>
        <w:t>בנוסף, כאשר בוחנים את כל האמצעים תחת פסקת הגבלה אחת יש לשים לב שמתייחסים לכולם בכל אחד מהמבחנים.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2B4C06" w15:done="0"/>
  <w15:commentEx w15:paraId="1A485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2D90B" w16cex:dateUtc="2020-12-27T07:57:00Z"/>
  <w16cex:commentExtensible w16cex:durableId="2392D9C8" w16cex:dateUtc="2020-12-27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2B4C06" w16cid:durableId="2392D90B"/>
  <w16cid:commentId w16cid:paraId="1A485FD3" w16cid:durableId="2392D9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15EE"/>
    <w:multiLevelType w:val="hybridMultilevel"/>
    <w:tmpl w:val="A3B2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E3F89"/>
    <w:multiLevelType w:val="hybridMultilevel"/>
    <w:tmpl w:val="8460E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A3BCA"/>
    <w:multiLevelType w:val="hybridMultilevel"/>
    <w:tmpl w:val="7AF0C6E8"/>
    <w:lvl w:ilvl="0" w:tplc="0632FD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it Machluf">
    <w15:presenceInfo w15:providerId="AD" w15:userId="S::amit.machluf@live.biu.ac.il::b5fb46ea-005a-4c51-9329-e09782ee0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C0"/>
    <w:rsid w:val="00040F10"/>
    <w:rsid w:val="001261AD"/>
    <w:rsid w:val="00183B06"/>
    <w:rsid w:val="001D0B59"/>
    <w:rsid w:val="002C3B36"/>
    <w:rsid w:val="003105C1"/>
    <w:rsid w:val="00363251"/>
    <w:rsid w:val="00405A2C"/>
    <w:rsid w:val="00416BC9"/>
    <w:rsid w:val="004E44AA"/>
    <w:rsid w:val="005077C4"/>
    <w:rsid w:val="00524E58"/>
    <w:rsid w:val="006C74A5"/>
    <w:rsid w:val="007109B8"/>
    <w:rsid w:val="008600A0"/>
    <w:rsid w:val="008E4A12"/>
    <w:rsid w:val="00A15ED7"/>
    <w:rsid w:val="00B03140"/>
    <w:rsid w:val="00B94505"/>
    <w:rsid w:val="00BF3CC0"/>
    <w:rsid w:val="00C548DB"/>
    <w:rsid w:val="00DE2B95"/>
    <w:rsid w:val="00E1709F"/>
    <w:rsid w:val="00E51381"/>
    <w:rsid w:val="00E72E62"/>
    <w:rsid w:val="00F54CE8"/>
    <w:rsid w:val="00F91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ECDE"/>
  <w15:chartTrackingRefBased/>
  <w15:docId w15:val="{698F3D6A-D212-4DD9-8FCC-2233D41A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CC0"/>
    <w:pPr>
      <w:ind w:left="720"/>
      <w:contextualSpacing/>
    </w:pPr>
  </w:style>
  <w:style w:type="character" w:styleId="a4">
    <w:name w:val="annotation reference"/>
    <w:basedOn w:val="a0"/>
    <w:uiPriority w:val="99"/>
    <w:semiHidden/>
    <w:unhideWhenUsed/>
    <w:rsid w:val="008E4A12"/>
    <w:rPr>
      <w:sz w:val="16"/>
      <w:szCs w:val="16"/>
    </w:rPr>
  </w:style>
  <w:style w:type="paragraph" w:styleId="a5">
    <w:name w:val="annotation text"/>
    <w:basedOn w:val="a"/>
    <w:link w:val="a6"/>
    <w:uiPriority w:val="99"/>
    <w:unhideWhenUsed/>
    <w:rsid w:val="008E4A12"/>
    <w:pPr>
      <w:spacing w:line="240" w:lineRule="auto"/>
    </w:pPr>
    <w:rPr>
      <w:sz w:val="20"/>
      <w:szCs w:val="20"/>
    </w:rPr>
  </w:style>
  <w:style w:type="character" w:customStyle="1" w:styleId="a6">
    <w:name w:val="טקסט הערה תו"/>
    <w:basedOn w:val="a0"/>
    <w:link w:val="a5"/>
    <w:uiPriority w:val="99"/>
    <w:rsid w:val="008E4A12"/>
    <w:rPr>
      <w:sz w:val="20"/>
      <w:szCs w:val="20"/>
    </w:rPr>
  </w:style>
  <w:style w:type="paragraph" w:styleId="a7">
    <w:name w:val="annotation subject"/>
    <w:basedOn w:val="a5"/>
    <w:next w:val="a5"/>
    <w:link w:val="a8"/>
    <w:uiPriority w:val="99"/>
    <w:semiHidden/>
    <w:unhideWhenUsed/>
    <w:rsid w:val="008E4A12"/>
    <w:rPr>
      <w:b/>
      <w:bCs/>
    </w:rPr>
  </w:style>
  <w:style w:type="character" w:customStyle="1" w:styleId="a8">
    <w:name w:val="נושא הערה תו"/>
    <w:basedOn w:val="a6"/>
    <w:link w:val="a7"/>
    <w:uiPriority w:val="99"/>
    <w:semiHidden/>
    <w:rsid w:val="008E4A12"/>
    <w:rPr>
      <w:b/>
      <w:bCs/>
      <w:sz w:val="20"/>
      <w:szCs w:val="20"/>
    </w:rPr>
  </w:style>
  <w:style w:type="paragraph" w:styleId="a9">
    <w:name w:val="Balloon Text"/>
    <w:basedOn w:val="a"/>
    <w:link w:val="aa"/>
    <w:uiPriority w:val="99"/>
    <w:semiHidden/>
    <w:unhideWhenUsed/>
    <w:rsid w:val="008E4A12"/>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8E4A1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4855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tomer</dc:creator>
  <cp:keywords/>
  <dc:description/>
  <cp:lastModifiedBy>Amit Machluf</cp:lastModifiedBy>
  <cp:revision>2</cp:revision>
  <dcterms:created xsi:type="dcterms:W3CDTF">2020-12-27T08:05:00Z</dcterms:created>
  <dcterms:modified xsi:type="dcterms:W3CDTF">2020-12-27T08:05:00Z</dcterms:modified>
</cp:coreProperties>
</file>