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AFAF6" w14:textId="15B855CD" w:rsidR="0051240E" w:rsidRDefault="0051240E" w:rsidP="006B62ED">
      <w:pPr>
        <w:spacing w:line="480" w:lineRule="auto"/>
        <w:jc w:val="both"/>
        <w:rPr>
          <w:rFonts w:ascii="David" w:hAnsi="David" w:cs="David"/>
          <w:sz w:val="24"/>
          <w:szCs w:val="24"/>
          <w:rtl/>
        </w:rPr>
      </w:pPr>
      <w:r>
        <w:rPr>
          <w:rFonts w:ascii="David" w:hAnsi="David" w:cs="David" w:hint="cs"/>
          <w:b/>
          <w:bCs/>
          <w:sz w:val="24"/>
          <w:szCs w:val="24"/>
          <w:rtl/>
        </w:rPr>
        <w:t>(א)</w:t>
      </w:r>
      <w:r w:rsidRPr="00F575B4">
        <w:rPr>
          <w:rFonts w:ascii="David" w:hAnsi="David" w:cs="David" w:hint="cs"/>
          <w:sz w:val="24"/>
          <w:szCs w:val="24"/>
          <w:rtl/>
        </w:rPr>
        <w:t xml:space="preserve"> </w:t>
      </w:r>
      <w:r>
        <w:rPr>
          <w:rFonts w:ascii="David" w:hAnsi="David" w:cs="David" w:hint="cs"/>
          <w:sz w:val="24"/>
          <w:szCs w:val="24"/>
          <w:rtl/>
        </w:rPr>
        <w:t xml:space="preserve">נבחן האם עומד לאסי סייג </w:t>
      </w:r>
      <w:r w:rsidR="0000341F" w:rsidRPr="00D224AD">
        <w:rPr>
          <w:rFonts w:ascii="David" w:hAnsi="David" w:cs="David" w:hint="cs"/>
          <w:b/>
          <w:bCs/>
          <w:sz w:val="24"/>
          <w:szCs w:val="24"/>
          <w:rtl/>
        </w:rPr>
        <w:t>הצורך</w:t>
      </w:r>
      <w:r w:rsidR="0000341F" w:rsidRPr="0000341F">
        <w:rPr>
          <w:rFonts w:ascii="David" w:hAnsi="David" w:cs="David" w:hint="cs"/>
          <w:sz w:val="24"/>
          <w:szCs w:val="24"/>
          <w:rtl/>
        </w:rPr>
        <w:t>,</w:t>
      </w:r>
      <w:r w:rsidR="0000341F">
        <w:rPr>
          <w:rStyle w:val="af"/>
          <w:rFonts w:ascii="David" w:hAnsi="David" w:cs="David"/>
          <w:sz w:val="24"/>
          <w:szCs w:val="24"/>
          <w:rtl/>
        </w:rPr>
        <w:footnoteReference w:id="1"/>
      </w:r>
      <w:r>
        <w:rPr>
          <w:rFonts w:ascii="David" w:hAnsi="David" w:cs="David" w:hint="cs"/>
          <w:sz w:val="24"/>
          <w:szCs w:val="24"/>
          <w:rtl/>
        </w:rPr>
        <w:t xml:space="preserve"> </w:t>
      </w:r>
      <w:r w:rsidR="0000341F">
        <w:rPr>
          <w:rFonts w:ascii="David" w:hAnsi="David" w:cs="David" w:hint="cs"/>
          <w:sz w:val="24"/>
          <w:szCs w:val="24"/>
          <w:rtl/>
        </w:rPr>
        <w:t xml:space="preserve">אחרת יורשע בפלילים בגין עבירת </w:t>
      </w:r>
      <w:r>
        <w:rPr>
          <w:rFonts w:ascii="David" w:hAnsi="David" w:cs="David" w:hint="cs"/>
          <w:sz w:val="24"/>
          <w:szCs w:val="24"/>
          <w:rtl/>
        </w:rPr>
        <w:t>ההתפרצות</w:t>
      </w:r>
      <w:r w:rsidR="0000341F">
        <w:rPr>
          <w:rFonts w:ascii="David" w:hAnsi="David" w:cs="David" w:hint="cs"/>
          <w:sz w:val="24"/>
          <w:szCs w:val="24"/>
          <w:rtl/>
        </w:rPr>
        <w:t>.</w:t>
      </w:r>
      <w:r>
        <w:rPr>
          <w:rStyle w:val="af"/>
          <w:rFonts w:ascii="David" w:hAnsi="David" w:cs="David"/>
          <w:sz w:val="24"/>
          <w:szCs w:val="24"/>
          <w:rtl/>
        </w:rPr>
        <w:footnoteReference w:id="2"/>
      </w:r>
      <w:r w:rsidR="0000341F">
        <w:rPr>
          <w:rFonts w:ascii="David" w:hAnsi="David" w:cs="David" w:hint="cs"/>
          <w:sz w:val="24"/>
          <w:szCs w:val="24"/>
          <w:rtl/>
        </w:rPr>
        <w:t xml:space="preserve"> </w:t>
      </w:r>
      <w:r w:rsidRPr="00C673BB">
        <w:rPr>
          <w:rFonts w:ascii="David" w:hAnsi="David" w:cs="David" w:hint="cs"/>
          <w:sz w:val="24"/>
          <w:szCs w:val="24"/>
          <w:u w:val="single"/>
          <w:rtl/>
        </w:rPr>
        <w:t>הרציונל</w:t>
      </w:r>
      <w:r w:rsidR="006C4419">
        <w:rPr>
          <w:rFonts w:ascii="David" w:hAnsi="David" w:cs="David" w:hint="cs"/>
          <w:sz w:val="24"/>
          <w:szCs w:val="24"/>
          <w:u w:val="single"/>
          <w:rtl/>
        </w:rPr>
        <w:t>ים</w:t>
      </w:r>
      <w:r w:rsidRPr="00C673BB">
        <w:rPr>
          <w:rFonts w:ascii="David" w:hAnsi="David" w:cs="David" w:hint="cs"/>
          <w:sz w:val="24"/>
          <w:szCs w:val="24"/>
          <w:u w:val="single"/>
          <w:rtl/>
        </w:rPr>
        <w:t xml:space="preserve"> </w:t>
      </w:r>
      <w:r w:rsidR="00C53546">
        <w:rPr>
          <w:rFonts w:ascii="David" w:hAnsi="David" w:cs="David" w:hint="cs"/>
          <w:sz w:val="24"/>
          <w:szCs w:val="24"/>
          <w:u w:val="single"/>
          <w:rtl/>
        </w:rPr>
        <w:t>ל</w:t>
      </w:r>
      <w:r w:rsidR="00C53546" w:rsidRPr="00C673BB">
        <w:rPr>
          <w:rFonts w:ascii="David" w:hAnsi="David" w:cs="David" w:hint="cs"/>
          <w:sz w:val="24"/>
          <w:szCs w:val="24"/>
          <w:u w:val="single"/>
          <w:rtl/>
        </w:rPr>
        <w:t>סייג</w:t>
      </w:r>
      <w:r w:rsidR="00C53546">
        <w:rPr>
          <w:rFonts w:ascii="David" w:hAnsi="David" w:cs="David" w:hint="cs"/>
          <w:sz w:val="24"/>
          <w:szCs w:val="24"/>
          <w:u w:val="single"/>
          <w:rtl/>
        </w:rPr>
        <w:t>:</w:t>
      </w:r>
      <w:r w:rsidR="00C53546" w:rsidRPr="00C673BB">
        <w:rPr>
          <w:rFonts w:ascii="David" w:hAnsi="David" w:cs="David" w:hint="cs"/>
          <w:sz w:val="24"/>
          <w:szCs w:val="24"/>
          <w:rtl/>
        </w:rPr>
        <w:t xml:space="preserve"> </w:t>
      </w:r>
      <w:commentRangeStart w:id="0"/>
      <w:r w:rsidR="00C53546" w:rsidRPr="00C673BB">
        <w:rPr>
          <w:rFonts w:ascii="David" w:hAnsi="David" w:cs="David" w:hint="cs"/>
          <w:sz w:val="24"/>
          <w:szCs w:val="24"/>
          <w:rtl/>
        </w:rPr>
        <w:t>לשון</w:t>
      </w:r>
      <w:r w:rsidRPr="00C673BB">
        <w:rPr>
          <w:rFonts w:ascii="David" w:hAnsi="David" w:cs="David" w:hint="cs"/>
          <w:sz w:val="24"/>
          <w:szCs w:val="24"/>
          <w:rtl/>
        </w:rPr>
        <w:t xml:space="preserve"> החוק לא מכריעה בין צורך מצדיק לצורך פוטר</w:t>
      </w:r>
      <w:commentRangeEnd w:id="0"/>
      <w:r w:rsidR="00601E57">
        <w:rPr>
          <w:rStyle w:val="a7"/>
          <w:rtl/>
        </w:rPr>
        <w:commentReference w:id="0"/>
      </w:r>
      <w:r w:rsidRPr="00C673BB">
        <w:rPr>
          <w:rFonts w:ascii="David" w:hAnsi="David" w:cs="David" w:hint="cs"/>
          <w:sz w:val="24"/>
          <w:szCs w:val="24"/>
          <w:rtl/>
        </w:rPr>
        <w:t xml:space="preserve">. </w:t>
      </w:r>
      <w:r w:rsidRPr="00C673BB">
        <w:rPr>
          <w:rFonts w:ascii="David" w:hAnsi="David" w:cs="David" w:hint="cs"/>
          <w:sz w:val="24"/>
          <w:szCs w:val="24"/>
          <w:u w:val="single"/>
          <w:rtl/>
        </w:rPr>
        <w:t>צורך פוטר</w:t>
      </w:r>
      <w:r w:rsidRPr="00C673BB">
        <w:rPr>
          <w:rFonts w:ascii="David" w:hAnsi="David" w:cs="David" w:hint="cs"/>
          <w:sz w:val="24"/>
          <w:szCs w:val="24"/>
          <w:rtl/>
        </w:rPr>
        <w:t xml:space="preserve"> </w:t>
      </w:r>
      <w:r w:rsidRPr="00C673BB">
        <w:rPr>
          <w:rFonts w:ascii="David" w:hAnsi="David" w:cs="David"/>
          <w:sz w:val="24"/>
          <w:szCs w:val="24"/>
          <w:rtl/>
        </w:rPr>
        <w:t>–</w:t>
      </w:r>
      <w:r w:rsidRPr="00C673BB">
        <w:rPr>
          <w:rFonts w:ascii="David" w:hAnsi="David" w:cs="David" w:hint="cs"/>
          <w:sz w:val="24"/>
          <w:szCs w:val="24"/>
          <w:rtl/>
        </w:rPr>
        <w:t xml:space="preserve"> האילוץ בו </w:t>
      </w:r>
      <w:r>
        <w:rPr>
          <w:rFonts w:ascii="David" w:hAnsi="David" w:cs="David" w:hint="cs"/>
          <w:sz w:val="24"/>
          <w:szCs w:val="24"/>
          <w:rtl/>
        </w:rPr>
        <w:t>היה נתון הפרט</w:t>
      </w:r>
      <w:r w:rsidR="0000341F">
        <w:rPr>
          <w:rFonts w:ascii="David" w:hAnsi="David" w:cs="David" w:hint="cs"/>
          <w:sz w:val="24"/>
          <w:szCs w:val="24"/>
          <w:rtl/>
        </w:rPr>
        <w:t>,</w:t>
      </w:r>
      <w:r>
        <w:rPr>
          <w:rFonts w:ascii="David" w:hAnsi="David" w:cs="David" w:hint="cs"/>
          <w:sz w:val="24"/>
          <w:szCs w:val="24"/>
          <w:rtl/>
        </w:rPr>
        <w:t xml:space="preserve"> שלל את אפשרות הבחירה שלו</w:t>
      </w:r>
      <w:r w:rsidR="0000341F">
        <w:rPr>
          <w:rFonts w:ascii="David" w:hAnsi="David" w:cs="David" w:hint="cs"/>
          <w:sz w:val="24"/>
          <w:szCs w:val="24"/>
          <w:rtl/>
        </w:rPr>
        <w:t>.</w:t>
      </w:r>
      <w:r>
        <w:rPr>
          <w:rFonts w:ascii="David" w:hAnsi="David" w:cs="David" w:hint="cs"/>
          <w:sz w:val="24"/>
          <w:szCs w:val="24"/>
          <w:rtl/>
        </w:rPr>
        <w:t xml:space="preserve"> הנסיבות המאלצות</w:t>
      </w:r>
      <w:r w:rsidR="0000341F">
        <w:rPr>
          <w:rFonts w:ascii="David" w:hAnsi="David" w:cs="David" w:hint="cs"/>
          <w:sz w:val="24"/>
          <w:szCs w:val="24"/>
          <w:rtl/>
        </w:rPr>
        <w:t>,</w:t>
      </w:r>
      <w:r>
        <w:rPr>
          <w:rFonts w:ascii="David" w:hAnsi="David" w:cs="David" w:hint="cs"/>
          <w:sz w:val="24"/>
          <w:szCs w:val="24"/>
          <w:rtl/>
        </w:rPr>
        <w:t xml:space="preserve"> הכריחו אותו לפעול כפי שפעל</w:t>
      </w:r>
      <w:r w:rsidR="0000341F">
        <w:rPr>
          <w:rFonts w:ascii="David" w:hAnsi="David" w:cs="David" w:hint="cs"/>
          <w:sz w:val="24"/>
          <w:szCs w:val="24"/>
          <w:rtl/>
        </w:rPr>
        <w:t xml:space="preserve">. </w:t>
      </w:r>
      <w:r>
        <w:rPr>
          <w:rFonts w:ascii="David" w:hAnsi="David" w:cs="David" w:hint="cs"/>
          <w:sz w:val="24"/>
          <w:szCs w:val="24"/>
          <w:rtl/>
        </w:rPr>
        <w:t>לכן</w:t>
      </w:r>
      <w:r w:rsidR="0000341F">
        <w:rPr>
          <w:rFonts w:ascii="David" w:hAnsi="David" w:cs="David" w:hint="cs"/>
          <w:sz w:val="24"/>
          <w:szCs w:val="24"/>
          <w:rtl/>
        </w:rPr>
        <w:t>,</w:t>
      </w:r>
      <w:r>
        <w:rPr>
          <w:rFonts w:ascii="David" w:hAnsi="David" w:cs="David" w:hint="cs"/>
          <w:sz w:val="24"/>
          <w:szCs w:val="24"/>
          <w:rtl/>
        </w:rPr>
        <w:t xml:space="preserve"> המשפט יפטור אותו מאחריות.</w:t>
      </w:r>
      <w:r w:rsidR="006C4419">
        <w:rPr>
          <w:rFonts w:ascii="David" w:hAnsi="David" w:cs="David" w:hint="cs"/>
          <w:sz w:val="24"/>
          <w:szCs w:val="24"/>
          <w:rtl/>
        </w:rPr>
        <w:t xml:space="preserve"> </w:t>
      </w:r>
      <w:r w:rsidRPr="00C673BB">
        <w:rPr>
          <w:rFonts w:ascii="David" w:hAnsi="David" w:cs="David" w:hint="cs"/>
          <w:sz w:val="24"/>
          <w:szCs w:val="24"/>
          <w:u w:val="single"/>
          <w:rtl/>
        </w:rPr>
        <w:t xml:space="preserve">צורך מצדיק </w:t>
      </w:r>
      <w:r>
        <w:rPr>
          <w:rFonts w:ascii="David" w:hAnsi="David" w:cs="David"/>
          <w:sz w:val="24"/>
          <w:szCs w:val="24"/>
          <w:rtl/>
        </w:rPr>
        <w:t>–</w:t>
      </w:r>
      <w:r>
        <w:rPr>
          <w:rFonts w:ascii="David" w:hAnsi="David" w:cs="David" w:hint="cs"/>
          <w:sz w:val="24"/>
          <w:szCs w:val="24"/>
          <w:rtl/>
        </w:rPr>
        <w:t xml:space="preserve"> בחירה בין שתי רעות</w:t>
      </w:r>
      <w:r w:rsidR="0000341F">
        <w:rPr>
          <w:rFonts w:ascii="David" w:hAnsi="David" w:cs="David" w:hint="cs"/>
          <w:sz w:val="24"/>
          <w:szCs w:val="24"/>
          <w:rtl/>
        </w:rPr>
        <w:t>.</w:t>
      </w:r>
      <w:r>
        <w:rPr>
          <w:rFonts w:ascii="David" w:hAnsi="David" w:cs="David" w:hint="cs"/>
          <w:sz w:val="24"/>
          <w:szCs w:val="24"/>
          <w:rtl/>
        </w:rPr>
        <w:t xml:space="preserve"> הפרט בחר ב"רע במיעוטו"</w:t>
      </w:r>
      <w:r w:rsidR="0000341F">
        <w:rPr>
          <w:rFonts w:ascii="David" w:hAnsi="David" w:cs="David" w:hint="cs"/>
          <w:sz w:val="24"/>
          <w:szCs w:val="24"/>
          <w:rtl/>
        </w:rPr>
        <w:t xml:space="preserve">, כאשר אותה הפעולה </w:t>
      </w:r>
      <w:r>
        <w:rPr>
          <w:rFonts w:ascii="David" w:hAnsi="David" w:cs="David" w:hint="cs"/>
          <w:sz w:val="24"/>
          <w:szCs w:val="24"/>
          <w:rtl/>
        </w:rPr>
        <w:t xml:space="preserve"> הפכה למוצדקת</w:t>
      </w:r>
      <w:r w:rsidR="0000341F">
        <w:rPr>
          <w:rFonts w:ascii="David" w:hAnsi="David" w:cs="David" w:hint="cs"/>
          <w:sz w:val="24"/>
          <w:szCs w:val="24"/>
          <w:rtl/>
        </w:rPr>
        <w:t>,</w:t>
      </w:r>
      <w:r>
        <w:rPr>
          <w:rFonts w:ascii="David" w:hAnsi="David" w:cs="David" w:hint="cs"/>
          <w:sz w:val="24"/>
          <w:szCs w:val="24"/>
          <w:rtl/>
        </w:rPr>
        <w:t xml:space="preserve"> משום שהביאה ליותר תועלת מזו אשר הייתה נגרמת לו היה נמנע מהפעולה, על אף שאותה התנהגות אסורה.</w:t>
      </w:r>
      <w:r>
        <w:rPr>
          <w:rStyle w:val="af"/>
          <w:rFonts w:ascii="David" w:hAnsi="David" w:cs="David"/>
          <w:sz w:val="24"/>
          <w:szCs w:val="24"/>
          <w:rtl/>
        </w:rPr>
        <w:footnoteReference w:id="3"/>
      </w:r>
      <w:r>
        <w:rPr>
          <w:rFonts w:ascii="David" w:hAnsi="David" w:cs="David" w:hint="cs"/>
          <w:sz w:val="24"/>
          <w:szCs w:val="24"/>
          <w:rtl/>
        </w:rPr>
        <w:t xml:space="preserve"> </w:t>
      </w:r>
      <w:r w:rsidR="006C4419">
        <w:rPr>
          <w:rFonts w:ascii="David" w:hAnsi="David" w:cs="David" w:hint="cs"/>
          <w:sz w:val="24"/>
          <w:szCs w:val="24"/>
          <w:rtl/>
        </w:rPr>
        <w:t xml:space="preserve">במקרה דנן, פעולתו של אסי הינן בגדר צורך פוטר, עליו היה לבצע את המעשה כדי להגן על אישתו לעתיד. </w:t>
      </w:r>
      <w:r w:rsidR="0000341F" w:rsidRPr="006C4419">
        <w:rPr>
          <w:rFonts w:ascii="David" w:hAnsi="David" w:cs="David" w:hint="cs"/>
          <w:sz w:val="24"/>
          <w:szCs w:val="24"/>
          <w:u w:val="single"/>
          <w:rtl/>
        </w:rPr>
        <w:t>ביקורת על הרציונל:</w:t>
      </w:r>
      <w:r w:rsidR="0000341F" w:rsidRPr="0000341F">
        <w:rPr>
          <w:rFonts w:ascii="David" w:hAnsi="David" w:cs="David" w:hint="cs"/>
          <w:sz w:val="24"/>
          <w:szCs w:val="24"/>
          <w:rtl/>
        </w:rPr>
        <w:t xml:space="preserve"> </w:t>
      </w:r>
      <w:r w:rsidR="0000341F" w:rsidRPr="0000341F">
        <w:rPr>
          <w:rFonts w:ascii="David" w:hAnsi="David" w:cs="David" w:hint="cs"/>
          <w:sz w:val="24"/>
          <w:szCs w:val="24"/>
          <w:u w:val="single"/>
          <w:rtl/>
        </w:rPr>
        <w:t>צורך מצדיק</w:t>
      </w:r>
      <w:r w:rsidR="00403C23">
        <w:rPr>
          <w:rFonts w:ascii="David" w:hAnsi="David" w:cs="David" w:hint="cs"/>
          <w:sz w:val="24"/>
          <w:szCs w:val="24"/>
          <w:u w:val="single"/>
          <w:rtl/>
        </w:rPr>
        <w:t xml:space="preserve"> ופוטר</w:t>
      </w:r>
      <w:r w:rsidR="00403C23">
        <w:rPr>
          <w:rStyle w:val="af"/>
          <w:rFonts w:ascii="David" w:hAnsi="David" w:cs="David"/>
          <w:sz w:val="24"/>
          <w:szCs w:val="24"/>
          <w:u w:val="single"/>
          <w:rtl/>
        </w:rPr>
        <w:footnoteReference w:id="4"/>
      </w:r>
      <w:r w:rsidR="0000341F" w:rsidRPr="0000341F">
        <w:rPr>
          <w:rFonts w:ascii="David" w:hAnsi="David" w:cs="David" w:hint="cs"/>
          <w:sz w:val="24"/>
          <w:szCs w:val="24"/>
          <w:rtl/>
        </w:rPr>
        <w:t xml:space="preserve"> </w:t>
      </w:r>
      <w:r w:rsidR="0000341F" w:rsidRPr="0000341F">
        <w:rPr>
          <w:rFonts w:ascii="David" w:hAnsi="David" w:cs="David"/>
          <w:sz w:val="24"/>
          <w:szCs w:val="24"/>
          <w:rtl/>
        </w:rPr>
        <w:t>–</w:t>
      </w:r>
      <w:r w:rsidR="0000341F" w:rsidRPr="0000341F">
        <w:rPr>
          <w:rFonts w:ascii="David" w:hAnsi="David" w:cs="David" w:hint="cs"/>
          <w:sz w:val="24"/>
          <w:szCs w:val="24"/>
          <w:rtl/>
        </w:rPr>
        <w:t xml:space="preserve"> בחירת אפשרות ה"רע במיעוטו"</w:t>
      </w:r>
      <w:r w:rsidR="00403C23">
        <w:rPr>
          <w:rFonts w:ascii="David" w:hAnsi="David" w:cs="David" w:hint="cs"/>
          <w:sz w:val="24"/>
          <w:szCs w:val="24"/>
          <w:rtl/>
        </w:rPr>
        <w:t xml:space="preserve"> היא בעייתית. מאפשרת ל</w:t>
      </w:r>
      <w:r w:rsidR="0000341F" w:rsidRPr="0000341F">
        <w:rPr>
          <w:rFonts w:ascii="David" w:hAnsi="David" w:cs="David" w:hint="cs"/>
          <w:sz w:val="24"/>
          <w:szCs w:val="24"/>
          <w:rtl/>
        </w:rPr>
        <w:t xml:space="preserve">פרט </w:t>
      </w:r>
      <w:r w:rsidR="00403C23">
        <w:rPr>
          <w:rFonts w:ascii="David" w:hAnsi="David" w:cs="David" w:hint="cs"/>
          <w:sz w:val="24"/>
          <w:szCs w:val="24"/>
          <w:rtl/>
        </w:rPr>
        <w:t>לעשות דין לעצמו בכך, ש</w:t>
      </w:r>
      <w:r w:rsidR="0000341F" w:rsidRPr="0000341F">
        <w:rPr>
          <w:rFonts w:ascii="David" w:hAnsi="David" w:cs="David" w:hint="cs"/>
          <w:sz w:val="24"/>
          <w:szCs w:val="24"/>
          <w:rtl/>
        </w:rPr>
        <w:t>יבחר במעשה שנראה בעיניו</w:t>
      </w:r>
      <w:r w:rsidR="0000341F">
        <w:rPr>
          <w:rFonts w:ascii="David" w:hAnsi="David" w:cs="David" w:hint="cs"/>
          <w:sz w:val="24"/>
          <w:szCs w:val="24"/>
          <w:rtl/>
        </w:rPr>
        <w:t xml:space="preserve"> כאפשרות הרעה הפחותה.</w:t>
      </w:r>
      <w:r w:rsidR="0000341F">
        <w:rPr>
          <w:rStyle w:val="af"/>
          <w:rFonts w:ascii="David" w:hAnsi="David" w:cs="David"/>
          <w:sz w:val="24"/>
          <w:szCs w:val="24"/>
          <w:rtl/>
        </w:rPr>
        <w:footnoteReference w:id="5"/>
      </w:r>
      <w:r w:rsidR="0000341F" w:rsidRPr="0000341F">
        <w:rPr>
          <w:rFonts w:ascii="David" w:hAnsi="David" w:cs="David" w:hint="cs"/>
          <w:sz w:val="24"/>
          <w:szCs w:val="24"/>
          <w:rtl/>
        </w:rPr>
        <w:t xml:space="preserve">  </w:t>
      </w:r>
      <w:r>
        <w:rPr>
          <w:rFonts w:ascii="David" w:hAnsi="David" w:cs="David" w:hint="cs"/>
          <w:sz w:val="24"/>
          <w:szCs w:val="24"/>
          <w:rtl/>
        </w:rPr>
        <w:t xml:space="preserve">נבחן את קיום </w:t>
      </w:r>
      <w:r w:rsidRPr="006B62ED">
        <w:rPr>
          <w:rFonts w:ascii="David" w:hAnsi="David" w:cs="David" w:hint="cs"/>
          <w:sz w:val="24"/>
          <w:szCs w:val="24"/>
          <w:u w:val="single"/>
          <w:rtl/>
        </w:rPr>
        <w:t>יסודות סייג</w:t>
      </w:r>
      <w:r w:rsidR="005B51D0">
        <w:rPr>
          <w:rFonts w:ascii="David" w:hAnsi="David" w:cs="David" w:hint="cs"/>
          <w:sz w:val="24"/>
          <w:szCs w:val="24"/>
          <w:u w:val="single"/>
          <w:rtl/>
        </w:rPr>
        <w:t xml:space="preserve"> הצורך</w:t>
      </w:r>
      <w:r>
        <w:rPr>
          <w:rFonts w:ascii="David" w:hAnsi="David" w:cs="David" w:hint="cs"/>
          <w:sz w:val="24"/>
          <w:szCs w:val="24"/>
          <w:rtl/>
        </w:rPr>
        <w:t>:</w:t>
      </w:r>
      <w:r>
        <w:rPr>
          <w:rStyle w:val="af"/>
          <w:rFonts w:ascii="David" w:hAnsi="David" w:cs="David"/>
          <w:sz w:val="24"/>
          <w:szCs w:val="24"/>
          <w:rtl/>
        </w:rPr>
        <w:footnoteReference w:id="6"/>
      </w:r>
      <w:r>
        <w:rPr>
          <w:rFonts w:ascii="David" w:hAnsi="David" w:cs="David" w:hint="cs"/>
          <w:sz w:val="24"/>
          <w:szCs w:val="24"/>
          <w:rtl/>
        </w:rPr>
        <w:t xml:space="preserve"> </w:t>
      </w:r>
    </w:p>
    <w:p w14:paraId="3964832F" w14:textId="5E07402D" w:rsidR="00221F5B" w:rsidRPr="007130D7" w:rsidRDefault="0051240E" w:rsidP="008A78BE">
      <w:pPr>
        <w:spacing w:line="480" w:lineRule="auto"/>
        <w:jc w:val="both"/>
        <w:rPr>
          <w:rFonts w:ascii="David" w:hAnsi="David" w:cs="David"/>
          <w:sz w:val="24"/>
          <w:szCs w:val="24"/>
          <w:rtl/>
        </w:rPr>
      </w:pPr>
      <w:r w:rsidRPr="000C3C11">
        <w:rPr>
          <w:rFonts w:ascii="David" w:hAnsi="David" w:cs="David" w:hint="cs"/>
          <w:b/>
          <w:bCs/>
          <w:sz w:val="24"/>
          <w:szCs w:val="24"/>
          <w:rtl/>
        </w:rPr>
        <w:t>1. סכנה מ</w:t>
      </w:r>
      <w:r>
        <w:rPr>
          <w:rFonts w:ascii="David" w:hAnsi="David" w:cs="David" w:hint="cs"/>
          <w:b/>
          <w:bCs/>
          <w:sz w:val="24"/>
          <w:szCs w:val="24"/>
          <w:rtl/>
        </w:rPr>
        <w:t>מש</w:t>
      </w:r>
      <w:r w:rsidRPr="000C3C11">
        <w:rPr>
          <w:rFonts w:ascii="David" w:hAnsi="David" w:cs="David" w:hint="cs"/>
          <w:b/>
          <w:bCs/>
          <w:sz w:val="24"/>
          <w:szCs w:val="24"/>
          <w:rtl/>
        </w:rPr>
        <w:t>ית</w:t>
      </w:r>
      <w:r w:rsidRPr="004C65BF">
        <w:rPr>
          <w:rFonts w:ascii="David" w:hAnsi="David" w:cs="David" w:hint="cs"/>
          <w:sz w:val="24"/>
          <w:szCs w:val="24"/>
          <w:rtl/>
        </w:rPr>
        <w:t>:</w:t>
      </w:r>
      <w:r>
        <w:rPr>
          <w:rFonts w:ascii="David" w:hAnsi="David" w:cs="David" w:hint="cs"/>
          <w:sz w:val="24"/>
          <w:szCs w:val="24"/>
          <w:rtl/>
        </w:rPr>
        <w:t xml:space="preserve"> אסי האמין שאכן רותם עלולה לפגוע בעצמה וכי נשקפת סכנה ממשית לחיה. </w:t>
      </w:r>
      <w:r w:rsidRPr="00497EF3">
        <w:rPr>
          <w:rFonts w:ascii="David" w:hAnsi="David" w:cs="David" w:hint="cs"/>
          <w:sz w:val="24"/>
          <w:szCs w:val="24"/>
          <w:rtl/>
        </w:rPr>
        <w:t>מנגד,</w:t>
      </w:r>
      <w:r>
        <w:rPr>
          <w:rFonts w:ascii="David" w:hAnsi="David" w:cs="David" w:hint="cs"/>
          <w:sz w:val="24"/>
          <w:szCs w:val="24"/>
          <w:rtl/>
        </w:rPr>
        <w:t xml:space="preserve"> ניתן לפרש כי דבריה של רותם קיצוניים</w:t>
      </w:r>
      <w:r w:rsidR="00E31489">
        <w:rPr>
          <w:rFonts w:ascii="David" w:hAnsi="David" w:cs="David" w:hint="cs"/>
          <w:sz w:val="24"/>
          <w:szCs w:val="24"/>
          <w:rtl/>
        </w:rPr>
        <w:t>, נאמרו כשיחת חולין</w:t>
      </w:r>
      <w:r>
        <w:rPr>
          <w:rFonts w:ascii="David" w:hAnsi="David" w:cs="David" w:hint="cs"/>
          <w:sz w:val="24"/>
          <w:szCs w:val="24"/>
          <w:rtl/>
        </w:rPr>
        <w:t xml:space="preserve"> ואינם מהווים סכנה.</w:t>
      </w:r>
      <w:r>
        <w:rPr>
          <w:rFonts w:ascii="David" w:hAnsi="David" w:cs="David" w:hint="cs"/>
          <w:b/>
          <w:bCs/>
          <w:sz w:val="24"/>
          <w:szCs w:val="24"/>
          <w:rtl/>
        </w:rPr>
        <w:t xml:space="preserve"> 2. </w:t>
      </w:r>
      <w:r w:rsidRPr="008A4F87">
        <w:rPr>
          <w:rFonts w:ascii="David" w:hAnsi="David" w:cs="David" w:hint="cs"/>
          <w:b/>
          <w:bCs/>
          <w:sz w:val="24"/>
          <w:szCs w:val="24"/>
          <w:rtl/>
        </w:rPr>
        <w:t>מצב דברים נתון</w:t>
      </w:r>
      <w:r>
        <w:rPr>
          <w:rFonts w:ascii="David" w:hAnsi="David" w:cs="David" w:hint="cs"/>
          <w:sz w:val="24"/>
          <w:szCs w:val="24"/>
          <w:rtl/>
        </w:rPr>
        <w:t xml:space="preserve">: </w:t>
      </w:r>
      <w:r w:rsidR="006B62ED">
        <w:rPr>
          <w:rFonts w:ascii="David" w:hAnsi="David" w:cs="David" w:hint="cs"/>
          <w:sz w:val="24"/>
          <w:szCs w:val="24"/>
          <w:rtl/>
        </w:rPr>
        <w:t>עקב היעדר הזמן והנחישות להגן על רותם שמא תפגע בעצמה, על אסי היה</w:t>
      </w:r>
      <w:r>
        <w:rPr>
          <w:rFonts w:ascii="David" w:hAnsi="David" w:cs="David" w:hint="cs"/>
          <w:sz w:val="24"/>
          <w:szCs w:val="24"/>
          <w:rtl/>
        </w:rPr>
        <w:t xml:space="preserve"> למצוא חלופה לטבעת במיידיות. הפתרון המהיר והיעיל מבחינתו, היה לפרוץ למתחם כדי להשיג את מבוקשו</w:t>
      </w:r>
      <w:r w:rsidRPr="0017599F">
        <w:rPr>
          <w:rFonts w:ascii="David" w:hAnsi="David" w:cs="David" w:hint="cs"/>
          <w:sz w:val="24"/>
          <w:szCs w:val="24"/>
          <w:rtl/>
        </w:rPr>
        <w:t xml:space="preserve">. </w:t>
      </w:r>
      <w:r>
        <w:rPr>
          <w:rFonts w:ascii="David" w:hAnsi="David" w:cs="David" w:hint="cs"/>
          <w:b/>
          <w:bCs/>
          <w:sz w:val="24"/>
          <w:szCs w:val="24"/>
          <w:rtl/>
        </w:rPr>
        <w:t>3. "</w:t>
      </w:r>
      <w:r w:rsidRPr="000C3C11">
        <w:rPr>
          <w:rFonts w:ascii="David" w:hAnsi="David" w:cs="David" w:hint="cs"/>
          <w:b/>
          <w:bCs/>
          <w:sz w:val="24"/>
          <w:szCs w:val="24"/>
          <w:rtl/>
        </w:rPr>
        <w:t>נחיצות</w:t>
      </w:r>
      <w:r>
        <w:rPr>
          <w:rFonts w:ascii="David" w:hAnsi="David" w:cs="David" w:hint="cs"/>
          <w:b/>
          <w:bCs/>
          <w:sz w:val="24"/>
          <w:szCs w:val="24"/>
          <w:rtl/>
        </w:rPr>
        <w:t>"</w:t>
      </w:r>
      <w:r w:rsidRPr="000C3C11">
        <w:rPr>
          <w:rFonts w:ascii="David" w:hAnsi="David" w:cs="David" w:hint="cs"/>
          <w:sz w:val="24"/>
          <w:szCs w:val="24"/>
          <w:rtl/>
        </w:rPr>
        <w:t>:</w:t>
      </w:r>
      <w:r>
        <w:rPr>
          <w:rFonts w:ascii="David" w:hAnsi="David" w:cs="David" w:hint="cs"/>
          <w:sz w:val="24"/>
          <w:szCs w:val="24"/>
          <w:rtl/>
        </w:rPr>
        <w:t xml:space="preserve"> </w:t>
      </w:r>
      <w:r w:rsidRPr="006E2373">
        <w:rPr>
          <w:rFonts w:ascii="David" w:hAnsi="David" w:cs="David" w:hint="cs"/>
          <w:sz w:val="24"/>
          <w:szCs w:val="24"/>
          <w:u w:val="single"/>
          <w:rtl/>
        </w:rPr>
        <w:t>איכותית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אסי יטען </w:t>
      </w:r>
      <w:r w:rsidR="009412C1">
        <w:rPr>
          <w:rFonts w:ascii="David" w:hAnsi="David" w:cs="David" w:hint="cs"/>
          <w:sz w:val="24"/>
          <w:szCs w:val="24"/>
          <w:rtl/>
        </w:rPr>
        <w:t xml:space="preserve">כי </w:t>
      </w:r>
      <w:r>
        <w:rPr>
          <w:rFonts w:ascii="David" w:hAnsi="David" w:cs="David" w:hint="cs"/>
          <w:sz w:val="24"/>
          <w:szCs w:val="24"/>
          <w:rtl/>
        </w:rPr>
        <w:t xml:space="preserve">לא עמדו בפניו חלופות, בשל היעדר הזמן והחופה שעתידה להתחיל. לכן, היה עליו לפרוץ למתחם על מנת להשיג טבעת </w:t>
      </w:r>
      <w:r w:rsidR="009412C1">
        <w:rPr>
          <w:rFonts w:ascii="David" w:hAnsi="David" w:cs="David" w:hint="cs"/>
          <w:sz w:val="24"/>
          <w:szCs w:val="24"/>
          <w:rtl/>
        </w:rPr>
        <w:t>זהב לבן</w:t>
      </w:r>
      <w:r>
        <w:rPr>
          <w:rFonts w:ascii="David" w:hAnsi="David" w:cs="David" w:hint="cs"/>
          <w:sz w:val="24"/>
          <w:szCs w:val="24"/>
          <w:rtl/>
        </w:rPr>
        <w:t xml:space="preserve">. מנגד, התביעה תטען כי אסי יכל </w:t>
      </w:r>
      <w:r w:rsidR="006B62ED">
        <w:rPr>
          <w:rFonts w:ascii="David" w:hAnsi="David" w:cs="David" w:hint="cs"/>
          <w:sz w:val="24"/>
          <w:szCs w:val="24"/>
          <w:rtl/>
        </w:rPr>
        <w:t>לחשוב על פתרון יצירתי כ</w:t>
      </w:r>
      <w:r w:rsidR="00E20725">
        <w:rPr>
          <w:rFonts w:ascii="David" w:hAnsi="David" w:cs="David" w:hint="cs"/>
          <w:sz w:val="24"/>
          <w:szCs w:val="24"/>
          <w:rtl/>
        </w:rPr>
        <w:t>גון</w:t>
      </w:r>
      <w:r w:rsidR="006B62ED">
        <w:rPr>
          <w:rFonts w:ascii="David" w:hAnsi="David" w:cs="David" w:hint="cs"/>
          <w:sz w:val="24"/>
          <w:szCs w:val="24"/>
          <w:rtl/>
        </w:rPr>
        <w:t xml:space="preserve"> השאלת טבעת התואמת לרצונה של רותם מאחד האורחים או לשוחח על המאורע עם רותם, לפ</w:t>
      </w:r>
      <w:r w:rsidR="00E20725">
        <w:rPr>
          <w:rFonts w:ascii="David" w:hAnsi="David" w:cs="David" w:hint="cs"/>
          <w:sz w:val="24"/>
          <w:szCs w:val="24"/>
          <w:rtl/>
        </w:rPr>
        <w:t>נ</w:t>
      </w:r>
      <w:r w:rsidR="006B62ED">
        <w:rPr>
          <w:rFonts w:ascii="David" w:hAnsi="David" w:cs="David" w:hint="cs"/>
          <w:sz w:val="24"/>
          <w:szCs w:val="24"/>
          <w:rtl/>
        </w:rPr>
        <w:t>י שפעל בצורה פזיזה</w:t>
      </w:r>
      <w:r>
        <w:rPr>
          <w:rFonts w:ascii="David" w:hAnsi="David" w:cs="David" w:hint="cs"/>
          <w:sz w:val="24"/>
          <w:szCs w:val="24"/>
          <w:rtl/>
        </w:rPr>
        <w:t>.</w:t>
      </w:r>
      <w:r w:rsidRPr="00401B43">
        <w:rPr>
          <w:rFonts w:ascii="David" w:hAnsi="David" w:cs="David" w:hint="cs"/>
          <w:sz w:val="24"/>
          <w:szCs w:val="24"/>
          <w:rtl/>
        </w:rPr>
        <w:t xml:space="preserve"> </w:t>
      </w:r>
      <w:r w:rsidRPr="006E2373">
        <w:rPr>
          <w:rFonts w:ascii="David" w:hAnsi="David" w:cs="David" w:hint="cs"/>
          <w:sz w:val="24"/>
          <w:szCs w:val="24"/>
          <w:u w:val="single"/>
          <w:rtl/>
        </w:rPr>
        <w:t>כמותית</w:t>
      </w:r>
      <w:r w:rsidRPr="00401B43">
        <w:rPr>
          <w:rStyle w:val="af"/>
          <w:rFonts w:ascii="David" w:hAnsi="David" w:cs="David"/>
          <w:sz w:val="24"/>
          <w:szCs w:val="24"/>
          <w:rtl/>
        </w:rPr>
        <w:footnoteReference w:id="7"/>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מידת הכוח שהופעל. מדובר בפגיעה באשתו ובעתידם אל מול פריצה למתחם. ולכן, הפעולה מצויה בגדר "מתחם הסבירות". </w:t>
      </w:r>
      <w:r w:rsidRPr="00051121">
        <w:rPr>
          <w:rFonts w:ascii="David" w:hAnsi="David" w:cs="David" w:hint="cs"/>
          <w:sz w:val="24"/>
          <w:szCs w:val="24"/>
          <w:rtl/>
        </w:rPr>
        <w:t>מנגד, פריצה למתחם</w:t>
      </w:r>
      <w:r w:rsidR="009412C1">
        <w:rPr>
          <w:rFonts w:ascii="David" w:hAnsi="David" w:cs="David" w:hint="cs"/>
          <w:sz w:val="24"/>
          <w:szCs w:val="24"/>
          <w:rtl/>
        </w:rPr>
        <w:t xml:space="preserve"> ו</w:t>
      </w:r>
      <w:r w:rsidR="00E31489">
        <w:rPr>
          <w:rFonts w:ascii="David" w:hAnsi="David" w:cs="David" w:hint="cs"/>
          <w:sz w:val="24"/>
          <w:szCs w:val="24"/>
          <w:rtl/>
        </w:rPr>
        <w:t>שבירת מנעול</w:t>
      </w:r>
      <w:r w:rsidRPr="00051121">
        <w:rPr>
          <w:rFonts w:ascii="David" w:hAnsi="David" w:cs="David" w:hint="cs"/>
          <w:sz w:val="24"/>
          <w:szCs w:val="24"/>
          <w:rtl/>
        </w:rPr>
        <w:t xml:space="preserve"> </w:t>
      </w:r>
      <w:r w:rsidR="006B62ED" w:rsidRPr="00051121">
        <w:rPr>
          <w:rFonts w:ascii="David" w:hAnsi="David" w:cs="David" w:hint="cs"/>
          <w:sz w:val="24"/>
          <w:szCs w:val="24"/>
          <w:rtl/>
        </w:rPr>
        <w:t xml:space="preserve">אינה אפשרות </w:t>
      </w:r>
      <w:r w:rsidRPr="00051121">
        <w:rPr>
          <w:rFonts w:ascii="David" w:hAnsi="David" w:cs="David" w:hint="cs"/>
          <w:sz w:val="24"/>
          <w:szCs w:val="24"/>
          <w:rtl/>
        </w:rPr>
        <w:t>סבירה בענייננו</w:t>
      </w:r>
      <w:r>
        <w:rPr>
          <w:rFonts w:ascii="David" w:hAnsi="David" w:cs="David" w:hint="cs"/>
          <w:sz w:val="24"/>
          <w:szCs w:val="24"/>
          <w:rtl/>
        </w:rPr>
        <w:t xml:space="preserve">. </w:t>
      </w:r>
      <w:r>
        <w:rPr>
          <w:rFonts w:ascii="David" w:hAnsi="David" w:cs="David" w:hint="cs"/>
          <w:b/>
          <w:bCs/>
          <w:sz w:val="24"/>
          <w:szCs w:val="24"/>
          <w:rtl/>
        </w:rPr>
        <w:t>4</w:t>
      </w:r>
      <w:r w:rsidRPr="00D224AD">
        <w:rPr>
          <w:rFonts w:ascii="David" w:hAnsi="David" w:cs="David" w:hint="cs"/>
          <w:b/>
          <w:bCs/>
          <w:sz w:val="24"/>
          <w:szCs w:val="24"/>
          <w:rtl/>
        </w:rPr>
        <w:t xml:space="preserve">. </w:t>
      </w:r>
      <w:r>
        <w:rPr>
          <w:rFonts w:ascii="David" w:hAnsi="David" w:cs="David" w:hint="cs"/>
          <w:b/>
          <w:bCs/>
          <w:sz w:val="24"/>
          <w:szCs w:val="24"/>
          <w:rtl/>
        </w:rPr>
        <w:t>"</w:t>
      </w:r>
      <w:r w:rsidRPr="00D224AD">
        <w:rPr>
          <w:rFonts w:ascii="David" w:hAnsi="David" w:cs="David"/>
          <w:b/>
          <w:bCs/>
          <w:sz w:val="24"/>
          <w:szCs w:val="24"/>
          <w:rtl/>
        </w:rPr>
        <w:t>מ</w:t>
      </w:r>
      <w:r w:rsidRPr="00AC01AD">
        <w:rPr>
          <w:rFonts w:ascii="David" w:hAnsi="David" w:cs="David"/>
          <w:b/>
          <w:bCs/>
          <w:sz w:val="24"/>
          <w:szCs w:val="24"/>
          <w:rtl/>
        </w:rPr>
        <w:t>יידיות</w:t>
      </w:r>
      <w:r>
        <w:rPr>
          <w:rFonts w:ascii="David" w:hAnsi="David" w:cs="David" w:hint="cs"/>
          <w:sz w:val="24"/>
          <w:szCs w:val="24"/>
          <w:rtl/>
        </w:rPr>
        <w:t>":</w:t>
      </w:r>
      <w:r w:rsidRPr="00D224AD">
        <w:rPr>
          <w:rFonts w:ascii="David" w:hAnsi="David" w:cs="David" w:hint="cs"/>
          <w:sz w:val="24"/>
          <w:szCs w:val="24"/>
          <w:rtl/>
        </w:rPr>
        <w:t xml:space="preserve"> </w:t>
      </w:r>
      <w:r w:rsidR="00051121">
        <w:rPr>
          <w:rFonts w:ascii="David" w:hAnsi="David" w:cs="David" w:hint="cs"/>
          <w:sz w:val="24"/>
          <w:szCs w:val="24"/>
          <w:rtl/>
        </w:rPr>
        <w:t xml:space="preserve">לאור העובדה </w:t>
      </w:r>
      <w:r w:rsidR="009412C1">
        <w:rPr>
          <w:rFonts w:ascii="David" w:hAnsi="David" w:cs="David" w:hint="cs"/>
          <w:sz w:val="24"/>
          <w:szCs w:val="24"/>
          <w:rtl/>
        </w:rPr>
        <w:t xml:space="preserve">כי </w:t>
      </w:r>
      <w:r w:rsidR="00051121">
        <w:rPr>
          <w:rFonts w:ascii="David" w:hAnsi="David" w:cs="David" w:hint="cs"/>
          <w:sz w:val="24"/>
          <w:szCs w:val="24"/>
          <w:rtl/>
        </w:rPr>
        <w:t>מדובר בפגיעה באדם חף מפשע,</w:t>
      </w:r>
      <w:r w:rsidR="00051121" w:rsidRPr="00D224AD">
        <w:rPr>
          <w:rFonts w:ascii="David" w:hAnsi="David" w:cs="David" w:hint="cs"/>
          <w:sz w:val="24"/>
          <w:szCs w:val="24"/>
          <w:rtl/>
        </w:rPr>
        <w:t xml:space="preserve"> </w:t>
      </w:r>
      <w:r w:rsidRPr="00D224AD">
        <w:rPr>
          <w:rFonts w:ascii="David" w:hAnsi="David" w:cs="David" w:hint="cs"/>
          <w:sz w:val="24"/>
          <w:szCs w:val="24"/>
          <w:rtl/>
        </w:rPr>
        <w:t xml:space="preserve">יש </w:t>
      </w:r>
      <w:r>
        <w:rPr>
          <w:rFonts w:ascii="David" w:hAnsi="David" w:cs="David"/>
          <w:sz w:val="24"/>
          <w:szCs w:val="24"/>
          <w:rtl/>
        </w:rPr>
        <w:t>להוכיח שהסכנה מוחשית ומיידי</w:t>
      </w:r>
      <w:r>
        <w:rPr>
          <w:rFonts w:ascii="David" w:hAnsi="David" w:cs="David" w:hint="cs"/>
          <w:sz w:val="24"/>
          <w:szCs w:val="24"/>
          <w:rtl/>
        </w:rPr>
        <w:t>ת</w:t>
      </w:r>
      <w:r>
        <w:rPr>
          <w:rFonts w:ascii="David" w:hAnsi="David" w:cs="David"/>
          <w:sz w:val="24"/>
          <w:szCs w:val="24"/>
          <w:rtl/>
        </w:rPr>
        <w:t>.</w:t>
      </w:r>
      <w:r>
        <w:rPr>
          <w:rStyle w:val="af"/>
          <w:rFonts w:ascii="David" w:hAnsi="David" w:cs="David"/>
          <w:sz w:val="24"/>
          <w:szCs w:val="24"/>
          <w:rtl/>
        </w:rPr>
        <w:footnoteReference w:id="8"/>
      </w:r>
      <w:r>
        <w:rPr>
          <w:rFonts w:ascii="David" w:hAnsi="David" w:cs="David"/>
          <w:sz w:val="24"/>
          <w:szCs w:val="24"/>
          <w:rtl/>
        </w:rPr>
        <w:t xml:space="preserve"> </w:t>
      </w:r>
      <w:r w:rsidRPr="00D54A34">
        <w:rPr>
          <w:rFonts w:ascii="David" w:hAnsi="David" w:cs="David" w:hint="cs"/>
          <w:sz w:val="24"/>
          <w:szCs w:val="24"/>
          <w:u w:val="single"/>
          <w:rtl/>
        </w:rPr>
        <w:t xml:space="preserve">צורך </w:t>
      </w:r>
      <w:r>
        <w:rPr>
          <w:rFonts w:ascii="David" w:hAnsi="David" w:cs="David" w:hint="cs"/>
          <w:sz w:val="24"/>
          <w:szCs w:val="24"/>
          <w:u w:val="single"/>
          <w:rtl/>
        </w:rPr>
        <w:t>פוטר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051121">
        <w:rPr>
          <w:rFonts w:ascii="David" w:hAnsi="David" w:cs="David" w:hint="cs"/>
          <w:sz w:val="24"/>
          <w:szCs w:val="24"/>
          <w:rtl/>
        </w:rPr>
        <w:t xml:space="preserve">אסי מצוי בחרדה </w:t>
      </w:r>
      <w:r>
        <w:rPr>
          <w:rFonts w:ascii="David" w:hAnsi="David" w:cs="David" w:hint="cs"/>
          <w:sz w:val="24"/>
          <w:szCs w:val="24"/>
          <w:rtl/>
        </w:rPr>
        <w:t>עמוקה</w:t>
      </w:r>
      <w:r w:rsidR="00051121">
        <w:rPr>
          <w:rFonts w:ascii="David" w:hAnsi="David" w:cs="David" w:hint="cs"/>
          <w:sz w:val="24"/>
          <w:szCs w:val="24"/>
          <w:rtl/>
        </w:rPr>
        <w:t xml:space="preserve"> מההשלכות הצפויות, לכן פרץ למתחם</w:t>
      </w:r>
      <w:r>
        <w:rPr>
          <w:rFonts w:ascii="David" w:hAnsi="David" w:cs="David"/>
          <w:sz w:val="24"/>
          <w:szCs w:val="24"/>
          <w:rtl/>
        </w:rPr>
        <w:t>.</w:t>
      </w:r>
      <w:r>
        <w:rPr>
          <w:rFonts w:ascii="David" w:hAnsi="David" w:cs="David" w:hint="cs"/>
          <w:sz w:val="24"/>
          <w:szCs w:val="24"/>
          <w:rtl/>
        </w:rPr>
        <w:t xml:space="preserve"> </w:t>
      </w:r>
      <w:r w:rsidRPr="004F02F8">
        <w:rPr>
          <w:rFonts w:ascii="David" w:hAnsi="David" w:cs="David" w:hint="cs"/>
          <w:sz w:val="24"/>
          <w:szCs w:val="24"/>
          <w:u w:val="single"/>
          <w:rtl/>
        </w:rPr>
        <w:t>צורך מצדיק</w:t>
      </w:r>
      <w:r>
        <w:rPr>
          <w:rFonts w:ascii="David" w:hAnsi="David" w:cs="David" w:hint="cs"/>
          <w:sz w:val="24"/>
          <w:szCs w:val="24"/>
          <w:rtl/>
        </w:rPr>
        <w:t xml:space="preserve"> </w:t>
      </w:r>
      <w:r>
        <w:rPr>
          <w:rFonts w:ascii="David" w:hAnsi="David" w:cs="David"/>
          <w:sz w:val="24"/>
          <w:szCs w:val="24"/>
          <w:rtl/>
        </w:rPr>
        <w:t>–</w:t>
      </w:r>
      <w:r w:rsidR="00051121">
        <w:rPr>
          <w:rFonts w:ascii="David" w:hAnsi="David" w:cs="David" w:hint="cs"/>
          <w:sz w:val="24"/>
          <w:szCs w:val="24"/>
          <w:rtl/>
        </w:rPr>
        <w:t xml:space="preserve"> </w:t>
      </w:r>
      <w:r>
        <w:rPr>
          <w:rFonts w:ascii="David" w:hAnsi="David" w:cs="David" w:hint="cs"/>
          <w:sz w:val="24"/>
          <w:szCs w:val="24"/>
          <w:rtl/>
        </w:rPr>
        <w:t>אסי נדרש ל</w:t>
      </w:r>
      <w:r w:rsidR="00051121">
        <w:rPr>
          <w:rFonts w:ascii="David" w:hAnsi="David" w:cs="David" w:hint="cs"/>
          <w:sz w:val="24"/>
          <w:szCs w:val="24"/>
          <w:rtl/>
        </w:rPr>
        <w:t>אזן</w:t>
      </w:r>
      <w:r>
        <w:rPr>
          <w:rFonts w:ascii="David" w:hAnsi="David" w:cs="David" w:hint="cs"/>
          <w:sz w:val="24"/>
          <w:szCs w:val="24"/>
          <w:rtl/>
        </w:rPr>
        <w:t xml:space="preserve"> בין </w:t>
      </w:r>
      <w:r w:rsidR="00051121">
        <w:rPr>
          <w:rFonts w:ascii="David" w:hAnsi="David" w:cs="David" w:hint="cs"/>
          <w:sz w:val="24"/>
          <w:szCs w:val="24"/>
          <w:rtl/>
        </w:rPr>
        <w:t xml:space="preserve">ערך הקניין לערך חיי אדם. </w:t>
      </w:r>
      <w:r>
        <w:rPr>
          <w:rFonts w:ascii="David" w:hAnsi="David" w:cs="David" w:hint="cs"/>
          <w:sz w:val="24"/>
          <w:szCs w:val="24"/>
          <w:rtl/>
        </w:rPr>
        <w:t xml:space="preserve"> אסי בחר באפשרות ה"רע במיעוטו" לפי השקפתו</w:t>
      </w:r>
      <w:r w:rsidR="00051121">
        <w:rPr>
          <w:rFonts w:ascii="David" w:hAnsi="David" w:cs="David" w:hint="cs"/>
          <w:sz w:val="24"/>
          <w:szCs w:val="24"/>
          <w:rtl/>
        </w:rPr>
        <w:t xml:space="preserve"> ובאפשרות המהירה לנוכח היעדר הזמן</w:t>
      </w:r>
      <w:r>
        <w:rPr>
          <w:rFonts w:ascii="David" w:hAnsi="David" w:cs="David" w:hint="cs"/>
          <w:sz w:val="24"/>
          <w:szCs w:val="24"/>
          <w:rtl/>
        </w:rPr>
        <w:t>.</w:t>
      </w:r>
      <w:r w:rsidR="00E31489">
        <w:rPr>
          <w:rFonts w:ascii="David" w:hAnsi="David" w:cs="David" w:hint="cs"/>
          <w:sz w:val="24"/>
          <w:szCs w:val="24"/>
          <w:rtl/>
        </w:rPr>
        <w:t xml:space="preserve"> מנגד, היה ניתן למצוא חלופה אחרת, לאסי היה עוד מעט זמן כדי לחשוב על רעיון יצירתי ולא פלילי, למשל לבקש טובה אישית מג'ף </w:t>
      </w:r>
      <w:r w:rsidR="00E31489">
        <w:rPr>
          <w:rFonts w:ascii="David" w:hAnsi="David" w:cs="David" w:hint="cs"/>
          <w:sz w:val="24"/>
          <w:szCs w:val="24"/>
          <w:rtl/>
        </w:rPr>
        <w:lastRenderedPageBreak/>
        <w:t xml:space="preserve">הצורף תמורת תשלום נוסף. </w:t>
      </w:r>
      <w:r>
        <w:rPr>
          <w:rFonts w:ascii="David" w:hAnsi="David" w:cs="David" w:hint="cs"/>
          <w:b/>
          <w:bCs/>
          <w:sz w:val="24"/>
          <w:szCs w:val="24"/>
          <w:rtl/>
        </w:rPr>
        <w:t xml:space="preserve"> 5.</w:t>
      </w:r>
      <w:r w:rsidRPr="008372BE">
        <w:rPr>
          <w:rFonts w:ascii="David" w:hAnsi="David" w:cs="David" w:hint="cs"/>
          <w:b/>
          <w:bCs/>
          <w:sz w:val="24"/>
          <w:szCs w:val="24"/>
          <w:rtl/>
        </w:rPr>
        <w:t xml:space="preserve"> טיב הסכנה</w:t>
      </w:r>
      <w:r w:rsidRPr="008372BE">
        <w:rPr>
          <w:rFonts w:ascii="David" w:hAnsi="David" w:cs="David" w:hint="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נדרשת סכנה של פגיעה חמורה. </w:t>
      </w:r>
      <w:r w:rsidRPr="003C4D5B">
        <w:rPr>
          <w:rFonts w:ascii="David" w:hAnsi="David" w:cs="David" w:hint="cs"/>
          <w:sz w:val="24"/>
          <w:szCs w:val="24"/>
          <w:u w:val="single"/>
          <w:rtl/>
        </w:rPr>
        <w:t>רציונל פוטר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פגיעה בחיי אדם חמורה יותר מפגיעה ברכוש</w:t>
      </w:r>
      <w:r w:rsidR="009412C1">
        <w:rPr>
          <w:rFonts w:ascii="David" w:hAnsi="David" w:cs="David" w:hint="cs"/>
          <w:sz w:val="24"/>
          <w:szCs w:val="24"/>
          <w:rtl/>
        </w:rPr>
        <w:t xml:space="preserve"> או </w:t>
      </w:r>
      <w:r>
        <w:rPr>
          <w:rFonts w:ascii="David" w:hAnsi="David" w:cs="David" w:hint="cs"/>
          <w:sz w:val="24"/>
          <w:szCs w:val="24"/>
          <w:rtl/>
        </w:rPr>
        <w:t>פריצה למתחם. אסי היה חייב לפעול למען ההגנה על רותם</w:t>
      </w:r>
      <w:r w:rsidR="00051121">
        <w:rPr>
          <w:rFonts w:ascii="David" w:hAnsi="David" w:cs="David" w:hint="cs"/>
          <w:sz w:val="24"/>
          <w:szCs w:val="24"/>
          <w:rtl/>
        </w:rPr>
        <w:t>, בידיעה ש</w:t>
      </w:r>
      <w:r>
        <w:rPr>
          <w:rFonts w:ascii="David" w:hAnsi="David" w:cs="David" w:hint="cs"/>
          <w:sz w:val="24"/>
          <w:szCs w:val="24"/>
          <w:rtl/>
        </w:rPr>
        <w:t>אלמלא ימצא טבעת חדשה</w:t>
      </w:r>
      <w:r w:rsidR="009412C1">
        <w:rPr>
          <w:rFonts w:ascii="David" w:hAnsi="David" w:cs="David" w:hint="cs"/>
          <w:sz w:val="24"/>
          <w:szCs w:val="24"/>
          <w:rtl/>
        </w:rPr>
        <w:t xml:space="preserve"> ורצויה</w:t>
      </w:r>
      <w:r>
        <w:rPr>
          <w:rFonts w:ascii="David" w:hAnsi="David" w:cs="David" w:hint="cs"/>
          <w:sz w:val="24"/>
          <w:szCs w:val="24"/>
          <w:rtl/>
        </w:rPr>
        <w:t xml:space="preserve">, </w:t>
      </w:r>
      <w:r w:rsidR="009412C1">
        <w:rPr>
          <w:rFonts w:ascii="David" w:hAnsi="David" w:cs="David" w:hint="cs"/>
          <w:sz w:val="24"/>
          <w:szCs w:val="24"/>
          <w:rtl/>
        </w:rPr>
        <w:t>רותם</w:t>
      </w:r>
      <w:r>
        <w:rPr>
          <w:rFonts w:ascii="David" w:hAnsi="David" w:cs="David" w:hint="cs"/>
          <w:sz w:val="24"/>
          <w:szCs w:val="24"/>
          <w:rtl/>
        </w:rPr>
        <w:t xml:space="preserve"> תפגע בעצמה. </w:t>
      </w:r>
      <w:r w:rsidRPr="003C4D5B">
        <w:rPr>
          <w:rFonts w:ascii="David" w:hAnsi="David" w:cs="David" w:hint="cs"/>
          <w:sz w:val="24"/>
          <w:szCs w:val="24"/>
          <w:u w:val="single"/>
          <w:rtl/>
        </w:rPr>
        <w:t>רציונל מצדיק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הפריצה מנעה</w:t>
      </w:r>
      <w:r w:rsidR="00051121">
        <w:rPr>
          <w:rFonts w:ascii="David" w:hAnsi="David" w:cs="David" w:hint="cs"/>
          <w:sz w:val="24"/>
          <w:szCs w:val="24"/>
          <w:rtl/>
        </w:rPr>
        <w:t xml:space="preserve"> סכנה</w:t>
      </w:r>
      <w:r w:rsidR="00242C2B">
        <w:rPr>
          <w:rFonts w:ascii="David" w:hAnsi="David" w:cs="David" w:hint="cs"/>
          <w:sz w:val="24"/>
          <w:szCs w:val="24"/>
          <w:rtl/>
        </w:rPr>
        <w:t>. גם אם רותם לא הייתה מתאבדת, הייתה נגרמת סכנה אחרת לשלמות גופה. לפי צורך מצדיק, די במניעת סכנה של פגיעה רגילה על מנת לפטור מאחריות.</w:t>
      </w:r>
      <w:r w:rsidR="00242C2B">
        <w:rPr>
          <w:rStyle w:val="af"/>
          <w:rFonts w:ascii="David" w:hAnsi="David" w:cs="David"/>
          <w:sz w:val="24"/>
          <w:szCs w:val="24"/>
          <w:rtl/>
        </w:rPr>
        <w:footnoteReference w:id="9"/>
      </w:r>
      <w:r>
        <w:rPr>
          <w:rFonts w:ascii="David" w:hAnsi="David" w:cs="David" w:hint="cs"/>
          <w:sz w:val="24"/>
          <w:szCs w:val="24"/>
          <w:rtl/>
        </w:rPr>
        <w:t xml:space="preserve"> מנגד, התביעה תטען כי אסי פעל מתוך פזיזות</w:t>
      </w:r>
      <w:r w:rsidR="00242C2B">
        <w:rPr>
          <w:rFonts w:ascii="David" w:hAnsi="David" w:cs="David" w:hint="cs"/>
          <w:sz w:val="24"/>
          <w:szCs w:val="24"/>
          <w:rtl/>
        </w:rPr>
        <w:t xml:space="preserve"> </w:t>
      </w:r>
      <w:r>
        <w:rPr>
          <w:rFonts w:ascii="David" w:hAnsi="David" w:cs="David" w:hint="cs"/>
          <w:sz w:val="24"/>
          <w:szCs w:val="24"/>
          <w:rtl/>
        </w:rPr>
        <w:t xml:space="preserve">ותו לא. </w:t>
      </w:r>
      <w:r w:rsidRPr="0033580E">
        <w:rPr>
          <w:rFonts w:ascii="David" w:hAnsi="David" w:cs="David" w:hint="cs"/>
          <w:b/>
          <w:bCs/>
          <w:sz w:val="24"/>
          <w:szCs w:val="24"/>
          <w:rtl/>
        </w:rPr>
        <w:t>6. שקילות</w:t>
      </w:r>
      <w:r w:rsidR="00D93644">
        <w:rPr>
          <w:rFonts w:ascii="David" w:hAnsi="David" w:cs="David" w:hint="cs"/>
          <w:b/>
          <w:bCs/>
          <w:sz w:val="24"/>
          <w:szCs w:val="24"/>
          <w:rtl/>
        </w:rPr>
        <w:t xml:space="preserve"> (=סבירות המעשה)</w:t>
      </w:r>
      <w:r>
        <w:rPr>
          <w:rFonts w:ascii="David" w:hAnsi="David" w:cs="David" w:hint="cs"/>
          <w:sz w:val="24"/>
          <w:szCs w:val="24"/>
          <w:rtl/>
        </w:rPr>
        <w:t>:</w:t>
      </w:r>
      <w:r>
        <w:rPr>
          <w:rStyle w:val="af"/>
          <w:rFonts w:ascii="David" w:hAnsi="David" w:cs="David"/>
          <w:sz w:val="24"/>
          <w:szCs w:val="24"/>
          <w:rtl/>
        </w:rPr>
        <w:footnoteReference w:id="10"/>
      </w:r>
      <w:r>
        <w:rPr>
          <w:rFonts w:ascii="David" w:hAnsi="David" w:cs="David" w:hint="cs"/>
          <w:sz w:val="24"/>
          <w:szCs w:val="24"/>
          <w:rtl/>
        </w:rPr>
        <w:t xml:space="preserve"> </w:t>
      </w:r>
      <w:r w:rsidRPr="0055573C">
        <w:rPr>
          <w:rFonts w:ascii="David" w:hAnsi="David" w:cs="David" w:hint="cs"/>
          <w:sz w:val="24"/>
          <w:szCs w:val="24"/>
          <w:u w:val="single"/>
          <w:rtl/>
        </w:rPr>
        <w:t>צורך מצדיק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על אסי להוכיח </w:t>
      </w:r>
      <w:r w:rsidR="00D93644">
        <w:rPr>
          <w:rFonts w:ascii="David" w:hAnsi="David" w:cs="David" w:hint="cs"/>
          <w:sz w:val="24"/>
          <w:szCs w:val="24"/>
          <w:rtl/>
        </w:rPr>
        <w:t>ש</w:t>
      </w:r>
      <w:r>
        <w:rPr>
          <w:rFonts w:ascii="David" w:hAnsi="David" w:cs="David" w:hint="cs"/>
          <w:sz w:val="24"/>
          <w:szCs w:val="24"/>
          <w:rtl/>
        </w:rPr>
        <w:t>חייה של רותם יקרים משמעותית מחנות שנפרצה. אסי סבר כי פריצה למתחם, השארת תמורה הוגנת בגין טבעת אחרת, שקול לעומת חייה של רותם שי</w:t>
      </w:r>
      <w:r w:rsidR="00D93644">
        <w:rPr>
          <w:rFonts w:ascii="David" w:hAnsi="David" w:cs="David" w:hint="cs"/>
          <w:sz w:val="24"/>
          <w:szCs w:val="24"/>
          <w:rtl/>
        </w:rPr>
        <w:t>פגעו</w:t>
      </w:r>
      <w:r>
        <w:rPr>
          <w:rFonts w:ascii="David" w:hAnsi="David" w:cs="David" w:hint="cs"/>
          <w:sz w:val="24"/>
          <w:szCs w:val="24"/>
          <w:rtl/>
        </w:rPr>
        <w:t>, אילולא יחליף את הטבעת. מנגד, התביעה תטען כי העובד ציין בפני אסי שבמתחם אין תכשיטים</w:t>
      </w:r>
      <w:r w:rsidR="00D93644">
        <w:rPr>
          <w:rFonts w:ascii="David" w:hAnsi="David" w:cs="David" w:hint="cs"/>
          <w:sz w:val="24"/>
          <w:szCs w:val="24"/>
          <w:rtl/>
        </w:rPr>
        <w:t xml:space="preserve"> ו</w:t>
      </w:r>
      <w:r>
        <w:rPr>
          <w:rFonts w:ascii="David" w:hAnsi="David" w:cs="David" w:hint="cs"/>
          <w:sz w:val="24"/>
          <w:szCs w:val="24"/>
          <w:rtl/>
        </w:rPr>
        <w:t xml:space="preserve">בכל זאת, אסי תכנן לקחת טבעת רצויה מהמתחם ולהשאיר תמורה הוגנת במקום ולכן, המעשה שביצע אינו </w:t>
      </w:r>
      <w:r w:rsidR="009412C1">
        <w:rPr>
          <w:rFonts w:ascii="David" w:hAnsi="David" w:cs="David" w:hint="cs"/>
          <w:sz w:val="24"/>
          <w:szCs w:val="24"/>
          <w:rtl/>
        </w:rPr>
        <w:t xml:space="preserve">ריאלי ובטח שלא </w:t>
      </w:r>
      <w:r>
        <w:rPr>
          <w:rFonts w:ascii="David" w:hAnsi="David" w:cs="David" w:hint="cs"/>
          <w:sz w:val="24"/>
          <w:szCs w:val="24"/>
          <w:rtl/>
        </w:rPr>
        <w:t>סבי</w:t>
      </w:r>
      <w:r w:rsidR="008A78BE">
        <w:rPr>
          <w:rFonts w:ascii="David" w:hAnsi="David" w:cs="David" w:hint="cs"/>
          <w:sz w:val="24"/>
          <w:szCs w:val="24"/>
          <w:rtl/>
        </w:rPr>
        <w:t>ר</w:t>
      </w:r>
      <w:r w:rsidR="009412C1">
        <w:rPr>
          <w:rFonts w:ascii="David" w:hAnsi="David" w:cs="David" w:hint="cs"/>
          <w:sz w:val="24"/>
          <w:szCs w:val="24"/>
          <w:rtl/>
        </w:rPr>
        <w:t xml:space="preserve"> לאור הנסיבות</w:t>
      </w:r>
      <w:r>
        <w:rPr>
          <w:rFonts w:ascii="David" w:hAnsi="David" w:cs="David" w:hint="cs"/>
          <w:sz w:val="24"/>
          <w:szCs w:val="24"/>
          <w:rtl/>
        </w:rPr>
        <w:t xml:space="preserve">. </w:t>
      </w:r>
      <w:r w:rsidRPr="0055573C">
        <w:rPr>
          <w:rFonts w:ascii="David" w:hAnsi="David" w:cs="David" w:hint="cs"/>
          <w:sz w:val="24"/>
          <w:szCs w:val="24"/>
          <w:u w:val="single"/>
          <w:rtl/>
        </w:rPr>
        <w:t>צורך פוטר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אסי יטען כי בהתחשב בנסיבות, יש להקל עליו. בנוסף, הגנה על ערך החיים ושלמות הגוף יותר חשובים מאשר ערך הקניין. </w:t>
      </w:r>
      <w:r w:rsidR="00D93644">
        <w:rPr>
          <w:rFonts w:ascii="David" w:hAnsi="David" w:cs="David" w:hint="cs"/>
          <w:sz w:val="24"/>
          <w:szCs w:val="24"/>
          <w:rtl/>
        </w:rPr>
        <w:t>הגנה תינתן גם</w:t>
      </w:r>
      <w:r w:rsidR="00854655">
        <w:rPr>
          <w:rFonts w:ascii="David" w:hAnsi="David" w:cs="David" w:hint="cs"/>
          <w:sz w:val="24"/>
          <w:szCs w:val="24"/>
          <w:rtl/>
        </w:rPr>
        <w:t xml:space="preserve"> אילו הפגיעה לא נמנעה, ובלבד שהנאשם פעל בסבירות </w:t>
      </w:r>
      <w:r w:rsidR="007130D7">
        <w:rPr>
          <w:rFonts w:ascii="David" w:hAnsi="David" w:cs="David" w:hint="cs"/>
          <w:sz w:val="24"/>
          <w:szCs w:val="24"/>
          <w:rtl/>
        </w:rPr>
        <w:t>כדי למנעה.</w:t>
      </w:r>
      <w:r w:rsidR="007130D7">
        <w:rPr>
          <w:rStyle w:val="af"/>
          <w:rFonts w:ascii="David" w:hAnsi="David" w:cs="David"/>
          <w:sz w:val="24"/>
          <w:szCs w:val="24"/>
          <w:rtl/>
        </w:rPr>
        <w:footnoteReference w:id="11"/>
      </w:r>
      <w:r>
        <w:rPr>
          <w:rFonts w:ascii="David" w:hAnsi="David" w:cs="David" w:hint="cs"/>
          <w:sz w:val="24"/>
          <w:szCs w:val="24"/>
          <w:rtl/>
        </w:rPr>
        <w:t xml:space="preserve"> </w:t>
      </w:r>
      <w:r>
        <w:rPr>
          <w:rFonts w:ascii="David" w:hAnsi="David" w:cs="David" w:hint="cs"/>
          <w:b/>
          <w:bCs/>
          <w:sz w:val="24"/>
          <w:szCs w:val="24"/>
          <w:rtl/>
        </w:rPr>
        <w:t xml:space="preserve">7. </w:t>
      </w:r>
      <w:r w:rsidRPr="008A4F87">
        <w:rPr>
          <w:rFonts w:ascii="David" w:hAnsi="David" w:cs="David" w:hint="cs"/>
          <w:b/>
          <w:bCs/>
          <w:sz w:val="24"/>
          <w:szCs w:val="24"/>
          <w:rtl/>
        </w:rPr>
        <w:t>"דרך אחרת למונעה"</w:t>
      </w:r>
      <w:r>
        <w:rPr>
          <w:rFonts w:ascii="David" w:hAnsi="David" w:cs="David" w:hint="cs"/>
          <w:sz w:val="24"/>
          <w:szCs w:val="24"/>
          <w:rtl/>
        </w:rPr>
        <w:t xml:space="preserve">: בהתחשב בפתאומיות המקרה, לא הייתה דרך אחרת להשיג טבעת </w:t>
      </w:r>
      <w:r>
        <w:rPr>
          <w:rFonts w:ascii="David" w:hAnsi="David" w:cs="David"/>
          <w:sz w:val="24"/>
          <w:szCs w:val="24"/>
          <w:rtl/>
        </w:rPr>
        <w:t>–</w:t>
      </w:r>
      <w:r>
        <w:rPr>
          <w:rFonts w:ascii="David" w:hAnsi="David" w:cs="David" w:hint="cs"/>
          <w:sz w:val="24"/>
          <w:szCs w:val="24"/>
          <w:rtl/>
        </w:rPr>
        <w:t xml:space="preserve"> ראה דיון בנחיצות כמותית</w:t>
      </w:r>
      <w:r>
        <w:rPr>
          <w:rFonts w:ascii="David" w:hAnsi="David" w:cs="David"/>
          <w:sz w:val="24"/>
          <w:szCs w:val="24"/>
          <w:rtl/>
        </w:rPr>
        <w:t>. מנגד</w:t>
      </w:r>
      <w:r>
        <w:rPr>
          <w:rFonts w:ascii="David" w:hAnsi="David" w:cs="David" w:hint="cs"/>
          <w:sz w:val="24"/>
          <w:szCs w:val="24"/>
          <w:rtl/>
        </w:rPr>
        <w:t>,</w:t>
      </w:r>
      <w:r>
        <w:rPr>
          <w:rFonts w:ascii="David" w:hAnsi="David" w:cs="David"/>
          <w:sz w:val="24"/>
          <w:szCs w:val="24"/>
          <w:rtl/>
        </w:rPr>
        <w:t xml:space="preserve"> התביעה תטען </w:t>
      </w:r>
      <w:r>
        <w:rPr>
          <w:rFonts w:ascii="David" w:hAnsi="David" w:cs="David" w:hint="cs"/>
          <w:sz w:val="24"/>
          <w:szCs w:val="24"/>
          <w:rtl/>
        </w:rPr>
        <w:t>שאסי יכל למצוא חלופה אחר</w:t>
      </w:r>
      <w:r w:rsidR="007130D7">
        <w:rPr>
          <w:rFonts w:ascii="David" w:hAnsi="David" w:cs="David" w:hint="cs"/>
          <w:sz w:val="24"/>
          <w:szCs w:val="24"/>
          <w:rtl/>
        </w:rPr>
        <w:t>ת.</w:t>
      </w:r>
      <w:r w:rsidRPr="00EC5D17">
        <w:rPr>
          <w:rFonts w:ascii="David" w:hAnsi="David" w:cs="David" w:hint="cs"/>
          <w:sz w:val="24"/>
          <w:szCs w:val="24"/>
          <w:rtl/>
        </w:rPr>
        <w:t xml:space="preserve"> </w:t>
      </w:r>
      <w:r>
        <w:rPr>
          <w:rFonts w:ascii="David" w:hAnsi="David" w:cs="David" w:hint="cs"/>
          <w:sz w:val="24"/>
          <w:szCs w:val="24"/>
          <w:rtl/>
        </w:rPr>
        <w:t>נבחן האם הייתה לאסי דרך אחרת לפעול</w:t>
      </w:r>
      <w:r w:rsidR="007130D7">
        <w:rPr>
          <w:rFonts w:ascii="David" w:hAnsi="David" w:cs="David" w:hint="cs"/>
          <w:sz w:val="24"/>
          <w:szCs w:val="24"/>
          <w:rtl/>
        </w:rPr>
        <w:t>:</w:t>
      </w:r>
      <w:r>
        <w:rPr>
          <w:rFonts w:ascii="David" w:hAnsi="David" w:cs="David" w:hint="cs"/>
          <w:sz w:val="24"/>
          <w:szCs w:val="24"/>
          <w:rtl/>
        </w:rPr>
        <w:t xml:space="preserve"> </w:t>
      </w:r>
      <w:r w:rsidRPr="007F4BFB">
        <w:rPr>
          <w:rFonts w:ascii="David" w:hAnsi="David" w:cs="David" w:hint="cs"/>
          <w:sz w:val="24"/>
          <w:szCs w:val="24"/>
          <w:u w:val="single"/>
          <w:rtl/>
        </w:rPr>
        <w:t xml:space="preserve">צורך מצדיק </w:t>
      </w:r>
      <w:r>
        <w:rPr>
          <w:rFonts w:ascii="David" w:hAnsi="David" w:cs="David"/>
          <w:sz w:val="24"/>
          <w:szCs w:val="24"/>
          <w:rtl/>
        </w:rPr>
        <w:t>–</w:t>
      </w:r>
      <w:r>
        <w:rPr>
          <w:rFonts w:ascii="David" w:hAnsi="David" w:cs="David" w:hint="cs"/>
          <w:sz w:val="24"/>
          <w:szCs w:val="24"/>
          <w:rtl/>
        </w:rPr>
        <w:t xml:space="preserve"> האם אסי בחר באמצעי שפגיעתו פחותה, ראה דיון לעיל בשאלת הנחיצות הכמותית. </w:t>
      </w:r>
      <w:r w:rsidRPr="009820B1">
        <w:rPr>
          <w:rFonts w:ascii="David" w:hAnsi="David" w:cs="David" w:hint="cs"/>
          <w:sz w:val="24"/>
          <w:szCs w:val="24"/>
          <w:u w:val="single"/>
          <w:rtl/>
        </w:rPr>
        <w:t>צורך פוטר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מקביל לשאלת השקילות.</w:t>
      </w:r>
      <w:r>
        <w:rPr>
          <w:rFonts w:ascii="David" w:hAnsi="David" w:cs="David"/>
          <w:sz w:val="24"/>
          <w:szCs w:val="24"/>
          <w:rtl/>
        </w:rPr>
        <w:t xml:space="preserve"> </w:t>
      </w:r>
      <w:r w:rsidRPr="009820B1">
        <w:rPr>
          <w:rFonts w:ascii="David" w:hAnsi="David" w:cs="David" w:hint="cs"/>
          <w:b/>
          <w:bCs/>
          <w:sz w:val="24"/>
          <w:szCs w:val="24"/>
          <w:rtl/>
        </w:rPr>
        <w:t>8. יסוד נפשי</w:t>
      </w:r>
      <w:r w:rsidRPr="009820B1">
        <w:rPr>
          <w:rFonts w:ascii="David" w:hAnsi="David" w:cs="David" w:hint="cs"/>
          <w:sz w:val="24"/>
          <w:szCs w:val="24"/>
          <w:rtl/>
        </w:rPr>
        <w:t>:</w:t>
      </w:r>
      <w:r w:rsidR="008A78BE">
        <w:rPr>
          <w:rStyle w:val="af"/>
          <w:rFonts w:ascii="David" w:hAnsi="David" w:cs="David"/>
          <w:sz w:val="24"/>
          <w:szCs w:val="24"/>
          <w:rtl/>
        </w:rPr>
        <w:footnoteReference w:id="12"/>
      </w:r>
      <w:r w:rsidRPr="009820B1">
        <w:rPr>
          <w:rFonts w:ascii="David" w:hAnsi="David" w:cs="David" w:hint="cs"/>
          <w:sz w:val="24"/>
          <w:szCs w:val="24"/>
          <w:rtl/>
        </w:rPr>
        <w:t xml:space="preserve"> </w:t>
      </w:r>
      <w:r w:rsidR="008A78BE">
        <w:rPr>
          <w:rFonts w:ascii="David" w:hAnsi="David" w:cs="David" w:hint="cs"/>
          <w:color w:val="000000" w:themeColor="text1"/>
          <w:sz w:val="24"/>
          <w:szCs w:val="24"/>
          <w:rtl/>
        </w:rPr>
        <w:t>נדרשת מודעות לפי המבחן האובייקטיבי</w:t>
      </w:r>
      <w:r w:rsidR="008A78BE">
        <w:rPr>
          <w:rFonts w:ascii="David" w:hAnsi="David" w:cs="David" w:hint="cs"/>
          <w:sz w:val="24"/>
          <w:szCs w:val="24"/>
          <w:rtl/>
        </w:rPr>
        <w:t xml:space="preserve">. </w:t>
      </w:r>
      <w:r w:rsidRPr="009820B1">
        <w:rPr>
          <w:rFonts w:ascii="David" w:hAnsi="David" w:cs="David" w:hint="cs"/>
          <w:sz w:val="24"/>
          <w:szCs w:val="24"/>
          <w:rtl/>
        </w:rPr>
        <w:t xml:space="preserve">אסי פעל מתוך מטרה להגן על חיי אשתו לעתיד, לנוכח הסכנה שעתידה להתרחש </w:t>
      </w:r>
      <w:r w:rsidR="007130D7">
        <w:rPr>
          <w:rFonts w:ascii="David" w:hAnsi="David" w:cs="David" w:hint="cs"/>
          <w:sz w:val="24"/>
          <w:szCs w:val="24"/>
          <w:rtl/>
        </w:rPr>
        <w:t>אלמלא</w:t>
      </w:r>
      <w:r w:rsidRPr="009820B1">
        <w:rPr>
          <w:rFonts w:ascii="David" w:hAnsi="David" w:cs="David" w:hint="cs"/>
          <w:sz w:val="24"/>
          <w:szCs w:val="24"/>
          <w:rtl/>
        </w:rPr>
        <w:t xml:space="preserve"> יחליף את הטבעת. אסי</w:t>
      </w:r>
      <w:r w:rsidR="007130D7">
        <w:rPr>
          <w:rFonts w:ascii="David" w:hAnsi="David" w:cs="David" w:hint="cs"/>
          <w:sz w:val="24"/>
          <w:szCs w:val="24"/>
          <w:rtl/>
        </w:rPr>
        <w:t>,</w:t>
      </w:r>
      <w:r w:rsidRPr="009820B1">
        <w:rPr>
          <w:rFonts w:ascii="David" w:hAnsi="David" w:cs="David" w:hint="cs"/>
          <w:sz w:val="24"/>
          <w:szCs w:val="24"/>
          <w:rtl/>
        </w:rPr>
        <w:t xml:space="preserve"> פרץ למתחם מתוך מודעות </w:t>
      </w:r>
      <w:r w:rsidR="007130D7">
        <w:rPr>
          <w:rFonts w:ascii="David" w:hAnsi="David" w:cs="David" w:hint="cs"/>
          <w:sz w:val="24"/>
          <w:szCs w:val="24"/>
          <w:rtl/>
        </w:rPr>
        <w:t>ו</w:t>
      </w:r>
      <w:r w:rsidRPr="009820B1">
        <w:rPr>
          <w:rFonts w:ascii="David" w:hAnsi="David" w:cs="David" w:hint="cs"/>
          <w:sz w:val="24"/>
          <w:szCs w:val="24"/>
          <w:rtl/>
        </w:rPr>
        <w:t>בכוונה להביא טבעת רצויה לרותם על מנת שלא תפגע בעצמה</w:t>
      </w:r>
      <w:r w:rsidR="008A78BE">
        <w:rPr>
          <w:rFonts w:ascii="David" w:hAnsi="David" w:cs="David" w:hint="cs"/>
          <w:sz w:val="24"/>
          <w:szCs w:val="24"/>
          <w:rtl/>
        </w:rPr>
        <w:t>.</w:t>
      </w:r>
      <w:r w:rsidR="007130D7">
        <w:rPr>
          <w:rFonts w:ascii="David" w:hAnsi="David" w:cs="David" w:hint="cs"/>
          <w:sz w:val="24"/>
          <w:szCs w:val="24"/>
          <w:rtl/>
        </w:rPr>
        <w:t xml:space="preserve"> </w:t>
      </w:r>
      <w:r w:rsidRPr="001B5D24">
        <w:rPr>
          <w:rFonts w:ascii="David" w:hAnsi="David" w:cs="David" w:hint="cs"/>
          <w:b/>
          <w:bCs/>
          <w:sz w:val="24"/>
          <w:szCs w:val="24"/>
          <w:rtl/>
        </w:rPr>
        <w:t>9. סייג</w:t>
      </w:r>
      <w:r w:rsidR="00221F5B">
        <w:rPr>
          <w:rFonts w:ascii="David" w:hAnsi="David" w:cs="David" w:hint="cs"/>
          <w:b/>
          <w:bCs/>
          <w:sz w:val="24"/>
          <w:szCs w:val="24"/>
          <w:rtl/>
        </w:rPr>
        <w:t>ים</w:t>
      </w:r>
      <w:r w:rsidRPr="001B5D24">
        <w:rPr>
          <w:rFonts w:ascii="David" w:hAnsi="David" w:cs="David" w:hint="cs"/>
          <w:b/>
          <w:bCs/>
          <w:sz w:val="24"/>
          <w:szCs w:val="24"/>
          <w:rtl/>
        </w:rPr>
        <w:t xml:space="preserve"> להגנת הצורך</w:t>
      </w:r>
      <w:r w:rsidRPr="001B5D24">
        <w:rPr>
          <w:rFonts w:ascii="David" w:hAnsi="David" w:cs="David" w:hint="cs"/>
          <w:sz w:val="24"/>
          <w:szCs w:val="24"/>
          <w:rtl/>
        </w:rPr>
        <w:t xml:space="preserve">: </w:t>
      </w:r>
      <w:r w:rsidRPr="007130D7">
        <w:rPr>
          <w:rFonts w:ascii="David" w:hAnsi="David" w:cs="David" w:hint="cs"/>
          <w:sz w:val="24"/>
          <w:szCs w:val="24"/>
          <w:u w:val="single"/>
          <w:rtl/>
        </w:rPr>
        <w:t>"כניסה למצב בהתנהגות פסולה"</w:t>
      </w:r>
      <w:r w:rsidRPr="007130D7">
        <w:rPr>
          <w:rStyle w:val="af"/>
          <w:rFonts w:ascii="David" w:hAnsi="David" w:cs="David"/>
          <w:sz w:val="24"/>
          <w:szCs w:val="24"/>
          <w:u w:val="single"/>
          <w:rtl/>
        </w:rPr>
        <w:footnoteReference w:id="13"/>
      </w:r>
      <w:r w:rsidRPr="001B5D24">
        <w:rPr>
          <w:rFonts w:ascii="David" w:hAnsi="David" w:cs="David" w:hint="cs"/>
          <w:sz w:val="24"/>
          <w:szCs w:val="24"/>
          <w:rtl/>
        </w:rPr>
        <w:t xml:space="preserve"> </w:t>
      </w:r>
      <w:r w:rsidRPr="001B5D24">
        <w:rPr>
          <w:rFonts w:ascii="David" w:hAnsi="David" w:cs="David"/>
          <w:sz w:val="24"/>
          <w:szCs w:val="24"/>
          <w:rtl/>
        </w:rPr>
        <w:t>–</w:t>
      </w:r>
      <w:r w:rsidRPr="001B5D24">
        <w:rPr>
          <w:rFonts w:ascii="David" w:hAnsi="David" w:cs="David" w:hint="cs"/>
          <w:sz w:val="24"/>
          <w:szCs w:val="24"/>
          <w:rtl/>
        </w:rPr>
        <w:t xml:space="preserve"> </w:t>
      </w:r>
      <w:r>
        <w:rPr>
          <w:rFonts w:ascii="David" w:hAnsi="David" w:cs="David" w:hint="cs"/>
          <w:sz w:val="24"/>
          <w:szCs w:val="24"/>
          <w:rtl/>
        </w:rPr>
        <w:t xml:space="preserve">אסי פרץ למתחם בפזיזות, </w:t>
      </w:r>
      <w:r w:rsidR="002B27B5">
        <w:rPr>
          <w:rFonts w:ascii="David" w:hAnsi="David" w:cs="David" w:hint="cs"/>
          <w:sz w:val="24"/>
          <w:szCs w:val="24"/>
          <w:rtl/>
        </w:rPr>
        <w:t xml:space="preserve">הייתה לו בחירה מלהיכנס לסיטואציה והוא בחר מרצון לפעול כפי שפעל. </w:t>
      </w:r>
      <w:r w:rsidR="009412C1">
        <w:rPr>
          <w:rFonts w:ascii="David" w:hAnsi="David" w:cs="David" w:hint="cs"/>
          <w:sz w:val="24"/>
          <w:szCs w:val="24"/>
          <w:rtl/>
        </w:rPr>
        <w:t>אסי</w:t>
      </w:r>
      <w:r w:rsidR="002B27B5">
        <w:rPr>
          <w:rFonts w:ascii="David" w:hAnsi="David" w:cs="David" w:hint="cs"/>
          <w:sz w:val="24"/>
          <w:szCs w:val="24"/>
          <w:rtl/>
        </w:rPr>
        <w:t xml:space="preserve"> ידע שהכניסה למצב פסולה ואדם סביר, היה צופה לפני, שהמעשה אסור.</w:t>
      </w:r>
      <w:r w:rsidR="008A78BE">
        <w:rPr>
          <w:rFonts w:ascii="David" w:hAnsi="David" w:cs="David" w:hint="cs"/>
          <w:sz w:val="24"/>
          <w:szCs w:val="24"/>
          <w:rtl/>
        </w:rPr>
        <w:t xml:space="preserve"> בייחוד כאשר פעולתו נועדה לשרת את האינטרסים האישיים שלו ולא לטובת הזולת.</w:t>
      </w:r>
      <w:r w:rsidR="00221F5B">
        <w:rPr>
          <w:rFonts w:ascii="David" w:hAnsi="David" w:cs="David" w:hint="cs"/>
          <w:sz w:val="24"/>
          <w:szCs w:val="24"/>
          <w:rtl/>
        </w:rPr>
        <w:t xml:space="preserve"> מנגד, אסי יטען כי</w:t>
      </w:r>
      <w:r w:rsidR="002B27B5">
        <w:rPr>
          <w:rFonts w:ascii="David" w:hAnsi="David" w:cs="David" w:hint="cs"/>
          <w:sz w:val="24"/>
          <w:szCs w:val="24"/>
          <w:rtl/>
        </w:rPr>
        <w:t xml:space="preserve"> במקרה </w:t>
      </w:r>
      <w:r w:rsidR="00221F5B">
        <w:rPr>
          <w:rFonts w:ascii="David" w:hAnsi="David" w:cs="David" w:hint="cs"/>
          <w:sz w:val="24"/>
          <w:szCs w:val="24"/>
          <w:rtl/>
        </w:rPr>
        <w:t>ש</w:t>
      </w:r>
      <w:r w:rsidR="002B27B5">
        <w:rPr>
          <w:rFonts w:ascii="David" w:hAnsi="David" w:cs="David" w:hint="cs"/>
          <w:sz w:val="24"/>
          <w:szCs w:val="24"/>
          <w:rtl/>
        </w:rPr>
        <w:t>אדם נכנס למצב פסול, עליו לעשות זאת לטובת הזולת מלכתחילה</w:t>
      </w:r>
      <w:r w:rsidR="009412C1">
        <w:rPr>
          <w:rFonts w:ascii="David" w:hAnsi="David" w:cs="David" w:hint="cs"/>
          <w:sz w:val="24"/>
          <w:szCs w:val="24"/>
          <w:rtl/>
        </w:rPr>
        <w:t>,</w:t>
      </w:r>
      <w:r w:rsidR="002B27B5">
        <w:rPr>
          <w:rFonts w:ascii="David" w:hAnsi="David" w:cs="David" w:hint="cs"/>
          <w:sz w:val="24"/>
          <w:szCs w:val="24"/>
          <w:rtl/>
        </w:rPr>
        <w:t xml:space="preserve"> </w:t>
      </w:r>
      <w:r w:rsidR="009412C1">
        <w:rPr>
          <w:rFonts w:ascii="David" w:hAnsi="David" w:cs="David" w:hint="cs"/>
          <w:sz w:val="24"/>
          <w:szCs w:val="24"/>
          <w:rtl/>
        </w:rPr>
        <w:t>על מנת</w:t>
      </w:r>
      <w:r w:rsidR="002B27B5">
        <w:rPr>
          <w:rFonts w:ascii="David" w:hAnsi="David" w:cs="David" w:hint="cs"/>
          <w:sz w:val="24"/>
          <w:szCs w:val="24"/>
          <w:rtl/>
        </w:rPr>
        <w:t xml:space="preserve"> שיהיה ניתן לסייג את האחריות הפלילית</w:t>
      </w:r>
      <w:r w:rsidR="00221F5B">
        <w:rPr>
          <w:rFonts w:ascii="David" w:hAnsi="David" w:cs="David" w:hint="cs"/>
          <w:sz w:val="24"/>
          <w:szCs w:val="24"/>
          <w:rtl/>
        </w:rPr>
        <w:t xml:space="preserve"> ולכן, הסייג יעמוד לו</w:t>
      </w:r>
      <w:r w:rsidR="008A78BE">
        <w:rPr>
          <w:rFonts w:ascii="David" w:hAnsi="David" w:cs="David" w:hint="cs"/>
          <w:sz w:val="24"/>
          <w:szCs w:val="24"/>
          <w:rtl/>
        </w:rPr>
        <w:t>,</w:t>
      </w:r>
      <w:r w:rsidR="002B27B5">
        <w:rPr>
          <w:rStyle w:val="af"/>
          <w:rFonts w:ascii="David" w:hAnsi="David" w:cs="David"/>
          <w:sz w:val="24"/>
          <w:szCs w:val="24"/>
          <w:rtl/>
        </w:rPr>
        <w:footnoteReference w:id="14"/>
      </w:r>
      <w:r w:rsidR="008A78BE">
        <w:rPr>
          <w:rFonts w:ascii="David" w:hAnsi="David" w:cs="David" w:hint="cs"/>
          <w:sz w:val="24"/>
          <w:szCs w:val="24"/>
          <w:rtl/>
        </w:rPr>
        <w:t xml:space="preserve"> ההגנה שלו הייתה למען רותם </w:t>
      </w:r>
      <w:r w:rsidR="009412C1">
        <w:rPr>
          <w:rFonts w:ascii="David" w:hAnsi="David" w:cs="David" w:hint="cs"/>
          <w:sz w:val="24"/>
          <w:szCs w:val="24"/>
          <w:rtl/>
        </w:rPr>
        <w:t xml:space="preserve">והיא חוסה תחת הגדרת </w:t>
      </w:r>
      <w:r w:rsidR="008A78BE">
        <w:rPr>
          <w:rFonts w:ascii="David" w:hAnsi="David" w:cs="David" w:hint="cs"/>
          <w:sz w:val="24"/>
          <w:szCs w:val="24"/>
          <w:rtl/>
        </w:rPr>
        <w:t>זולת.</w:t>
      </w:r>
      <w:r w:rsidR="002B27B5">
        <w:rPr>
          <w:rFonts w:ascii="David" w:hAnsi="David" w:cs="David" w:hint="cs"/>
          <w:sz w:val="24"/>
          <w:szCs w:val="24"/>
          <w:rtl/>
        </w:rPr>
        <w:t xml:space="preserve"> </w:t>
      </w:r>
      <w:r w:rsidR="00221F5B">
        <w:rPr>
          <w:rFonts w:ascii="David" w:hAnsi="David" w:cs="David" w:hint="cs"/>
          <w:sz w:val="24"/>
          <w:szCs w:val="24"/>
          <w:rtl/>
        </w:rPr>
        <w:t xml:space="preserve">תוסיף </w:t>
      </w:r>
      <w:r w:rsidR="00221F5B">
        <w:rPr>
          <w:rFonts w:ascii="David" w:hAnsi="David" w:cs="David" w:hint="cs"/>
          <w:sz w:val="24"/>
          <w:szCs w:val="24"/>
          <w:rtl/>
        </w:rPr>
        <w:lastRenderedPageBreak/>
        <w:t>התביעה כי,</w:t>
      </w:r>
      <w:r w:rsidR="002B27B5">
        <w:rPr>
          <w:rFonts w:ascii="David" w:hAnsi="David" w:cs="David" w:hint="cs"/>
          <w:sz w:val="24"/>
          <w:szCs w:val="24"/>
          <w:rtl/>
        </w:rPr>
        <w:t xml:space="preserve"> ציתות לשיחה והיעדר הקשבה לבת זוגתך נופל בגדר ההתנהגות הפסולה</w:t>
      </w:r>
      <w:r w:rsidR="00221F5B">
        <w:rPr>
          <w:rFonts w:ascii="David" w:hAnsi="David" w:cs="David" w:hint="cs"/>
          <w:sz w:val="24"/>
          <w:szCs w:val="24"/>
          <w:rtl/>
        </w:rPr>
        <w:t xml:space="preserve">, </w:t>
      </w:r>
      <w:r w:rsidR="002B27B5">
        <w:rPr>
          <w:rFonts w:ascii="David" w:hAnsi="David" w:cs="David" w:hint="cs"/>
          <w:sz w:val="24"/>
          <w:szCs w:val="24"/>
          <w:rtl/>
        </w:rPr>
        <w:t>אסי מנסה ל</w:t>
      </w:r>
      <w:r w:rsidR="009412C1">
        <w:rPr>
          <w:rFonts w:ascii="David" w:hAnsi="David" w:cs="David" w:hint="cs"/>
          <w:sz w:val="24"/>
          <w:szCs w:val="24"/>
          <w:rtl/>
        </w:rPr>
        <w:t>כפר</w:t>
      </w:r>
      <w:r w:rsidR="002B27B5">
        <w:rPr>
          <w:rFonts w:ascii="David" w:hAnsi="David" w:cs="David" w:hint="cs"/>
          <w:sz w:val="24"/>
          <w:szCs w:val="24"/>
          <w:rtl/>
        </w:rPr>
        <w:t xml:space="preserve"> על הנזק שגרם </w:t>
      </w:r>
      <w:r w:rsidR="00221F5B">
        <w:rPr>
          <w:rFonts w:ascii="David" w:hAnsi="David" w:cs="David" w:hint="cs"/>
          <w:sz w:val="24"/>
          <w:szCs w:val="24"/>
          <w:rtl/>
        </w:rPr>
        <w:t>ולכן</w:t>
      </w:r>
      <w:r w:rsidR="00E20725">
        <w:rPr>
          <w:rFonts w:ascii="David" w:hAnsi="David" w:cs="David" w:hint="cs"/>
          <w:sz w:val="24"/>
          <w:szCs w:val="24"/>
          <w:rtl/>
        </w:rPr>
        <w:t>,</w:t>
      </w:r>
      <w:r w:rsidR="00221F5B">
        <w:rPr>
          <w:rFonts w:ascii="David" w:hAnsi="David" w:cs="David" w:hint="cs"/>
          <w:sz w:val="24"/>
          <w:szCs w:val="24"/>
          <w:rtl/>
        </w:rPr>
        <w:t xml:space="preserve"> הוא פועל מכוח אינטרסים אישיים ולא לטובת הזולת</w:t>
      </w:r>
      <w:r w:rsidR="002B27B5">
        <w:rPr>
          <w:rFonts w:ascii="David" w:hAnsi="David" w:cs="David" w:hint="cs"/>
          <w:sz w:val="24"/>
          <w:szCs w:val="24"/>
          <w:rtl/>
        </w:rPr>
        <w:t xml:space="preserve">. </w:t>
      </w:r>
      <w:r w:rsidRPr="0017599F">
        <w:rPr>
          <w:rFonts w:ascii="David" w:hAnsi="David" w:cs="David" w:hint="cs"/>
          <w:sz w:val="24"/>
          <w:szCs w:val="24"/>
          <w:u w:val="single"/>
          <w:rtl/>
        </w:rPr>
        <w:t>סייג החובה לעמוד בסיכון</w:t>
      </w:r>
      <w:r w:rsidR="007130D7" w:rsidRPr="0017599F">
        <w:rPr>
          <w:rStyle w:val="af"/>
          <w:rFonts w:ascii="David" w:hAnsi="David" w:cs="David"/>
          <w:sz w:val="24"/>
          <w:szCs w:val="24"/>
          <w:u w:val="single"/>
          <w:rtl/>
        </w:rPr>
        <w:footnoteReference w:id="15"/>
      </w:r>
      <w:r w:rsidRPr="0017599F">
        <w:rPr>
          <w:rFonts w:ascii="David" w:hAnsi="David" w:cs="David" w:hint="cs"/>
          <w:sz w:val="24"/>
          <w:szCs w:val="24"/>
          <w:rtl/>
        </w:rPr>
        <w:t xml:space="preserve"> </w:t>
      </w:r>
      <w:r w:rsidRPr="0017599F">
        <w:rPr>
          <w:rFonts w:ascii="David" w:hAnsi="David" w:cs="David"/>
          <w:sz w:val="24"/>
          <w:szCs w:val="24"/>
          <w:rtl/>
        </w:rPr>
        <w:t>–</w:t>
      </w:r>
      <w:r w:rsidR="00221F5B" w:rsidRPr="0017599F">
        <w:rPr>
          <w:rFonts w:ascii="David" w:hAnsi="David" w:cs="David" w:hint="cs"/>
          <w:sz w:val="24"/>
          <w:szCs w:val="24"/>
          <w:rtl/>
        </w:rPr>
        <w:t xml:space="preserve"> על אסי לא מוטלת החובה</w:t>
      </w:r>
      <w:r w:rsidR="009412C1">
        <w:rPr>
          <w:rFonts w:ascii="David" w:hAnsi="David" w:cs="David" w:hint="cs"/>
          <w:sz w:val="24"/>
          <w:szCs w:val="24"/>
          <w:rtl/>
        </w:rPr>
        <w:t xml:space="preserve"> מכוח דין</w:t>
      </w:r>
      <w:r w:rsidR="00221F5B" w:rsidRPr="0017599F">
        <w:rPr>
          <w:rFonts w:ascii="David" w:hAnsi="David" w:cs="David" w:hint="cs"/>
          <w:sz w:val="24"/>
          <w:szCs w:val="24"/>
          <w:rtl/>
        </w:rPr>
        <w:t xml:space="preserve">, </w:t>
      </w:r>
      <w:r w:rsidRPr="0017599F">
        <w:rPr>
          <w:rFonts w:ascii="David" w:hAnsi="David" w:cs="David" w:hint="cs"/>
          <w:sz w:val="24"/>
          <w:szCs w:val="24"/>
          <w:rtl/>
        </w:rPr>
        <w:t>רותם לא נשואה</w:t>
      </w:r>
      <w:r w:rsidR="00221F5B" w:rsidRPr="0017599F">
        <w:rPr>
          <w:rFonts w:ascii="David" w:hAnsi="David" w:cs="David" w:hint="cs"/>
          <w:sz w:val="24"/>
          <w:szCs w:val="24"/>
          <w:rtl/>
        </w:rPr>
        <w:t xml:space="preserve"> לו ו</w:t>
      </w:r>
      <w:r w:rsidR="00E20725">
        <w:rPr>
          <w:rFonts w:ascii="David" w:hAnsi="David" w:cs="David" w:hint="cs"/>
          <w:sz w:val="24"/>
          <w:szCs w:val="24"/>
          <w:rtl/>
        </w:rPr>
        <w:t xml:space="preserve">אין זה </w:t>
      </w:r>
      <w:r w:rsidR="009412C1">
        <w:rPr>
          <w:rFonts w:ascii="David" w:hAnsi="David" w:cs="David" w:hint="cs"/>
          <w:sz w:val="24"/>
          <w:szCs w:val="24"/>
          <w:rtl/>
        </w:rPr>
        <w:t>תפקידו.</w:t>
      </w:r>
    </w:p>
    <w:p w14:paraId="10F1B7C4" w14:textId="64C53DE2" w:rsidR="00937F02" w:rsidRDefault="009343C4" w:rsidP="00A24C27">
      <w:pPr>
        <w:spacing w:line="480" w:lineRule="auto"/>
        <w:jc w:val="both"/>
        <w:rPr>
          <w:rFonts w:ascii="David" w:hAnsi="David" w:cs="David"/>
          <w:color w:val="FF0000"/>
          <w:sz w:val="24"/>
          <w:szCs w:val="24"/>
          <w:rtl/>
        </w:rPr>
      </w:pPr>
      <w:r w:rsidRPr="009343C4">
        <w:rPr>
          <w:rFonts w:ascii="David" w:hAnsi="David" w:cs="David" w:hint="cs"/>
          <w:b/>
          <w:bCs/>
          <w:sz w:val="24"/>
          <w:szCs w:val="24"/>
          <w:rtl/>
        </w:rPr>
        <w:t>(</w:t>
      </w:r>
      <w:r w:rsidR="0051240E">
        <w:rPr>
          <w:rFonts w:ascii="David" w:hAnsi="David" w:cs="David" w:hint="cs"/>
          <w:b/>
          <w:bCs/>
          <w:sz w:val="24"/>
          <w:szCs w:val="24"/>
          <w:rtl/>
        </w:rPr>
        <w:t>ב</w:t>
      </w:r>
      <w:r w:rsidRPr="009343C4">
        <w:rPr>
          <w:rFonts w:ascii="David" w:hAnsi="David" w:cs="David" w:hint="cs"/>
          <w:b/>
          <w:bCs/>
          <w:sz w:val="24"/>
          <w:szCs w:val="24"/>
          <w:rtl/>
        </w:rPr>
        <w:t>)</w:t>
      </w:r>
      <w:r w:rsidR="00166B98" w:rsidRPr="00D828A4">
        <w:rPr>
          <w:rFonts w:ascii="David" w:hAnsi="David" w:cs="David" w:hint="cs"/>
          <w:sz w:val="24"/>
          <w:szCs w:val="24"/>
          <w:rtl/>
        </w:rPr>
        <w:t xml:space="preserve"> </w:t>
      </w:r>
      <w:r w:rsidR="00C53546">
        <w:rPr>
          <w:rFonts w:ascii="David" w:hAnsi="David" w:cs="David" w:hint="cs"/>
          <w:sz w:val="24"/>
          <w:szCs w:val="24"/>
          <w:rtl/>
        </w:rPr>
        <w:t xml:space="preserve">נבחן האם עומד לג'ף סייג </w:t>
      </w:r>
      <w:r w:rsidR="00C53546" w:rsidRPr="00C53546">
        <w:rPr>
          <w:rFonts w:ascii="David" w:hAnsi="David" w:cs="David" w:hint="cs"/>
          <w:b/>
          <w:bCs/>
          <w:sz w:val="24"/>
          <w:szCs w:val="24"/>
          <w:rtl/>
        </w:rPr>
        <w:t xml:space="preserve">ההגנה על </w:t>
      </w:r>
      <w:r w:rsidR="00C53546" w:rsidRPr="00C53546">
        <w:rPr>
          <w:rFonts w:ascii="David" w:hAnsi="David" w:cs="David"/>
          <w:b/>
          <w:bCs/>
          <w:sz w:val="24"/>
          <w:szCs w:val="24"/>
          <w:rtl/>
        </w:rPr>
        <w:t>בית מגורים</w:t>
      </w:r>
      <w:r w:rsidR="00C53546" w:rsidRPr="00C53546">
        <w:rPr>
          <w:rFonts w:ascii="David" w:hAnsi="David" w:cs="David" w:hint="cs"/>
          <w:b/>
          <w:bCs/>
          <w:sz w:val="24"/>
          <w:szCs w:val="24"/>
          <w:rtl/>
        </w:rPr>
        <w:t xml:space="preserve">, </w:t>
      </w:r>
      <w:r w:rsidR="00C53546" w:rsidRPr="00C53546">
        <w:rPr>
          <w:rFonts w:ascii="David" w:hAnsi="David" w:cs="David"/>
          <w:b/>
          <w:bCs/>
          <w:sz w:val="24"/>
          <w:szCs w:val="24"/>
          <w:rtl/>
        </w:rPr>
        <w:t>בית עסק ומשק חקלאי</w:t>
      </w:r>
      <w:r w:rsidR="00C53546" w:rsidRPr="00C53546">
        <w:rPr>
          <w:rFonts w:ascii="David" w:hAnsi="David" w:cs="David" w:hint="cs"/>
          <w:sz w:val="24"/>
          <w:szCs w:val="24"/>
          <w:rtl/>
        </w:rPr>
        <w:t>,</w:t>
      </w:r>
      <w:r w:rsidR="00C53546" w:rsidRPr="00C53546">
        <w:rPr>
          <w:rStyle w:val="af"/>
          <w:rFonts w:ascii="David" w:hAnsi="David" w:cs="David"/>
          <w:sz w:val="24"/>
          <w:szCs w:val="24"/>
          <w:rtl/>
        </w:rPr>
        <w:footnoteReference w:id="16"/>
      </w:r>
      <w:r w:rsidR="00C53546">
        <w:rPr>
          <w:rFonts w:ascii="David" w:hAnsi="David" w:cs="David" w:hint="cs"/>
          <w:sz w:val="24"/>
          <w:szCs w:val="24"/>
          <w:rtl/>
        </w:rPr>
        <w:t xml:space="preserve"> אחרת יורשע בפלילים בגין עברית גרימת חבלה חמורה.</w:t>
      </w:r>
      <w:r w:rsidR="00C53546">
        <w:rPr>
          <w:rStyle w:val="af"/>
          <w:rFonts w:ascii="David" w:hAnsi="David" w:cs="David"/>
          <w:sz w:val="24"/>
          <w:szCs w:val="24"/>
          <w:rtl/>
        </w:rPr>
        <w:footnoteReference w:id="17"/>
      </w:r>
      <w:r w:rsidR="00C53546">
        <w:rPr>
          <w:rFonts w:ascii="David" w:hAnsi="David" w:cs="David" w:hint="cs"/>
          <w:sz w:val="24"/>
          <w:szCs w:val="24"/>
          <w:rtl/>
        </w:rPr>
        <w:t xml:space="preserve"> </w:t>
      </w:r>
      <w:r w:rsidR="00A24C27">
        <w:rPr>
          <w:rFonts w:ascii="David" w:hAnsi="David" w:cs="David" w:hint="cs"/>
          <w:sz w:val="24"/>
          <w:szCs w:val="24"/>
          <w:rtl/>
        </w:rPr>
        <w:t>סייג</w:t>
      </w:r>
      <w:r w:rsidR="00B31AFF">
        <w:rPr>
          <w:rFonts w:ascii="David" w:hAnsi="David" w:cs="David" w:hint="cs"/>
          <w:sz w:val="24"/>
          <w:szCs w:val="24"/>
          <w:rtl/>
        </w:rPr>
        <w:t xml:space="preserve"> ההגנה העצמית הו</w:t>
      </w:r>
      <w:r w:rsidR="00A24C27">
        <w:rPr>
          <w:rFonts w:ascii="David" w:hAnsi="David" w:cs="David" w:hint="cs"/>
          <w:sz w:val="24"/>
          <w:szCs w:val="24"/>
          <w:rtl/>
        </w:rPr>
        <w:t xml:space="preserve">רחב </w:t>
      </w:r>
      <w:r w:rsidR="009412C1">
        <w:rPr>
          <w:rFonts w:ascii="David" w:hAnsi="David" w:cs="David" w:hint="cs"/>
          <w:sz w:val="24"/>
          <w:szCs w:val="24"/>
          <w:rtl/>
        </w:rPr>
        <w:t xml:space="preserve">בחוק </w:t>
      </w:r>
      <w:r w:rsidR="00A24C27">
        <w:rPr>
          <w:rFonts w:ascii="David" w:hAnsi="David" w:cs="David" w:hint="cs"/>
          <w:sz w:val="24"/>
          <w:szCs w:val="24"/>
          <w:rtl/>
        </w:rPr>
        <w:t>להגנה על בית מגורים, בית עסק ומשק חקלאי המתבטא בשינוי דרישת הסבירות ל</w:t>
      </w:r>
      <w:r w:rsidR="009412C1">
        <w:rPr>
          <w:rFonts w:ascii="David" w:hAnsi="David" w:cs="David" w:hint="cs"/>
          <w:sz w:val="24"/>
          <w:szCs w:val="24"/>
          <w:rtl/>
        </w:rPr>
        <w:t xml:space="preserve">דרישה </w:t>
      </w:r>
      <w:r w:rsidR="00A24C27">
        <w:rPr>
          <w:rFonts w:ascii="David" w:hAnsi="David" w:cs="David" w:hint="cs"/>
          <w:sz w:val="24"/>
          <w:szCs w:val="24"/>
          <w:rtl/>
        </w:rPr>
        <w:t xml:space="preserve">"בלתי סביר בעליל", </w:t>
      </w:r>
      <w:r w:rsidR="009412C1">
        <w:rPr>
          <w:rFonts w:ascii="David" w:hAnsi="David" w:cs="David" w:hint="cs"/>
          <w:sz w:val="24"/>
          <w:szCs w:val="24"/>
          <w:rtl/>
        </w:rPr>
        <w:t>המחוקק ויתר</w:t>
      </w:r>
      <w:r w:rsidR="00866219">
        <w:rPr>
          <w:rFonts w:ascii="David" w:hAnsi="David" w:cs="David" w:hint="cs"/>
          <w:sz w:val="24"/>
          <w:szCs w:val="24"/>
          <w:rtl/>
        </w:rPr>
        <w:t xml:space="preserve"> </w:t>
      </w:r>
      <w:r w:rsidR="00A24C27">
        <w:rPr>
          <w:rFonts w:ascii="David" w:hAnsi="David" w:cs="David" w:hint="cs"/>
          <w:sz w:val="24"/>
          <w:szCs w:val="24"/>
          <w:rtl/>
        </w:rPr>
        <w:t xml:space="preserve">על חובת הנסיגה </w:t>
      </w:r>
      <w:commentRangeStart w:id="1"/>
      <w:r w:rsidR="00A24C27">
        <w:rPr>
          <w:rFonts w:ascii="David" w:hAnsi="David" w:cs="David" w:hint="cs"/>
          <w:sz w:val="24"/>
          <w:szCs w:val="24"/>
          <w:rtl/>
        </w:rPr>
        <w:t>והשמ</w:t>
      </w:r>
      <w:r w:rsidR="009412C1">
        <w:rPr>
          <w:rFonts w:ascii="David" w:hAnsi="David" w:cs="David" w:hint="cs"/>
          <w:sz w:val="24"/>
          <w:szCs w:val="24"/>
          <w:rtl/>
        </w:rPr>
        <w:t>יט את</w:t>
      </w:r>
      <w:r w:rsidR="00A24C27">
        <w:rPr>
          <w:rFonts w:ascii="David" w:hAnsi="David" w:cs="David" w:hint="cs"/>
          <w:sz w:val="24"/>
          <w:szCs w:val="24"/>
          <w:rtl/>
        </w:rPr>
        <w:t xml:space="preserve"> מבחני סכנה ממשית ותקיפה שלא כדין</w:t>
      </w:r>
      <w:commentRangeEnd w:id="1"/>
      <w:r w:rsidR="00601E57">
        <w:rPr>
          <w:rStyle w:val="a7"/>
          <w:rtl/>
        </w:rPr>
        <w:commentReference w:id="1"/>
      </w:r>
      <w:r w:rsidR="00A24C27">
        <w:rPr>
          <w:rFonts w:ascii="David" w:hAnsi="David" w:cs="David" w:hint="cs"/>
          <w:sz w:val="24"/>
          <w:szCs w:val="24"/>
          <w:rtl/>
        </w:rPr>
        <w:t>.</w:t>
      </w:r>
      <w:r w:rsidR="00A24C27" w:rsidRPr="00A24C27">
        <w:rPr>
          <w:rFonts w:ascii="David" w:hAnsi="David" w:cs="David" w:hint="cs"/>
          <w:sz w:val="24"/>
          <w:szCs w:val="24"/>
          <w:rtl/>
        </w:rPr>
        <w:t xml:space="preserve"> </w:t>
      </w:r>
      <w:r w:rsidR="00C53546" w:rsidRPr="00C53546">
        <w:rPr>
          <w:rFonts w:ascii="David" w:hAnsi="David" w:cs="David" w:hint="cs"/>
          <w:sz w:val="24"/>
          <w:szCs w:val="24"/>
          <w:u w:val="single"/>
          <w:rtl/>
        </w:rPr>
        <w:t>הרציונל לסייג:</w:t>
      </w:r>
      <w:r w:rsidR="00C53546" w:rsidRPr="00C53546">
        <w:rPr>
          <w:rFonts w:ascii="David" w:hAnsi="David" w:cs="David" w:hint="cs"/>
          <w:sz w:val="24"/>
          <w:szCs w:val="24"/>
          <w:rtl/>
        </w:rPr>
        <w:t xml:space="preserve"> </w:t>
      </w:r>
      <w:r w:rsidR="002C33F9" w:rsidRPr="002C33F9">
        <w:rPr>
          <w:rFonts w:ascii="David" w:hAnsi="David" w:cs="David" w:hint="cs"/>
          <w:sz w:val="24"/>
          <w:szCs w:val="24"/>
          <w:rtl/>
        </w:rPr>
        <w:t xml:space="preserve">זכותו הטבעית של </w:t>
      </w:r>
      <w:r w:rsidR="00AE0720">
        <w:rPr>
          <w:rFonts w:ascii="David" w:hAnsi="David" w:cs="David" w:hint="cs"/>
          <w:sz w:val="24"/>
          <w:szCs w:val="24"/>
          <w:rtl/>
        </w:rPr>
        <w:t>ה</w:t>
      </w:r>
      <w:r w:rsidR="0007254D">
        <w:rPr>
          <w:rFonts w:ascii="David" w:hAnsi="David" w:cs="David" w:hint="cs"/>
          <w:sz w:val="24"/>
          <w:szCs w:val="24"/>
          <w:rtl/>
        </w:rPr>
        <w:t>פרט הי</w:t>
      </w:r>
      <w:r w:rsidR="00C53546">
        <w:rPr>
          <w:rFonts w:ascii="David" w:hAnsi="David" w:cs="David" w:hint="cs"/>
          <w:sz w:val="24"/>
          <w:szCs w:val="24"/>
          <w:rtl/>
        </w:rPr>
        <w:t>א</w:t>
      </w:r>
      <w:r w:rsidR="002C33F9" w:rsidRPr="002C33F9">
        <w:rPr>
          <w:rFonts w:ascii="David" w:hAnsi="David" w:cs="David" w:hint="cs"/>
          <w:sz w:val="24"/>
          <w:szCs w:val="24"/>
          <w:rtl/>
        </w:rPr>
        <w:t xml:space="preserve"> להגן על חייו ורכושו</w:t>
      </w:r>
      <w:r w:rsidR="002C33F9" w:rsidRPr="002C33F9">
        <w:rPr>
          <w:rStyle w:val="af"/>
          <w:rFonts w:ascii="David" w:hAnsi="David" w:cs="David"/>
          <w:sz w:val="24"/>
          <w:szCs w:val="24"/>
          <w:rtl/>
        </w:rPr>
        <w:footnoteReference w:id="18"/>
      </w:r>
      <w:r w:rsidR="002C33F9">
        <w:rPr>
          <w:rFonts w:ascii="David" w:hAnsi="David" w:cs="David" w:hint="cs"/>
          <w:sz w:val="24"/>
          <w:szCs w:val="24"/>
          <w:rtl/>
        </w:rPr>
        <w:t xml:space="preserve">. </w:t>
      </w:r>
      <w:r w:rsidR="00AE0720">
        <w:rPr>
          <w:rFonts w:ascii="David" w:hAnsi="David" w:cs="David" w:hint="cs"/>
          <w:sz w:val="24"/>
          <w:szCs w:val="24"/>
          <w:rtl/>
        </w:rPr>
        <w:t>לנוכח מצבים בהם הפרט נתון לאיום כבד על רכושו/חייו, המדינה מאפשרת לפרט להגן על עצמו</w:t>
      </w:r>
      <w:r w:rsidR="002F21EF">
        <w:rPr>
          <w:rFonts w:ascii="David" w:hAnsi="David" w:cs="David" w:hint="cs"/>
          <w:sz w:val="24"/>
          <w:szCs w:val="24"/>
          <w:rtl/>
        </w:rPr>
        <w:t xml:space="preserve"> ולמנוע את הסכנה.</w:t>
      </w:r>
      <w:r w:rsidR="002F21EF">
        <w:rPr>
          <w:rStyle w:val="af"/>
          <w:rFonts w:ascii="David" w:hAnsi="David" w:cs="David"/>
          <w:sz w:val="24"/>
          <w:szCs w:val="24"/>
          <w:rtl/>
        </w:rPr>
        <w:footnoteReference w:id="19"/>
      </w:r>
      <w:r w:rsidR="002F21EF">
        <w:rPr>
          <w:rFonts w:ascii="David" w:hAnsi="David" w:cs="David" w:hint="cs"/>
          <w:sz w:val="24"/>
          <w:szCs w:val="24"/>
          <w:rtl/>
        </w:rPr>
        <w:t xml:space="preserve"> </w:t>
      </w:r>
      <w:r w:rsidR="00AE0720">
        <w:rPr>
          <w:rFonts w:ascii="David" w:hAnsi="David" w:cs="David" w:hint="cs"/>
          <w:sz w:val="24"/>
          <w:szCs w:val="24"/>
          <w:rtl/>
        </w:rPr>
        <w:t xml:space="preserve">האפשרות הזו מחזקת את </w:t>
      </w:r>
      <w:r w:rsidR="00937F02">
        <w:rPr>
          <w:rFonts w:ascii="David" w:hAnsi="David" w:cs="David" w:hint="cs"/>
          <w:sz w:val="24"/>
          <w:szCs w:val="24"/>
          <w:rtl/>
        </w:rPr>
        <w:t xml:space="preserve">מעמד </w:t>
      </w:r>
      <w:r w:rsidR="00AE0720">
        <w:rPr>
          <w:rFonts w:ascii="David" w:hAnsi="David" w:cs="David" w:hint="cs"/>
          <w:sz w:val="24"/>
          <w:szCs w:val="24"/>
          <w:rtl/>
        </w:rPr>
        <w:t xml:space="preserve">האוטונומיה של הפרט </w:t>
      </w:r>
      <w:r w:rsidR="00937F02">
        <w:rPr>
          <w:rFonts w:ascii="David" w:hAnsi="David" w:cs="David" w:hint="cs"/>
          <w:sz w:val="24"/>
          <w:szCs w:val="24"/>
          <w:rtl/>
        </w:rPr>
        <w:t xml:space="preserve">ואת </w:t>
      </w:r>
      <w:r w:rsidR="002F21EF">
        <w:rPr>
          <w:rFonts w:ascii="David" w:hAnsi="David" w:cs="David" w:hint="cs"/>
          <w:sz w:val="24"/>
          <w:szCs w:val="24"/>
          <w:rtl/>
        </w:rPr>
        <w:t>הגישה</w:t>
      </w:r>
      <w:r w:rsidR="00757FA8">
        <w:rPr>
          <w:rFonts w:ascii="David" w:hAnsi="David" w:cs="David" w:hint="cs"/>
          <w:sz w:val="24"/>
          <w:szCs w:val="24"/>
          <w:rtl/>
        </w:rPr>
        <w:t xml:space="preserve"> שדוגלת כי </w:t>
      </w:r>
      <w:r w:rsidR="004D1840">
        <w:rPr>
          <w:rFonts w:ascii="David" w:hAnsi="David" w:cs="David" w:hint="cs"/>
          <w:sz w:val="24"/>
          <w:szCs w:val="24"/>
          <w:rtl/>
        </w:rPr>
        <w:t>בית מגורים מהווה מקלט</w:t>
      </w:r>
      <w:r w:rsidR="00AE0720">
        <w:rPr>
          <w:rFonts w:ascii="David" w:hAnsi="David" w:cs="David" w:hint="cs"/>
          <w:sz w:val="24"/>
          <w:szCs w:val="24"/>
          <w:rtl/>
        </w:rPr>
        <w:t xml:space="preserve"> ובית מבצר</w:t>
      </w:r>
      <w:r w:rsidR="00AE0720">
        <w:rPr>
          <w:rStyle w:val="af"/>
          <w:rFonts w:ascii="David" w:hAnsi="David" w:cs="David"/>
          <w:sz w:val="24"/>
          <w:szCs w:val="24"/>
          <w:rtl/>
        </w:rPr>
        <w:footnoteReference w:id="20"/>
      </w:r>
      <w:r w:rsidR="002F21EF">
        <w:rPr>
          <w:rFonts w:ascii="David" w:hAnsi="David" w:cs="David" w:hint="cs"/>
          <w:sz w:val="24"/>
          <w:szCs w:val="24"/>
          <w:rtl/>
        </w:rPr>
        <w:t xml:space="preserve"> </w:t>
      </w:r>
      <w:r w:rsidR="00757FA8">
        <w:rPr>
          <w:rFonts w:ascii="David" w:hAnsi="David" w:cs="David" w:hint="cs"/>
          <w:sz w:val="24"/>
          <w:szCs w:val="24"/>
          <w:rtl/>
        </w:rPr>
        <w:t xml:space="preserve">לאדם </w:t>
      </w:r>
      <w:r w:rsidR="00937F02">
        <w:rPr>
          <w:rFonts w:ascii="David" w:hAnsi="David" w:cs="David" w:hint="cs"/>
          <w:sz w:val="24"/>
          <w:szCs w:val="24"/>
          <w:rtl/>
        </w:rPr>
        <w:t>ולא רק רכוש</w:t>
      </w:r>
      <w:r w:rsidR="004D1840">
        <w:rPr>
          <w:rFonts w:ascii="David" w:hAnsi="David" w:cs="David" w:hint="cs"/>
          <w:sz w:val="24"/>
          <w:szCs w:val="24"/>
          <w:rtl/>
        </w:rPr>
        <w:t>.</w:t>
      </w:r>
      <w:r w:rsidR="00AE0720">
        <w:rPr>
          <w:rStyle w:val="af"/>
          <w:rFonts w:ascii="David" w:hAnsi="David" w:cs="David"/>
          <w:sz w:val="24"/>
          <w:szCs w:val="24"/>
          <w:rtl/>
        </w:rPr>
        <w:footnoteReference w:id="21"/>
      </w:r>
      <w:r w:rsidR="004D1840">
        <w:rPr>
          <w:rFonts w:ascii="David" w:hAnsi="David" w:cs="David" w:hint="cs"/>
          <w:sz w:val="24"/>
          <w:szCs w:val="24"/>
          <w:rtl/>
        </w:rPr>
        <w:t xml:space="preserve"> </w:t>
      </w:r>
      <w:r w:rsidR="003A6D01" w:rsidRPr="003A6D01">
        <w:rPr>
          <w:rFonts w:ascii="David" w:hAnsi="David" w:cs="David" w:hint="cs"/>
          <w:sz w:val="24"/>
          <w:szCs w:val="24"/>
          <w:rtl/>
        </w:rPr>
        <w:t xml:space="preserve">על ביהמ"ש </w:t>
      </w:r>
      <w:r w:rsidR="00757FA8">
        <w:rPr>
          <w:rFonts w:ascii="David" w:hAnsi="David" w:cs="David" w:hint="cs"/>
          <w:sz w:val="24"/>
          <w:szCs w:val="24"/>
          <w:rtl/>
        </w:rPr>
        <w:t xml:space="preserve">מוטלת </w:t>
      </w:r>
      <w:r w:rsidR="003A6D01" w:rsidRPr="003A6D01">
        <w:rPr>
          <w:rFonts w:ascii="David" w:hAnsi="David" w:cs="David" w:hint="cs"/>
          <w:sz w:val="24"/>
          <w:szCs w:val="24"/>
          <w:rtl/>
        </w:rPr>
        <w:t>מלאכת האיזון בין הרצון להגן על קורבן תקיפה, מחד, לבין אינטרס הציבור להשליט חוק וסדר ולמנוע "חיסול חשבונות" בדרך אלימה.</w:t>
      </w:r>
      <w:r w:rsidR="003A6D01">
        <w:rPr>
          <w:rStyle w:val="af"/>
          <w:rFonts w:ascii="David" w:hAnsi="David" w:cs="David"/>
          <w:sz w:val="24"/>
          <w:szCs w:val="24"/>
          <w:rtl/>
        </w:rPr>
        <w:footnoteReference w:id="22"/>
      </w:r>
      <w:r w:rsidR="003A6D01" w:rsidRPr="002F21EF">
        <w:rPr>
          <w:rFonts w:ascii="David" w:hAnsi="David" w:cs="David" w:hint="cs"/>
          <w:sz w:val="24"/>
          <w:szCs w:val="24"/>
          <w:rtl/>
        </w:rPr>
        <w:t xml:space="preserve"> </w:t>
      </w:r>
      <w:r w:rsidR="00A24C27">
        <w:rPr>
          <w:rFonts w:ascii="David" w:hAnsi="David" w:cs="David" w:hint="cs"/>
          <w:sz w:val="24"/>
          <w:szCs w:val="24"/>
          <w:rtl/>
        </w:rPr>
        <w:t>רציונל זה מאופיין באופן מובהק כהגנת הצדק.</w:t>
      </w:r>
      <w:r w:rsidR="00A24C27">
        <w:rPr>
          <w:rStyle w:val="af"/>
          <w:rFonts w:ascii="David" w:hAnsi="David" w:cs="David"/>
          <w:sz w:val="24"/>
          <w:szCs w:val="24"/>
          <w:rtl/>
        </w:rPr>
        <w:footnoteReference w:id="23"/>
      </w:r>
      <w:r w:rsidR="00A24C27">
        <w:rPr>
          <w:rFonts w:ascii="David" w:hAnsi="David" w:cs="David" w:hint="cs"/>
          <w:sz w:val="24"/>
          <w:szCs w:val="24"/>
          <w:rtl/>
        </w:rPr>
        <w:t xml:space="preserve"> </w:t>
      </w:r>
      <w:r w:rsidR="00111D60" w:rsidRPr="00111D60">
        <w:rPr>
          <w:rFonts w:ascii="David" w:hAnsi="David" w:cs="David" w:hint="cs"/>
          <w:sz w:val="24"/>
          <w:szCs w:val="24"/>
          <w:u w:val="single"/>
          <w:rtl/>
        </w:rPr>
        <w:t>ביקורת על הרציונל</w:t>
      </w:r>
      <w:r w:rsidR="00111D60">
        <w:rPr>
          <w:rFonts w:ascii="David" w:hAnsi="David" w:cs="David" w:hint="cs"/>
          <w:sz w:val="24"/>
          <w:szCs w:val="24"/>
          <w:rtl/>
        </w:rPr>
        <w:t>: כאשר נשקפת לאדם סכנה לחייו במרחב הציבורי, שיטת המשפט מתירה לו להגן באופן מוגבל על חייו. לעומת זאת, זכאי הפרט ב</w:t>
      </w:r>
      <w:r w:rsidR="00F25EAD">
        <w:rPr>
          <w:rFonts w:ascii="David" w:hAnsi="David" w:cs="David" w:hint="cs"/>
          <w:sz w:val="24"/>
          <w:szCs w:val="24"/>
          <w:rtl/>
        </w:rPr>
        <w:t>בית מגורים, בית עסק ומשק חקלאי</w:t>
      </w:r>
      <w:r w:rsidR="00111D60">
        <w:rPr>
          <w:rFonts w:ascii="David" w:hAnsi="David" w:cs="David" w:hint="cs"/>
          <w:sz w:val="24"/>
          <w:szCs w:val="24"/>
          <w:rtl/>
        </w:rPr>
        <w:t xml:space="preserve">, להגן </w:t>
      </w:r>
      <w:r w:rsidR="00937F02">
        <w:rPr>
          <w:rFonts w:ascii="David" w:hAnsi="David" w:cs="David" w:hint="cs"/>
          <w:sz w:val="24"/>
          <w:szCs w:val="24"/>
          <w:rtl/>
        </w:rPr>
        <w:t xml:space="preserve">על עצמו </w:t>
      </w:r>
      <w:r w:rsidR="00111D60">
        <w:rPr>
          <w:rFonts w:ascii="David" w:hAnsi="David" w:cs="David" w:hint="cs"/>
          <w:sz w:val="24"/>
          <w:szCs w:val="24"/>
          <w:rtl/>
        </w:rPr>
        <w:t>מפני פריצות וגנבות, באמצעים החורגים מן הסביר, כל עוד אינם בגדר אמצעים בלתי-סבירים בעליל.</w:t>
      </w:r>
      <w:r w:rsidR="00F25EAD">
        <w:rPr>
          <w:rFonts w:ascii="David" w:hAnsi="David" w:cs="David" w:hint="cs"/>
          <w:sz w:val="24"/>
          <w:szCs w:val="24"/>
          <w:rtl/>
        </w:rPr>
        <w:t xml:space="preserve"> </w:t>
      </w:r>
      <w:r w:rsidR="00111D60">
        <w:rPr>
          <w:rFonts w:ascii="David" w:hAnsi="David" w:cs="David" w:hint="cs"/>
          <w:sz w:val="24"/>
          <w:szCs w:val="24"/>
          <w:rtl/>
        </w:rPr>
        <w:t xml:space="preserve">נראה כי לערך הקניין </w:t>
      </w:r>
      <w:r w:rsidR="00F25EAD">
        <w:rPr>
          <w:rFonts w:ascii="David" w:hAnsi="David" w:cs="David" w:hint="cs"/>
          <w:sz w:val="24"/>
          <w:szCs w:val="24"/>
          <w:rtl/>
        </w:rPr>
        <w:t xml:space="preserve">יש עדיפות על </w:t>
      </w:r>
      <w:r w:rsidR="00111D60">
        <w:rPr>
          <w:rFonts w:ascii="David" w:hAnsi="David" w:cs="David" w:hint="cs"/>
          <w:sz w:val="24"/>
          <w:szCs w:val="24"/>
          <w:rtl/>
        </w:rPr>
        <w:t>ערך שלמות הגוף וה</w:t>
      </w:r>
      <w:r w:rsidR="00F25EAD">
        <w:rPr>
          <w:rFonts w:ascii="David" w:hAnsi="David" w:cs="David" w:hint="cs"/>
          <w:sz w:val="24"/>
          <w:szCs w:val="24"/>
          <w:rtl/>
        </w:rPr>
        <w:t>חיים.</w:t>
      </w:r>
      <w:r w:rsidR="00F25EAD">
        <w:rPr>
          <w:rStyle w:val="af"/>
          <w:rFonts w:ascii="David" w:hAnsi="David" w:cs="David"/>
          <w:sz w:val="24"/>
          <w:szCs w:val="24"/>
          <w:rtl/>
        </w:rPr>
        <w:footnoteReference w:id="24"/>
      </w:r>
      <w:r w:rsidR="006F4427">
        <w:rPr>
          <w:rFonts w:ascii="David" w:hAnsi="David" w:cs="David" w:hint="cs"/>
          <w:sz w:val="24"/>
          <w:szCs w:val="24"/>
          <w:rtl/>
        </w:rPr>
        <w:t xml:space="preserve"> </w:t>
      </w:r>
    </w:p>
    <w:p w14:paraId="37510C42" w14:textId="13604D09" w:rsidR="006F4427" w:rsidRPr="006F4427" w:rsidRDefault="00F720A9" w:rsidP="00886F70">
      <w:pPr>
        <w:spacing w:line="480" w:lineRule="auto"/>
        <w:jc w:val="both"/>
        <w:rPr>
          <w:rFonts w:ascii="David" w:hAnsi="David" w:cs="David"/>
          <w:sz w:val="24"/>
          <w:szCs w:val="24"/>
          <w:rtl/>
        </w:rPr>
      </w:pPr>
      <w:commentRangeStart w:id="2"/>
      <w:r>
        <w:rPr>
          <w:rFonts w:ascii="David" w:hAnsi="David" w:cs="David" w:hint="cs"/>
          <w:b/>
          <w:bCs/>
          <w:sz w:val="24"/>
          <w:szCs w:val="24"/>
          <w:rtl/>
        </w:rPr>
        <w:t>1. "</w:t>
      </w:r>
      <w:r w:rsidR="00CE2464" w:rsidRPr="00740E96">
        <w:rPr>
          <w:rFonts w:ascii="David" w:hAnsi="David" w:cs="David" w:hint="cs"/>
          <w:b/>
          <w:bCs/>
          <w:sz w:val="24"/>
          <w:szCs w:val="24"/>
          <w:rtl/>
        </w:rPr>
        <w:t>מיידי</w:t>
      </w:r>
      <w:r w:rsidR="00F008FA" w:rsidRPr="00740E96">
        <w:rPr>
          <w:rFonts w:ascii="David" w:hAnsi="David" w:cs="David" w:hint="cs"/>
          <w:b/>
          <w:bCs/>
          <w:sz w:val="24"/>
          <w:szCs w:val="24"/>
          <w:rtl/>
        </w:rPr>
        <w:t>ות</w:t>
      </w:r>
      <w:r>
        <w:rPr>
          <w:rFonts w:ascii="David" w:hAnsi="David" w:cs="David" w:hint="cs"/>
          <w:b/>
          <w:bCs/>
          <w:sz w:val="24"/>
          <w:szCs w:val="24"/>
          <w:rtl/>
        </w:rPr>
        <w:t>"</w:t>
      </w:r>
      <w:r w:rsidRPr="00F720A9">
        <w:rPr>
          <w:rFonts w:ascii="David" w:hAnsi="David" w:cs="David" w:hint="cs"/>
          <w:sz w:val="24"/>
          <w:szCs w:val="24"/>
          <w:rtl/>
        </w:rPr>
        <w:t>:</w:t>
      </w:r>
      <w:r w:rsidR="00F008FA" w:rsidRPr="00740E96">
        <w:rPr>
          <w:rFonts w:ascii="David" w:hAnsi="David" w:cs="David" w:hint="cs"/>
          <w:b/>
          <w:bCs/>
          <w:sz w:val="24"/>
          <w:szCs w:val="24"/>
          <w:rtl/>
        </w:rPr>
        <w:t xml:space="preserve"> </w:t>
      </w:r>
      <w:commentRangeEnd w:id="2"/>
      <w:r w:rsidR="00601E57">
        <w:rPr>
          <w:rStyle w:val="a7"/>
          <w:rtl/>
        </w:rPr>
        <w:commentReference w:id="2"/>
      </w:r>
      <w:r w:rsidR="00141088">
        <w:rPr>
          <w:rFonts w:ascii="David" w:hAnsi="David" w:cs="David" w:hint="cs"/>
          <w:sz w:val="24"/>
          <w:szCs w:val="24"/>
          <w:rtl/>
        </w:rPr>
        <w:t>עיתוי התממשות הסכנה</w:t>
      </w:r>
      <w:r w:rsidR="0093554D">
        <w:rPr>
          <w:rFonts w:ascii="David" w:hAnsi="David" w:cs="David" w:hint="cs"/>
          <w:sz w:val="24"/>
          <w:szCs w:val="24"/>
          <w:rtl/>
        </w:rPr>
        <w:t>. הפסיקה מכירה בהתגוננות מוקדמת, "הבא להרגך השכם להרגו"</w:t>
      </w:r>
      <w:r w:rsidR="00141088">
        <w:rPr>
          <w:rFonts w:ascii="David" w:hAnsi="David" w:cs="David" w:hint="cs"/>
          <w:sz w:val="24"/>
          <w:szCs w:val="24"/>
          <w:rtl/>
        </w:rPr>
        <w:t>.</w:t>
      </w:r>
      <w:r w:rsidR="0093554D">
        <w:rPr>
          <w:rStyle w:val="af"/>
          <w:rFonts w:ascii="David" w:hAnsi="David" w:cs="David"/>
          <w:sz w:val="24"/>
          <w:szCs w:val="24"/>
          <w:rtl/>
        </w:rPr>
        <w:footnoteReference w:id="25"/>
      </w:r>
      <w:r w:rsidR="00141088">
        <w:rPr>
          <w:rFonts w:ascii="David" w:hAnsi="David" w:cs="David" w:hint="cs"/>
          <w:sz w:val="24"/>
          <w:szCs w:val="24"/>
          <w:rtl/>
        </w:rPr>
        <w:t xml:space="preserve"> לנוכח הפריצות הרבות שאירעו</w:t>
      </w:r>
      <w:r w:rsidR="00FE4DB0">
        <w:rPr>
          <w:rFonts w:ascii="David" w:hAnsi="David" w:cs="David" w:hint="cs"/>
          <w:sz w:val="24"/>
          <w:szCs w:val="24"/>
          <w:rtl/>
        </w:rPr>
        <w:t xml:space="preserve"> במתחמיו של ג'ף</w:t>
      </w:r>
      <w:r w:rsidR="00141088">
        <w:rPr>
          <w:rFonts w:ascii="David" w:hAnsi="David" w:cs="David" w:hint="cs"/>
          <w:sz w:val="24"/>
          <w:szCs w:val="24"/>
          <w:rtl/>
        </w:rPr>
        <w:t xml:space="preserve">, </w:t>
      </w:r>
      <w:r w:rsidR="008943F7">
        <w:rPr>
          <w:rFonts w:ascii="David" w:hAnsi="David" w:cs="David" w:hint="cs"/>
          <w:sz w:val="24"/>
          <w:szCs w:val="24"/>
          <w:rtl/>
        </w:rPr>
        <w:t xml:space="preserve">מעשה ההתגוננות </w:t>
      </w:r>
      <w:r w:rsidR="002F21EF">
        <w:rPr>
          <w:rFonts w:ascii="David" w:hAnsi="David" w:cs="David" w:hint="cs"/>
          <w:sz w:val="24"/>
          <w:szCs w:val="24"/>
          <w:rtl/>
        </w:rPr>
        <w:t>(</w:t>
      </w:r>
      <w:r w:rsidR="0093554D">
        <w:rPr>
          <w:rFonts w:ascii="David" w:hAnsi="David" w:cs="David" w:hint="cs"/>
          <w:sz w:val="24"/>
          <w:szCs w:val="24"/>
          <w:rtl/>
        </w:rPr>
        <w:t>ה</w:t>
      </w:r>
      <w:r w:rsidR="00FE4DB0">
        <w:rPr>
          <w:rFonts w:ascii="David" w:hAnsi="David" w:cs="David" w:hint="cs"/>
          <w:sz w:val="24"/>
          <w:szCs w:val="24"/>
          <w:rtl/>
        </w:rPr>
        <w:t>טמנת</w:t>
      </w:r>
      <w:r w:rsidR="002F21EF">
        <w:rPr>
          <w:rFonts w:ascii="David" w:hAnsi="David" w:cs="David" w:hint="cs"/>
          <w:sz w:val="24"/>
          <w:szCs w:val="24"/>
          <w:rtl/>
        </w:rPr>
        <w:t xml:space="preserve"> מכונת הירי) </w:t>
      </w:r>
      <w:r w:rsidR="008943F7">
        <w:rPr>
          <w:rFonts w:ascii="David" w:hAnsi="David" w:cs="David" w:hint="cs"/>
          <w:sz w:val="24"/>
          <w:szCs w:val="24"/>
          <w:rtl/>
        </w:rPr>
        <w:t>נדרש באופן מיידי</w:t>
      </w:r>
      <w:r w:rsidR="0093554D">
        <w:rPr>
          <w:rFonts w:ascii="David" w:hAnsi="David" w:cs="David" w:hint="cs"/>
          <w:sz w:val="24"/>
          <w:szCs w:val="24"/>
          <w:rtl/>
        </w:rPr>
        <w:t xml:space="preserve"> לכדי התגוננות מוקדמת</w:t>
      </w:r>
      <w:r w:rsidR="008943F7">
        <w:rPr>
          <w:rFonts w:ascii="David" w:hAnsi="David" w:cs="David" w:hint="cs"/>
          <w:sz w:val="24"/>
          <w:szCs w:val="24"/>
          <w:rtl/>
        </w:rPr>
        <w:t xml:space="preserve">, </w:t>
      </w:r>
      <w:r w:rsidR="005A7D78">
        <w:rPr>
          <w:rFonts w:ascii="David" w:hAnsi="David" w:cs="David" w:hint="cs"/>
          <w:sz w:val="24"/>
          <w:szCs w:val="24"/>
          <w:rtl/>
        </w:rPr>
        <w:t>לצורך הדיפת הפריצות</w:t>
      </w:r>
      <w:r w:rsidR="0093554D">
        <w:rPr>
          <w:rFonts w:ascii="David" w:hAnsi="David" w:cs="David" w:hint="cs"/>
          <w:sz w:val="24"/>
          <w:szCs w:val="24"/>
          <w:rtl/>
        </w:rPr>
        <w:t xml:space="preserve"> וכי הירי מתרחש רק במידה ומתרחשת פריצה</w:t>
      </w:r>
      <w:r w:rsidR="008943F7">
        <w:rPr>
          <w:rFonts w:ascii="David" w:hAnsi="David" w:cs="David" w:hint="cs"/>
          <w:sz w:val="24"/>
          <w:szCs w:val="24"/>
          <w:rtl/>
        </w:rPr>
        <w:t xml:space="preserve">. </w:t>
      </w:r>
      <w:r w:rsidR="00F008FA" w:rsidRPr="00740E96">
        <w:rPr>
          <w:rFonts w:ascii="David" w:hAnsi="David" w:cs="David" w:hint="cs"/>
          <w:sz w:val="24"/>
          <w:szCs w:val="24"/>
          <w:rtl/>
        </w:rPr>
        <w:t xml:space="preserve">מנגד, התביעה תטען כי </w:t>
      </w:r>
      <w:r w:rsidR="00740E96" w:rsidRPr="00740E96">
        <w:rPr>
          <w:rFonts w:ascii="David" w:hAnsi="David" w:cs="David" w:hint="cs"/>
          <w:sz w:val="24"/>
          <w:szCs w:val="24"/>
          <w:rtl/>
        </w:rPr>
        <w:t>הסכנה שנשקפת מחשש לפריצה אינה מיידית</w:t>
      </w:r>
      <w:r w:rsidR="00FE4DB0">
        <w:rPr>
          <w:rFonts w:ascii="David" w:hAnsi="David" w:cs="David" w:hint="cs"/>
          <w:sz w:val="24"/>
          <w:szCs w:val="24"/>
          <w:rtl/>
        </w:rPr>
        <w:t>, אלא</w:t>
      </w:r>
      <w:r w:rsidR="00740E96" w:rsidRPr="00740E96">
        <w:rPr>
          <w:rFonts w:ascii="David" w:hAnsi="David" w:cs="David" w:hint="cs"/>
          <w:sz w:val="24"/>
          <w:szCs w:val="24"/>
          <w:rtl/>
        </w:rPr>
        <w:t xml:space="preserve"> סכנה שיכולה להתרחש בכל רגע נתון</w:t>
      </w:r>
      <w:r w:rsidR="008943F7">
        <w:rPr>
          <w:rFonts w:ascii="David" w:hAnsi="David" w:cs="David" w:hint="cs"/>
          <w:sz w:val="24"/>
          <w:szCs w:val="24"/>
          <w:rtl/>
        </w:rPr>
        <w:t xml:space="preserve"> ו</w:t>
      </w:r>
      <w:r w:rsidR="008943F7" w:rsidRPr="0093554D">
        <w:rPr>
          <w:rFonts w:ascii="David" w:hAnsi="David" w:cs="David" w:hint="cs"/>
          <w:color w:val="000000" w:themeColor="text1"/>
          <w:sz w:val="24"/>
          <w:szCs w:val="24"/>
          <w:rtl/>
        </w:rPr>
        <w:t>שימוש בחיצי הרדמה אינה פעולה ש</w:t>
      </w:r>
      <w:r w:rsidR="0093554D">
        <w:rPr>
          <w:rFonts w:ascii="David" w:hAnsi="David" w:cs="David" w:hint="cs"/>
          <w:color w:val="000000" w:themeColor="text1"/>
          <w:sz w:val="24"/>
          <w:szCs w:val="24"/>
          <w:rtl/>
        </w:rPr>
        <w:t>נפסקת בתום הירייה</w:t>
      </w:r>
      <w:r w:rsidR="008943F7" w:rsidRPr="0093554D">
        <w:rPr>
          <w:rFonts w:ascii="David" w:hAnsi="David" w:cs="David" w:hint="cs"/>
          <w:color w:val="000000" w:themeColor="text1"/>
          <w:sz w:val="24"/>
          <w:szCs w:val="24"/>
          <w:rtl/>
        </w:rPr>
        <w:t xml:space="preserve">, </w:t>
      </w:r>
      <w:r w:rsidR="0093554D">
        <w:rPr>
          <w:rFonts w:ascii="David" w:hAnsi="David" w:cs="David" w:hint="cs"/>
          <w:color w:val="000000" w:themeColor="text1"/>
          <w:sz w:val="24"/>
          <w:szCs w:val="24"/>
          <w:rtl/>
        </w:rPr>
        <w:t xml:space="preserve">במקרה </w:t>
      </w:r>
      <w:r w:rsidR="0093554D">
        <w:rPr>
          <w:rFonts w:ascii="David" w:hAnsi="David" w:cs="David" w:hint="cs"/>
          <w:color w:val="000000" w:themeColor="text1"/>
          <w:sz w:val="24"/>
          <w:szCs w:val="24"/>
          <w:rtl/>
        </w:rPr>
        <w:lastRenderedPageBreak/>
        <w:t xml:space="preserve">של אסי החץ פגע בעמוד השדרה </w:t>
      </w:r>
      <w:r w:rsidR="0093554D">
        <w:rPr>
          <w:rFonts w:ascii="David" w:hAnsi="David" w:cs="David"/>
          <w:color w:val="000000" w:themeColor="text1"/>
          <w:sz w:val="24"/>
          <w:szCs w:val="24"/>
          <w:rtl/>
        </w:rPr>
        <w:t>–</w:t>
      </w:r>
      <w:r w:rsidR="0093554D">
        <w:rPr>
          <w:rFonts w:ascii="David" w:hAnsi="David" w:cs="David" w:hint="cs"/>
          <w:color w:val="000000" w:themeColor="text1"/>
          <w:sz w:val="24"/>
          <w:szCs w:val="24"/>
          <w:rtl/>
        </w:rPr>
        <w:t xml:space="preserve"> הפעולה נמשכת לאורך זמן</w:t>
      </w:r>
      <w:r w:rsidR="00FE4DB0">
        <w:rPr>
          <w:rFonts w:ascii="David" w:hAnsi="David" w:cs="David" w:hint="cs"/>
          <w:color w:val="000000" w:themeColor="text1"/>
          <w:sz w:val="24"/>
          <w:szCs w:val="24"/>
          <w:rtl/>
        </w:rPr>
        <w:t>, הוא פונה לבית החולים כאשר הוא סובל מפגיעה בעמוד השדרה</w:t>
      </w:r>
      <w:r w:rsidR="0093554D">
        <w:rPr>
          <w:rFonts w:ascii="David" w:hAnsi="David" w:cs="David" w:hint="cs"/>
          <w:color w:val="000000" w:themeColor="text1"/>
          <w:sz w:val="24"/>
          <w:szCs w:val="24"/>
          <w:rtl/>
        </w:rPr>
        <w:t>.</w:t>
      </w:r>
      <w:r w:rsidR="006F4427">
        <w:rPr>
          <w:rFonts w:ascii="David" w:hAnsi="David" w:cs="David" w:hint="cs"/>
          <w:b/>
          <w:bCs/>
          <w:color w:val="000000" w:themeColor="text1"/>
          <w:sz w:val="24"/>
          <w:szCs w:val="24"/>
          <w:rtl/>
        </w:rPr>
        <w:t xml:space="preserve"> 2. </w:t>
      </w:r>
      <w:r w:rsidR="004C4EC5">
        <w:rPr>
          <w:rFonts w:ascii="David" w:hAnsi="David" w:cs="David" w:hint="cs"/>
          <w:b/>
          <w:bCs/>
          <w:color w:val="000000" w:themeColor="text1"/>
          <w:sz w:val="24"/>
          <w:szCs w:val="24"/>
          <w:rtl/>
        </w:rPr>
        <w:t>"</w:t>
      </w:r>
      <w:r w:rsidR="005A7D78" w:rsidRPr="00BC466F">
        <w:rPr>
          <w:rFonts w:ascii="David" w:hAnsi="David" w:cs="David" w:hint="cs"/>
          <w:b/>
          <w:bCs/>
          <w:color w:val="000000" w:themeColor="text1"/>
          <w:sz w:val="24"/>
          <w:szCs w:val="24"/>
          <w:rtl/>
        </w:rPr>
        <w:t>נחיצו</w:t>
      </w:r>
      <w:r w:rsidR="005A7D78" w:rsidRPr="004C4EC5">
        <w:rPr>
          <w:rFonts w:ascii="David" w:hAnsi="David" w:cs="David" w:hint="cs"/>
          <w:b/>
          <w:bCs/>
          <w:color w:val="000000" w:themeColor="text1"/>
          <w:sz w:val="24"/>
          <w:szCs w:val="24"/>
          <w:rtl/>
        </w:rPr>
        <w:t>ת</w:t>
      </w:r>
      <w:r w:rsidR="004C4EC5">
        <w:rPr>
          <w:rFonts w:ascii="David" w:hAnsi="David" w:cs="David" w:hint="cs"/>
          <w:b/>
          <w:bCs/>
          <w:color w:val="000000" w:themeColor="text1"/>
          <w:sz w:val="24"/>
          <w:szCs w:val="24"/>
          <w:rtl/>
        </w:rPr>
        <w:t>"</w:t>
      </w:r>
      <w:r w:rsidR="004C4EC5" w:rsidRPr="004C4EC5">
        <w:rPr>
          <w:rFonts w:ascii="David" w:hAnsi="David" w:cs="David" w:hint="cs"/>
          <w:color w:val="000000" w:themeColor="text1"/>
          <w:sz w:val="24"/>
          <w:szCs w:val="24"/>
          <w:rtl/>
        </w:rPr>
        <w:t>:</w:t>
      </w:r>
      <w:r w:rsidR="005A7D78" w:rsidRPr="004C4EC5">
        <w:rPr>
          <w:rFonts w:ascii="David" w:hAnsi="David" w:cs="David" w:hint="cs"/>
          <w:b/>
          <w:bCs/>
          <w:color w:val="000000" w:themeColor="text1"/>
          <w:sz w:val="24"/>
          <w:szCs w:val="24"/>
          <w:rtl/>
        </w:rPr>
        <w:t xml:space="preserve"> </w:t>
      </w:r>
      <w:r w:rsidR="00162B8F">
        <w:rPr>
          <w:rFonts w:ascii="David" w:hAnsi="David" w:cs="David" w:hint="cs"/>
          <w:color w:val="000000" w:themeColor="text1"/>
          <w:sz w:val="24"/>
          <w:szCs w:val="24"/>
          <w:u w:val="single"/>
          <w:rtl/>
        </w:rPr>
        <w:t>איכו</w:t>
      </w:r>
      <w:r w:rsidR="005A7D78" w:rsidRPr="004C4EC5">
        <w:rPr>
          <w:rFonts w:ascii="David" w:hAnsi="David" w:cs="David" w:hint="cs"/>
          <w:color w:val="000000" w:themeColor="text1"/>
          <w:sz w:val="24"/>
          <w:szCs w:val="24"/>
          <w:u w:val="single"/>
          <w:rtl/>
        </w:rPr>
        <w:t>תית</w:t>
      </w:r>
      <w:r w:rsidR="005A7D78" w:rsidRPr="00BC466F">
        <w:rPr>
          <w:rFonts w:ascii="David" w:hAnsi="David" w:cs="David" w:hint="cs"/>
          <w:color w:val="000000" w:themeColor="text1"/>
          <w:sz w:val="24"/>
          <w:szCs w:val="24"/>
          <w:rtl/>
        </w:rPr>
        <w:t xml:space="preserve"> </w:t>
      </w:r>
      <w:r w:rsidR="004C4EC5">
        <w:rPr>
          <w:rFonts w:ascii="David" w:hAnsi="David" w:cs="David"/>
          <w:color w:val="000000" w:themeColor="text1"/>
          <w:sz w:val="24"/>
          <w:szCs w:val="24"/>
          <w:rtl/>
        </w:rPr>
        <w:t>–</w:t>
      </w:r>
      <w:r w:rsidR="004C4EC5">
        <w:rPr>
          <w:rFonts w:ascii="David" w:hAnsi="David" w:cs="David" w:hint="cs"/>
          <w:color w:val="000000" w:themeColor="text1"/>
          <w:sz w:val="24"/>
          <w:szCs w:val="24"/>
          <w:rtl/>
        </w:rPr>
        <w:t xml:space="preserve"> ג'ף </w:t>
      </w:r>
      <w:r w:rsidR="00BC466F">
        <w:rPr>
          <w:rFonts w:ascii="David" w:hAnsi="David" w:cs="David" w:hint="cs"/>
          <w:sz w:val="24"/>
          <w:szCs w:val="24"/>
          <w:rtl/>
        </w:rPr>
        <w:t>פעל באלימות ולא כמוצא אחרון אלא כברירת מחדל. האפשרות "המהירה" לפרוץ לבית עסק שמכיל תכשיטים וציוד יקר, המאובטח במנעול בלבד, אינו אחראי. היה ניתן להתקין מצלמות אבטחה, להצמיד שמירה או להעביר לטיפול משטרתי לפני השימוש בכוח קטלני, בייחוד כאשר לא כרוכה הגנה על חיי הפרט</w:t>
      </w:r>
      <w:r w:rsidR="007F0FE3">
        <w:rPr>
          <w:rFonts w:ascii="David" w:hAnsi="David" w:cs="David" w:hint="cs"/>
          <w:sz w:val="24"/>
          <w:szCs w:val="24"/>
          <w:rtl/>
        </w:rPr>
        <w:t>/</w:t>
      </w:r>
      <w:r w:rsidR="00BC466F">
        <w:rPr>
          <w:rFonts w:ascii="David" w:hAnsi="David" w:cs="David" w:hint="cs"/>
          <w:sz w:val="24"/>
          <w:szCs w:val="24"/>
          <w:rtl/>
        </w:rPr>
        <w:t>שלמות גופו.</w:t>
      </w:r>
      <w:r w:rsidR="00BC466F">
        <w:rPr>
          <w:rFonts w:ascii="David" w:hAnsi="David" w:cs="David" w:hint="cs"/>
          <w:color w:val="FF0000"/>
          <w:sz w:val="24"/>
          <w:szCs w:val="24"/>
          <w:rtl/>
        </w:rPr>
        <w:t xml:space="preserve"> </w:t>
      </w:r>
      <w:r w:rsidR="00BC466F" w:rsidRPr="00BC466F">
        <w:rPr>
          <w:rFonts w:ascii="David" w:hAnsi="David" w:cs="David" w:hint="cs"/>
          <w:color w:val="000000" w:themeColor="text1"/>
          <w:sz w:val="24"/>
          <w:szCs w:val="24"/>
          <w:rtl/>
        </w:rPr>
        <w:t xml:space="preserve">מנגד, ג'ף יטען </w:t>
      </w:r>
      <w:r w:rsidR="007F0FE3">
        <w:rPr>
          <w:rFonts w:ascii="David" w:hAnsi="David" w:cs="David" w:hint="cs"/>
          <w:color w:val="000000" w:themeColor="text1"/>
          <w:sz w:val="24"/>
          <w:szCs w:val="24"/>
          <w:rtl/>
        </w:rPr>
        <w:t>ש</w:t>
      </w:r>
      <w:r w:rsidR="001F6936" w:rsidRPr="00343198">
        <w:rPr>
          <w:rFonts w:ascii="David" w:hAnsi="David" w:cs="David" w:hint="cs"/>
          <w:color w:val="000000" w:themeColor="text1"/>
          <w:sz w:val="24"/>
          <w:szCs w:val="24"/>
          <w:rtl/>
        </w:rPr>
        <w:t>לנוכח הפריצות הרבות, הוא רצה לייצר הרתעה אפקטיבית</w:t>
      </w:r>
      <w:r w:rsidR="00F952FA">
        <w:rPr>
          <w:rFonts w:ascii="David" w:hAnsi="David" w:cs="David" w:hint="cs"/>
          <w:color w:val="000000" w:themeColor="text1"/>
          <w:sz w:val="24"/>
          <w:szCs w:val="24"/>
          <w:rtl/>
        </w:rPr>
        <w:t xml:space="preserve"> ולכן פעל כך</w:t>
      </w:r>
      <w:r w:rsidR="001F6936" w:rsidRPr="00343198">
        <w:rPr>
          <w:rFonts w:ascii="David" w:hAnsi="David" w:cs="David" w:hint="cs"/>
          <w:color w:val="000000" w:themeColor="text1"/>
          <w:sz w:val="24"/>
          <w:szCs w:val="24"/>
          <w:rtl/>
        </w:rPr>
        <w:t>.</w:t>
      </w:r>
      <w:r w:rsidR="00A24C27">
        <w:rPr>
          <w:rFonts w:ascii="David" w:hAnsi="David" w:cs="David" w:hint="cs"/>
          <w:color w:val="000000" w:themeColor="text1"/>
          <w:sz w:val="24"/>
          <w:szCs w:val="24"/>
          <w:rtl/>
        </w:rPr>
        <w:t xml:space="preserve"> </w:t>
      </w:r>
      <w:r>
        <w:rPr>
          <w:rFonts w:ascii="David" w:hAnsi="David" w:cs="David" w:hint="cs"/>
          <w:color w:val="000000" w:themeColor="text1"/>
          <w:sz w:val="24"/>
          <w:szCs w:val="24"/>
          <w:rtl/>
        </w:rPr>
        <w:t xml:space="preserve">כאשר </w:t>
      </w:r>
      <w:r w:rsidR="00A24C27">
        <w:rPr>
          <w:rFonts w:ascii="David" w:hAnsi="David" w:cs="David" w:hint="cs"/>
          <w:color w:val="000000" w:themeColor="text1"/>
          <w:sz w:val="24"/>
          <w:szCs w:val="24"/>
          <w:rtl/>
        </w:rPr>
        <w:t>מדובר בבית עסק, אין חובת נסיגה כאמור</w:t>
      </w:r>
      <w:r w:rsidR="004C4EC5">
        <w:rPr>
          <w:rStyle w:val="af"/>
          <w:rFonts w:ascii="David" w:hAnsi="David" w:cs="David"/>
          <w:color w:val="000000" w:themeColor="text1"/>
          <w:sz w:val="24"/>
          <w:szCs w:val="24"/>
          <w:rtl/>
        </w:rPr>
        <w:footnoteReference w:id="26"/>
      </w:r>
      <w:r w:rsidR="004C4EC5">
        <w:rPr>
          <w:rFonts w:ascii="David" w:hAnsi="David" w:cs="David" w:hint="cs"/>
          <w:color w:val="000000" w:themeColor="text1"/>
          <w:sz w:val="24"/>
          <w:szCs w:val="24"/>
          <w:rtl/>
        </w:rPr>
        <w:t>.</w:t>
      </w:r>
      <w:r w:rsidR="00A24C27">
        <w:rPr>
          <w:rFonts w:ascii="David" w:hAnsi="David" w:cs="David" w:hint="cs"/>
          <w:color w:val="000000" w:themeColor="text1"/>
          <w:sz w:val="24"/>
          <w:szCs w:val="24"/>
          <w:rtl/>
        </w:rPr>
        <w:t xml:space="preserve"> גם </w:t>
      </w:r>
      <w:r>
        <w:rPr>
          <w:rFonts w:ascii="David" w:hAnsi="David" w:cs="David" w:hint="cs"/>
          <w:color w:val="000000" w:themeColor="text1"/>
          <w:sz w:val="24"/>
          <w:szCs w:val="24"/>
          <w:rtl/>
        </w:rPr>
        <w:t>לנוכח</w:t>
      </w:r>
      <w:r w:rsidR="00A24C27">
        <w:rPr>
          <w:rFonts w:ascii="David" w:hAnsi="David" w:cs="David" w:hint="cs"/>
          <w:color w:val="000000" w:themeColor="text1"/>
          <w:sz w:val="24"/>
          <w:szCs w:val="24"/>
          <w:rtl/>
        </w:rPr>
        <w:t xml:space="preserve"> חובת נסיגה, בענייננו</w:t>
      </w:r>
      <w:r>
        <w:rPr>
          <w:rFonts w:ascii="David" w:hAnsi="David" w:cs="David" w:hint="cs"/>
          <w:color w:val="000000" w:themeColor="text1"/>
          <w:sz w:val="24"/>
          <w:szCs w:val="24"/>
          <w:rtl/>
        </w:rPr>
        <w:t>,</w:t>
      </w:r>
      <w:r w:rsidR="00A24C27">
        <w:rPr>
          <w:rFonts w:ascii="David" w:hAnsi="David" w:cs="David" w:hint="cs"/>
          <w:color w:val="000000" w:themeColor="text1"/>
          <w:sz w:val="24"/>
          <w:szCs w:val="24"/>
          <w:rtl/>
        </w:rPr>
        <w:t xml:space="preserve"> אין היא רלוונטית </w:t>
      </w:r>
      <w:r>
        <w:rPr>
          <w:rFonts w:ascii="David" w:hAnsi="David" w:cs="David" w:hint="cs"/>
          <w:color w:val="000000" w:themeColor="text1"/>
          <w:sz w:val="24"/>
          <w:szCs w:val="24"/>
          <w:rtl/>
        </w:rPr>
        <w:t>מאחר והמתחם היה לא מאויש</w:t>
      </w:r>
      <w:r w:rsidR="00A24C27">
        <w:rPr>
          <w:rFonts w:ascii="David" w:hAnsi="David" w:cs="David" w:hint="cs"/>
          <w:color w:val="000000" w:themeColor="text1"/>
          <w:sz w:val="24"/>
          <w:szCs w:val="24"/>
          <w:rtl/>
        </w:rPr>
        <w:t>.</w:t>
      </w:r>
      <w:r w:rsidR="00A24C27">
        <w:rPr>
          <w:rStyle w:val="af"/>
          <w:rFonts w:ascii="David" w:hAnsi="David" w:cs="David"/>
          <w:color w:val="000000" w:themeColor="text1"/>
          <w:sz w:val="24"/>
          <w:szCs w:val="24"/>
          <w:rtl/>
        </w:rPr>
        <w:footnoteReference w:id="27"/>
      </w:r>
      <w:r w:rsidR="00A24C27">
        <w:rPr>
          <w:rFonts w:ascii="David" w:hAnsi="David" w:cs="David" w:hint="cs"/>
          <w:color w:val="000000" w:themeColor="text1"/>
          <w:sz w:val="24"/>
          <w:szCs w:val="24"/>
          <w:rtl/>
        </w:rPr>
        <w:t xml:space="preserve"> </w:t>
      </w:r>
      <w:r w:rsidR="00162B8F" w:rsidRPr="00162B8F">
        <w:rPr>
          <w:rFonts w:ascii="David" w:hAnsi="David" w:cs="David" w:hint="cs"/>
          <w:sz w:val="24"/>
          <w:szCs w:val="24"/>
          <w:u w:val="single"/>
          <w:rtl/>
        </w:rPr>
        <w:t>כמותית</w:t>
      </w:r>
      <w:r w:rsidR="00162B8F">
        <w:rPr>
          <w:rFonts w:ascii="David" w:hAnsi="David" w:cs="David" w:hint="cs"/>
          <w:sz w:val="24"/>
          <w:szCs w:val="24"/>
          <w:rtl/>
        </w:rPr>
        <w:t xml:space="preserve"> </w:t>
      </w:r>
      <w:r w:rsidR="009309A2">
        <w:rPr>
          <w:rFonts w:ascii="David" w:hAnsi="David" w:cs="David"/>
          <w:sz w:val="24"/>
          <w:szCs w:val="24"/>
          <w:rtl/>
        </w:rPr>
        <w:t>–</w:t>
      </w:r>
      <w:r w:rsidR="00162B8F">
        <w:rPr>
          <w:rFonts w:ascii="David" w:hAnsi="David" w:cs="David" w:hint="cs"/>
          <w:sz w:val="24"/>
          <w:szCs w:val="24"/>
          <w:rtl/>
        </w:rPr>
        <w:t xml:space="preserve"> </w:t>
      </w:r>
      <w:r w:rsidR="009309A2">
        <w:rPr>
          <w:rFonts w:ascii="David" w:hAnsi="David" w:cs="David" w:hint="cs"/>
          <w:sz w:val="24"/>
          <w:szCs w:val="24"/>
          <w:rtl/>
        </w:rPr>
        <w:t>עמדו בפני ג'ף אפשרויות אחרות להדוף את התוקף בדרך שאינה שימוש בכוח, הייתה עליו חובה לנקוט באמצעים אחרים פחותים בעוצמתם וכוחניותם משימוש במכונת יריית חצים מרדימים.</w:t>
      </w:r>
      <w:r w:rsidR="009309A2">
        <w:rPr>
          <w:rStyle w:val="af"/>
          <w:rFonts w:ascii="David" w:hAnsi="David" w:cs="David"/>
          <w:sz w:val="24"/>
          <w:szCs w:val="24"/>
          <w:rtl/>
        </w:rPr>
        <w:footnoteReference w:id="28"/>
      </w:r>
      <w:r w:rsidR="00406C26">
        <w:rPr>
          <w:rFonts w:ascii="David" w:hAnsi="David" w:cs="David" w:hint="cs"/>
          <w:sz w:val="24"/>
          <w:szCs w:val="24"/>
          <w:rtl/>
        </w:rPr>
        <w:t xml:space="preserve"> בייחוד כאשר המקום לא מאויש, ולא קמה הנחת המסוכנות</w:t>
      </w:r>
      <w:r w:rsidR="007F0FE3">
        <w:rPr>
          <w:rFonts w:ascii="David" w:hAnsi="David" w:cs="David" w:hint="cs"/>
          <w:sz w:val="24"/>
          <w:szCs w:val="24"/>
          <w:rtl/>
        </w:rPr>
        <w:t>.</w:t>
      </w:r>
      <w:r w:rsidR="00406C26">
        <w:rPr>
          <w:rStyle w:val="af"/>
          <w:rFonts w:ascii="David" w:hAnsi="David" w:cs="David"/>
          <w:sz w:val="24"/>
          <w:szCs w:val="24"/>
          <w:rtl/>
        </w:rPr>
        <w:footnoteReference w:id="29"/>
      </w:r>
      <w:r w:rsidR="00406C26">
        <w:rPr>
          <w:rFonts w:ascii="David" w:hAnsi="David" w:cs="David" w:hint="cs"/>
          <w:sz w:val="24"/>
          <w:szCs w:val="24"/>
          <w:rtl/>
        </w:rPr>
        <w:t xml:space="preserve"> </w:t>
      </w:r>
      <w:r w:rsidR="00F11BE6">
        <w:rPr>
          <w:rFonts w:ascii="David" w:hAnsi="David" w:cs="David" w:hint="cs"/>
          <w:sz w:val="24"/>
          <w:szCs w:val="24"/>
          <w:rtl/>
        </w:rPr>
        <w:t>מנגד, ג'ף יטען כי שימוש ב</w:t>
      </w:r>
      <w:r w:rsidR="00406C26">
        <w:rPr>
          <w:rFonts w:ascii="David" w:hAnsi="David" w:cs="David" w:hint="cs"/>
          <w:sz w:val="24"/>
          <w:szCs w:val="24"/>
          <w:rtl/>
        </w:rPr>
        <w:t>אמצעי היה הכרחי בנסיבות</w:t>
      </w:r>
      <w:r w:rsidR="00ED5ED8">
        <w:rPr>
          <w:rFonts w:ascii="David" w:hAnsi="David" w:cs="David" w:hint="cs"/>
          <w:sz w:val="24"/>
          <w:szCs w:val="24"/>
          <w:rtl/>
        </w:rPr>
        <w:t>, שימוש בחצי הרדמה נועד</w:t>
      </w:r>
      <w:r w:rsidR="00067EE8">
        <w:rPr>
          <w:rFonts w:ascii="David" w:hAnsi="David" w:cs="David" w:hint="cs"/>
          <w:sz w:val="24"/>
          <w:szCs w:val="24"/>
          <w:rtl/>
        </w:rPr>
        <w:t>ו</w:t>
      </w:r>
      <w:r w:rsidR="00ED5ED8">
        <w:rPr>
          <w:rFonts w:ascii="David" w:hAnsi="David" w:cs="David" w:hint="cs"/>
          <w:sz w:val="24"/>
          <w:szCs w:val="24"/>
          <w:rtl/>
        </w:rPr>
        <w:t xml:space="preserve"> ל</w:t>
      </w:r>
      <w:r w:rsidR="00067EE8">
        <w:rPr>
          <w:rFonts w:ascii="David" w:hAnsi="David" w:cs="David" w:hint="cs"/>
          <w:sz w:val="24"/>
          <w:szCs w:val="24"/>
          <w:rtl/>
        </w:rPr>
        <w:t>נטרל</w:t>
      </w:r>
      <w:r w:rsidR="00ED5ED8">
        <w:rPr>
          <w:rFonts w:ascii="David" w:hAnsi="David" w:cs="David" w:hint="cs"/>
          <w:sz w:val="24"/>
          <w:szCs w:val="24"/>
          <w:rtl/>
        </w:rPr>
        <w:t xml:space="preserve"> את התוקף</w:t>
      </w:r>
      <w:r w:rsidR="00067EE8">
        <w:rPr>
          <w:rFonts w:ascii="David" w:hAnsi="David" w:cs="David" w:hint="cs"/>
          <w:sz w:val="24"/>
          <w:szCs w:val="24"/>
          <w:rtl/>
        </w:rPr>
        <w:t xml:space="preserve"> ולא על מנת לפגוע בו פגיעה חמורה</w:t>
      </w:r>
      <w:r w:rsidR="00406C26">
        <w:rPr>
          <w:rFonts w:ascii="David" w:hAnsi="David" w:cs="David" w:hint="cs"/>
          <w:sz w:val="24"/>
          <w:szCs w:val="24"/>
          <w:rtl/>
        </w:rPr>
        <w:t xml:space="preserve">. </w:t>
      </w:r>
      <w:r w:rsidR="006F4427">
        <w:rPr>
          <w:rFonts w:ascii="David" w:hAnsi="David" w:cs="David" w:hint="cs"/>
          <w:b/>
          <w:bCs/>
          <w:sz w:val="24"/>
          <w:szCs w:val="24"/>
          <w:rtl/>
        </w:rPr>
        <w:t xml:space="preserve">3. </w:t>
      </w:r>
      <w:r w:rsidR="007813B6">
        <w:rPr>
          <w:rFonts w:ascii="David" w:hAnsi="David" w:cs="David" w:hint="cs"/>
          <w:b/>
          <w:bCs/>
          <w:sz w:val="24"/>
          <w:szCs w:val="24"/>
          <w:rtl/>
        </w:rPr>
        <w:t>סבירות</w:t>
      </w:r>
      <w:r w:rsidR="006F4427" w:rsidRPr="006F4427">
        <w:rPr>
          <w:rFonts w:ascii="David" w:hAnsi="David" w:cs="David" w:hint="cs"/>
          <w:sz w:val="24"/>
          <w:szCs w:val="24"/>
          <w:rtl/>
        </w:rPr>
        <w:t>:</w:t>
      </w:r>
      <w:r w:rsidR="00D67C90" w:rsidRPr="00D67C90">
        <w:rPr>
          <w:rStyle w:val="af"/>
          <w:rFonts w:ascii="David" w:hAnsi="David" w:cs="David"/>
          <w:sz w:val="24"/>
          <w:szCs w:val="24"/>
          <w:rtl/>
        </w:rPr>
        <w:footnoteReference w:id="30"/>
      </w:r>
      <w:r w:rsidR="007813B6" w:rsidRPr="00D67C90">
        <w:rPr>
          <w:rFonts w:ascii="David" w:hAnsi="David" w:cs="David" w:hint="cs"/>
          <w:sz w:val="24"/>
          <w:szCs w:val="24"/>
          <w:rtl/>
        </w:rPr>
        <w:t xml:space="preserve"> </w:t>
      </w:r>
      <w:r w:rsidR="007813B6" w:rsidRPr="007813B6">
        <w:rPr>
          <w:rFonts w:ascii="David" w:hAnsi="David" w:cs="David"/>
          <w:sz w:val="24"/>
          <w:szCs w:val="24"/>
          <w:rtl/>
        </w:rPr>
        <w:t>יש לשקול את חומרת הסכנה שיוצר התוקף מול מידת הכוח שהפעיל המותקף</w:t>
      </w:r>
      <w:r w:rsidR="00E1277A">
        <w:rPr>
          <w:rFonts w:ascii="David" w:hAnsi="David" w:cs="David" w:hint="cs"/>
          <w:sz w:val="24"/>
          <w:szCs w:val="24"/>
          <w:rtl/>
        </w:rPr>
        <w:t>, ליצור פרופורציה.</w:t>
      </w:r>
      <w:r w:rsidR="007813B6">
        <w:rPr>
          <w:rFonts w:ascii="David" w:hAnsi="David" w:cs="David" w:hint="cs"/>
          <w:sz w:val="24"/>
          <w:szCs w:val="24"/>
          <w:rtl/>
        </w:rPr>
        <w:t xml:space="preserve"> לפיכך, </w:t>
      </w:r>
      <w:r w:rsidR="007F0FE3">
        <w:rPr>
          <w:rFonts w:ascii="David" w:hAnsi="David" w:cs="David" w:hint="cs"/>
          <w:sz w:val="24"/>
          <w:szCs w:val="24"/>
          <w:rtl/>
        </w:rPr>
        <w:t>כאשר</w:t>
      </w:r>
      <w:r w:rsidR="003F2D19">
        <w:rPr>
          <w:rFonts w:ascii="David" w:hAnsi="David" w:cs="David" w:hint="cs"/>
          <w:sz w:val="24"/>
          <w:szCs w:val="24"/>
          <w:rtl/>
        </w:rPr>
        <w:t xml:space="preserve"> התגובה סבירה</w:t>
      </w:r>
      <w:r w:rsidR="007F0FE3">
        <w:rPr>
          <w:rFonts w:ascii="David" w:hAnsi="David" w:cs="David" w:hint="cs"/>
          <w:sz w:val="24"/>
          <w:szCs w:val="24"/>
          <w:rtl/>
        </w:rPr>
        <w:t xml:space="preserve"> (מבחינה נורמטיבית)</w:t>
      </w:r>
      <w:r w:rsidR="003F2D19">
        <w:rPr>
          <w:rFonts w:ascii="David" w:hAnsi="David" w:cs="David" w:hint="cs"/>
          <w:sz w:val="24"/>
          <w:szCs w:val="24"/>
          <w:rtl/>
        </w:rPr>
        <w:t xml:space="preserve">, </w:t>
      </w:r>
      <w:r w:rsidR="007F0FE3">
        <w:rPr>
          <w:rFonts w:ascii="David" w:hAnsi="David" w:cs="David" w:hint="cs"/>
          <w:sz w:val="24"/>
          <w:szCs w:val="24"/>
          <w:rtl/>
        </w:rPr>
        <w:t xml:space="preserve">ההגנה תהיה בגדר </w:t>
      </w:r>
      <w:r w:rsidR="007F0FE3" w:rsidRPr="007F0FE3">
        <w:rPr>
          <w:rFonts w:ascii="David" w:hAnsi="David" w:cs="David" w:hint="cs"/>
          <w:sz w:val="24"/>
          <w:szCs w:val="24"/>
          <w:u w:val="single"/>
          <w:rtl/>
        </w:rPr>
        <w:t>הצדק</w:t>
      </w:r>
      <w:r w:rsidR="007F0FE3">
        <w:rPr>
          <w:rFonts w:ascii="David" w:hAnsi="David" w:cs="David" w:hint="cs"/>
          <w:sz w:val="24"/>
          <w:szCs w:val="24"/>
          <w:rtl/>
        </w:rPr>
        <w:t xml:space="preserve">. לעומת זאת, </w:t>
      </w:r>
      <w:r w:rsidR="003F2D19">
        <w:rPr>
          <w:rFonts w:ascii="David" w:hAnsi="David" w:cs="David" w:hint="cs"/>
          <w:sz w:val="24"/>
          <w:szCs w:val="24"/>
          <w:rtl/>
        </w:rPr>
        <w:t xml:space="preserve">במקרים בהם התגובה אינה סבירה, נוכל להעניק </w:t>
      </w:r>
      <w:r w:rsidR="003F2D19" w:rsidRPr="003F2D19">
        <w:rPr>
          <w:rFonts w:ascii="David" w:hAnsi="David" w:cs="David" w:hint="cs"/>
          <w:sz w:val="24"/>
          <w:szCs w:val="24"/>
          <w:u w:val="single"/>
          <w:rtl/>
        </w:rPr>
        <w:t>פטור</w:t>
      </w:r>
      <w:r w:rsidR="007F0FE3" w:rsidRPr="007F0FE3">
        <w:rPr>
          <w:rFonts w:ascii="David" w:hAnsi="David" w:cs="David" w:hint="cs"/>
          <w:sz w:val="24"/>
          <w:szCs w:val="24"/>
          <w:rtl/>
        </w:rPr>
        <w:t>,</w:t>
      </w:r>
      <w:r w:rsidR="003F2D19">
        <w:rPr>
          <w:rFonts w:ascii="David" w:hAnsi="David" w:cs="David" w:hint="cs"/>
          <w:sz w:val="24"/>
          <w:szCs w:val="24"/>
          <w:rtl/>
        </w:rPr>
        <w:t xml:space="preserve"> רק </w:t>
      </w:r>
      <w:r w:rsidR="007F0FE3">
        <w:rPr>
          <w:rFonts w:ascii="David" w:hAnsi="David" w:cs="David" w:hint="cs"/>
          <w:sz w:val="24"/>
          <w:szCs w:val="24"/>
          <w:rtl/>
        </w:rPr>
        <w:t xml:space="preserve">כאשר </w:t>
      </w:r>
      <w:r w:rsidR="003F2D19">
        <w:rPr>
          <w:rFonts w:ascii="David" w:hAnsi="David" w:cs="David" w:hint="cs"/>
          <w:sz w:val="24"/>
          <w:szCs w:val="24"/>
          <w:rtl/>
        </w:rPr>
        <w:t xml:space="preserve">החריגה מהסביר נבעה מתחושות סובייקטיביות של פחד ומצוקה. זאת ועוד השימוש בכוח לא היה </w:t>
      </w:r>
      <w:r w:rsidR="007F0FE3">
        <w:rPr>
          <w:rFonts w:ascii="David" w:hAnsi="David" w:cs="David" w:hint="cs"/>
          <w:sz w:val="24"/>
          <w:szCs w:val="24"/>
          <w:rtl/>
        </w:rPr>
        <w:t>"</w:t>
      </w:r>
      <w:r w:rsidR="003F2D19">
        <w:rPr>
          <w:rFonts w:ascii="David" w:hAnsi="David" w:cs="David" w:hint="cs"/>
          <w:sz w:val="24"/>
          <w:szCs w:val="24"/>
          <w:rtl/>
        </w:rPr>
        <w:t>בלתי סביר בעליל</w:t>
      </w:r>
      <w:r w:rsidR="007F0FE3">
        <w:rPr>
          <w:rFonts w:ascii="David" w:hAnsi="David" w:cs="David" w:hint="cs"/>
          <w:sz w:val="24"/>
          <w:szCs w:val="24"/>
          <w:rtl/>
        </w:rPr>
        <w:t>"</w:t>
      </w:r>
      <w:r w:rsidR="003F2D19">
        <w:rPr>
          <w:rFonts w:ascii="David" w:hAnsi="David" w:cs="David" w:hint="cs"/>
          <w:sz w:val="24"/>
          <w:szCs w:val="24"/>
          <w:rtl/>
        </w:rPr>
        <w:t xml:space="preserve">. </w:t>
      </w:r>
      <w:r w:rsidR="003F2D19" w:rsidRPr="003F2D19">
        <w:rPr>
          <w:rFonts w:ascii="David" w:hAnsi="David" w:cs="David" w:hint="cs"/>
          <w:sz w:val="24"/>
          <w:szCs w:val="24"/>
          <w:u w:val="single"/>
          <w:rtl/>
        </w:rPr>
        <w:t xml:space="preserve">ביקורת כלפי </w:t>
      </w:r>
      <w:r w:rsidR="003F2D19">
        <w:rPr>
          <w:rFonts w:ascii="David" w:hAnsi="David" w:cs="David" w:hint="cs"/>
          <w:sz w:val="24"/>
          <w:szCs w:val="24"/>
          <w:u w:val="single"/>
          <w:rtl/>
        </w:rPr>
        <w:t>הגישה</w:t>
      </w:r>
      <w:r w:rsidR="003F2D19">
        <w:rPr>
          <w:rFonts w:ascii="David" w:hAnsi="David" w:cs="David" w:hint="cs"/>
          <w:sz w:val="24"/>
          <w:szCs w:val="24"/>
          <w:rtl/>
        </w:rPr>
        <w:t xml:space="preserve">: </w:t>
      </w:r>
      <w:r w:rsidR="000E0A2A">
        <w:rPr>
          <w:rFonts w:ascii="David" w:hAnsi="David" w:cs="David" w:hint="cs"/>
          <w:sz w:val="24"/>
          <w:szCs w:val="24"/>
          <w:rtl/>
        </w:rPr>
        <w:t xml:space="preserve">ייתכן מצב בו מותקף חש פחד ומצוקה במרחב הציבורי ובאותה המידה חש אדם מותקף בבית מגורים ורק האדם שהותקף בבית מגורים יזכה להגנה. </w:t>
      </w:r>
      <w:r w:rsidR="006F4427">
        <w:rPr>
          <w:rFonts w:ascii="David" w:hAnsi="David" w:cs="David" w:hint="cs"/>
          <w:sz w:val="24"/>
          <w:szCs w:val="24"/>
          <w:rtl/>
        </w:rPr>
        <w:t xml:space="preserve">ג'ף פעל מתוך תחושת חרדה ופחד, </w:t>
      </w:r>
      <w:r w:rsidR="00E1277A">
        <w:rPr>
          <w:rFonts w:ascii="David" w:hAnsi="David" w:cs="David" w:hint="cs"/>
          <w:sz w:val="24"/>
          <w:szCs w:val="24"/>
          <w:rtl/>
        </w:rPr>
        <w:t>שמלווה אותו</w:t>
      </w:r>
      <w:r w:rsidR="006F4427">
        <w:rPr>
          <w:rFonts w:ascii="David" w:hAnsi="David" w:cs="David" w:hint="cs"/>
          <w:sz w:val="24"/>
          <w:szCs w:val="24"/>
          <w:rtl/>
        </w:rPr>
        <w:t xml:space="preserve"> לנוכח חוויות דומות בעסקיו. </w:t>
      </w:r>
      <w:r w:rsidR="00E1277A">
        <w:rPr>
          <w:rFonts w:ascii="David" w:hAnsi="David" w:cs="David" w:hint="cs"/>
          <w:sz w:val="24"/>
          <w:szCs w:val="24"/>
          <w:rtl/>
        </w:rPr>
        <w:t>היו חלופות אחרות לנקוט מאשר פגיעה פיזית ודרקונית, היה עליו לנהוג בצורה "סבירה" ומוצדקת יותר</w:t>
      </w:r>
      <w:r w:rsidR="00190EC7">
        <w:rPr>
          <w:rFonts w:ascii="David" w:hAnsi="David" w:cs="David" w:hint="cs"/>
          <w:sz w:val="24"/>
          <w:szCs w:val="24"/>
          <w:rtl/>
        </w:rPr>
        <w:t>,</w:t>
      </w:r>
      <w:r w:rsidR="00886F70">
        <w:rPr>
          <w:rStyle w:val="af"/>
          <w:rFonts w:ascii="David" w:hAnsi="David" w:cs="David"/>
          <w:sz w:val="24"/>
          <w:szCs w:val="24"/>
          <w:rtl/>
        </w:rPr>
        <w:footnoteReference w:id="31"/>
      </w:r>
      <w:r w:rsidR="00E1277A">
        <w:rPr>
          <w:rFonts w:ascii="David" w:hAnsi="David" w:cs="David" w:hint="cs"/>
          <w:sz w:val="24"/>
          <w:szCs w:val="24"/>
          <w:rtl/>
        </w:rPr>
        <w:t xml:space="preserve"> </w:t>
      </w:r>
      <w:r w:rsidR="00190EC7">
        <w:rPr>
          <w:rFonts w:ascii="David" w:hAnsi="David" w:cs="David" w:hint="cs"/>
          <w:sz w:val="24"/>
          <w:szCs w:val="24"/>
          <w:rtl/>
        </w:rPr>
        <w:t>אין הצדקה להתיר "שימוש בכוח מגן קטלני לשם הגנת רכוש".</w:t>
      </w:r>
      <w:r w:rsidR="00190EC7">
        <w:rPr>
          <w:rStyle w:val="af"/>
          <w:rFonts w:ascii="David" w:hAnsi="David" w:cs="David"/>
          <w:sz w:val="24"/>
          <w:szCs w:val="24"/>
          <w:rtl/>
        </w:rPr>
        <w:footnoteReference w:id="32"/>
      </w:r>
      <w:r w:rsidR="00190EC7">
        <w:rPr>
          <w:rFonts w:ascii="David" w:hAnsi="David" w:cs="David" w:hint="cs"/>
          <w:sz w:val="24"/>
          <w:szCs w:val="24"/>
          <w:rtl/>
        </w:rPr>
        <w:t xml:space="preserve"> </w:t>
      </w:r>
      <w:r w:rsidR="00E1277A">
        <w:rPr>
          <w:rFonts w:ascii="David" w:hAnsi="David" w:cs="David" w:hint="cs"/>
          <w:sz w:val="24"/>
          <w:szCs w:val="24"/>
          <w:rtl/>
        </w:rPr>
        <w:t>כאשר בוחנים את גישת ה"בלתי סביר בעליל",</w:t>
      </w:r>
      <w:r w:rsidR="00190EC7">
        <w:rPr>
          <w:rStyle w:val="af"/>
          <w:rFonts w:ascii="David" w:hAnsi="David" w:cs="David"/>
          <w:sz w:val="24"/>
          <w:szCs w:val="24"/>
          <w:rtl/>
        </w:rPr>
        <w:footnoteReference w:id="33"/>
      </w:r>
      <w:r w:rsidR="00E1277A">
        <w:rPr>
          <w:rFonts w:ascii="David" w:hAnsi="David" w:cs="David" w:hint="cs"/>
          <w:sz w:val="24"/>
          <w:szCs w:val="24"/>
          <w:rtl/>
        </w:rPr>
        <w:t xml:space="preserve"> ג'ף לא נכח במתחם ולכן לא חש חרדה ואימה ממשית, שימוש בנשק הקטלני לא סביר בעליל ולכן לא מוענק לו פטור.</w:t>
      </w:r>
      <w:r w:rsidR="00886F70">
        <w:rPr>
          <w:rFonts w:ascii="David" w:hAnsi="David" w:cs="David" w:hint="cs"/>
          <w:sz w:val="24"/>
          <w:szCs w:val="24"/>
          <w:rtl/>
        </w:rPr>
        <w:t xml:space="preserve"> הדיפת פורץ שחרגה ממתחם הסבירות תהא פסולה. </w:t>
      </w:r>
      <w:r w:rsidR="00E1277A">
        <w:rPr>
          <w:rFonts w:ascii="David" w:hAnsi="David" w:cs="David" w:hint="cs"/>
          <w:sz w:val="24"/>
          <w:szCs w:val="24"/>
          <w:rtl/>
        </w:rPr>
        <w:t xml:space="preserve"> גם לאור שיקולי מדיניות, </w:t>
      </w:r>
      <w:r w:rsidR="006F4427">
        <w:rPr>
          <w:rFonts w:ascii="David" w:hAnsi="David" w:cs="David" w:hint="cs"/>
          <w:sz w:val="24"/>
          <w:szCs w:val="24"/>
          <w:rtl/>
        </w:rPr>
        <w:t xml:space="preserve">הסמכות להעניש עבריינים מצויה בידי הרשות בלבד. מעשיו של ג'ף יובילו לאנרכיה וסיפוק תמריץ שלילי </w:t>
      </w:r>
      <w:r w:rsidR="006F4427">
        <w:rPr>
          <w:rFonts w:ascii="David" w:hAnsi="David" w:cs="David" w:hint="cs"/>
          <w:sz w:val="24"/>
          <w:szCs w:val="24"/>
          <w:rtl/>
        </w:rPr>
        <w:lastRenderedPageBreak/>
        <w:t>למשטרה בכל הנוגע למציאת מענה למכת התפרצויות.</w:t>
      </w:r>
      <w:r w:rsidR="00886F70">
        <w:rPr>
          <w:rStyle w:val="af"/>
          <w:rFonts w:ascii="David" w:hAnsi="David" w:cs="David"/>
          <w:sz w:val="24"/>
          <w:szCs w:val="24"/>
          <w:rtl/>
        </w:rPr>
        <w:footnoteReference w:id="34"/>
      </w:r>
      <w:r w:rsidR="006F4427">
        <w:rPr>
          <w:rFonts w:ascii="David" w:hAnsi="David" w:cs="David" w:hint="cs"/>
          <w:sz w:val="24"/>
          <w:szCs w:val="24"/>
          <w:rtl/>
        </w:rPr>
        <w:t xml:space="preserve"> </w:t>
      </w:r>
      <w:r w:rsidR="001C5041">
        <w:rPr>
          <w:rFonts w:ascii="David" w:hAnsi="David" w:cs="David" w:hint="cs"/>
          <w:sz w:val="24"/>
          <w:szCs w:val="24"/>
          <w:rtl/>
        </w:rPr>
        <w:t xml:space="preserve">מנגד, חיצי הרדמה נמצאים ב"מתחם הסבירות", אינם מהווים נזק ממשי או מהווים נשק קטלני. </w:t>
      </w:r>
    </w:p>
    <w:p w14:paraId="3AB591B0" w14:textId="77777777" w:rsidR="00601E57" w:rsidRDefault="006F4427" w:rsidP="00E31489">
      <w:pPr>
        <w:spacing w:line="480" w:lineRule="auto"/>
        <w:jc w:val="both"/>
        <w:rPr>
          <w:rFonts w:ascii="David" w:hAnsi="David" w:cs="David"/>
          <w:color w:val="000000" w:themeColor="text1"/>
          <w:sz w:val="24"/>
          <w:szCs w:val="24"/>
          <w:rtl/>
        </w:rPr>
      </w:pPr>
      <w:r>
        <w:rPr>
          <w:rFonts w:ascii="David" w:hAnsi="David" w:cs="David" w:hint="cs"/>
          <w:b/>
          <w:bCs/>
          <w:color w:val="000000" w:themeColor="text1"/>
          <w:sz w:val="24"/>
          <w:szCs w:val="24"/>
          <w:rtl/>
        </w:rPr>
        <w:t xml:space="preserve">4. </w:t>
      </w:r>
      <w:r w:rsidR="00CE2464" w:rsidRPr="006F4427">
        <w:rPr>
          <w:rFonts w:ascii="David" w:hAnsi="David" w:cs="David" w:hint="cs"/>
          <w:b/>
          <w:bCs/>
          <w:color w:val="000000" w:themeColor="text1"/>
          <w:sz w:val="24"/>
          <w:szCs w:val="24"/>
          <w:rtl/>
        </w:rPr>
        <w:t>התנהגות פסולה</w:t>
      </w:r>
      <w:r w:rsidR="007F0FE3" w:rsidRPr="007F0FE3">
        <w:rPr>
          <w:rFonts w:ascii="David" w:hAnsi="David" w:cs="David" w:hint="cs"/>
          <w:color w:val="000000" w:themeColor="text1"/>
          <w:sz w:val="24"/>
          <w:szCs w:val="24"/>
          <w:rtl/>
        </w:rPr>
        <w:t>:</w:t>
      </w:r>
      <w:r w:rsidR="00886F70">
        <w:rPr>
          <w:rStyle w:val="af"/>
          <w:rFonts w:ascii="David" w:hAnsi="David" w:cs="David"/>
          <w:color w:val="000000" w:themeColor="text1"/>
          <w:sz w:val="24"/>
          <w:szCs w:val="24"/>
          <w:rtl/>
        </w:rPr>
        <w:footnoteReference w:id="35"/>
      </w:r>
      <w:r w:rsidR="007F0FE3">
        <w:rPr>
          <w:rFonts w:ascii="David" w:hAnsi="David" w:cs="David" w:hint="cs"/>
          <w:b/>
          <w:bCs/>
          <w:color w:val="000000" w:themeColor="text1"/>
          <w:sz w:val="24"/>
          <w:szCs w:val="24"/>
          <w:rtl/>
        </w:rPr>
        <w:t xml:space="preserve"> </w:t>
      </w:r>
      <w:r w:rsidR="00886F70">
        <w:rPr>
          <w:rFonts w:ascii="David" w:hAnsi="David" w:cs="David" w:hint="cs"/>
          <w:color w:val="000000" w:themeColor="text1"/>
          <w:sz w:val="24"/>
          <w:szCs w:val="24"/>
          <w:rtl/>
        </w:rPr>
        <w:t xml:space="preserve">צפיית האפשרות </w:t>
      </w:r>
      <w:r w:rsidR="00190EC7">
        <w:rPr>
          <w:rFonts w:ascii="David" w:hAnsi="David" w:cs="David" w:hint="cs"/>
          <w:color w:val="000000" w:themeColor="text1"/>
          <w:sz w:val="24"/>
          <w:szCs w:val="24"/>
          <w:rtl/>
        </w:rPr>
        <w:t xml:space="preserve">בכוח או בפועל </w:t>
      </w:r>
      <w:r w:rsidR="00886F70">
        <w:rPr>
          <w:rFonts w:ascii="David" w:hAnsi="David" w:cs="David" w:hint="cs"/>
          <w:color w:val="000000" w:themeColor="text1"/>
          <w:sz w:val="24"/>
          <w:szCs w:val="24"/>
          <w:rtl/>
        </w:rPr>
        <w:t>שהמעשה יוביל לגרימת נזק. בעת הטמנת המלכודת, על ג'ף היה לצפות שהמעשה עלול לגרום לנזק ולכן זה נופל בגדר התנהגות פסולה.</w:t>
      </w:r>
      <w:r w:rsidR="00190EC7">
        <w:rPr>
          <w:rFonts w:ascii="David" w:hAnsi="David" w:cs="David" w:hint="cs"/>
          <w:color w:val="000000" w:themeColor="text1"/>
          <w:sz w:val="24"/>
          <w:szCs w:val="24"/>
          <w:rtl/>
        </w:rPr>
        <w:t xml:space="preserve"> בייחוד כאשר ג'ף פעל לאינטרסים האישיים שלו, לא מתוך רצון להציל חיים או לעזור לזולת.</w:t>
      </w:r>
      <w:r w:rsidR="00886F70">
        <w:rPr>
          <w:rFonts w:ascii="David" w:hAnsi="David" w:cs="David" w:hint="cs"/>
          <w:color w:val="000000" w:themeColor="text1"/>
          <w:sz w:val="24"/>
          <w:szCs w:val="24"/>
          <w:rtl/>
        </w:rPr>
        <w:t xml:space="preserve"> מנגד, ג'ף יטען כי הוא פעל בצורה המיטבית והזהירה על מנת להגן על רכושו </w:t>
      </w:r>
      <w:r w:rsidR="00886F70">
        <w:rPr>
          <w:rFonts w:ascii="David" w:hAnsi="David" w:cs="David" w:hint="cs"/>
          <w:sz w:val="24"/>
          <w:szCs w:val="24"/>
          <w:rtl/>
        </w:rPr>
        <w:t xml:space="preserve"> ותרם להשבת הסדר המשפטי על כנו בכך שמנע ביצוע עבירה.</w:t>
      </w:r>
      <w:r w:rsidR="00E31489">
        <w:rPr>
          <w:rFonts w:ascii="David" w:hAnsi="David" w:cs="David" w:hint="cs"/>
          <w:b/>
          <w:bCs/>
          <w:color w:val="000000" w:themeColor="text1"/>
          <w:sz w:val="24"/>
          <w:szCs w:val="24"/>
          <w:rtl/>
        </w:rPr>
        <w:t xml:space="preserve"> </w:t>
      </w:r>
      <w:r>
        <w:rPr>
          <w:rFonts w:ascii="David" w:hAnsi="David" w:cs="David" w:hint="cs"/>
          <w:b/>
          <w:bCs/>
          <w:color w:val="000000" w:themeColor="text1"/>
          <w:sz w:val="24"/>
          <w:szCs w:val="24"/>
          <w:rtl/>
        </w:rPr>
        <w:t xml:space="preserve">5. </w:t>
      </w:r>
      <w:r w:rsidR="00CE2464" w:rsidRPr="006F4427">
        <w:rPr>
          <w:rFonts w:ascii="David" w:hAnsi="David" w:cs="David" w:hint="cs"/>
          <w:b/>
          <w:bCs/>
          <w:color w:val="000000" w:themeColor="text1"/>
          <w:sz w:val="24"/>
          <w:szCs w:val="24"/>
          <w:rtl/>
        </w:rPr>
        <w:t>יסוד נפשי</w:t>
      </w:r>
      <w:r w:rsidR="007F0FE3" w:rsidRPr="007F0FE3">
        <w:rPr>
          <w:rFonts w:ascii="David" w:hAnsi="David" w:cs="David" w:hint="cs"/>
          <w:color w:val="000000" w:themeColor="text1"/>
          <w:sz w:val="24"/>
          <w:szCs w:val="24"/>
          <w:rtl/>
        </w:rPr>
        <w:t>:</w:t>
      </w:r>
      <w:r w:rsidR="007F0FE3">
        <w:rPr>
          <w:rFonts w:ascii="David" w:hAnsi="David" w:cs="David" w:hint="cs"/>
          <w:b/>
          <w:bCs/>
          <w:color w:val="000000" w:themeColor="text1"/>
          <w:sz w:val="24"/>
          <w:szCs w:val="24"/>
          <w:rtl/>
        </w:rPr>
        <w:t xml:space="preserve"> </w:t>
      </w:r>
      <w:r w:rsidR="00A87F50">
        <w:rPr>
          <w:rFonts w:ascii="David" w:hAnsi="David" w:cs="David" w:hint="cs"/>
          <w:color w:val="000000" w:themeColor="text1"/>
          <w:sz w:val="24"/>
          <w:szCs w:val="24"/>
          <w:rtl/>
        </w:rPr>
        <w:t xml:space="preserve">לפי גישת ההצדק, נדרשת </w:t>
      </w:r>
      <w:r w:rsidR="00190EC7">
        <w:rPr>
          <w:rFonts w:ascii="David" w:hAnsi="David" w:cs="David" w:hint="cs"/>
          <w:color w:val="000000" w:themeColor="text1"/>
          <w:sz w:val="24"/>
          <w:szCs w:val="24"/>
          <w:rtl/>
        </w:rPr>
        <w:t xml:space="preserve">מודעות לפי </w:t>
      </w:r>
      <w:r w:rsidR="008A78BE">
        <w:rPr>
          <w:rFonts w:ascii="David" w:hAnsi="David" w:cs="David" w:hint="cs"/>
          <w:color w:val="000000" w:themeColor="text1"/>
          <w:sz w:val="24"/>
          <w:szCs w:val="24"/>
          <w:rtl/>
        </w:rPr>
        <w:t>ה</w:t>
      </w:r>
      <w:r w:rsidR="00190EC7">
        <w:rPr>
          <w:rFonts w:ascii="David" w:hAnsi="David" w:cs="David" w:hint="cs"/>
          <w:color w:val="000000" w:themeColor="text1"/>
          <w:sz w:val="24"/>
          <w:szCs w:val="24"/>
          <w:rtl/>
        </w:rPr>
        <w:t xml:space="preserve">מבחן </w:t>
      </w:r>
      <w:r w:rsidR="008A78BE">
        <w:rPr>
          <w:rFonts w:ascii="David" w:hAnsi="David" w:cs="David" w:hint="cs"/>
          <w:color w:val="000000" w:themeColor="text1"/>
          <w:sz w:val="24"/>
          <w:szCs w:val="24"/>
          <w:rtl/>
        </w:rPr>
        <w:t>ה</w:t>
      </w:r>
      <w:r w:rsidR="00190EC7">
        <w:rPr>
          <w:rFonts w:ascii="David" w:hAnsi="David" w:cs="David" w:hint="cs"/>
          <w:color w:val="000000" w:themeColor="text1"/>
          <w:sz w:val="24"/>
          <w:szCs w:val="24"/>
          <w:rtl/>
        </w:rPr>
        <w:t>אובייקטיבי.</w:t>
      </w:r>
      <w:r w:rsidR="00A87F50">
        <w:rPr>
          <w:rStyle w:val="af"/>
          <w:rFonts w:ascii="David" w:hAnsi="David" w:cs="David"/>
          <w:color w:val="000000" w:themeColor="text1"/>
          <w:sz w:val="24"/>
          <w:szCs w:val="24"/>
          <w:rtl/>
        </w:rPr>
        <w:footnoteReference w:id="36"/>
      </w:r>
      <w:r w:rsidR="00190EC7">
        <w:rPr>
          <w:rFonts w:ascii="David" w:hAnsi="David" w:cs="David" w:hint="cs"/>
          <w:color w:val="000000" w:themeColor="text1"/>
          <w:sz w:val="24"/>
          <w:szCs w:val="24"/>
          <w:rtl/>
        </w:rPr>
        <w:t xml:space="preserve"> ג'ף לא נכח במתחם בעת הפריצה ולכן לא היתה לו מטרה להתגונן מפני סכנה ולכן אין מודעות למעשה</w:t>
      </w:r>
      <w:r w:rsidR="00A87F50">
        <w:rPr>
          <w:rFonts w:ascii="David" w:hAnsi="David" w:cs="David" w:hint="cs"/>
          <w:color w:val="000000" w:themeColor="text1"/>
          <w:sz w:val="24"/>
          <w:szCs w:val="24"/>
          <w:rtl/>
        </w:rPr>
        <w:t xml:space="preserve"> ולכן, פעולתו אינה עולה בקנה אחד עם גישת ההצדק</w:t>
      </w:r>
      <w:r w:rsidR="00190EC7">
        <w:rPr>
          <w:rFonts w:ascii="David" w:hAnsi="David" w:cs="David" w:hint="cs"/>
          <w:color w:val="000000" w:themeColor="text1"/>
          <w:sz w:val="24"/>
          <w:szCs w:val="24"/>
          <w:rtl/>
        </w:rPr>
        <w:t>. מנגד, ג'ף יטען כי לא נדרש להוכיח יסוד נפשי</w:t>
      </w:r>
      <w:r w:rsidR="00A87F50">
        <w:rPr>
          <w:rFonts w:ascii="David" w:hAnsi="David" w:cs="David" w:hint="cs"/>
          <w:color w:val="000000" w:themeColor="text1"/>
          <w:sz w:val="24"/>
          <w:szCs w:val="24"/>
          <w:rtl/>
        </w:rPr>
        <w:t>.</w:t>
      </w:r>
      <w:r w:rsidR="00190EC7">
        <w:rPr>
          <w:rFonts w:ascii="David" w:hAnsi="David" w:cs="David" w:hint="cs"/>
          <w:color w:val="000000" w:themeColor="text1"/>
          <w:sz w:val="24"/>
          <w:szCs w:val="24"/>
          <w:rtl/>
        </w:rPr>
        <w:t xml:space="preserve"> יתרה מזאת</w:t>
      </w:r>
      <w:r w:rsidR="00A87F50">
        <w:rPr>
          <w:rFonts w:ascii="David" w:hAnsi="David" w:cs="David" w:hint="cs"/>
          <w:color w:val="000000" w:themeColor="text1"/>
          <w:sz w:val="24"/>
          <w:szCs w:val="24"/>
          <w:rtl/>
        </w:rPr>
        <w:t xml:space="preserve">, </w:t>
      </w:r>
      <w:r w:rsidR="00190EC7">
        <w:rPr>
          <w:rFonts w:ascii="David" w:hAnsi="David" w:cs="David" w:hint="cs"/>
          <w:color w:val="000000" w:themeColor="text1"/>
          <w:sz w:val="24"/>
          <w:szCs w:val="24"/>
          <w:rtl/>
        </w:rPr>
        <w:t>מטרתו היתה להתגונן מפני פגיעה ברכושו.</w:t>
      </w:r>
      <w:r w:rsidR="00A87F50">
        <w:rPr>
          <w:rFonts w:ascii="David" w:hAnsi="David" w:cs="David" w:hint="cs"/>
          <w:color w:val="000000" w:themeColor="text1"/>
          <w:sz w:val="24"/>
          <w:szCs w:val="24"/>
          <w:rtl/>
        </w:rPr>
        <w:t xml:space="preserve"> ערך הקניין לא פחות חשוב מערכים אחרים. </w:t>
      </w:r>
    </w:p>
    <w:p w14:paraId="52FDA307" w14:textId="380255C8" w:rsidR="00CE2464" w:rsidRPr="00601E57" w:rsidRDefault="00601E57" w:rsidP="00E31489">
      <w:pPr>
        <w:spacing w:line="480" w:lineRule="auto"/>
        <w:jc w:val="both"/>
        <w:rPr>
          <w:rFonts w:ascii="David" w:hAnsi="David" w:cs="David"/>
          <w:b/>
          <w:bCs/>
          <w:color w:val="FF0000"/>
          <w:sz w:val="24"/>
          <w:szCs w:val="24"/>
          <w:rtl/>
        </w:rPr>
      </w:pPr>
      <w:r w:rsidRPr="00601E57">
        <w:rPr>
          <w:rFonts w:ascii="David" w:hAnsi="David" w:cs="David" w:hint="cs"/>
          <w:b/>
          <w:bCs/>
          <w:color w:val="FF0000"/>
          <w:sz w:val="24"/>
          <w:szCs w:val="24"/>
          <w:rtl/>
        </w:rPr>
        <w:t>ציון: 95</w:t>
      </w:r>
      <w:r w:rsidR="00190EC7" w:rsidRPr="00601E57">
        <w:rPr>
          <w:rFonts w:ascii="David" w:hAnsi="David" w:cs="David" w:hint="cs"/>
          <w:b/>
          <w:bCs/>
          <w:color w:val="FF0000"/>
          <w:sz w:val="24"/>
          <w:szCs w:val="24"/>
          <w:rtl/>
        </w:rPr>
        <w:t xml:space="preserve"> </w:t>
      </w:r>
    </w:p>
    <w:p w14:paraId="1A8A458A" w14:textId="5F3CE5AC" w:rsidR="00AC01AD" w:rsidRPr="001F6936" w:rsidRDefault="001F6936" w:rsidP="00ED5ED8">
      <w:pPr>
        <w:spacing w:line="480" w:lineRule="auto"/>
        <w:jc w:val="both"/>
        <w:rPr>
          <w:rFonts w:ascii="David" w:hAnsi="David" w:cs="David"/>
          <w:b/>
          <w:bCs/>
          <w:color w:val="000000" w:themeColor="text1"/>
          <w:sz w:val="24"/>
          <w:szCs w:val="24"/>
          <w:rtl/>
        </w:rPr>
      </w:pPr>
      <w:r w:rsidRPr="001F6936">
        <w:rPr>
          <w:rFonts w:ascii="David" w:hAnsi="David" w:cs="David" w:hint="cs"/>
          <w:b/>
          <w:bCs/>
          <w:color w:val="000000" w:themeColor="text1"/>
          <w:sz w:val="24"/>
          <w:szCs w:val="24"/>
          <w:highlight w:val="yellow"/>
          <w:rtl/>
        </w:rPr>
        <w:t xml:space="preserve">סה"כ </w:t>
      </w:r>
      <w:r w:rsidR="001117DA">
        <w:rPr>
          <w:rFonts w:ascii="David" w:hAnsi="David" w:cs="David" w:hint="cs"/>
          <w:b/>
          <w:bCs/>
          <w:color w:val="000000" w:themeColor="text1"/>
          <w:sz w:val="24"/>
          <w:szCs w:val="24"/>
          <w:highlight w:val="yellow"/>
          <w:rtl/>
        </w:rPr>
        <w:t>1</w:t>
      </w:r>
      <w:r w:rsidR="00205B6C">
        <w:rPr>
          <w:rFonts w:ascii="David" w:hAnsi="David" w:cs="David" w:hint="cs"/>
          <w:b/>
          <w:bCs/>
          <w:color w:val="000000" w:themeColor="text1"/>
          <w:sz w:val="24"/>
          <w:szCs w:val="24"/>
          <w:highlight w:val="yellow"/>
          <w:rtl/>
        </w:rPr>
        <w:t>50</w:t>
      </w:r>
      <w:r w:rsidR="00257864">
        <w:rPr>
          <w:rFonts w:ascii="David" w:hAnsi="David" w:cs="David" w:hint="cs"/>
          <w:b/>
          <w:bCs/>
          <w:color w:val="000000" w:themeColor="text1"/>
          <w:sz w:val="24"/>
          <w:szCs w:val="24"/>
          <w:highlight w:val="yellow"/>
          <w:rtl/>
        </w:rPr>
        <w:t>6</w:t>
      </w:r>
      <w:r w:rsidRPr="001F6936">
        <w:rPr>
          <w:rFonts w:ascii="David" w:hAnsi="David" w:cs="David" w:hint="cs"/>
          <w:b/>
          <w:bCs/>
          <w:color w:val="000000" w:themeColor="text1"/>
          <w:sz w:val="24"/>
          <w:szCs w:val="24"/>
          <w:highlight w:val="yellow"/>
          <w:rtl/>
        </w:rPr>
        <w:t xml:space="preserve"> מילים</w:t>
      </w:r>
    </w:p>
    <w:sectPr w:rsidR="00AC01AD" w:rsidRPr="001F6936" w:rsidSect="00630DE9">
      <w:headerReference w:type="default" r:id="rId12"/>
      <w:footerReference w:type="default" r:id="rId13"/>
      <w:pgSz w:w="11906" w:h="16838"/>
      <w:pgMar w:top="1701" w:right="1701" w:bottom="1701" w:left="1701" w:header="709" w:footer="709"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משתמש Windows" w:date="2021-07-03T22:20:00Z" w:initials="‏W">
    <w:p w14:paraId="11D4EC13" w14:textId="2302DB38" w:rsidR="00601E57" w:rsidRDefault="00601E57">
      <w:pPr>
        <w:pStyle w:val="a8"/>
      </w:pPr>
      <w:r>
        <w:rPr>
          <w:rStyle w:val="a7"/>
        </w:rPr>
        <w:annotationRef/>
      </w:r>
      <w:r>
        <w:rPr>
          <w:rFonts w:hint="cs"/>
          <w:rtl/>
        </w:rPr>
        <w:t>בנוסף ליישום, בונוס 3+</w:t>
      </w:r>
    </w:p>
  </w:comment>
  <w:comment w:id="1" w:author="‏‏משתמש Windows" w:date="2021-07-03T22:22:00Z" w:initials="‏W">
    <w:p w14:paraId="01FA7B95" w14:textId="61A242E6" w:rsidR="00601E57" w:rsidRDefault="00601E57">
      <w:pPr>
        <w:pStyle w:val="a8"/>
        <w:rPr>
          <w:rtl/>
        </w:rPr>
      </w:pPr>
      <w:r>
        <w:rPr>
          <w:rStyle w:val="a7"/>
        </w:rPr>
        <w:annotationRef/>
      </w:r>
      <w:r>
        <w:rPr>
          <w:rFonts w:hint="cs"/>
          <w:rtl/>
        </w:rPr>
        <w:t>בונוס 2+</w:t>
      </w:r>
    </w:p>
  </w:comment>
  <w:comment w:id="2" w:author="‏‏משתמש Windows" w:date="2021-07-03T22:22:00Z" w:initials="‏W">
    <w:p w14:paraId="12247668" w14:textId="1E05E7AC" w:rsidR="00601E57" w:rsidRDefault="00601E57">
      <w:pPr>
        <w:pStyle w:val="a8"/>
      </w:pPr>
      <w:r>
        <w:rPr>
          <w:rStyle w:val="a7"/>
        </w:rPr>
        <w:annotationRef/>
      </w:r>
      <w:r>
        <w:rPr>
          <w:rFonts w:hint="cs"/>
          <w:rtl/>
        </w:rPr>
        <w:t>חסר דיון ביסודות בית עסק והדיפה 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D4EC13" w15:done="0"/>
  <w15:commentEx w15:paraId="01FA7B95" w15:done="0"/>
  <w15:commentEx w15:paraId="122476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A7C46" w16cex:dateUtc="2021-07-03T19:20:00Z"/>
  <w16cex:commentExtensible w16cex:durableId="254A7C47" w16cex:dateUtc="2021-07-03T19:22:00Z"/>
  <w16cex:commentExtensible w16cex:durableId="254A7C48" w16cex:dateUtc="2021-07-03T1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D4EC13" w16cid:durableId="254A7C46"/>
  <w16cid:commentId w16cid:paraId="01FA7B95" w16cid:durableId="254A7C47"/>
  <w16cid:commentId w16cid:paraId="12247668" w16cid:durableId="254A7C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CFD32" w14:textId="77777777" w:rsidR="00A378EC" w:rsidRDefault="00A378EC" w:rsidP="00630DE9">
      <w:pPr>
        <w:spacing w:after="0" w:line="240" w:lineRule="auto"/>
      </w:pPr>
      <w:r>
        <w:separator/>
      </w:r>
    </w:p>
  </w:endnote>
  <w:endnote w:type="continuationSeparator" w:id="0">
    <w:p w14:paraId="3A793EF0" w14:textId="77777777" w:rsidR="00A378EC" w:rsidRDefault="00A378EC" w:rsidP="0063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rtl/>
      </w:rPr>
      <w:id w:val="-1856266501"/>
      <w:docPartObj>
        <w:docPartGallery w:val="Page Numbers (Bottom of Page)"/>
        <w:docPartUnique/>
      </w:docPartObj>
    </w:sdtPr>
    <w:sdtEndPr/>
    <w:sdtContent>
      <w:p w14:paraId="20C90B7D" w14:textId="28EDF388" w:rsidR="00CF1FCC" w:rsidRPr="00CF1FCC" w:rsidRDefault="00CF1FCC">
        <w:pPr>
          <w:pStyle w:val="a5"/>
          <w:jc w:val="center"/>
          <w:rPr>
            <w:rFonts w:ascii="David" w:hAnsi="David" w:cs="David"/>
          </w:rPr>
        </w:pPr>
        <w:r w:rsidRPr="00CF1FCC">
          <w:rPr>
            <w:rFonts w:ascii="David" w:hAnsi="David" w:cs="David"/>
          </w:rPr>
          <w:fldChar w:fldCharType="begin"/>
        </w:r>
        <w:r w:rsidRPr="00CF1FCC">
          <w:rPr>
            <w:rFonts w:ascii="David" w:hAnsi="David" w:cs="David"/>
          </w:rPr>
          <w:instrText>PAGE   \* MERGEFORMAT</w:instrText>
        </w:r>
        <w:r w:rsidRPr="00CF1FCC">
          <w:rPr>
            <w:rFonts w:ascii="David" w:hAnsi="David" w:cs="David"/>
          </w:rPr>
          <w:fldChar w:fldCharType="separate"/>
        </w:r>
        <w:r w:rsidR="00601E57" w:rsidRPr="00601E57">
          <w:rPr>
            <w:rFonts w:ascii="David" w:hAnsi="David" w:cs="David"/>
            <w:noProof/>
            <w:rtl/>
            <w:lang w:val="he-IL"/>
          </w:rPr>
          <w:t>4</w:t>
        </w:r>
        <w:r w:rsidRPr="00CF1FCC">
          <w:rPr>
            <w:rFonts w:ascii="David" w:hAnsi="David" w:cs="David"/>
          </w:rPr>
          <w:fldChar w:fldCharType="end"/>
        </w:r>
      </w:p>
    </w:sdtContent>
  </w:sdt>
  <w:p w14:paraId="44DFE4C3" w14:textId="719AD8F2" w:rsidR="00CF1FCC" w:rsidRDefault="00CF1F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0714D" w14:textId="77777777" w:rsidR="00A378EC" w:rsidRDefault="00A378EC" w:rsidP="00630DE9">
      <w:pPr>
        <w:spacing w:after="0" w:line="240" w:lineRule="auto"/>
      </w:pPr>
      <w:r>
        <w:separator/>
      </w:r>
    </w:p>
  </w:footnote>
  <w:footnote w:type="continuationSeparator" w:id="0">
    <w:p w14:paraId="7EE6CD4E" w14:textId="77777777" w:rsidR="00A378EC" w:rsidRDefault="00A378EC" w:rsidP="00630DE9">
      <w:pPr>
        <w:spacing w:after="0" w:line="240" w:lineRule="auto"/>
      </w:pPr>
      <w:r>
        <w:continuationSeparator/>
      </w:r>
    </w:p>
  </w:footnote>
  <w:footnote w:id="1">
    <w:p w14:paraId="68262EEF" w14:textId="77777777" w:rsidR="0000341F" w:rsidRDefault="0000341F" w:rsidP="0000341F">
      <w:pPr>
        <w:pStyle w:val="ad"/>
      </w:pPr>
      <w:r>
        <w:rPr>
          <w:rStyle w:val="af"/>
        </w:rPr>
        <w:footnoteRef/>
      </w:r>
      <w:r>
        <w:rPr>
          <w:rtl/>
        </w:rPr>
        <w:t xml:space="preserve"> </w:t>
      </w:r>
      <w:r w:rsidRPr="00F575B4">
        <w:rPr>
          <w:rFonts w:ascii="David" w:hAnsi="David" w:cs="David"/>
          <w:rtl/>
        </w:rPr>
        <w:t>ס' 34יא לחוק העונשין</w:t>
      </w:r>
      <w:r>
        <w:rPr>
          <w:rFonts w:ascii="David" w:hAnsi="David" w:cs="David" w:hint="cs"/>
          <w:rtl/>
        </w:rPr>
        <w:t xml:space="preserve">, התשל"ז </w:t>
      </w:r>
      <w:r>
        <w:rPr>
          <w:rFonts w:ascii="David" w:hAnsi="David" w:cs="David"/>
          <w:rtl/>
        </w:rPr>
        <w:t>–</w:t>
      </w:r>
      <w:r>
        <w:rPr>
          <w:rFonts w:ascii="David" w:hAnsi="David" w:cs="David" w:hint="cs"/>
          <w:rtl/>
        </w:rPr>
        <w:t xml:space="preserve"> 1977.</w:t>
      </w:r>
    </w:p>
  </w:footnote>
  <w:footnote w:id="2">
    <w:p w14:paraId="2A986235" w14:textId="77777777" w:rsidR="0051240E" w:rsidRDefault="0051240E" w:rsidP="0051240E">
      <w:pPr>
        <w:pStyle w:val="ad"/>
      </w:pPr>
      <w:r>
        <w:rPr>
          <w:rStyle w:val="af"/>
        </w:rPr>
        <w:footnoteRef/>
      </w:r>
      <w:r>
        <w:rPr>
          <w:rtl/>
        </w:rPr>
        <w:t xml:space="preserve"> </w:t>
      </w:r>
      <w:r w:rsidRPr="00D224AD">
        <w:rPr>
          <w:rFonts w:ascii="David" w:hAnsi="David" w:cs="David" w:hint="cs"/>
          <w:rtl/>
        </w:rPr>
        <w:t>ס' 407(ב) לחוק העונשין</w:t>
      </w:r>
      <w:r>
        <w:rPr>
          <w:rFonts w:ascii="David" w:hAnsi="David" w:cs="David" w:hint="cs"/>
          <w:rtl/>
        </w:rPr>
        <w:t xml:space="preserve">, התשל"ז </w:t>
      </w:r>
      <w:r>
        <w:rPr>
          <w:rFonts w:ascii="David" w:hAnsi="David" w:cs="David"/>
          <w:rtl/>
        </w:rPr>
        <w:t>–</w:t>
      </w:r>
      <w:r>
        <w:rPr>
          <w:rFonts w:ascii="David" w:hAnsi="David" w:cs="David" w:hint="cs"/>
          <w:rtl/>
        </w:rPr>
        <w:t xml:space="preserve"> 1977.</w:t>
      </w:r>
    </w:p>
  </w:footnote>
  <w:footnote w:id="3">
    <w:p w14:paraId="1626EDC2" w14:textId="2D7139EA" w:rsidR="0051240E" w:rsidRDefault="0051240E" w:rsidP="0051240E">
      <w:pPr>
        <w:pStyle w:val="ad"/>
      </w:pPr>
      <w:r>
        <w:rPr>
          <w:rStyle w:val="af"/>
        </w:rPr>
        <w:footnoteRef/>
      </w:r>
      <w:r>
        <w:rPr>
          <w:rtl/>
        </w:rPr>
        <w:t xml:space="preserve"> </w:t>
      </w:r>
      <w:r w:rsidRPr="00D224AD">
        <w:rPr>
          <w:rFonts w:ascii="David" w:hAnsi="David" w:cs="David"/>
          <w:rtl/>
        </w:rPr>
        <w:t>א' אנקר ור' קנאי</w:t>
      </w:r>
      <w:r w:rsidR="00AE0720">
        <w:rPr>
          <w:rFonts w:ascii="David" w:hAnsi="David" w:cs="David" w:hint="cs"/>
          <w:rtl/>
        </w:rPr>
        <w:t>,</w:t>
      </w:r>
      <w:r w:rsidRPr="00D224AD">
        <w:rPr>
          <w:rFonts w:ascii="David" w:hAnsi="David" w:cs="David"/>
          <w:rtl/>
        </w:rPr>
        <w:t xml:space="preserve"> "</w:t>
      </w:r>
      <w:r w:rsidRPr="00D224AD">
        <w:rPr>
          <w:rFonts w:ascii="David" w:hAnsi="David" w:cs="David"/>
          <w:b/>
          <w:bCs/>
          <w:rtl/>
        </w:rPr>
        <w:t>הגנה עצמית וצורך לאחר תיקון מס' 37 לחוק העונשין</w:t>
      </w:r>
      <w:r w:rsidRPr="00D224AD">
        <w:rPr>
          <w:rFonts w:ascii="David" w:hAnsi="David" w:cs="David"/>
          <w:rtl/>
        </w:rPr>
        <w:t xml:space="preserve">" פלילים ג, 5 (1992). </w:t>
      </w:r>
    </w:p>
  </w:footnote>
  <w:footnote w:id="4">
    <w:p w14:paraId="40696AA6" w14:textId="6BA10EB6" w:rsidR="00403C23" w:rsidRDefault="00403C23">
      <w:pPr>
        <w:pStyle w:val="ad"/>
      </w:pPr>
      <w:r>
        <w:rPr>
          <w:rStyle w:val="af"/>
        </w:rPr>
        <w:footnoteRef/>
      </w:r>
      <w:r>
        <w:rPr>
          <w:rtl/>
        </w:rPr>
        <w:t xml:space="preserve"> </w:t>
      </w:r>
      <w:r w:rsidRPr="00403C23">
        <w:rPr>
          <w:rFonts w:cs="David" w:hint="cs"/>
          <w:rtl/>
        </w:rPr>
        <w:t xml:space="preserve">לעיל ה"ש 3, עמ' 25 </w:t>
      </w:r>
      <w:r w:rsidRPr="00403C23">
        <w:rPr>
          <w:rFonts w:cs="David"/>
          <w:rtl/>
        </w:rPr>
        <w:t>–</w:t>
      </w:r>
      <w:r w:rsidRPr="00403C23">
        <w:rPr>
          <w:rFonts w:cs="David" w:hint="cs"/>
          <w:rtl/>
        </w:rPr>
        <w:t xml:space="preserve"> המחוקק מתייחס לשני הרציונלים יחד.</w:t>
      </w:r>
    </w:p>
  </w:footnote>
  <w:footnote w:id="5">
    <w:p w14:paraId="25DA462C" w14:textId="41F2F697" w:rsidR="0000341F" w:rsidRDefault="0000341F">
      <w:pPr>
        <w:pStyle w:val="ad"/>
      </w:pPr>
      <w:r>
        <w:rPr>
          <w:rStyle w:val="af"/>
        </w:rPr>
        <w:footnoteRef/>
      </w:r>
      <w:r>
        <w:rPr>
          <w:rtl/>
        </w:rPr>
        <w:t xml:space="preserve"> </w:t>
      </w:r>
      <w:r w:rsidRPr="0000341F">
        <w:rPr>
          <w:rFonts w:cs="David" w:hint="cs"/>
          <w:rtl/>
        </w:rPr>
        <w:t>לעיל ה"ש 3, עמ' 25.</w:t>
      </w:r>
    </w:p>
  </w:footnote>
  <w:footnote w:id="6">
    <w:p w14:paraId="6E7BE83E" w14:textId="43C7779E" w:rsidR="0051240E" w:rsidRPr="004F02F8" w:rsidRDefault="0051240E" w:rsidP="0051240E">
      <w:pPr>
        <w:pStyle w:val="ad"/>
        <w:rPr>
          <w:rFonts w:cs="David"/>
        </w:rPr>
      </w:pPr>
      <w:r>
        <w:rPr>
          <w:rStyle w:val="af"/>
        </w:rPr>
        <w:footnoteRef/>
      </w:r>
      <w:r>
        <w:rPr>
          <w:rtl/>
        </w:rPr>
        <w:t xml:space="preserve"> </w:t>
      </w:r>
      <w:r>
        <w:rPr>
          <w:rFonts w:cs="David" w:hint="cs"/>
          <w:rtl/>
        </w:rPr>
        <w:t xml:space="preserve">לעיל ה"ש </w:t>
      </w:r>
      <w:r w:rsidR="0000341F">
        <w:rPr>
          <w:rFonts w:cs="David" w:hint="cs"/>
          <w:rtl/>
        </w:rPr>
        <w:t>3</w:t>
      </w:r>
      <w:r>
        <w:rPr>
          <w:rFonts w:cs="David" w:hint="cs"/>
          <w:rtl/>
        </w:rPr>
        <w:t>, עמ' 20.</w:t>
      </w:r>
    </w:p>
  </w:footnote>
  <w:footnote w:id="7">
    <w:p w14:paraId="22897847" w14:textId="6BC79CB3" w:rsidR="0051240E" w:rsidRPr="00401B43" w:rsidRDefault="0051240E" w:rsidP="0051240E">
      <w:pPr>
        <w:pStyle w:val="ad"/>
        <w:rPr>
          <w:rFonts w:ascii="David" w:hAnsi="David" w:cs="David"/>
        </w:rPr>
      </w:pPr>
      <w:r>
        <w:rPr>
          <w:rStyle w:val="af"/>
        </w:rPr>
        <w:footnoteRef/>
      </w:r>
      <w:r>
        <w:rPr>
          <w:rtl/>
        </w:rPr>
        <w:t xml:space="preserve"> </w:t>
      </w:r>
      <w:r>
        <w:rPr>
          <w:rFonts w:ascii="David" w:hAnsi="David" w:cs="David" w:hint="cs"/>
          <w:rtl/>
        </w:rPr>
        <w:t xml:space="preserve">ע"פ 20/04 </w:t>
      </w:r>
      <w:r w:rsidRPr="00401B43">
        <w:rPr>
          <w:rFonts w:ascii="David" w:hAnsi="David" w:cs="David" w:hint="cs"/>
          <w:b/>
          <w:bCs/>
          <w:rtl/>
        </w:rPr>
        <w:t>אבי קליינר נ' מדינת ישראל</w:t>
      </w:r>
      <w:r>
        <w:rPr>
          <w:rFonts w:ascii="David" w:hAnsi="David" w:cs="David" w:hint="cs"/>
          <w:rtl/>
        </w:rPr>
        <w:t xml:space="preserve">, פ"ד נח(6) 80, פס' 9 לפסק דינו של השופט לוי (2004). </w:t>
      </w:r>
    </w:p>
  </w:footnote>
  <w:footnote w:id="8">
    <w:p w14:paraId="0ED8090C" w14:textId="27D3A4B6" w:rsidR="0051240E" w:rsidRDefault="0051240E" w:rsidP="0051240E">
      <w:pPr>
        <w:pStyle w:val="ad"/>
      </w:pPr>
      <w:r>
        <w:rPr>
          <w:rStyle w:val="af"/>
        </w:rPr>
        <w:footnoteRef/>
      </w:r>
      <w:r>
        <w:rPr>
          <w:rtl/>
        </w:rPr>
        <w:t xml:space="preserve"> </w:t>
      </w:r>
      <w:r w:rsidRPr="004F02F8">
        <w:rPr>
          <w:rFonts w:cs="David" w:hint="cs"/>
          <w:rtl/>
        </w:rPr>
        <w:t xml:space="preserve">לעיל ה"ש </w:t>
      </w:r>
      <w:r w:rsidR="0000341F">
        <w:rPr>
          <w:rFonts w:cs="David" w:hint="cs"/>
          <w:rtl/>
        </w:rPr>
        <w:t>3</w:t>
      </w:r>
      <w:r w:rsidRPr="004F02F8">
        <w:rPr>
          <w:rFonts w:cs="David" w:hint="cs"/>
          <w:rtl/>
        </w:rPr>
        <w:t>, עמ' 26.</w:t>
      </w:r>
    </w:p>
  </w:footnote>
  <w:footnote w:id="9">
    <w:p w14:paraId="6D7314D8" w14:textId="358384D4" w:rsidR="00242C2B" w:rsidRDefault="00242C2B">
      <w:pPr>
        <w:pStyle w:val="ad"/>
      </w:pPr>
      <w:r>
        <w:rPr>
          <w:rStyle w:val="af"/>
        </w:rPr>
        <w:footnoteRef/>
      </w:r>
      <w:r>
        <w:rPr>
          <w:rtl/>
        </w:rPr>
        <w:t xml:space="preserve"> </w:t>
      </w:r>
      <w:r w:rsidR="00D708E3" w:rsidRPr="00D708E3">
        <w:rPr>
          <w:rFonts w:ascii="David" w:hAnsi="David" w:cs="David" w:hint="cs"/>
          <w:rtl/>
        </w:rPr>
        <w:t>לעיל ה"ש 3, עמ' 27.</w:t>
      </w:r>
    </w:p>
  </w:footnote>
  <w:footnote w:id="10">
    <w:p w14:paraId="10DFCF41" w14:textId="77777777" w:rsidR="0051240E" w:rsidRDefault="0051240E" w:rsidP="0051240E">
      <w:pPr>
        <w:pStyle w:val="ad"/>
      </w:pPr>
      <w:r>
        <w:rPr>
          <w:rStyle w:val="af"/>
        </w:rPr>
        <w:footnoteRef/>
      </w:r>
      <w:r>
        <w:rPr>
          <w:rtl/>
        </w:rPr>
        <w:t xml:space="preserve"> </w:t>
      </w:r>
      <w:r w:rsidRPr="00F575B4">
        <w:rPr>
          <w:rFonts w:ascii="David" w:hAnsi="David" w:cs="David"/>
          <w:rtl/>
        </w:rPr>
        <w:t>ס' 34</w:t>
      </w:r>
      <w:r>
        <w:rPr>
          <w:rFonts w:ascii="David" w:hAnsi="David" w:cs="David" w:hint="cs"/>
          <w:rtl/>
        </w:rPr>
        <w:t>טז</w:t>
      </w:r>
      <w:r w:rsidRPr="00F575B4">
        <w:rPr>
          <w:rFonts w:ascii="David" w:hAnsi="David" w:cs="David"/>
          <w:rtl/>
        </w:rPr>
        <w:t xml:space="preserve"> לחוק העונשין</w:t>
      </w:r>
      <w:r>
        <w:rPr>
          <w:rFonts w:ascii="David" w:hAnsi="David" w:cs="David" w:hint="cs"/>
          <w:rtl/>
        </w:rPr>
        <w:t xml:space="preserve">, התשל"ז </w:t>
      </w:r>
      <w:r>
        <w:rPr>
          <w:rFonts w:ascii="David" w:hAnsi="David" w:cs="David"/>
          <w:rtl/>
        </w:rPr>
        <w:t>–</w:t>
      </w:r>
      <w:r>
        <w:rPr>
          <w:rFonts w:ascii="David" w:hAnsi="David" w:cs="David" w:hint="cs"/>
          <w:rtl/>
        </w:rPr>
        <w:t xml:space="preserve"> 1977.</w:t>
      </w:r>
    </w:p>
  </w:footnote>
  <w:footnote w:id="11">
    <w:p w14:paraId="0C9D92FB" w14:textId="3F3DC82C" w:rsidR="007130D7" w:rsidRPr="007130D7" w:rsidRDefault="007130D7">
      <w:pPr>
        <w:pStyle w:val="ad"/>
        <w:rPr>
          <w:rFonts w:ascii="David" w:hAnsi="David" w:cs="David"/>
        </w:rPr>
      </w:pPr>
      <w:r>
        <w:rPr>
          <w:rStyle w:val="af"/>
        </w:rPr>
        <w:footnoteRef/>
      </w:r>
      <w:r>
        <w:rPr>
          <w:rtl/>
        </w:rPr>
        <w:t xml:space="preserve"> </w:t>
      </w:r>
      <w:r w:rsidRPr="007130D7">
        <w:rPr>
          <w:rFonts w:ascii="David" w:hAnsi="David" w:cs="David" w:hint="cs"/>
          <w:rtl/>
        </w:rPr>
        <w:t>לעיל ה"ש 3, עמ' 32.</w:t>
      </w:r>
    </w:p>
  </w:footnote>
  <w:footnote w:id="12">
    <w:p w14:paraId="085C2E7D" w14:textId="046218F3" w:rsidR="008A78BE" w:rsidRDefault="008A78BE">
      <w:pPr>
        <w:pStyle w:val="ad"/>
      </w:pPr>
      <w:r>
        <w:rPr>
          <w:rStyle w:val="af"/>
        </w:rPr>
        <w:footnoteRef/>
      </w:r>
      <w:r>
        <w:rPr>
          <w:rtl/>
        </w:rPr>
        <w:t xml:space="preserve"> </w:t>
      </w:r>
      <w:r w:rsidRPr="008A78BE">
        <w:rPr>
          <w:rFonts w:ascii="David" w:hAnsi="David" w:cs="David" w:hint="cs"/>
          <w:rtl/>
        </w:rPr>
        <w:t xml:space="preserve">ש"ז פלר </w:t>
      </w:r>
      <w:r w:rsidRPr="008A78BE">
        <w:rPr>
          <w:rFonts w:ascii="David" w:hAnsi="David" w:cs="David" w:hint="cs"/>
          <w:b/>
          <w:bCs/>
          <w:rtl/>
        </w:rPr>
        <w:t>יסודות בדיני עונשין</w:t>
      </w:r>
      <w:r w:rsidRPr="008A78BE">
        <w:rPr>
          <w:rFonts w:ascii="David" w:hAnsi="David" w:cs="David" w:hint="cs"/>
          <w:rtl/>
        </w:rPr>
        <w:t xml:space="preserve"> כרך ב עמ' 376.</w:t>
      </w:r>
    </w:p>
  </w:footnote>
  <w:footnote w:id="13">
    <w:p w14:paraId="751EA56F" w14:textId="77777777" w:rsidR="0051240E" w:rsidRDefault="0051240E" w:rsidP="0051240E">
      <w:pPr>
        <w:pStyle w:val="ad"/>
        <w:rPr>
          <w:rtl/>
        </w:rPr>
      </w:pPr>
      <w:r>
        <w:rPr>
          <w:rStyle w:val="af"/>
        </w:rPr>
        <w:footnoteRef/>
      </w:r>
      <w:r>
        <w:rPr>
          <w:rtl/>
        </w:rPr>
        <w:t xml:space="preserve"> </w:t>
      </w:r>
      <w:r w:rsidRPr="00F575B4">
        <w:rPr>
          <w:rFonts w:ascii="David" w:hAnsi="David" w:cs="David"/>
          <w:rtl/>
        </w:rPr>
        <w:t>ס' 34</w:t>
      </w:r>
      <w:r>
        <w:rPr>
          <w:rFonts w:ascii="David" w:hAnsi="David" w:cs="David" w:hint="cs"/>
          <w:rtl/>
        </w:rPr>
        <w:t xml:space="preserve">יד </w:t>
      </w:r>
      <w:r w:rsidRPr="00F575B4">
        <w:rPr>
          <w:rFonts w:ascii="David" w:hAnsi="David" w:cs="David"/>
          <w:rtl/>
        </w:rPr>
        <w:t>לחוק העונשין</w:t>
      </w:r>
      <w:r>
        <w:rPr>
          <w:rFonts w:ascii="David" w:hAnsi="David" w:cs="David" w:hint="cs"/>
          <w:rtl/>
        </w:rPr>
        <w:t xml:space="preserve">, התשל"ז </w:t>
      </w:r>
      <w:r>
        <w:rPr>
          <w:rFonts w:ascii="David" w:hAnsi="David" w:cs="David"/>
          <w:rtl/>
        </w:rPr>
        <w:t>–</w:t>
      </w:r>
      <w:r>
        <w:rPr>
          <w:rFonts w:ascii="David" w:hAnsi="David" w:cs="David" w:hint="cs"/>
          <w:rtl/>
        </w:rPr>
        <w:t xml:space="preserve"> 1977.</w:t>
      </w:r>
    </w:p>
  </w:footnote>
  <w:footnote w:id="14">
    <w:p w14:paraId="59424DD0" w14:textId="773D1DCB" w:rsidR="002B27B5" w:rsidRDefault="002B27B5">
      <w:pPr>
        <w:pStyle w:val="ad"/>
      </w:pPr>
      <w:r>
        <w:rPr>
          <w:rStyle w:val="af"/>
        </w:rPr>
        <w:footnoteRef/>
      </w:r>
      <w:r>
        <w:rPr>
          <w:rtl/>
        </w:rPr>
        <w:t xml:space="preserve"> </w:t>
      </w:r>
      <w:r w:rsidRPr="002B27B5">
        <w:rPr>
          <w:rFonts w:ascii="David" w:hAnsi="David" w:cs="David"/>
          <w:rtl/>
        </w:rPr>
        <w:t xml:space="preserve">ע"פ 3920/00 </w:t>
      </w:r>
      <w:r w:rsidRPr="002B27B5">
        <w:rPr>
          <w:rFonts w:ascii="David" w:hAnsi="David" w:cs="David"/>
          <w:b/>
          <w:bCs/>
          <w:rtl/>
        </w:rPr>
        <w:t>פלונית נ' מדינת ישראל</w:t>
      </w:r>
      <w:r w:rsidRPr="002B27B5">
        <w:rPr>
          <w:rFonts w:ascii="David" w:hAnsi="David" w:cs="David"/>
          <w:rtl/>
        </w:rPr>
        <w:t>, פ"ד נא(3) 456 (1997).</w:t>
      </w:r>
      <w:r>
        <w:rPr>
          <w:rFonts w:hint="cs"/>
          <w:rtl/>
        </w:rPr>
        <w:t xml:space="preserve"> </w:t>
      </w:r>
    </w:p>
  </w:footnote>
  <w:footnote w:id="15">
    <w:p w14:paraId="1C09C57C" w14:textId="3282BE18" w:rsidR="007130D7" w:rsidRDefault="007130D7">
      <w:pPr>
        <w:pStyle w:val="ad"/>
      </w:pPr>
      <w:r>
        <w:rPr>
          <w:rStyle w:val="af"/>
        </w:rPr>
        <w:footnoteRef/>
      </w:r>
      <w:r>
        <w:rPr>
          <w:rtl/>
        </w:rPr>
        <w:t xml:space="preserve"> </w:t>
      </w:r>
      <w:r w:rsidRPr="00F575B4">
        <w:rPr>
          <w:rFonts w:ascii="David" w:hAnsi="David" w:cs="David"/>
          <w:rtl/>
        </w:rPr>
        <w:t>ס' 34</w:t>
      </w:r>
      <w:r>
        <w:rPr>
          <w:rFonts w:ascii="David" w:hAnsi="David" w:cs="David" w:hint="cs"/>
          <w:rtl/>
        </w:rPr>
        <w:t xml:space="preserve">טו </w:t>
      </w:r>
      <w:r w:rsidRPr="00F575B4">
        <w:rPr>
          <w:rFonts w:ascii="David" w:hAnsi="David" w:cs="David"/>
          <w:rtl/>
        </w:rPr>
        <w:t>לחוק העונשין</w:t>
      </w:r>
      <w:r>
        <w:rPr>
          <w:rFonts w:ascii="David" w:hAnsi="David" w:cs="David" w:hint="cs"/>
          <w:rtl/>
        </w:rPr>
        <w:t xml:space="preserve">, התשל"ז </w:t>
      </w:r>
      <w:r>
        <w:rPr>
          <w:rFonts w:ascii="David" w:hAnsi="David" w:cs="David"/>
          <w:rtl/>
        </w:rPr>
        <w:t>–</w:t>
      </w:r>
      <w:r>
        <w:rPr>
          <w:rFonts w:ascii="David" w:hAnsi="David" w:cs="David" w:hint="cs"/>
          <w:rtl/>
        </w:rPr>
        <w:t xml:space="preserve"> 1977.</w:t>
      </w:r>
    </w:p>
  </w:footnote>
  <w:footnote w:id="16">
    <w:p w14:paraId="0061D23A" w14:textId="6C966720" w:rsidR="00C53546" w:rsidRPr="00C53546" w:rsidRDefault="00C53546">
      <w:pPr>
        <w:pStyle w:val="ad"/>
        <w:rPr>
          <w:rFonts w:ascii="David" w:hAnsi="David" w:cs="David"/>
        </w:rPr>
      </w:pPr>
      <w:r>
        <w:rPr>
          <w:rStyle w:val="af"/>
        </w:rPr>
        <w:footnoteRef/>
      </w:r>
      <w:r>
        <w:rPr>
          <w:rtl/>
        </w:rPr>
        <w:t xml:space="preserve"> </w:t>
      </w:r>
      <w:r w:rsidRPr="00C53546">
        <w:rPr>
          <w:rFonts w:ascii="David" w:hAnsi="David" w:cs="David" w:hint="cs"/>
          <w:rtl/>
        </w:rPr>
        <w:t xml:space="preserve">ס' 34י1 לחוק העונשין, התשל"ז </w:t>
      </w:r>
      <w:r w:rsidRPr="00C53546">
        <w:rPr>
          <w:rFonts w:ascii="David" w:hAnsi="David" w:cs="David"/>
          <w:rtl/>
        </w:rPr>
        <w:t>–</w:t>
      </w:r>
      <w:r w:rsidRPr="00C53546">
        <w:rPr>
          <w:rFonts w:ascii="David" w:hAnsi="David" w:cs="David" w:hint="cs"/>
          <w:rtl/>
        </w:rPr>
        <w:t xml:space="preserve"> 1977. </w:t>
      </w:r>
    </w:p>
  </w:footnote>
  <w:footnote w:id="17">
    <w:p w14:paraId="69B99A89" w14:textId="262C4377" w:rsidR="00C53546" w:rsidRDefault="00C53546">
      <w:pPr>
        <w:pStyle w:val="ad"/>
      </w:pPr>
      <w:r>
        <w:rPr>
          <w:rStyle w:val="af"/>
        </w:rPr>
        <w:footnoteRef/>
      </w:r>
      <w:r>
        <w:rPr>
          <w:rtl/>
        </w:rPr>
        <w:t xml:space="preserve"> </w:t>
      </w:r>
      <w:r w:rsidRPr="00C53546">
        <w:rPr>
          <w:rFonts w:ascii="David" w:hAnsi="David" w:cs="David" w:hint="cs"/>
          <w:rtl/>
        </w:rPr>
        <w:t>ס' 329(א)(2) לחוק העונשין,</w:t>
      </w:r>
      <w:r>
        <w:rPr>
          <w:rFonts w:hint="cs"/>
          <w:rtl/>
        </w:rPr>
        <w:t xml:space="preserve"> </w:t>
      </w:r>
      <w:r w:rsidRPr="00C53546">
        <w:rPr>
          <w:rFonts w:ascii="David" w:hAnsi="David" w:cs="David" w:hint="cs"/>
          <w:rtl/>
        </w:rPr>
        <w:t xml:space="preserve">התשל"ז </w:t>
      </w:r>
      <w:r w:rsidRPr="00C53546">
        <w:rPr>
          <w:rFonts w:ascii="David" w:hAnsi="David" w:cs="David"/>
          <w:rtl/>
        </w:rPr>
        <w:t>–</w:t>
      </w:r>
      <w:r w:rsidRPr="00C53546">
        <w:rPr>
          <w:rFonts w:ascii="David" w:hAnsi="David" w:cs="David" w:hint="cs"/>
          <w:rtl/>
        </w:rPr>
        <w:t xml:space="preserve"> 1977</w:t>
      </w:r>
      <w:r>
        <w:rPr>
          <w:rFonts w:hint="cs"/>
          <w:rtl/>
        </w:rPr>
        <w:t>.</w:t>
      </w:r>
    </w:p>
  </w:footnote>
  <w:footnote w:id="18">
    <w:p w14:paraId="454EEA64" w14:textId="60A54FFA" w:rsidR="002C33F9" w:rsidRDefault="002C33F9">
      <w:pPr>
        <w:pStyle w:val="ad"/>
      </w:pPr>
      <w:r>
        <w:rPr>
          <w:rStyle w:val="af"/>
        </w:rPr>
        <w:footnoteRef/>
      </w:r>
      <w:r>
        <w:rPr>
          <w:rtl/>
        </w:rPr>
        <w:t xml:space="preserve"> </w:t>
      </w:r>
      <w:r w:rsidRPr="002C33F9">
        <w:rPr>
          <w:rFonts w:ascii="David" w:hAnsi="David" w:cs="David"/>
          <w:rtl/>
        </w:rPr>
        <w:t xml:space="preserve">ת"פ (מחוזי-ב"ש) 1010/07 </w:t>
      </w:r>
      <w:r w:rsidRPr="002C33F9">
        <w:rPr>
          <w:rFonts w:ascii="David" w:hAnsi="David" w:cs="David"/>
          <w:b/>
          <w:bCs/>
          <w:rtl/>
        </w:rPr>
        <w:t>דרומי נ' מדינת ישראל</w:t>
      </w:r>
      <w:r w:rsidRPr="002C33F9">
        <w:rPr>
          <w:rFonts w:ascii="David" w:hAnsi="David" w:cs="David"/>
          <w:rtl/>
        </w:rPr>
        <w:t xml:space="preserve"> (2009).</w:t>
      </w:r>
    </w:p>
  </w:footnote>
  <w:footnote w:id="19">
    <w:p w14:paraId="633A2E77" w14:textId="44917074" w:rsidR="002F21EF" w:rsidRDefault="002F21EF">
      <w:pPr>
        <w:pStyle w:val="ad"/>
        <w:rPr>
          <w:rtl/>
        </w:rPr>
      </w:pPr>
      <w:r>
        <w:rPr>
          <w:rStyle w:val="af"/>
        </w:rPr>
        <w:footnoteRef/>
      </w:r>
      <w:r>
        <w:rPr>
          <w:rtl/>
        </w:rPr>
        <w:t xml:space="preserve"> </w:t>
      </w:r>
      <w:r w:rsidRPr="002F21EF">
        <w:rPr>
          <w:rFonts w:ascii="David" w:hAnsi="David" w:cs="David" w:hint="cs"/>
          <w:rtl/>
        </w:rPr>
        <w:t>לעיל ה"ש 15.</w:t>
      </w:r>
    </w:p>
  </w:footnote>
  <w:footnote w:id="20">
    <w:p w14:paraId="139F41A5" w14:textId="606EFD7F" w:rsidR="00AE0720" w:rsidRDefault="00AE0720">
      <w:pPr>
        <w:pStyle w:val="ad"/>
      </w:pPr>
      <w:r>
        <w:rPr>
          <w:rStyle w:val="af"/>
        </w:rPr>
        <w:footnoteRef/>
      </w:r>
      <w:r>
        <w:rPr>
          <w:rtl/>
        </w:rPr>
        <w:t xml:space="preserve"> </w:t>
      </w:r>
      <w:r w:rsidRPr="00AE0720">
        <w:rPr>
          <w:rFonts w:ascii="David" w:hAnsi="David" w:cs="David" w:hint="cs"/>
          <w:rtl/>
        </w:rPr>
        <w:t>לעיל ה"ש 17, פס' 12.</w:t>
      </w:r>
    </w:p>
  </w:footnote>
  <w:footnote w:id="21">
    <w:p w14:paraId="57113951" w14:textId="2B0F288F" w:rsidR="00AE0720" w:rsidRDefault="00AE0720">
      <w:pPr>
        <w:pStyle w:val="ad"/>
      </w:pPr>
      <w:r>
        <w:rPr>
          <w:rStyle w:val="af"/>
        </w:rPr>
        <w:footnoteRef/>
      </w:r>
      <w:r>
        <w:rPr>
          <w:rtl/>
        </w:rPr>
        <w:t xml:space="preserve"> </w:t>
      </w:r>
      <w:r w:rsidRPr="00AE0720">
        <w:rPr>
          <w:rFonts w:ascii="David" w:hAnsi="David" w:cs="David" w:hint="cs"/>
          <w:rtl/>
        </w:rPr>
        <w:t xml:space="preserve">בועז סנג'רו, </w:t>
      </w:r>
      <w:r w:rsidRPr="00AE0720">
        <w:rPr>
          <w:rFonts w:ascii="David" w:hAnsi="David" w:cs="David" w:hint="cs"/>
          <w:b/>
          <w:bCs/>
          <w:rtl/>
        </w:rPr>
        <w:t>הגנה עצמית במשפט הפלילי</w:t>
      </w:r>
      <w:r w:rsidRPr="00AE0720">
        <w:rPr>
          <w:rFonts w:ascii="David" w:hAnsi="David" w:cs="David" w:hint="cs"/>
          <w:rtl/>
        </w:rPr>
        <w:t xml:space="preserve"> (הוצאת נבו, 2000), עמ' 317.</w:t>
      </w:r>
    </w:p>
  </w:footnote>
  <w:footnote w:id="22">
    <w:p w14:paraId="4F9FD041" w14:textId="6159C690" w:rsidR="003A6D01" w:rsidRDefault="003A6D01">
      <w:pPr>
        <w:pStyle w:val="ad"/>
      </w:pPr>
      <w:r>
        <w:rPr>
          <w:rStyle w:val="af"/>
        </w:rPr>
        <w:footnoteRef/>
      </w:r>
      <w:r>
        <w:rPr>
          <w:rtl/>
        </w:rPr>
        <w:t xml:space="preserve"> </w:t>
      </w:r>
      <w:r w:rsidRPr="003A6D01">
        <w:rPr>
          <w:rFonts w:ascii="David" w:hAnsi="David" w:cs="David" w:hint="cs"/>
          <w:rtl/>
        </w:rPr>
        <w:t>לעיל ה"ש 7, עמ' 90.</w:t>
      </w:r>
    </w:p>
  </w:footnote>
  <w:footnote w:id="23">
    <w:p w14:paraId="25E5F5C6" w14:textId="653FA401" w:rsidR="00A24C27" w:rsidRDefault="00A24C27">
      <w:pPr>
        <w:pStyle w:val="ad"/>
      </w:pPr>
      <w:r>
        <w:rPr>
          <w:rStyle w:val="af"/>
        </w:rPr>
        <w:footnoteRef/>
      </w:r>
      <w:r>
        <w:rPr>
          <w:rtl/>
        </w:rPr>
        <w:t xml:space="preserve"> </w:t>
      </w:r>
      <w:r w:rsidRPr="00A24C27">
        <w:rPr>
          <w:rFonts w:ascii="David" w:hAnsi="David" w:cs="David" w:hint="cs"/>
          <w:rtl/>
        </w:rPr>
        <w:t>לעיל ה"ש 20, עמ' 33.</w:t>
      </w:r>
      <w:r>
        <w:rPr>
          <w:rFonts w:hint="cs"/>
          <w:rtl/>
        </w:rPr>
        <w:t xml:space="preserve"> </w:t>
      </w:r>
    </w:p>
  </w:footnote>
  <w:footnote w:id="24">
    <w:p w14:paraId="57662EFF" w14:textId="01965456" w:rsidR="00F25EAD" w:rsidRDefault="00F25EAD">
      <w:pPr>
        <w:pStyle w:val="ad"/>
      </w:pPr>
      <w:r>
        <w:rPr>
          <w:rStyle w:val="af"/>
        </w:rPr>
        <w:footnoteRef/>
      </w:r>
      <w:r>
        <w:rPr>
          <w:rtl/>
        </w:rPr>
        <w:t xml:space="preserve"> </w:t>
      </w:r>
      <w:r w:rsidRPr="00F25EAD">
        <w:rPr>
          <w:rFonts w:ascii="David" w:hAnsi="David" w:cs="David"/>
          <w:rtl/>
        </w:rPr>
        <w:t xml:space="preserve">מרים גור אריה וגליה דאור </w:t>
      </w:r>
      <w:r w:rsidRPr="00C92855">
        <w:rPr>
          <w:rFonts w:ascii="David" w:hAnsi="David" w:cs="David"/>
          <w:b/>
          <w:bCs/>
          <w:rtl/>
        </w:rPr>
        <w:t>"הגנה מיוחדת לבית מגורים, לבית עסק ולמשק חקלאי: סכנותיה ותחימת גבולותיה בעקבות פרשת שי דרומי"</w:t>
      </w:r>
      <w:r w:rsidRPr="00F25EAD">
        <w:rPr>
          <w:rFonts w:ascii="David" w:hAnsi="David" w:cs="David"/>
          <w:rtl/>
        </w:rPr>
        <w:t>, משפט וממשל יג 141 (2010)</w:t>
      </w:r>
      <w:r w:rsidR="002F21EF">
        <w:rPr>
          <w:rFonts w:ascii="David" w:hAnsi="David" w:cs="David" w:hint="cs"/>
          <w:rtl/>
        </w:rPr>
        <w:t>, עמ' 146</w:t>
      </w:r>
      <w:r w:rsidRPr="00F25EAD">
        <w:rPr>
          <w:rFonts w:ascii="David" w:hAnsi="David" w:cs="David"/>
          <w:rtl/>
        </w:rPr>
        <w:t xml:space="preserve">.  </w:t>
      </w:r>
    </w:p>
  </w:footnote>
  <w:footnote w:id="25">
    <w:p w14:paraId="736B65B1" w14:textId="5C31F6A6" w:rsidR="0093554D" w:rsidRDefault="0093554D">
      <w:pPr>
        <w:pStyle w:val="ad"/>
      </w:pPr>
      <w:r>
        <w:rPr>
          <w:rStyle w:val="af"/>
        </w:rPr>
        <w:footnoteRef/>
      </w:r>
      <w:r>
        <w:rPr>
          <w:rtl/>
        </w:rPr>
        <w:t xml:space="preserve"> </w:t>
      </w:r>
      <w:r w:rsidRPr="0093554D">
        <w:rPr>
          <w:rFonts w:ascii="David" w:hAnsi="David" w:cs="David"/>
          <w:rtl/>
        </w:rPr>
        <w:t>לעיל ה"ש 7, עמ' 90.</w:t>
      </w:r>
    </w:p>
  </w:footnote>
  <w:footnote w:id="26">
    <w:p w14:paraId="42BA0281" w14:textId="28304D7B" w:rsidR="004C4EC5" w:rsidRPr="004C4EC5" w:rsidRDefault="004C4EC5">
      <w:pPr>
        <w:pStyle w:val="ad"/>
        <w:rPr>
          <w:rFonts w:ascii="David" w:hAnsi="David" w:cs="David"/>
        </w:rPr>
      </w:pPr>
      <w:r>
        <w:rPr>
          <w:rStyle w:val="af"/>
        </w:rPr>
        <w:footnoteRef/>
      </w:r>
      <w:r>
        <w:rPr>
          <w:rtl/>
        </w:rPr>
        <w:t xml:space="preserve"> </w:t>
      </w:r>
      <w:r>
        <w:rPr>
          <w:rFonts w:ascii="David" w:hAnsi="David" w:cs="David" w:hint="cs"/>
          <w:rtl/>
        </w:rPr>
        <w:t xml:space="preserve">ראה </w:t>
      </w:r>
      <w:r w:rsidRPr="004C4EC5">
        <w:rPr>
          <w:rFonts w:ascii="David" w:hAnsi="David" w:cs="David" w:hint="cs"/>
          <w:rtl/>
        </w:rPr>
        <w:t xml:space="preserve">ס' ב' </w:t>
      </w:r>
      <w:r w:rsidR="009309A2">
        <w:rPr>
          <w:rFonts w:ascii="David" w:hAnsi="David" w:cs="David" w:hint="cs"/>
          <w:rtl/>
        </w:rPr>
        <w:t>ב</w:t>
      </w:r>
      <w:r w:rsidRPr="004C4EC5">
        <w:rPr>
          <w:rFonts w:ascii="David" w:hAnsi="David" w:cs="David" w:hint="cs"/>
          <w:rtl/>
        </w:rPr>
        <w:t>מסמך זה.</w:t>
      </w:r>
    </w:p>
  </w:footnote>
  <w:footnote w:id="27">
    <w:p w14:paraId="69D5C71A" w14:textId="05CF18F6" w:rsidR="00A24C27" w:rsidRPr="004C4EC5" w:rsidRDefault="00A24C27" w:rsidP="004C4EC5">
      <w:pPr>
        <w:pStyle w:val="ad"/>
      </w:pPr>
      <w:r>
        <w:rPr>
          <w:rStyle w:val="af"/>
        </w:rPr>
        <w:footnoteRef/>
      </w:r>
      <w:r>
        <w:rPr>
          <w:rtl/>
        </w:rPr>
        <w:t xml:space="preserve"> </w:t>
      </w:r>
      <w:r w:rsidR="004C4EC5" w:rsidRPr="00AE0720">
        <w:rPr>
          <w:rFonts w:ascii="David" w:hAnsi="David" w:cs="David" w:hint="cs"/>
          <w:rtl/>
        </w:rPr>
        <w:t>לעיל ה"ש 17</w:t>
      </w:r>
      <w:r w:rsidR="004C4EC5">
        <w:rPr>
          <w:rFonts w:ascii="David" w:hAnsi="David" w:cs="David" w:hint="cs"/>
          <w:rtl/>
        </w:rPr>
        <w:t>.</w:t>
      </w:r>
    </w:p>
  </w:footnote>
  <w:footnote w:id="28">
    <w:p w14:paraId="7D1F1650" w14:textId="0F74590F" w:rsidR="009309A2" w:rsidRDefault="009309A2">
      <w:pPr>
        <w:pStyle w:val="ad"/>
      </w:pPr>
      <w:r>
        <w:rPr>
          <w:rStyle w:val="af"/>
        </w:rPr>
        <w:footnoteRef/>
      </w:r>
      <w:r>
        <w:rPr>
          <w:rtl/>
        </w:rPr>
        <w:t xml:space="preserve"> </w:t>
      </w:r>
      <w:r w:rsidRPr="009309A2">
        <w:rPr>
          <w:rFonts w:ascii="David" w:hAnsi="David" w:cs="David" w:hint="cs"/>
          <w:rtl/>
        </w:rPr>
        <w:t>לעיל ה"ש 17, עמ' 53.</w:t>
      </w:r>
    </w:p>
  </w:footnote>
  <w:footnote w:id="29">
    <w:p w14:paraId="09658562" w14:textId="689CE342" w:rsidR="00406C26" w:rsidRDefault="00406C26">
      <w:pPr>
        <w:pStyle w:val="ad"/>
      </w:pPr>
      <w:r>
        <w:rPr>
          <w:rStyle w:val="af"/>
        </w:rPr>
        <w:footnoteRef/>
      </w:r>
      <w:r>
        <w:rPr>
          <w:rtl/>
        </w:rPr>
        <w:t xml:space="preserve"> </w:t>
      </w:r>
      <w:r w:rsidRPr="00406C26">
        <w:rPr>
          <w:rFonts w:ascii="David" w:hAnsi="David" w:cs="David"/>
          <w:rtl/>
        </w:rPr>
        <w:t>לעיל ה"ש 23, עמ' 150.</w:t>
      </w:r>
    </w:p>
  </w:footnote>
  <w:footnote w:id="30">
    <w:p w14:paraId="1720BF0D" w14:textId="65CFC098" w:rsidR="00D67C90" w:rsidRDefault="00D67C90">
      <w:pPr>
        <w:pStyle w:val="ad"/>
      </w:pPr>
      <w:r>
        <w:rPr>
          <w:rStyle w:val="af"/>
        </w:rPr>
        <w:footnoteRef/>
      </w:r>
      <w:r>
        <w:rPr>
          <w:rtl/>
        </w:rPr>
        <w:t xml:space="preserve"> </w:t>
      </w:r>
      <w:r w:rsidRPr="00D67C90">
        <w:rPr>
          <w:rFonts w:ascii="David" w:hAnsi="David" w:cs="David"/>
          <w:rtl/>
        </w:rPr>
        <w:t>ס' 34טז לחוק העונשין – התשל"ז 1977.</w:t>
      </w:r>
    </w:p>
  </w:footnote>
  <w:footnote w:id="31">
    <w:p w14:paraId="6895E25C" w14:textId="2AF5D090" w:rsidR="00886F70" w:rsidRDefault="00886F70">
      <w:pPr>
        <w:pStyle w:val="ad"/>
        <w:rPr>
          <w:rtl/>
        </w:rPr>
      </w:pPr>
      <w:r>
        <w:rPr>
          <w:rStyle w:val="af"/>
        </w:rPr>
        <w:footnoteRef/>
      </w:r>
      <w:r>
        <w:rPr>
          <w:rtl/>
        </w:rPr>
        <w:t xml:space="preserve"> </w:t>
      </w:r>
      <w:r w:rsidRPr="00886F70">
        <w:rPr>
          <w:rFonts w:ascii="David" w:hAnsi="David" w:cs="David" w:hint="cs"/>
          <w:rtl/>
        </w:rPr>
        <w:t>לעיל ה"ש 7.</w:t>
      </w:r>
    </w:p>
  </w:footnote>
  <w:footnote w:id="32">
    <w:p w14:paraId="48BDF926" w14:textId="77777777" w:rsidR="00190EC7" w:rsidRPr="00E23C39" w:rsidRDefault="00190EC7" w:rsidP="00190EC7">
      <w:pPr>
        <w:pStyle w:val="ad"/>
        <w:rPr>
          <w:rtl/>
        </w:rPr>
      </w:pPr>
      <w:r>
        <w:rPr>
          <w:rStyle w:val="af"/>
        </w:rPr>
        <w:footnoteRef/>
      </w:r>
      <w:r>
        <w:rPr>
          <w:rtl/>
        </w:rPr>
        <w:t xml:space="preserve"> </w:t>
      </w:r>
      <w:r w:rsidRPr="00E23C39">
        <w:rPr>
          <w:rFonts w:ascii="David" w:hAnsi="David" w:cs="David"/>
          <w:rtl/>
        </w:rPr>
        <w:t xml:space="preserve">לעיל ה"ש </w:t>
      </w:r>
      <w:r>
        <w:rPr>
          <w:rFonts w:ascii="David" w:hAnsi="David" w:cs="David" w:hint="cs"/>
          <w:rtl/>
        </w:rPr>
        <w:t>15</w:t>
      </w:r>
      <w:r w:rsidRPr="00E23C39">
        <w:rPr>
          <w:rFonts w:ascii="David" w:hAnsi="David" w:cs="David"/>
          <w:rtl/>
        </w:rPr>
        <w:t xml:space="preserve"> ,פס' 6 לפסק</w:t>
      </w:r>
      <w:r>
        <w:rPr>
          <w:rFonts w:ascii="David" w:hAnsi="David" w:cs="David" w:hint="cs"/>
          <w:rtl/>
        </w:rPr>
        <w:t xml:space="preserve"> </w:t>
      </w:r>
      <w:r w:rsidRPr="00E23C39">
        <w:rPr>
          <w:rFonts w:ascii="David" w:hAnsi="David" w:cs="David"/>
          <w:rtl/>
        </w:rPr>
        <w:t>דינה של השופטת ברקאי</w:t>
      </w:r>
      <w:r w:rsidRPr="00E23C39">
        <w:rPr>
          <w:rFonts w:ascii="David" w:hAnsi="David" w:cs="David"/>
        </w:rPr>
        <w:t>.</w:t>
      </w:r>
    </w:p>
  </w:footnote>
  <w:footnote w:id="33">
    <w:p w14:paraId="1AD594C9" w14:textId="6BACA7D5" w:rsidR="00190EC7" w:rsidRDefault="00190EC7">
      <w:pPr>
        <w:pStyle w:val="ad"/>
      </w:pPr>
      <w:r>
        <w:rPr>
          <w:rStyle w:val="af"/>
        </w:rPr>
        <w:footnoteRef/>
      </w:r>
      <w:r>
        <w:rPr>
          <w:rtl/>
        </w:rPr>
        <w:t xml:space="preserve"> </w:t>
      </w:r>
      <w:r>
        <w:rPr>
          <w:rFonts w:ascii="David" w:hAnsi="David" w:cs="David" w:hint="cs"/>
          <w:rtl/>
        </w:rPr>
        <w:t xml:space="preserve">לעיל ה"ש 15, </w:t>
      </w:r>
      <w:r w:rsidRPr="00E23C39">
        <w:rPr>
          <w:rFonts w:ascii="David" w:hAnsi="David" w:cs="David"/>
          <w:rtl/>
        </w:rPr>
        <w:t>פס' 9 לפסק</w:t>
      </w:r>
      <w:r>
        <w:rPr>
          <w:rFonts w:ascii="David" w:hAnsi="David" w:cs="David" w:hint="cs"/>
          <w:rtl/>
        </w:rPr>
        <w:t xml:space="preserve"> </w:t>
      </w:r>
      <w:r w:rsidRPr="00E23C39">
        <w:rPr>
          <w:rFonts w:ascii="David" w:hAnsi="David" w:cs="David"/>
          <w:rtl/>
        </w:rPr>
        <w:t>דינה של השופטת ברקאי</w:t>
      </w:r>
      <w:r>
        <w:rPr>
          <w:rFonts w:ascii="David" w:hAnsi="David" w:cs="David" w:hint="cs"/>
          <w:rtl/>
        </w:rPr>
        <w:t>.</w:t>
      </w:r>
    </w:p>
  </w:footnote>
  <w:footnote w:id="34">
    <w:p w14:paraId="38BDF12C" w14:textId="3E6EEFD5" w:rsidR="00886F70" w:rsidRDefault="00886F70">
      <w:pPr>
        <w:pStyle w:val="ad"/>
      </w:pPr>
      <w:r>
        <w:rPr>
          <w:rStyle w:val="af"/>
        </w:rPr>
        <w:footnoteRef/>
      </w:r>
      <w:r>
        <w:rPr>
          <w:rtl/>
        </w:rPr>
        <w:t xml:space="preserve"> </w:t>
      </w:r>
      <w:r w:rsidRPr="00886F70">
        <w:rPr>
          <w:rFonts w:ascii="David" w:hAnsi="David" w:cs="David" w:hint="cs"/>
          <w:rtl/>
        </w:rPr>
        <w:t>לעיל ה"ש 23, עמ' 163.</w:t>
      </w:r>
    </w:p>
  </w:footnote>
  <w:footnote w:id="35">
    <w:p w14:paraId="29660ECB" w14:textId="69D37F0F" w:rsidR="00886F70" w:rsidRDefault="00886F70">
      <w:pPr>
        <w:pStyle w:val="ad"/>
      </w:pPr>
      <w:r>
        <w:rPr>
          <w:rStyle w:val="af"/>
        </w:rPr>
        <w:footnoteRef/>
      </w:r>
      <w:r>
        <w:rPr>
          <w:rtl/>
        </w:rPr>
        <w:t xml:space="preserve"> </w:t>
      </w:r>
      <w:r w:rsidRPr="00D67C90">
        <w:rPr>
          <w:rFonts w:ascii="David" w:hAnsi="David" w:cs="David"/>
          <w:rtl/>
        </w:rPr>
        <w:t>ס' 34</w:t>
      </w:r>
      <w:r>
        <w:rPr>
          <w:rFonts w:ascii="David" w:hAnsi="David" w:cs="David" w:hint="cs"/>
          <w:rtl/>
        </w:rPr>
        <w:t>י1 (ב)</w:t>
      </w:r>
      <w:r w:rsidRPr="00D67C90">
        <w:rPr>
          <w:rFonts w:ascii="David" w:hAnsi="David" w:cs="David"/>
          <w:rtl/>
        </w:rPr>
        <w:t xml:space="preserve"> לחוק העונשין – התשל"ז 1977.</w:t>
      </w:r>
    </w:p>
  </w:footnote>
  <w:footnote w:id="36">
    <w:p w14:paraId="173876B5" w14:textId="4A5A5321" w:rsidR="00A87F50" w:rsidRDefault="00A87F50">
      <w:pPr>
        <w:pStyle w:val="ad"/>
      </w:pPr>
      <w:r>
        <w:rPr>
          <w:rStyle w:val="af"/>
        </w:rPr>
        <w:footnoteRef/>
      </w:r>
      <w:r>
        <w:rPr>
          <w:rtl/>
        </w:rPr>
        <w:t xml:space="preserve"> </w:t>
      </w:r>
      <w:r w:rsidRPr="00A87F50">
        <w:rPr>
          <w:rFonts w:ascii="David" w:hAnsi="David" w:cs="David" w:hint="cs"/>
          <w:rtl/>
        </w:rPr>
        <w:t>לעיל ה"ש 20, עמ' 274.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8576" w14:textId="503F5EFE" w:rsidR="00630DE9" w:rsidRPr="00630DE9" w:rsidRDefault="00166B98" w:rsidP="007B723E">
    <w:pPr>
      <w:pStyle w:val="a3"/>
      <w:jc w:val="center"/>
      <w:rPr>
        <w:rFonts w:ascii="David" w:hAnsi="David" w:cs="David"/>
        <w:sz w:val="24"/>
        <w:szCs w:val="24"/>
      </w:rPr>
    </w:pPr>
    <w:r>
      <w:rPr>
        <w:rFonts w:ascii="David" w:hAnsi="David" w:cs="David" w:hint="cs"/>
        <w:b/>
        <w:bCs/>
        <w:sz w:val="24"/>
        <w:szCs w:val="24"/>
        <w:rtl/>
      </w:rPr>
      <w:t xml:space="preserve">דיני עונשין </w:t>
    </w:r>
    <w:r>
      <w:rPr>
        <w:rFonts w:ascii="David" w:hAnsi="David" w:cs="David"/>
        <w:b/>
        <w:bCs/>
        <w:sz w:val="24"/>
        <w:szCs w:val="24"/>
        <w:rtl/>
      </w:rPr>
      <w:t>–</w:t>
    </w:r>
    <w:r>
      <w:rPr>
        <w:rFonts w:ascii="David" w:hAnsi="David" w:cs="David" w:hint="cs"/>
        <w:b/>
        <w:bCs/>
        <w:sz w:val="24"/>
        <w:szCs w:val="24"/>
        <w:rtl/>
      </w:rPr>
      <w:t xml:space="preserve"> סייגים לאחריות פלילית</w:t>
    </w:r>
    <w:r w:rsidR="007B723E">
      <w:rPr>
        <w:rFonts w:ascii="David" w:hAnsi="David" w:cs="David" w:hint="cs"/>
        <w:sz w:val="24"/>
        <w:szCs w:val="24"/>
        <w:rtl/>
      </w:rPr>
      <w:t xml:space="preserve"> | </w:t>
    </w:r>
    <w:r w:rsidR="00630DE9" w:rsidRPr="00630DE9">
      <w:rPr>
        <w:rFonts w:ascii="David" w:hAnsi="David" w:cs="David"/>
        <w:sz w:val="24"/>
        <w:szCs w:val="24"/>
        <w:rtl/>
      </w:rPr>
      <w:t>שירה שאול ת.ז 209491661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0852"/>
    <w:multiLevelType w:val="hybridMultilevel"/>
    <w:tmpl w:val="83D88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משתמש Windows">
    <w15:presenceInfo w15:providerId="None" w15:userId="‏‏משתמש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64A"/>
    <w:rsid w:val="0000341F"/>
    <w:rsid w:val="00023DB7"/>
    <w:rsid w:val="00026AB0"/>
    <w:rsid w:val="00051121"/>
    <w:rsid w:val="000656C5"/>
    <w:rsid w:val="00067EE8"/>
    <w:rsid w:val="0007254D"/>
    <w:rsid w:val="00080AED"/>
    <w:rsid w:val="000819FA"/>
    <w:rsid w:val="000906A4"/>
    <w:rsid w:val="000A225B"/>
    <w:rsid w:val="000B72E1"/>
    <w:rsid w:val="000B7E02"/>
    <w:rsid w:val="000C0020"/>
    <w:rsid w:val="000C3C11"/>
    <w:rsid w:val="000D044D"/>
    <w:rsid w:val="000E0A2A"/>
    <w:rsid w:val="001117DA"/>
    <w:rsid w:val="00111D60"/>
    <w:rsid w:val="00135C5C"/>
    <w:rsid w:val="00141088"/>
    <w:rsid w:val="00143D64"/>
    <w:rsid w:val="00162B8F"/>
    <w:rsid w:val="00162F82"/>
    <w:rsid w:val="00166B98"/>
    <w:rsid w:val="0017599F"/>
    <w:rsid w:val="00190EC7"/>
    <w:rsid w:val="001B5D24"/>
    <w:rsid w:val="001C5041"/>
    <w:rsid w:val="001E5D55"/>
    <w:rsid w:val="001F6936"/>
    <w:rsid w:val="00205B6C"/>
    <w:rsid w:val="00221F5B"/>
    <w:rsid w:val="00242C2B"/>
    <w:rsid w:val="00257864"/>
    <w:rsid w:val="00290400"/>
    <w:rsid w:val="002B27B5"/>
    <w:rsid w:val="002C33F9"/>
    <w:rsid w:val="002D468D"/>
    <w:rsid w:val="002F21EF"/>
    <w:rsid w:val="002F7F16"/>
    <w:rsid w:val="00302DE1"/>
    <w:rsid w:val="00313E80"/>
    <w:rsid w:val="003211F8"/>
    <w:rsid w:val="0033580E"/>
    <w:rsid w:val="00337695"/>
    <w:rsid w:val="00343198"/>
    <w:rsid w:val="00353C89"/>
    <w:rsid w:val="003600F0"/>
    <w:rsid w:val="00367996"/>
    <w:rsid w:val="00373C9F"/>
    <w:rsid w:val="003A6D01"/>
    <w:rsid w:val="003B07F5"/>
    <w:rsid w:val="003B0A9A"/>
    <w:rsid w:val="003B3B04"/>
    <w:rsid w:val="003C4D5B"/>
    <w:rsid w:val="003D63B1"/>
    <w:rsid w:val="003E1AE8"/>
    <w:rsid w:val="003F0BBC"/>
    <w:rsid w:val="003F14C4"/>
    <w:rsid w:val="003F2D19"/>
    <w:rsid w:val="00401B43"/>
    <w:rsid w:val="004036BE"/>
    <w:rsid w:val="00403C23"/>
    <w:rsid w:val="00406C26"/>
    <w:rsid w:val="00412A5E"/>
    <w:rsid w:val="00497EF3"/>
    <w:rsid w:val="004C4A72"/>
    <w:rsid w:val="004C4EC5"/>
    <w:rsid w:val="004C65BF"/>
    <w:rsid w:val="004D1840"/>
    <w:rsid w:val="004E2276"/>
    <w:rsid w:val="004E2425"/>
    <w:rsid w:val="004F02F8"/>
    <w:rsid w:val="0051240E"/>
    <w:rsid w:val="0052064A"/>
    <w:rsid w:val="0052568C"/>
    <w:rsid w:val="0055573C"/>
    <w:rsid w:val="00562EB6"/>
    <w:rsid w:val="005A13E9"/>
    <w:rsid w:val="005A7D78"/>
    <w:rsid w:val="005B51D0"/>
    <w:rsid w:val="005F0C58"/>
    <w:rsid w:val="005F3AA0"/>
    <w:rsid w:val="00601E57"/>
    <w:rsid w:val="00604478"/>
    <w:rsid w:val="00620D4A"/>
    <w:rsid w:val="00630DE9"/>
    <w:rsid w:val="0064744C"/>
    <w:rsid w:val="00655A25"/>
    <w:rsid w:val="00674AEB"/>
    <w:rsid w:val="006A76DB"/>
    <w:rsid w:val="006B54C5"/>
    <w:rsid w:val="006B62ED"/>
    <w:rsid w:val="006C4419"/>
    <w:rsid w:val="006D631A"/>
    <w:rsid w:val="006E2373"/>
    <w:rsid w:val="006F13EF"/>
    <w:rsid w:val="006F4427"/>
    <w:rsid w:val="006F6E1D"/>
    <w:rsid w:val="007130D7"/>
    <w:rsid w:val="00740152"/>
    <w:rsid w:val="00740E96"/>
    <w:rsid w:val="00757FA8"/>
    <w:rsid w:val="00770AD6"/>
    <w:rsid w:val="007813B6"/>
    <w:rsid w:val="00782BAD"/>
    <w:rsid w:val="007B3222"/>
    <w:rsid w:val="007B723E"/>
    <w:rsid w:val="007C0277"/>
    <w:rsid w:val="007E54CF"/>
    <w:rsid w:val="007F0FE3"/>
    <w:rsid w:val="008132E9"/>
    <w:rsid w:val="00833321"/>
    <w:rsid w:val="008372BE"/>
    <w:rsid w:val="00837F1F"/>
    <w:rsid w:val="00845235"/>
    <w:rsid w:val="00854655"/>
    <w:rsid w:val="00860AC0"/>
    <w:rsid w:val="00866219"/>
    <w:rsid w:val="00867D04"/>
    <w:rsid w:val="00872EE4"/>
    <w:rsid w:val="00886F70"/>
    <w:rsid w:val="00892779"/>
    <w:rsid w:val="008943F7"/>
    <w:rsid w:val="008A4F87"/>
    <w:rsid w:val="008A78BE"/>
    <w:rsid w:val="008B244B"/>
    <w:rsid w:val="008E5B78"/>
    <w:rsid w:val="00912A27"/>
    <w:rsid w:val="00913320"/>
    <w:rsid w:val="00926623"/>
    <w:rsid w:val="009309A2"/>
    <w:rsid w:val="009343C4"/>
    <w:rsid w:val="0093554D"/>
    <w:rsid w:val="00937F02"/>
    <w:rsid w:val="009412C1"/>
    <w:rsid w:val="009820B1"/>
    <w:rsid w:val="00983411"/>
    <w:rsid w:val="00994615"/>
    <w:rsid w:val="00A03CDF"/>
    <w:rsid w:val="00A1541A"/>
    <w:rsid w:val="00A24C27"/>
    <w:rsid w:val="00A378EC"/>
    <w:rsid w:val="00A55E16"/>
    <w:rsid w:val="00A575FF"/>
    <w:rsid w:val="00A65101"/>
    <w:rsid w:val="00A70CB1"/>
    <w:rsid w:val="00A87F50"/>
    <w:rsid w:val="00AC01AD"/>
    <w:rsid w:val="00AE0720"/>
    <w:rsid w:val="00AE3177"/>
    <w:rsid w:val="00B050AD"/>
    <w:rsid w:val="00B2308F"/>
    <w:rsid w:val="00B31AFF"/>
    <w:rsid w:val="00B32708"/>
    <w:rsid w:val="00B54853"/>
    <w:rsid w:val="00B82544"/>
    <w:rsid w:val="00BB53EE"/>
    <w:rsid w:val="00BC466F"/>
    <w:rsid w:val="00BE3657"/>
    <w:rsid w:val="00C07A56"/>
    <w:rsid w:val="00C26503"/>
    <w:rsid w:val="00C53546"/>
    <w:rsid w:val="00C673BB"/>
    <w:rsid w:val="00C92855"/>
    <w:rsid w:val="00CB1D33"/>
    <w:rsid w:val="00CE0825"/>
    <w:rsid w:val="00CE2464"/>
    <w:rsid w:val="00CF1FCC"/>
    <w:rsid w:val="00D006C3"/>
    <w:rsid w:val="00D01FA4"/>
    <w:rsid w:val="00D224AD"/>
    <w:rsid w:val="00D403F3"/>
    <w:rsid w:val="00D54A34"/>
    <w:rsid w:val="00D67C90"/>
    <w:rsid w:val="00D708E3"/>
    <w:rsid w:val="00D7796F"/>
    <w:rsid w:val="00D828A4"/>
    <w:rsid w:val="00D90A0A"/>
    <w:rsid w:val="00D93644"/>
    <w:rsid w:val="00DA16AF"/>
    <w:rsid w:val="00E03817"/>
    <w:rsid w:val="00E05374"/>
    <w:rsid w:val="00E1277A"/>
    <w:rsid w:val="00E20725"/>
    <w:rsid w:val="00E23C39"/>
    <w:rsid w:val="00E31489"/>
    <w:rsid w:val="00E35638"/>
    <w:rsid w:val="00E526B7"/>
    <w:rsid w:val="00EA5A3F"/>
    <w:rsid w:val="00EC021F"/>
    <w:rsid w:val="00EC1F6C"/>
    <w:rsid w:val="00EC41CE"/>
    <w:rsid w:val="00EC5100"/>
    <w:rsid w:val="00EC5D17"/>
    <w:rsid w:val="00EC7B78"/>
    <w:rsid w:val="00ED589E"/>
    <w:rsid w:val="00ED5ED8"/>
    <w:rsid w:val="00ED7260"/>
    <w:rsid w:val="00F008FA"/>
    <w:rsid w:val="00F11BE6"/>
    <w:rsid w:val="00F14AEA"/>
    <w:rsid w:val="00F25EAD"/>
    <w:rsid w:val="00F3769A"/>
    <w:rsid w:val="00F449AD"/>
    <w:rsid w:val="00F575B4"/>
    <w:rsid w:val="00F720A9"/>
    <w:rsid w:val="00F77998"/>
    <w:rsid w:val="00F952FA"/>
    <w:rsid w:val="00FA72C2"/>
    <w:rsid w:val="00FB6FCA"/>
    <w:rsid w:val="00FC1170"/>
    <w:rsid w:val="00FE015E"/>
    <w:rsid w:val="00FE4D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EF1236"/>
  <w15:chartTrackingRefBased/>
  <w15:docId w15:val="{6B3666A0-5412-4D41-955F-006A64BF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DE9"/>
    <w:pPr>
      <w:tabs>
        <w:tab w:val="center" w:pos="4153"/>
        <w:tab w:val="right" w:pos="8306"/>
      </w:tabs>
      <w:spacing w:after="0" w:line="240" w:lineRule="auto"/>
    </w:pPr>
  </w:style>
  <w:style w:type="character" w:customStyle="1" w:styleId="a4">
    <w:name w:val="כותרת עליונה תו"/>
    <w:basedOn w:val="a0"/>
    <w:link w:val="a3"/>
    <w:uiPriority w:val="99"/>
    <w:rsid w:val="00630DE9"/>
  </w:style>
  <w:style w:type="paragraph" w:styleId="a5">
    <w:name w:val="footer"/>
    <w:basedOn w:val="a"/>
    <w:link w:val="a6"/>
    <w:uiPriority w:val="99"/>
    <w:unhideWhenUsed/>
    <w:rsid w:val="00630DE9"/>
    <w:pPr>
      <w:tabs>
        <w:tab w:val="center" w:pos="4153"/>
        <w:tab w:val="right" w:pos="8306"/>
      </w:tabs>
      <w:spacing w:after="0" w:line="240" w:lineRule="auto"/>
    </w:pPr>
  </w:style>
  <w:style w:type="character" w:customStyle="1" w:styleId="a6">
    <w:name w:val="כותרת תחתונה תו"/>
    <w:basedOn w:val="a0"/>
    <w:link w:val="a5"/>
    <w:uiPriority w:val="99"/>
    <w:rsid w:val="00630DE9"/>
  </w:style>
  <w:style w:type="character" w:styleId="a7">
    <w:name w:val="annotation reference"/>
    <w:basedOn w:val="a0"/>
    <w:uiPriority w:val="99"/>
    <w:semiHidden/>
    <w:unhideWhenUsed/>
    <w:rsid w:val="00EC41CE"/>
    <w:rPr>
      <w:sz w:val="16"/>
      <w:szCs w:val="16"/>
    </w:rPr>
  </w:style>
  <w:style w:type="paragraph" w:styleId="a8">
    <w:name w:val="annotation text"/>
    <w:basedOn w:val="a"/>
    <w:link w:val="a9"/>
    <w:uiPriority w:val="99"/>
    <w:semiHidden/>
    <w:unhideWhenUsed/>
    <w:rsid w:val="00EC41CE"/>
    <w:pPr>
      <w:spacing w:line="240" w:lineRule="auto"/>
    </w:pPr>
    <w:rPr>
      <w:sz w:val="20"/>
      <w:szCs w:val="20"/>
    </w:rPr>
  </w:style>
  <w:style w:type="character" w:customStyle="1" w:styleId="a9">
    <w:name w:val="טקסט הערה תו"/>
    <w:basedOn w:val="a0"/>
    <w:link w:val="a8"/>
    <w:uiPriority w:val="99"/>
    <w:semiHidden/>
    <w:rsid w:val="00EC41CE"/>
    <w:rPr>
      <w:sz w:val="20"/>
      <w:szCs w:val="20"/>
    </w:rPr>
  </w:style>
  <w:style w:type="paragraph" w:styleId="aa">
    <w:name w:val="annotation subject"/>
    <w:basedOn w:val="a8"/>
    <w:next w:val="a8"/>
    <w:link w:val="ab"/>
    <w:uiPriority w:val="99"/>
    <w:semiHidden/>
    <w:unhideWhenUsed/>
    <w:rsid w:val="00EC41CE"/>
    <w:rPr>
      <w:b/>
      <w:bCs/>
    </w:rPr>
  </w:style>
  <w:style w:type="character" w:customStyle="1" w:styleId="ab">
    <w:name w:val="נושא הערה תו"/>
    <w:basedOn w:val="a9"/>
    <w:link w:val="aa"/>
    <w:uiPriority w:val="99"/>
    <w:semiHidden/>
    <w:rsid w:val="00EC41CE"/>
    <w:rPr>
      <w:b/>
      <w:bCs/>
      <w:sz w:val="20"/>
      <w:szCs w:val="20"/>
    </w:rPr>
  </w:style>
  <w:style w:type="paragraph" w:styleId="ac">
    <w:name w:val="Revision"/>
    <w:hidden/>
    <w:uiPriority w:val="99"/>
    <w:semiHidden/>
    <w:rsid w:val="00EC41CE"/>
    <w:pPr>
      <w:spacing w:after="0" w:line="240" w:lineRule="auto"/>
    </w:pPr>
  </w:style>
  <w:style w:type="character" w:styleId="Hyperlink">
    <w:name w:val="Hyperlink"/>
    <w:basedOn w:val="a0"/>
    <w:uiPriority w:val="99"/>
    <w:unhideWhenUsed/>
    <w:rsid w:val="00337695"/>
    <w:rPr>
      <w:color w:val="0563C1" w:themeColor="hyperlink"/>
      <w:u w:val="single"/>
    </w:rPr>
  </w:style>
  <w:style w:type="character" w:customStyle="1" w:styleId="1">
    <w:name w:val="אזכור לא מזוהה1"/>
    <w:basedOn w:val="a0"/>
    <w:uiPriority w:val="99"/>
    <w:semiHidden/>
    <w:unhideWhenUsed/>
    <w:rsid w:val="00337695"/>
    <w:rPr>
      <w:color w:val="605E5C"/>
      <w:shd w:val="clear" w:color="auto" w:fill="E1DFDD"/>
    </w:rPr>
  </w:style>
  <w:style w:type="paragraph" w:styleId="ad">
    <w:name w:val="footnote text"/>
    <w:basedOn w:val="a"/>
    <w:link w:val="ae"/>
    <w:uiPriority w:val="99"/>
    <w:semiHidden/>
    <w:unhideWhenUsed/>
    <w:rsid w:val="00F575B4"/>
    <w:pPr>
      <w:spacing w:after="0" w:line="240" w:lineRule="auto"/>
    </w:pPr>
    <w:rPr>
      <w:sz w:val="20"/>
      <w:szCs w:val="20"/>
    </w:rPr>
  </w:style>
  <w:style w:type="character" w:customStyle="1" w:styleId="ae">
    <w:name w:val="טקסט הערת שוליים תו"/>
    <w:basedOn w:val="a0"/>
    <w:link w:val="ad"/>
    <w:uiPriority w:val="99"/>
    <w:semiHidden/>
    <w:rsid w:val="00F575B4"/>
    <w:rPr>
      <w:sz w:val="20"/>
      <w:szCs w:val="20"/>
    </w:rPr>
  </w:style>
  <w:style w:type="character" w:styleId="af">
    <w:name w:val="footnote reference"/>
    <w:basedOn w:val="a0"/>
    <w:uiPriority w:val="99"/>
    <w:semiHidden/>
    <w:unhideWhenUsed/>
    <w:rsid w:val="00F575B4"/>
    <w:rPr>
      <w:vertAlign w:val="superscript"/>
    </w:rPr>
  </w:style>
  <w:style w:type="paragraph" w:styleId="af0">
    <w:name w:val="Balloon Text"/>
    <w:basedOn w:val="a"/>
    <w:link w:val="af1"/>
    <w:uiPriority w:val="99"/>
    <w:semiHidden/>
    <w:unhideWhenUsed/>
    <w:rsid w:val="00601E57"/>
    <w:pPr>
      <w:spacing w:after="0" w:line="240" w:lineRule="auto"/>
    </w:pPr>
    <w:rPr>
      <w:rFonts w:ascii="Tahoma" w:hAnsi="Tahoma" w:cs="Tahoma"/>
      <w:sz w:val="18"/>
      <w:szCs w:val="18"/>
    </w:rPr>
  </w:style>
  <w:style w:type="character" w:customStyle="1" w:styleId="af1">
    <w:name w:val="טקסט בלונים תו"/>
    <w:basedOn w:val="a0"/>
    <w:link w:val="af0"/>
    <w:uiPriority w:val="99"/>
    <w:semiHidden/>
    <w:rsid w:val="00601E57"/>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248">
      <w:bodyDiv w:val="1"/>
      <w:marLeft w:val="0"/>
      <w:marRight w:val="0"/>
      <w:marTop w:val="0"/>
      <w:marBottom w:val="0"/>
      <w:divBdr>
        <w:top w:val="none" w:sz="0" w:space="0" w:color="auto"/>
        <w:left w:val="none" w:sz="0" w:space="0" w:color="auto"/>
        <w:bottom w:val="none" w:sz="0" w:space="0" w:color="auto"/>
        <w:right w:val="none" w:sz="0" w:space="0" w:color="auto"/>
      </w:divBdr>
    </w:div>
    <w:div w:id="107748286">
      <w:bodyDiv w:val="1"/>
      <w:marLeft w:val="0"/>
      <w:marRight w:val="0"/>
      <w:marTop w:val="0"/>
      <w:marBottom w:val="0"/>
      <w:divBdr>
        <w:top w:val="none" w:sz="0" w:space="0" w:color="auto"/>
        <w:left w:val="none" w:sz="0" w:space="0" w:color="auto"/>
        <w:bottom w:val="none" w:sz="0" w:space="0" w:color="auto"/>
        <w:right w:val="none" w:sz="0" w:space="0" w:color="auto"/>
      </w:divBdr>
    </w:div>
    <w:div w:id="111673876">
      <w:bodyDiv w:val="1"/>
      <w:marLeft w:val="0"/>
      <w:marRight w:val="0"/>
      <w:marTop w:val="0"/>
      <w:marBottom w:val="0"/>
      <w:divBdr>
        <w:top w:val="none" w:sz="0" w:space="0" w:color="auto"/>
        <w:left w:val="none" w:sz="0" w:space="0" w:color="auto"/>
        <w:bottom w:val="none" w:sz="0" w:space="0" w:color="auto"/>
        <w:right w:val="none" w:sz="0" w:space="0" w:color="auto"/>
      </w:divBdr>
    </w:div>
    <w:div w:id="393086805">
      <w:bodyDiv w:val="1"/>
      <w:marLeft w:val="0"/>
      <w:marRight w:val="0"/>
      <w:marTop w:val="0"/>
      <w:marBottom w:val="0"/>
      <w:divBdr>
        <w:top w:val="none" w:sz="0" w:space="0" w:color="auto"/>
        <w:left w:val="none" w:sz="0" w:space="0" w:color="auto"/>
        <w:bottom w:val="none" w:sz="0" w:space="0" w:color="auto"/>
        <w:right w:val="none" w:sz="0" w:space="0" w:color="auto"/>
      </w:divBdr>
    </w:div>
    <w:div w:id="549534948">
      <w:bodyDiv w:val="1"/>
      <w:marLeft w:val="0"/>
      <w:marRight w:val="0"/>
      <w:marTop w:val="0"/>
      <w:marBottom w:val="0"/>
      <w:divBdr>
        <w:top w:val="none" w:sz="0" w:space="0" w:color="auto"/>
        <w:left w:val="none" w:sz="0" w:space="0" w:color="auto"/>
        <w:bottom w:val="none" w:sz="0" w:space="0" w:color="auto"/>
        <w:right w:val="none" w:sz="0" w:space="0" w:color="auto"/>
      </w:divBdr>
    </w:div>
    <w:div w:id="726761274">
      <w:bodyDiv w:val="1"/>
      <w:marLeft w:val="0"/>
      <w:marRight w:val="0"/>
      <w:marTop w:val="0"/>
      <w:marBottom w:val="0"/>
      <w:divBdr>
        <w:top w:val="none" w:sz="0" w:space="0" w:color="auto"/>
        <w:left w:val="none" w:sz="0" w:space="0" w:color="auto"/>
        <w:bottom w:val="none" w:sz="0" w:space="0" w:color="auto"/>
        <w:right w:val="none" w:sz="0" w:space="0" w:color="auto"/>
      </w:divBdr>
    </w:div>
    <w:div w:id="747581488">
      <w:bodyDiv w:val="1"/>
      <w:marLeft w:val="0"/>
      <w:marRight w:val="0"/>
      <w:marTop w:val="0"/>
      <w:marBottom w:val="0"/>
      <w:divBdr>
        <w:top w:val="none" w:sz="0" w:space="0" w:color="auto"/>
        <w:left w:val="none" w:sz="0" w:space="0" w:color="auto"/>
        <w:bottom w:val="none" w:sz="0" w:space="0" w:color="auto"/>
        <w:right w:val="none" w:sz="0" w:space="0" w:color="auto"/>
      </w:divBdr>
    </w:div>
    <w:div w:id="857236301">
      <w:bodyDiv w:val="1"/>
      <w:marLeft w:val="0"/>
      <w:marRight w:val="0"/>
      <w:marTop w:val="0"/>
      <w:marBottom w:val="0"/>
      <w:divBdr>
        <w:top w:val="none" w:sz="0" w:space="0" w:color="auto"/>
        <w:left w:val="none" w:sz="0" w:space="0" w:color="auto"/>
        <w:bottom w:val="none" w:sz="0" w:space="0" w:color="auto"/>
        <w:right w:val="none" w:sz="0" w:space="0" w:color="auto"/>
      </w:divBdr>
    </w:div>
    <w:div w:id="961689393">
      <w:bodyDiv w:val="1"/>
      <w:marLeft w:val="0"/>
      <w:marRight w:val="0"/>
      <w:marTop w:val="0"/>
      <w:marBottom w:val="0"/>
      <w:divBdr>
        <w:top w:val="none" w:sz="0" w:space="0" w:color="auto"/>
        <w:left w:val="none" w:sz="0" w:space="0" w:color="auto"/>
        <w:bottom w:val="none" w:sz="0" w:space="0" w:color="auto"/>
        <w:right w:val="none" w:sz="0" w:space="0" w:color="auto"/>
      </w:divBdr>
    </w:div>
    <w:div w:id="1108501156">
      <w:bodyDiv w:val="1"/>
      <w:marLeft w:val="0"/>
      <w:marRight w:val="0"/>
      <w:marTop w:val="0"/>
      <w:marBottom w:val="0"/>
      <w:divBdr>
        <w:top w:val="none" w:sz="0" w:space="0" w:color="auto"/>
        <w:left w:val="none" w:sz="0" w:space="0" w:color="auto"/>
        <w:bottom w:val="none" w:sz="0" w:space="0" w:color="auto"/>
        <w:right w:val="none" w:sz="0" w:space="0" w:color="auto"/>
      </w:divBdr>
    </w:div>
    <w:div w:id="1292125583">
      <w:bodyDiv w:val="1"/>
      <w:marLeft w:val="0"/>
      <w:marRight w:val="0"/>
      <w:marTop w:val="0"/>
      <w:marBottom w:val="0"/>
      <w:divBdr>
        <w:top w:val="none" w:sz="0" w:space="0" w:color="auto"/>
        <w:left w:val="none" w:sz="0" w:space="0" w:color="auto"/>
        <w:bottom w:val="none" w:sz="0" w:space="0" w:color="auto"/>
        <w:right w:val="none" w:sz="0" w:space="0" w:color="auto"/>
      </w:divBdr>
    </w:div>
    <w:div w:id="1321009405">
      <w:bodyDiv w:val="1"/>
      <w:marLeft w:val="0"/>
      <w:marRight w:val="0"/>
      <w:marTop w:val="0"/>
      <w:marBottom w:val="0"/>
      <w:divBdr>
        <w:top w:val="none" w:sz="0" w:space="0" w:color="auto"/>
        <w:left w:val="none" w:sz="0" w:space="0" w:color="auto"/>
        <w:bottom w:val="none" w:sz="0" w:space="0" w:color="auto"/>
        <w:right w:val="none" w:sz="0" w:space="0" w:color="auto"/>
      </w:divBdr>
    </w:div>
    <w:div w:id="1692685236">
      <w:bodyDiv w:val="1"/>
      <w:marLeft w:val="0"/>
      <w:marRight w:val="0"/>
      <w:marTop w:val="0"/>
      <w:marBottom w:val="0"/>
      <w:divBdr>
        <w:top w:val="none" w:sz="0" w:space="0" w:color="auto"/>
        <w:left w:val="none" w:sz="0" w:space="0" w:color="auto"/>
        <w:bottom w:val="none" w:sz="0" w:space="0" w:color="auto"/>
        <w:right w:val="none" w:sz="0" w:space="0" w:color="auto"/>
      </w:divBdr>
    </w:div>
    <w:div w:id="177008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B76C7-959D-46B8-A904-AA1D58F6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1428</Words>
  <Characters>7142</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שירה</dc:creator>
  <cp:keywords/>
  <dc:description/>
  <cp:lastModifiedBy>שירה</cp:lastModifiedBy>
  <cp:revision>2</cp:revision>
  <dcterms:created xsi:type="dcterms:W3CDTF">2021-11-25T19:19:00Z</dcterms:created>
  <dcterms:modified xsi:type="dcterms:W3CDTF">2021-11-25T19:19:00Z</dcterms:modified>
</cp:coreProperties>
</file>