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82EB" w14:textId="6DD5F296" w:rsidR="000966B2" w:rsidRDefault="000966B2" w:rsidP="00621972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966B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ציון</w:t>
      </w:r>
      <w:r w:rsidRPr="00F97487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F97487" w:rsidRPr="00F97487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90</w:t>
      </w:r>
    </w:p>
    <w:p w14:paraId="622CC401" w14:textId="0A168016" w:rsidR="00024559" w:rsidRPr="00024559" w:rsidRDefault="00024559" w:rsidP="00621972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24559">
        <w:rPr>
          <w:rFonts w:cs="David" w:hint="cs"/>
          <w:b/>
          <w:bCs/>
          <w:sz w:val="24"/>
          <w:szCs w:val="24"/>
          <w:u w:val="single"/>
          <w:rtl/>
        </w:rPr>
        <w:t>אירוע 1</w:t>
      </w:r>
    </w:p>
    <w:p w14:paraId="6A6838B2" w14:textId="23D491C5" w:rsidR="00024559" w:rsidRPr="00024559" w:rsidRDefault="00024559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024559">
        <w:rPr>
          <w:rFonts w:cs="David" w:hint="cs"/>
          <w:sz w:val="24"/>
          <w:szCs w:val="24"/>
          <w:u w:val="single"/>
          <w:rtl/>
        </w:rPr>
        <w:t>יחסי השיתוף בחלקה</w:t>
      </w:r>
      <w:r>
        <w:rPr>
          <w:rFonts w:cs="David" w:hint="cs"/>
          <w:sz w:val="24"/>
          <w:szCs w:val="24"/>
          <w:rtl/>
        </w:rPr>
        <w:t>: ראשית, החלקה בבעלות משותפת</w:t>
      </w:r>
      <w:r w:rsidR="00DF6D81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חל עליה חוק המקרקעין כיוון שהשיתוף נוצר מכורח</w:t>
      </w:r>
      <w:r w:rsidR="00DF6D81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ירושה, ולא מתוך הסכם.</w:t>
      </w:r>
      <w:r>
        <w:rPr>
          <w:rStyle w:val="a9"/>
          <w:rFonts w:cs="David"/>
          <w:sz w:val="24"/>
          <w:szCs w:val="24"/>
          <w:rtl/>
        </w:rPr>
        <w:footnoteReference w:id="1"/>
      </w:r>
      <w:r>
        <w:rPr>
          <w:rFonts w:cs="David" w:hint="cs"/>
          <w:sz w:val="24"/>
          <w:szCs w:val="24"/>
          <w:rtl/>
        </w:rPr>
        <w:t xml:space="preserve"> בנוסף, חזקה שכל החלקים במקרקעין שווים, </w:t>
      </w:r>
      <w:r w:rsidR="00D36E56">
        <w:rPr>
          <w:rFonts w:cs="David" w:hint="cs"/>
          <w:sz w:val="24"/>
          <w:szCs w:val="24"/>
          <w:rtl/>
        </w:rPr>
        <w:t>והבעלות חלה על כל אתר ואתר במקרקעין</w:t>
      </w:r>
      <w:r w:rsidR="005C78F4">
        <w:rPr>
          <w:rFonts w:cs="David" w:hint="cs"/>
          <w:sz w:val="24"/>
          <w:szCs w:val="24"/>
          <w:rtl/>
        </w:rPr>
        <w:t>, כך ש</w:t>
      </w:r>
      <w:r w:rsidR="00B16AB5">
        <w:rPr>
          <w:rFonts w:cs="David" w:hint="cs"/>
          <w:sz w:val="24"/>
          <w:szCs w:val="24"/>
          <w:rtl/>
        </w:rPr>
        <w:t>יחס הבעלות בין שפיר ליורשי</w:t>
      </w:r>
      <w:r w:rsidR="00DF6D81">
        <w:rPr>
          <w:rFonts w:cs="David" w:hint="cs"/>
          <w:sz w:val="24"/>
          <w:szCs w:val="24"/>
          <w:rtl/>
        </w:rPr>
        <w:t>ם הוא</w:t>
      </w:r>
      <w:r w:rsidR="00BA7747">
        <w:rPr>
          <w:rFonts w:cs="David" w:hint="cs"/>
          <w:sz w:val="24"/>
          <w:szCs w:val="24"/>
          <w:rtl/>
        </w:rPr>
        <w:t xml:space="preserve"> 25-75 מבחינת שווי החלקים</w:t>
      </w:r>
      <w:r w:rsidR="00D36E56">
        <w:rPr>
          <w:rFonts w:cs="David" w:hint="cs"/>
          <w:sz w:val="24"/>
          <w:szCs w:val="24"/>
          <w:rtl/>
        </w:rPr>
        <w:t>.</w:t>
      </w:r>
      <w:r w:rsidR="00D36E56">
        <w:rPr>
          <w:rStyle w:val="a9"/>
          <w:rFonts w:cs="David"/>
          <w:sz w:val="24"/>
          <w:szCs w:val="24"/>
          <w:rtl/>
        </w:rPr>
        <w:footnoteReference w:id="2"/>
      </w:r>
      <w:r w:rsidR="00AC54A9">
        <w:rPr>
          <w:rFonts w:cs="David" w:hint="cs"/>
          <w:sz w:val="24"/>
          <w:szCs w:val="24"/>
          <w:rtl/>
        </w:rPr>
        <w:t xml:space="preserve"> </w:t>
      </w:r>
      <w:r w:rsidR="00D36E56">
        <w:rPr>
          <w:rStyle w:val="a9"/>
          <w:rFonts w:cs="David"/>
          <w:sz w:val="24"/>
          <w:szCs w:val="24"/>
          <w:rtl/>
        </w:rPr>
        <w:footnoteReference w:id="3"/>
      </w:r>
    </w:p>
    <w:p w14:paraId="78622272" w14:textId="77777777" w:rsidR="00E821CA" w:rsidRDefault="000F6AC7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0F6AC7">
        <w:rPr>
          <w:rFonts w:cs="David" w:hint="cs"/>
          <w:sz w:val="24"/>
          <w:szCs w:val="24"/>
          <w:u w:val="single"/>
          <w:rtl/>
        </w:rPr>
        <w:t>פירוק השיתוף</w:t>
      </w:r>
      <w:r w:rsidR="003A523F">
        <w:rPr>
          <w:rFonts w:cs="David" w:hint="cs"/>
          <w:sz w:val="24"/>
          <w:szCs w:val="24"/>
          <w:rtl/>
        </w:rPr>
        <w:t xml:space="preserve">: </w:t>
      </w:r>
    </w:p>
    <w:p w14:paraId="73F24DF4" w14:textId="77777777" w:rsidR="001D2CA2" w:rsidRDefault="008C67A3" w:rsidP="00621972">
      <w:pPr>
        <w:pStyle w:val="aa"/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הבקשה</w:t>
      </w:r>
      <w:r w:rsidR="00E821CA" w:rsidRPr="00E821CA">
        <w:rPr>
          <w:rFonts w:cs="David" w:hint="cs"/>
          <w:sz w:val="24"/>
          <w:szCs w:val="24"/>
          <w:u w:val="single"/>
          <w:rtl/>
        </w:rPr>
        <w:t xml:space="preserve"> לפירוק</w:t>
      </w:r>
      <w:r w:rsidR="00E821CA" w:rsidRPr="00E821CA">
        <w:rPr>
          <w:rFonts w:cs="David" w:hint="cs"/>
          <w:sz w:val="24"/>
          <w:szCs w:val="24"/>
          <w:rtl/>
        </w:rPr>
        <w:t xml:space="preserve">: </w:t>
      </w:r>
    </w:p>
    <w:p w14:paraId="1B3EF208" w14:textId="768569C3" w:rsidR="00DA413F" w:rsidRPr="001D2CA2" w:rsidRDefault="003A523F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1D2CA2">
        <w:rPr>
          <w:rFonts w:cs="David" w:hint="cs"/>
          <w:sz w:val="24"/>
          <w:szCs w:val="24"/>
          <w:rtl/>
        </w:rPr>
        <w:t xml:space="preserve">ראשית, </w:t>
      </w:r>
      <w:r w:rsidR="001469BE" w:rsidRPr="001D2CA2">
        <w:rPr>
          <w:rFonts w:cs="David" w:hint="cs"/>
          <w:sz w:val="24"/>
          <w:szCs w:val="24"/>
          <w:rtl/>
        </w:rPr>
        <w:t>קבוצת שפיר הגישה בקשה לפירוק.</w:t>
      </w:r>
      <w:r w:rsidR="00415FC9" w:rsidRPr="001D2CA2">
        <w:rPr>
          <w:rFonts w:cs="David" w:hint="cs"/>
          <w:sz w:val="24"/>
          <w:szCs w:val="24"/>
          <w:rtl/>
        </w:rPr>
        <w:t xml:space="preserve"> </w:t>
      </w:r>
      <w:r w:rsidR="009A5D8B" w:rsidRPr="001D2CA2">
        <w:rPr>
          <w:rFonts w:cs="David" w:hint="cs"/>
          <w:sz w:val="24"/>
          <w:szCs w:val="24"/>
          <w:rtl/>
        </w:rPr>
        <w:t>משהוגשה בקשה לפירוק</w:t>
      </w:r>
      <w:r w:rsidR="00C83FAE" w:rsidRPr="001D2CA2">
        <w:rPr>
          <w:rFonts w:cs="David" w:hint="cs"/>
          <w:sz w:val="24"/>
          <w:szCs w:val="24"/>
          <w:rtl/>
        </w:rPr>
        <w:t xml:space="preserve"> מקרקעין בבעלות משותפת </w:t>
      </w:r>
      <w:r w:rsidR="009A5D8B" w:rsidRPr="001D2CA2">
        <w:rPr>
          <w:rFonts w:cs="David" w:hint="cs"/>
          <w:sz w:val="24"/>
          <w:szCs w:val="24"/>
          <w:rtl/>
        </w:rPr>
        <w:t>יחול</w:t>
      </w:r>
      <w:r w:rsidR="00C83FAE" w:rsidRPr="001D2CA2">
        <w:rPr>
          <w:rFonts w:cs="David" w:hint="cs"/>
          <w:sz w:val="24"/>
          <w:szCs w:val="24"/>
          <w:rtl/>
        </w:rPr>
        <w:t xml:space="preserve"> סימן ב' </w:t>
      </w:r>
      <w:r w:rsidR="002039D4" w:rsidRPr="001D2CA2">
        <w:rPr>
          <w:rFonts w:cs="David" w:hint="cs"/>
          <w:sz w:val="24"/>
          <w:szCs w:val="24"/>
          <w:rtl/>
        </w:rPr>
        <w:t>של פרק ה' לחוק המקרקעי</w:t>
      </w:r>
      <w:r w:rsidR="002A46CD" w:rsidRPr="001D2CA2">
        <w:rPr>
          <w:rFonts w:cs="David" w:hint="cs"/>
          <w:sz w:val="24"/>
          <w:szCs w:val="24"/>
          <w:rtl/>
        </w:rPr>
        <w:t xml:space="preserve">ן </w:t>
      </w:r>
      <w:r w:rsidR="002039D4" w:rsidRPr="001D2CA2">
        <w:rPr>
          <w:rFonts w:cs="David" w:hint="cs"/>
          <w:sz w:val="24"/>
          <w:szCs w:val="24"/>
          <w:rtl/>
        </w:rPr>
        <w:t>- 'פירוק השיתוף'</w:t>
      </w:r>
      <w:r w:rsidR="00DF6D81">
        <w:rPr>
          <w:rFonts w:cs="David" w:hint="cs"/>
          <w:sz w:val="24"/>
          <w:szCs w:val="24"/>
          <w:rtl/>
        </w:rPr>
        <w:t>, ש</w:t>
      </w:r>
      <w:r w:rsidR="005E3124" w:rsidRPr="001D2CA2">
        <w:rPr>
          <w:rFonts w:cs="David" w:hint="cs"/>
          <w:sz w:val="24"/>
          <w:szCs w:val="24"/>
          <w:rtl/>
        </w:rPr>
        <w:t>עומד בפני עצמו</w:t>
      </w:r>
      <w:r w:rsidR="00DF6D81">
        <w:rPr>
          <w:rFonts w:cs="David" w:hint="cs"/>
          <w:sz w:val="24"/>
          <w:szCs w:val="24"/>
          <w:rtl/>
        </w:rPr>
        <w:t>,</w:t>
      </w:r>
      <w:r w:rsidR="005E3124" w:rsidRPr="001D2CA2">
        <w:rPr>
          <w:rFonts w:cs="David" w:hint="cs"/>
          <w:sz w:val="24"/>
          <w:szCs w:val="24"/>
          <w:rtl/>
        </w:rPr>
        <w:t xml:space="preserve"> ולכן </w:t>
      </w:r>
      <w:r w:rsidR="001469BE" w:rsidRPr="001D2CA2">
        <w:rPr>
          <w:rFonts w:cs="David" w:hint="cs"/>
          <w:sz w:val="24"/>
          <w:szCs w:val="24"/>
          <w:rtl/>
        </w:rPr>
        <w:t xml:space="preserve">לא יתקבלו טענות </w:t>
      </w:r>
      <w:r w:rsidR="00415FC9" w:rsidRPr="001D2CA2">
        <w:rPr>
          <w:rFonts w:cs="David" w:hint="cs"/>
          <w:sz w:val="24"/>
          <w:szCs w:val="24"/>
          <w:rtl/>
        </w:rPr>
        <w:t xml:space="preserve">מצד </w:t>
      </w:r>
      <w:r w:rsidR="00DF6D81">
        <w:rPr>
          <w:rFonts w:cs="David" w:hint="cs"/>
          <w:sz w:val="24"/>
          <w:szCs w:val="24"/>
          <w:rtl/>
        </w:rPr>
        <w:t>הצדדים</w:t>
      </w:r>
      <w:r w:rsidR="0043715D" w:rsidRPr="001D2CA2">
        <w:rPr>
          <w:rFonts w:cs="David" w:hint="cs"/>
          <w:sz w:val="24"/>
          <w:szCs w:val="24"/>
          <w:rtl/>
        </w:rPr>
        <w:t xml:space="preserve"> שבבסיסן</w:t>
      </w:r>
      <w:r w:rsidR="002133D3" w:rsidRPr="001D2CA2">
        <w:rPr>
          <w:rFonts w:cs="David" w:hint="cs"/>
          <w:sz w:val="24"/>
          <w:szCs w:val="24"/>
          <w:rtl/>
        </w:rPr>
        <w:t xml:space="preserve"> סימן א</w:t>
      </w:r>
      <w:r w:rsidR="00DF6D81">
        <w:rPr>
          <w:rFonts w:cs="David" w:hint="cs"/>
          <w:sz w:val="24"/>
          <w:szCs w:val="24"/>
          <w:rtl/>
        </w:rPr>
        <w:t>' לפרק</w:t>
      </w:r>
      <w:r w:rsidR="002133D3" w:rsidRPr="001D2CA2">
        <w:rPr>
          <w:rFonts w:cs="David" w:hint="cs"/>
          <w:sz w:val="24"/>
          <w:szCs w:val="24"/>
          <w:rtl/>
        </w:rPr>
        <w:t>.</w:t>
      </w:r>
      <w:r w:rsidR="00415FC9">
        <w:rPr>
          <w:rStyle w:val="a9"/>
          <w:rFonts w:cs="David"/>
          <w:sz w:val="24"/>
          <w:szCs w:val="24"/>
          <w:rtl/>
        </w:rPr>
        <w:footnoteReference w:id="4"/>
      </w:r>
      <w:r w:rsidR="000241A3" w:rsidRPr="001D2CA2">
        <w:rPr>
          <w:rFonts w:cs="David" w:hint="cs"/>
          <w:sz w:val="24"/>
          <w:szCs w:val="24"/>
          <w:rtl/>
        </w:rPr>
        <w:t xml:space="preserve"> </w:t>
      </w:r>
      <w:r w:rsidR="00284685" w:rsidRPr="001D2CA2">
        <w:rPr>
          <w:rFonts w:cs="David" w:hint="cs"/>
          <w:sz w:val="24"/>
          <w:szCs w:val="24"/>
          <w:rtl/>
        </w:rPr>
        <w:t xml:space="preserve"> </w:t>
      </w:r>
    </w:p>
    <w:p w14:paraId="3B53F8CE" w14:textId="3ADB515A" w:rsidR="00024559" w:rsidRDefault="00DA413F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שנית,</w:t>
      </w:r>
      <w:r w:rsidR="00303F4E">
        <w:rPr>
          <w:rFonts w:cs="David" w:hint="cs"/>
          <w:sz w:val="24"/>
          <w:szCs w:val="24"/>
          <w:rtl/>
        </w:rPr>
        <w:t xml:space="preserve"> אין תחולה לסייגים על הזכות לפירוק של קבוצת שפיר</w:t>
      </w:r>
      <w:r w:rsidR="00FF2F47">
        <w:rPr>
          <w:rFonts w:cs="David" w:hint="cs"/>
          <w:sz w:val="24"/>
          <w:szCs w:val="24"/>
          <w:rtl/>
        </w:rPr>
        <w:t>:</w:t>
      </w:r>
      <w:r w:rsidR="00374BCD">
        <w:rPr>
          <w:rStyle w:val="a9"/>
          <w:rFonts w:cs="David"/>
          <w:sz w:val="24"/>
          <w:szCs w:val="24"/>
          <w:rtl/>
        </w:rPr>
        <w:footnoteReference w:id="5"/>
      </w:r>
      <w:r w:rsidR="00303F4E">
        <w:rPr>
          <w:rFonts w:cs="David" w:hint="cs"/>
          <w:sz w:val="24"/>
          <w:szCs w:val="24"/>
          <w:rtl/>
        </w:rPr>
        <w:t xml:space="preserve"> </w:t>
      </w:r>
      <w:r w:rsidR="00374BCD">
        <w:rPr>
          <w:rFonts w:cs="David" w:hint="cs"/>
          <w:sz w:val="24"/>
          <w:szCs w:val="24"/>
          <w:rtl/>
        </w:rPr>
        <w:t xml:space="preserve">1. </w:t>
      </w:r>
      <w:r>
        <w:rPr>
          <w:rFonts w:cs="David" w:hint="cs"/>
          <w:sz w:val="24"/>
          <w:szCs w:val="24"/>
          <w:rtl/>
        </w:rPr>
        <w:t>שפיר ויורשי שולץ</w:t>
      </w:r>
      <w:r w:rsidR="00284685">
        <w:rPr>
          <w:rFonts w:cs="David" w:hint="cs"/>
          <w:sz w:val="24"/>
          <w:szCs w:val="24"/>
          <w:rtl/>
        </w:rPr>
        <w:t xml:space="preserve"> לא חתמו על הסכם שיתוף השולל זכות לפירוק</w:t>
      </w:r>
      <w:r w:rsidR="00374BCD">
        <w:rPr>
          <w:rFonts w:cs="David" w:hint="cs"/>
          <w:sz w:val="24"/>
          <w:szCs w:val="24"/>
          <w:rtl/>
        </w:rPr>
        <w:t xml:space="preserve"> 2. </w:t>
      </w:r>
      <w:r>
        <w:rPr>
          <w:rFonts w:cs="David" w:hint="cs"/>
          <w:sz w:val="24"/>
          <w:szCs w:val="24"/>
          <w:rtl/>
        </w:rPr>
        <w:t>אין תחולה לס' 14 לחוק המקרקעין</w:t>
      </w:r>
      <w:r w:rsidR="00374BCD">
        <w:rPr>
          <w:rFonts w:cs="David" w:hint="cs"/>
          <w:sz w:val="24"/>
          <w:szCs w:val="24"/>
          <w:rtl/>
        </w:rPr>
        <w:t xml:space="preserve"> (לא מדובר על הפרעה לאחר).</w:t>
      </w:r>
      <w:r w:rsidR="00587261">
        <w:rPr>
          <w:rFonts w:cs="David" w:hint="cs"/>
          <w:sz w:val="24"/>
          <w:szCs w:val="24"/>
          <w:rtl/>
        </w:rPr>
        <w:t xml:space="preserve"> </w:t>
      </w:r>
      <w:r w:rsidR="00374BCD">
        <w:rPr>
          <w:rFonts w:cs="David" w:hint="cs"/>
          <w:sz w:val="24"/>
          <w:szCs w:val="24"/>
          <w:rtl/>
        </w:rPr>
        <w:t>3. אין חוסר תו"ל מצד שפיר לפי ס' 39 ו-61 לחוה"ח (לא השיגה הסכמה של כל הבעלים</w:t>
      </w:r>
      <w:r w:rsidR="003800CA">
        <w:rPr>
          <w:rFonts w:cs="David" w:hint="cs"/>
          <w:sz w:val="24"/>
          <w:szCs w:val="24"/>
          <w:rtl/>
        </w:rPr>
        <w:t xml:space="preserve"> לקידום הת</w:t>
      </w:r>
      <w:r w:rsidR="00E821CA">
        <w:rPr>
          <w:rFonts w:cs="David" w:hint="cs"/>
          <w:sz w:val="24"/>
          <w:szCs w:val="24"/>
          <w:rtl/>
        </w:rPr>
        <w:t>ו</w:t>
      </w:r>
      <w:r w:rsidR="003800CA">
        <w:rPr>
          <w:rFonts w:cs="David" w:hint="cs"/>
          <w:sz w:val="24"/>
          <w:szCs w:val="24"/>
          <w:rtl/>
        </w:rPr>
        <w:t>כנית</w:t>
      </w:r>
      <w:r w:rsidR="0067197A">
        <w:rPr>
          <w:rFonts w:cs="David" w:hint="cs"/>
          <w:sz w:val="24"/>
          <w:szCs w:val="24"/>
          <w:rtl/>
        </w:rPr>
        <w:t xml:space="preserve"> ולכן ביקשה פירוק</w:t>
      </w:r>
      <w:r w:rsidR="00374BCD">
        <w:rPr>
          <w:rFonts w:cs="David" w:hint="cs"/>
          <w:sz w:val="24"/>
          <w:szCs w:val="24"/>
          <w:rtl/>
        </w:rPr>
        <w:t>).</w:t>
      </w:r>
      <w:r w:rsidR="00FF2F47">
        <w:rPr>
          <w:rFonts w:cs="David" w:hint="cs"/>
          <w:sz w:val="24"/>
          <w:szCs w:val="24"/>
          <w:rtl/>
        </w:rPr>
        <w:t xml:space="preserve"> לכן </w:t>
      </w:r>
      <w:r w:rsidR="00DB67F3">
        <w:rPr>
          <w:rFonts w:cs="David" w:hint="cs"/>
          <w:sz w:val="24"/>
          <w:szCs w:val="24"/>
          <w:rtl/>
        </w:rPr>
        <w:t>לקבוצת שפיר עומדת הזכות לפירוק</w:t>
      </w:r>
      <w:r w:rsidR="00FF2F47">
        <w:rPr>
          <w:rFonts w:cs="David" w:hint="cs"/>
          <w:sz w:val="24"/>
          <w:szCs w:val="24"/>
          <w:rtl/>
        </w:rPr>
        <w:t>.</w:t>
      </w:r>
      <w:r w:rsidR="0067197A">
        <w:rPr>
          <w:rStyle w:val="a9"/>
          <w:rFonts w:cs="David"/>
          <w:sz w:val="24"/>
          <w:szCs w:val="24"/>
          <w:rtl/>
        </w:rPr>
        <w:footnoteReference w:id="6"/>
      </w:r>
    </w:p>
    <w:p w14:paraId="296445CF" w14:textId="7810622C" w:rsidR="00E821CA" w:rsidRDefault="001D2CA2" w:rsidP="00621972">
      <w:pPr>
        <w:pStyle w:val="aa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 w:rsidRPr="001D2CA2">
        <w:rPr>
          <w:rFonts w:cs="David" w:hint="cs"/>
          <w:sz w:val="24"/>
          <w:szCs w:val="24"/>
          <w:u w:val="single"/>
          <w:rtl/>
        </w:rPr>
        <w:t>דרך הפירוק</w:t>
      </w:r>
      <w:r>
        <w:rPr>
          <w:rFonts w:cs="David" w:hint="cs"/>
          <w:sz w:val="24"/>
          <w:szCs w:val="24"/>
          <w:rtl/>
        </w:rPr>
        <w:t xml:space="preserve">: </w:t>
      </w:r>
    </w:p>
    <w:p w14:paraId="01B45735" w14:textId="77777777" w:rsidR="003259E0" w:rsidRDefault="00BC5D94" w:rsidP="00621972">
      <w:pPr>
        <w:pStyle w:val="aa"/>
        <w:numPr>
          <w:ilvl w:val="0"/>
          <w:numId w:val="2"/>
        </w:numPr>
        <w:spacing w:line="480" w:lineRule="auto"/>
        <w:jc w:val="both"/>
        <w:rPr>
          <w:rFonts w:cs="David"/>
          <w:sz w:val="24"/>
          <w:szCs w:val="24"/>
        </w:rPr>
      </w:pPr>
      <w:r w:rsidRPr="00BC5D94">
        <w:rPr>
          <w:rFonts w:cs="David" w:hint="cs"/>
          <w:sz w:val="24"/>
          <w:szCs w:val="24"/>
          <w:u w:val="single"/>
          <w:rtl/>
        </w:rPr>
        <w:t>חלוקה בעי</w:t>
      </w:r>
      <w:r>
        <w:rPr>
          <w:rFonts w:cs="David" w:hint="cs"/>
          <w:sz w:val="24"/>
          <w:szCs w:val="24"/>
          <w:u w:val="single"/>
          <w:rtl/>
        </w:rPr>
        <w:t>ן</w:t>
      </w:r>
      <w:r>
        <w:rPr>
          <w:rFonts w:cs="David" w:hint="cs"/>
          <w:sz w:val="24"/>
          <w:szCs w:val="24"/>
          <w:rtl/>
        </w:rPr>
        <w:t xml:space="preserve">: </w:t>
      </w:r>
    </w:p>
    <w:p w14:paraId="2793297F" w14:textId="695AF08A" w:rsidR="001D2CA2" w:rsidRPr="003259E0" w:rsidRDefault="0095482F" w:rsidP="00621972">
      <w:pPr>
        <w:spacing w:line="480" w:lineRule="auto"/>
        <w:jc w:val="both"/>
        <w:rPr>
          <w:rFonts w:cs="David"/>
          <w:sz w:val="24"/>
          <w:szCs w:val="24"/>
        </w:rPr>
      </w:pPr>
      <w:r w:rsidRPr="003259E0">
        <w:rPr>
          <w:rFonts w:cs="David" w:hint="cs"/>
          <w:sz w:val="24"/>
          <w:szCs w:val="24"/>
          <w:rtl/>
        </w:rPr>
        <w:t>קבוצת שפיר תטען לחלוקה</w:t>
      </w:r>
      <w:r w:rsidR="006B4FDF">
        <w:rPr>
          <w:rFonts w:cs="David" w:hint="cs"/>
          <w:sz w:val="24"/>
          <w:szCs w:val="24"/>
          <w:rtl/>
        </w:rPr>
        <w:t>-</w:t>
      </w:r>
      <w:r w:rsidRPr="003259E0">
        <w:rPr>
          <w:rFonts w:cs="David" w:hint="cs"/>
          <w:sz w:val="24"/>
          <w:szCs w:val="24"/>
          <w:rtl/>
        </w:rPr>
        <w:t xml:space="preserve">בעין כיוון שזו </w:t>
      </w:r>
      <w:r w:rsidR="00634B8E" w:rsidRPr="003259E0">
        <w:rPr>
          <w:rFonts w:cs="David" w:hint="cs"/>
          <w:sz w:val="24"/>
          <w:szCs w:val="24"/>
          <w:rtl/>
        </w:rPr>
        <w:t>דרך</w:t>
      </w:r>
      <w:r w:rsidR="00233397">
        <w:rPr>
          <w:rFonts w:cs="David" w:hint="cs"/>
          <w:sz w:val="24"/>
          <w:szCs w:val="24"/>
          <w:rtl/>
        </w:rPr>
        <w:t>-</w:t>
      </w:r>
      <w:r w:rsidR="00634B8E" w:rsidRPr="003259E0">
        <w:rPr>
          <w:rFonts w:cs="David" w:hint="cs"/>
          <w:sz w:val="24"/>
          <w:szCs w:val="24"/>
          <w:rtl/>
        </w:rPr>
        <w:t>המלך בפירוק בעלות משותפת במקרקעין</w:t>
      </w:r>
      <w:r w:rsidRPr="003259E0">
        <w:rPr>
          <w:rFonts w:cs="David" w:hint="cs"/>
          <w:sz w:val="24"/>
          <w:szCs w:val="24"/>
          <w:rtl/>
        </w:rPr>
        <w:t>.</w:t>
      </w:r>
      <w:r w:rsidR="006B4FDF">
        <w:rPr>
          <w:rStyle w:val="a9"/>
          <w:rFonts w:cs="David"/>
          <w:sz w:val="24"/>
          <w:szCs w:val="24"/>
          <w:rtl/>
        </w:rPr>
        <w:footnoteReference w:id="7"/>
      </w:r>
      <w:r w:rsidR="00FA2148" w:rsidRPr="003259E0">
        <w:rPr>
          <w:rFonts w:cs="David" w:hint="cs"/>
          <w:sz w:val="24"/>
          <w:szCs w:val="24"/>
          <w:rtl/>
        </w:rPr>
        <w:t xml:space="preserve"> חובה על בית המשפט לעשות כן אם אין</w:t>
      </w:r>
      <w:r w:rsidR="00BD1758" w:rsidRPr="003259E0">
        <w:rPr>
          <w:rFonts w:cs="David" w:hint="cs"/>
          <w:sz w:val="24"/>
          <w:szCs w:val="24"/>
          <w:rtl/>
        </w:rPr>
        <w:t xml:space="preserve"> תחולה</w:t>
      </w:r>
      <w:r w:rsidR="00FA2148" w:rsidRPr="003259E0">
        <w:rPr>
          <w:rFonts w:cs="David" w:hint="cs"/>
          <w:sz w:val="24"/>
          <w:szCs w:val="24"/>
          <w:rtl/>
        </w:rPr>
        <w:t xml:space="preserve"> </w:t>
      </w:r>
      <w:r w:rsidR="00BD1758" w:rsidRPr="003259E0">
        <w:rPr>
          <w:rFonts w:cs="David" w:hint="cs"/>
          <w:sz w:val="24"/>
          <w:szCs w:val="24"/>
          <w:rtl/>
        </w:rPr>
        <w:t>ל</w:t>
      </w:r>
      <w:r w:rsidR="00FA2148" w:rsidRPr="003259E0">
        <w:rPr>
          <w:rFonts w:cs="David" w:hint="cs"/>
          <w:sz w:val="24"/>
          <w:szCs w:val="24"/>
          <w:rtl/>
        </w:rPr>
        <w:t>סייג</w:t>
      </w:r>
      <w:r w:rsidR="00BD1758" w:rsidRPr="003259E0">
        <w:rPr>
          <w:rFonts w:cs="David" w:hint="cs"/>
          <w:sz w:val="24"/>
          <w:szCs w:val="24"/>
          <w:rtl/>
        </w:rPr>
        <w:t xml:space="preserve">ים </w:t>
      </w:r>
      <w:r w:rsidRPr="003259E0">
        <w:rPr>
          <w:rFonts w:cs="David" w:hint="cs"/>
          <w:sz w:val="24"/>
          <w:szCs w:val="24"/>
          <w:rtl/>
        </w:rPr>
        <w:t>שבסעיף</w:t>
      </w:r>
      <w:r w:rsidR="00634B8E" w:rsidRPr="003259E0">
        <w:rPr>
          <w:rFonts w:cs="David" w:hint="cs"/>
          <w:sz w:val="24"/>
          <w:szCs w:val="24"/>
          <w:rtl/>
        </w:rPr>
        <w:t>.</w:t>
      </w:r>
      <w:r w:rsidR="006C163E">
        <w:rPr>
          <w:rStyle w:val="a9"/>
          <w:rFonts w:cs="David"/>
          <w:sz w:val="24"/>
          <w:szCs w:val="24"/>
          <w:rtl/>
        </w:rPr>
        <w:footnoteReference w:id="8"/>
      </w:r>
      <w:r w:rsidR="005F1C72" w:rsidRPr="003259E0">
        <w:rPr>
          <w:rFonts w:cs="David" w:hint="cs"/>
          <w:sz w:val="24"/>
          <w:szCs w:val="24"/>
          <w:rtl/>
        </w:rPr>
        <w:t xml:space="preserve"> מנגד</w:t>
      </w:r>
      <w:r w:rsidRPr="003259E0">
        <w:rPr>
          <w:rFonts w:cs="David" w:hint="cs"/>
          <w:sz w:val="24"/>
          <w:szCs w:val="24"/>
          <w:rtl/>
        </w:rPr>
        <w:t xml:space="preserve">, </w:t>
      </w:r>
      <w:r w:rsidR="000B53DF" w:rsidRPr="003259E0">
        <w:rPr>
          <w:rFonts w:cs="David" w:hint="cs"/>
          <w:sz w:val="24"/>
          <w:szCs w:val="24"/>
          <w:rtl/>
        </w:rPr>
        <w:t>יטענו יורשי שולץ שחלוקה בעין אינה אפשרית</w:t>
      </w:r>
      <w:r w:rsidR="005945AA" w:rsidRPr="003259E0">
        <w:rPr>
          <w:rFonts w:cs="David" w:hint="cs"/>
          <w:sz w:val="24"/>
          <w:szCs w:val="24"/>
          <w:rtl/>
        </w:rPr>
        <w:t xml:space="preserve"> בשל חלקו הקטן של כל יורש. </w:t>
      </w:r>
      <w:r w:rsidR="00233397">
        <w:rPr>
          <w:rFonts w:cs="David" w:hint="cs"/>
          <w:sz w:val="24"/>
          <w:szCs w:val="24"/>
          <w:rtl/>
        </w:rPr>
        <w:t>ישנם</w:t>
      </w:r>
      <w:r w:rsidR="00951DF4" w:rsidRPr="003259E0">
        <w:rPr>
          <w:rFonts w:cs="David" w:hint="cs"/>
          <w:sz w:val="24"/>
          <w:szCs w:val="24"/>
          <w:rtl/>
        </w:rPr>
        <w:t xml:space="preserve"> 100 </w:t>
      </w:r>
      <w:r w:rsidR="00233397">
        <w:rPr>
          <w:rFonts w:cs="David" w:hint="cs"/>
          <w:sz w:val="24"/>
          <w:szCs w:val="24"/>
          <w:rtl/>
        </w:rPr>
        <w:t>יורשים-</w:t>
      </w:r>
      <w:r w:rsidR="00951DF4" w:rsidRPr="003259E0">
        <w:rPr>
          <w:rFonts w:cs="David" w:hint="cs"/>
          <w:sz w:val="24"/>
          <w:szCs w:val="24"/>
          <w:rtl/>
        </w:rPr>
        <w:t xml:space="preserve">בעלים משותפים על </w:t>
      </w:r>
      <w:r w:rsidR="004751CD" w:rsidRPr="003259E0">
        <w:rPr>
          <w:rFonts w:cs="David" w:hint="cs"/>
          <w:sz w:val="24"/>
          <w:szCs w:val="24"/>
          <w:rtl/>
        </w:rPr>
        <w:t xml:space="preserve">25% </w:t>
      </w:r>
      <w:r w:rsidR="00A22E04" w:rsidRPr="003259E0">
        <w:rPr>
          <w:rFonts w:cs="David" w:hint="cs"/>
          <w:sz w:val="24"/>
          <w:szCs w:val="24"/>
          <w:rtl/>
        </w:rPr>
        <w:t>מהשטח</w:t>
      </w:r>
      <w:r w:rsidR="005C6BCD" w:rsidRPr="003259E0">
        <w:rPr>
          <w:rFonts w:cs="David" w:hint="cs"/>
          <w:sz w:val="24"/>
          <w:szCs w:val="24"/>
          <w:rtl/>
        </w:rPr>
        <w:t xml:space="preserve">- אין אפשרות שכל אחד מהיורשים יקבל </w:t>
      </w:r>
      <w:r w:rsidR="00403279" w:rsidRPr="003259E0">
        <w:rPr>
          <w:rFonts w:cs="David" w:hint="cs"/>
          <w:sz w:val="24"/>
          <w:szCs w:val="24"/>
          <w:rtl/>
        </w:rPr>
        <w:t>0.25% מהשטח (</w:t>
      </w:r>
      <w:r w:rsidR="008439D3" w:rsidRPr="003259E0">
        <w:rPr>
          <w:rFonts w:cs="David" w:hint="cs"/>
          <w:sz w:val="24"/>
          <w:szCs w:val="24"/>
          <w:rtl/>
        </w:rPr>
        <w:t>100 מ' מרובע ליורש)</w:t>
      </w:r>
      <w:r w:rsidR="00A22E04" w:rsidRPr="003259E0">
        <w:rPr>
          <w:rFonts w:cs="David" w:hint="cs"/>
          <w:sz w:val="24"/>
          <w:szCs w:val="24"/>
          <w:rtl/>
        </w:rPr>
        <w:t xml:space="preserve">, </w:t>
      </w:r>
      <w:r w:rsidR="00B27D6D" w:rsidRPr="003259E0">
        <w:rPr>
          <w:rFonts w:cs="David" w:hint="cs"/>
          <w:sz w:val="24"/>
          <w:szCs w:val="24"/>
          <w:rtl/>
        </w:rPr>
        <w:t>ו</w:t>
      </w:r>
      <w:r w:rsidR="00A22E04" w:rsidRPr="003259E0">
        <w:rPr>
          <w:rFonts w:cs="David" w:hint="cs"/>
          <w:sz w:val="24"/>
          <w:szCs w:val="24"/>
          <w:rtl/>
        </w:rPr>
        <w:t>בכל מקרה ישנה תכנית מתאר</w:t>
      </w:r>
      <w:r w:rsidR="00D31952" w:rsidRPr="003259E0">
        <w:rPr>
          <w:rFonts w:cs="David" w:hint="cs"/>
          <w:sz w:val="24"/>
          <w:szCs w:val="24"/>
          <w:rtl/>
        </w:rPr>
        <w:t xml:space="preserve"> ל'</w:t>
      </w:r>
      <w:r w:rsidR="00A22E04" w:rsidRPr="003259E0">
        <w:rPr>
          <w:rFonts w:cs="David" w:hint="cs"/>
          <w:sz w:val="24"/>
          <w:szCs w:val="24"/>
          <w:rtl/>
        </w:rPr>
        <w:t xml:space="preserve"> על השטח </w:t>
      </w:r>
      <w:r w:rsidR="005F581C" w:rsidRPr="003259E0">
        <w:rPr>
          <w:rFonts w:cs="David" w:hint="cs"/>
          <w:sz w:val="24"/>
          <w:szCs w:val="24"/>
          <w:rtl/>
        </w:rPr>
        <w:t xml:space="preserve">כך שחלוקה בעין </w:t>
      </w:r>
      <w:r w:rsidR="00F30F57" w:rsidRPr="003259E0">
        <w:rPr>
          <w:rFonts w:cs="David" w:hint="cs"/>
          <w:sz w:val="24"/>
          <w:szCs w:val="24"/>
          <w:rtl/>
        </w:rPr>
        <w:t xml:space="preserve">תהיה אף פחות מכך, אף עד לשטח של </w:t>
      </w:r>
      <w:r w:rsidR="00D31952" w:rsidRPr="003259E0">
        <w:rPr>
          <w:rFonts w:cs="David" w:hint="cs"/>
          <w:sz w:val="24"/>
          <w:szCs w:val="24"/>
          <w:rtl/>
        </w:rPr>
        <w:t>25 מ' מרובע ליורש בלבד</w:t>
      </w:r>
      <w:r w:rsidR="00B27D6D" w:rsidRPr="003259E0">
        <w:rPr>
          <w:rFonts w:cs="David" w:hint="cs"/>
          <w:sz w:val="24"/>
          <w:szCs w:val="24"/>
          <w:rtl/>
        </w:rPr>
        <w:t xml:space="preserve"> (אם ינוכו 30 דונם לטובת שטחי-ציבור)</w:t>
      </w:r>
      <w:r w:rsidR="00D31952" w:rsidRPr="003259E0">
        <w:rPr>
          <w:rFonts w:cs="David" w:hint="cs"/>
          <w:sz w:val="24"/>
          <w:szCs w:val="24"/>
          <w:rtl/>
        </w:rPr>
        <w:t>.</w:t>
      </w:r>
      <w:r w:rsidR="0017790E" w:rsidRPr="003259E0">
        <w:rPr>
          <w:rFonts w:cs="David" w:hint="cs"/>
          <w:sz w:val="24"/>
          <w:szCs w:val="24"/>
          <w:rtl/>
        </w:rPr>
        <w:t xml:space="preserve"> </w:t>
      </w:r>
      <w:r w:rsidR="003B3D6E">
        <w:rPr>
          <w:rFonts w:cs="David" w:hint="cs"/>
          <w:sz w:val="24"/>
          <w:szCs w:val="24"/>
          <w:rtl/>
        </w:rPr>
        <w:t>לחלופין יטענו</w:t>
      </w:r>
      <w:r w:rsidR="0017790E" w:rsidRPr="003259E0">
        <w:rPr>
          <w:rFonts w:cs="David" w:hint="cs"/>
          <w:sz w:val="24"/>
          <w:szCs w:val="24"/>
          <w:rtl/>
        </w:rPr>
        <w:t xml:space="preserve"> </w:t>
      </w:r>
      <w:r w:rsidR="003B3D6E">
        <w:rPr>
          <w:rFonts w:cs="David" w:hint="cs"/>
          <w:sz w:val="24"/>
          <w:szCs w:val="24"/>
          <w:rtl/>
        </w:rPr>
        <w:t>היורשים כי</w:t>
      </w:r>
      <w:r w:rsidR="0017790E" w:rsidRPr="003259E0">
        <w:rPr>
          <w:rFonts w:cs="David" w:hint="cs"/>
          <w:sz w:val="24"/>
          <w:szCs w:val="24"/>
          <w:rtl/>
        </w:rPr>
        <w:t xml:space="preserve"> </w:t>
      </w:r>
      <w:r w:rsidR="00FE1641">
        <w:rPr>
          <w:rFonts w:cs="David" w:hint="cs"/>
          <w:sz w:val="24"/>
          <w:szCs w:val="24"/>
          <w:rtl/>
        </w:rPr>
        <w:t>ייגרם להם</w:t>
      </w:r>
      <w:r w:rsidR="00493D72" w:rsidRPr="003259E0">
        <w:rPr>
          <w:rFonts w:cs="David" w:hint="cs"/>
          <w:sz w:val="24"/>
          <w:szCs w:val="24"/>
          <w:rtl/>
        </w:rPr>
        <w:t xml:space="preserve"> הפסד ניכר</w:t>
      </w:r>
      <w:r w:rsidR="003B3D6E">
        <w:rPr>
          <w:rFonts w:cs="David" w:hint="cs"/>
          <w:sz w:val="24"/>
          <w:szCs w:val="24"/>
          <w:rtl/>
        </w:rPr>
        <w:t xml:space="preserve"> הנגרם ישירות מחלוקה בעין</w:t>
      </w:r>
      <w:r w:rsidR="00B27D6D" w:rsidRPr="003259E0">
        <w:rPr>
          <w:rFonts w:cs="David" w:hint="cs"/>
          <w:sz w:val="24"/>
          <w:szCs w:val="24"/>
          <w:rtl/>
        </w:rPr>
        <w:t>,</w:t>
      </w:r>
      <w:r w:rsidR="00493D72" w:rsidRPr="003259E0">
        <w:rPr>
          <w:rFonts w:cs="David" w:hint="cs"/>
          <w:sz w:val="24"/>
          <w:szCs w:val="24"/>
          <w:rtl/>
        </w:rPr>
        <w:t xml:space="preserve"> </w:t>
      </w:r>
      <w:r w:rsidR="003B3D6E">
        <w:rPr>
          <w:rFonts w:cs="David" w:hint="cs"/>
          <w:sz w:val="24"/>
          <w:szCs w:val="24"/>
          <w:rtl/>
        </w:rPr>
        <w:t xml:space="preserve">המתבטא </w:t>
      </w:r>
      <w:r w:rsidR="00493D72" w:rsidRPr="003259E0">
        <w:rPr>
          <w:rFonts w:cs="David" w:hint="cs"/>
          <w:sz w:val="24"/>
          <w:szCs w:val="24"/>
          <w:rtl/>
        </w:rPr>
        <w:t xml:space="preserve"> </w:t>
      </w:r>
      <w:r w:rsidR="00DF058E" w:rsidRPr="003259E0">
        <w:rPr>
          <w:rFonts w:cs="David" w:hint="cs"/>
          <w:sz w:val="24"/>
          <w:szCs w:val="24"/>
          <w:rtl/>
        </w:rPr>
        <w:t>מיריד</w:t>
      </w:r>
      <w:r w:rsidR="003B3D6E">
        <w:rPr>
          <w:rFonts w:cs="David" w:hint="cs"/>
          <w:sz w:val="24"/>
          <w:szCs w:val="24"/>
          <w:rtl/>
        </w:rPr>
        <w:t>ה</w:t>
      </w:r>
      <w:r w:rsidR="00DF058E" w:rsidRPr="003259E0">
        <w:rPr>
          <w:rFonts w:cs="David" w:hint="cs"/>
          <w:sz w:val="24"/>
          <w:szCs w:val="24"/>
          <w:rtl/>
        </w:rPr>
        <w:t xml:space="preserve"> בשווי של </w:t>
      </w:r>
      <w:r w:rsidR="00D16F91" w:rsidRPr="003259E0">
        <w:rPr>
          <w:rFonts w:cs="David" w:hint="cs"/>
          <w:sz w:val="24"/>
          <w:szCs w:val="24"/>
          <w:rtl/>
        </w:rPr>
        <w:t>כל חלק</w:t>
      </w:r>
      <w:r w:rsidR="000A2F83" w:rsidRPr="003259E0">
        <w:rPr>
          <w:rFonts w:cs="David" w:hint="cs"/>
          <w:sz w:val="24"/>
          <w:szCs w:val="24"/>
          <w:rtl/>
        </w:rPr>
        <w:t xml:space="preserve"> במקרקעין</w:t>
      </w:r>
      <w:r w:rsidR="00D16F91" w:rsidRPr="003259E0">
        <w:rPr>
          <w:rFonts w:cs="David" w:hint="cs"/>
          <w:sz w:val="24"/>
          <w:szCs w:val="24"/>
          <w:rtl/>
        </w:rPr>
        <w:t xml:space="preserve"> </w:t>
      </w:r>
      <w:r w:rsidR="000A2F83" w:rsidRPr="003259E0">
        <w:rPr>
          <w:rFonts w:cs="David" w:hint="cs"/>
          <w:sz w:val="24"/>
          <w:szCs w:val="24"/>
          <w:rtl/>
        </w:rPr>
        <w:t>ש</w:t>
      </w:r>
      <w:r w:rsidR="00D16F91" w:rsidRPr="003259E0">
        <w:rPr>
          <w:rFonts w:cs="David" w:hint="cs"/>
          <w:sz w:val="24"/>
          <w:szCs w:val="24"/>
          <w:rtl/>
        </w:rPr>
        <w:t>בבעלות יורש אחד</w:t>
      </w:r>
      <w:r w:rsidR="000A2F83" w:rsidRPr="003259E0">
        <w:rPr>
          <w:rFonts w:cs="David" w:hint="cs"/>
          <w:sz w:val="24"/>
          <w:szCs w:val="24"/>
          <w:rtl/>
        </w:rPr>
        <w:t xml:space="preserve"> (25 מ' מרובע כאמור</w:t>
      </w:r>
      <w:r w:rsidR="00BB3316" w:rsidRPr="003259E0">
        <w:rPr>
          <w:rFonts w:cs="David" w:hint="cs"/>
          <w:sz w:val="24"/>
          <w:szCs w:val="24"/>
          <w:rtl/>
        </w:rPr>
        <w:t xml:space="preserve"> במקרה הגרוע</w:t>
      </w:r>
      <w:r w:rsidR="000A2F83" w:rsidRPr="003259E0">
        <w:rPr>
          <w:rFonts w:cs="David" w:hint="cs"/>
          <w:sz w:val="24"/>
          <w:szCs w:val="24"/>
          <w:rtl/>
        </w:rPr>
        <w:t>)</w:t>
      </w:r>
      <w:r w:rsidR="00D16F91" w:rsidRPr="003259E0">
        <w:rPr>
          <w:rFonts w:cs="David" w:hint="cs"/>
          <w:sz w:val="24"/>
          <w:szCs w:val="24"/>
          <w:rtl/>
        </w:rPr>
        <w:t xml:space="preserve">, לעומת 25% </w:t>
      </w:r>
      <w:r w:rsidR="00EA4AD5" w:rsidRPr="003259E0">
        <w:rPr>
          <w:rFonts w:cs="David" w:hint="cs"/>
          <w:sz w:val="24"/>
          <w:szCs w:val="24"/>
          <w:rtl/>
        </w:rPr>
        <w:lastRenderedPageBreak/>
        <w:t>מכלל החלקה</w:t>
      </w:r>
      <w:r w:rsidR="00B27D6D" w:rsidRPr="003259E0">
        <w:rPr>
          <w:rFonts w:cs="David" w:hint="cs"/>
          <w:sz w:val="24"/>
          <w:szCs w:val="24"/>
          <w:rtl/>
        </w:rPr>
        <w:t xml:space="preserve"> </w:t>
      </w:r>
      <w:r w:rsidR="007241CD" w:rsidRPr="003259E0">
        <w:rPr>
          <w:rFonts w:cs="David" w:hint="cs"/>
          <w:sz w:val="24"/>
          <w:szCs w:val="24"/>
          <w:rtl/>
        </w:rPr>
        <w:t xml:space="preserve">(יקבלו </w:t>
      </w:r>
      <w:r w:rsidR="00613253" w:rsidRPr="003259E0">
        <w:rPr>
          <w:rFonts w:cs="David" w:hint="cs"/>
          <w:sz w:val="24"/>
          <w:szCs w:val="24"/>
          <w:rtl/>
        </w:rPr>
        <w:t>2.5 דונם</w:t>
      </w:r>
      <w:r w:rsidR="00FE1641">
        <w:rPr>
          <w:rFonts w:cs="David" w:hint="cs"/>
          <w:sz w:val="24"/>
          <w:szCs w:val="24"/>
          <w:rtl/>
        </w:rPr>
        <w:t xml:space="preserve"> לפחות</w:t>
      </w:r>
      <w:r w:rsidR="007241CD" w:rsidRPr="003259E0">
        <w:rPr>
          <w:rFonts w:cs="David" w:hint="cs"/>
          <w:sz w:val="24"/>
          <w:szCs w:val="24"/>
          <w:rtl/>
        </w:rPr>
        <w:t xml:space="preserve">). </w:t>
      </w:r>
      <w:r w:rsidR="005F5F20" w:rsidRPr="003259E0">
        <w:rPr>
          <w:rFonts w:cs="David" w:hint="cs"/>
          <w:sz w:val="24"/>
          <w:szCs w:val="24"/>
          <w:rtl/>
        </w:rPr>
        <w:t>ה</w:t>
      </w:r>
      <w:r w:rsidR="007241CD" w:rsidRPr="003259E0">
        <w:rPr>
          <w:rFonts w:cs="David" w:hint="cs"/>
          <w:sz w:val="24"/>
          <w:szCs w:val="24"/>
          <w:rtl/>
        </w:rPr>
        <w:t>הפסד מהווה תוצאה ישירה של החלוקה בעין</w:t>
      </w:r>
      <w:r w:rsidR="007477F9" w:rsidRPr="003259E0">
        <w:rPr>
          <w:rFonts w:cs="David" w:hint="cs"/>
          <w:sz w:val="24"/>
          <w:szCs w:val="24"/>
          <w:rtl/>
        </w:rPr>
        <w:t xml:space="preserve"> ועל כן </w:t>
      </w:r>
      <w:r w:rsidR="00015190" w:rsidRPr="003259E0">
        <w:rPr>
          <w:rFonts w:cs="David" w:hint="cs"/>
          <w:sz w:val="24"/>
          <w:szCs w:val="24"/>
          <w:rtl/>
        </w:rPr>
        <w:t xml:space="preserve">מהווה סייג </w:t>
      </w:r>
      <w:r w:rsidR="007477F9" w:rsidRPr="003259E0">
        <w:rPr>
          <w:rFonts w:cs="David" w:hint="cs"/>
          <w:sz w:val="24"/>
          <w:szCs w:val="24"/>
          <w:rtl/>
        </w:rPr>
        <w:t>לה</w:t>
      </w:r>
      <w:r w:rsidR="00CC60F0">
        <w:rPr>
          <w:rFonts w:cs="David" w:hint="cs"/>
          <w:sz w:val="24"/>
          <w:szCs w:val="24"/>
          <w:rtl/>
        </w:rPr>
        <w:t>.</w:t>
      </w:r>
      <w:r w:rsidR="00CC60F0" w:rsidRPr="00CC60F0">
        <w:rPr>
          <w:rStyle w:val="a9"/>
          <w:rFonts w:cs="David"/>
          <w:sz w:val="24"/>
          <w:szCs w:val="24"/>
          <w:rtl/>
        </w:rPr>
        <w:t xml:space="preserve"> </w:t>
      </w:r>
      <w:r w:rsidR="00CC60F0">
        <w:rPr>
          <w:rStyle w:val="a9"/>
          <w:rFonts w:cs="David"/>
          <w:sz w:val="24"/>
          <w:szCs w:val="24"/>
          <w:rtl/>
        </w:rPr>
        <w:footnoteReference w:id="9"/>
      </w:r>
      <w:r w:rsidR="00015190" w:rsidRPr="003259E0">
        <w:rPr>
          <w:rFonts w:cs="David" w:hint="cs"/>
          <w:sz w:val="24"/>
          <w:szCs w:val="24"/>
          <w:rtl/>
        </w:rPr>
        <w:t xml:space="preserve"> </w:t>
      </w:r>
      <w:r w:rsidR="00CD7675" w:rsidRPr="003259E0">
        <w:rPr>
          <w:rFonts w:cs="David" w:hint="cs"/>
          <w:sz w:val="24"/>
          <w:szCs w:val="24"/>
          <w:rtl/>
        </w:rPr>
        <w:t xml:space="preserve">על כך תשיב קבוצת שפיר </w:t>
      </w:r>
      <w:r w:rsidR="00CC60F0">
        <w:rPr>
          <w:rFonts w:cs="David" w:hint="cs"/>
          <w:sz w:val="24"/>
          <w:szCs w:val="24"/>
          <w:rtl/>
        </w:rPr>
        <w:t>ש</w:t>
      </w:r>
      <w:r w:rsidR="00CD7675" w:rsidRPr="003259E0">
        <w:rPr>
          <w:rFonts w:cs="David" w:hint="cs"/>
          <w:sz w:val="24"/>
          <w:szCs w:val="24"/>
          <w:rtl/>
        </w:rPr>
        <w:t>ההפסד לא 'ניכר'</w:t>
      </w:r>
      <w:r w:rsidR="00C03A4B" w:rsidRPr="003259E0">
        <w:rPr>
          <w:rFonts w:cs="David" w:hint="cs"/>
          <w:sz w:val="24"/>
          <w:szCs w:val="24"/>
          <w:rtl/>
        </w:rPr>
        <w:t xml:space="preserve"> </w:t>
      </w:r>
      <w:r w:rsidR="00CC60F0">
        <w:rPr>
          <w:rFonts w:cs="David" w:hint="cs"/>
          <w:sz w:val="24"/>
          <w:szCs w:val="24"/>
          <w:rtl/>
        </w:rPr>
        <w:t>ולכן אפשר לחלק-בעין</w:t>
      </w:r>
      <w:r w:rsidR="008F1161" w:rsidRPr="003259E0">
        <w:rPr>
          <w:rFonts w:cs="David" w:hint="cs"/>
          <w:sz w:val="24"/>
          <w:szCs w:val="24"/>
          <w:rtl/>
        </w:rPr>
        <w:t>.</w:t>
      </w:r>
    </w:p>
    <w:p w14:paraId="1EC808FF" w14:textId="7AB659C2" w:rsidR="008F1161" w:rsidRPr="003259E0" w:rsidRDefault="00CC2A1E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לחלופין תטען</w:t>
      </w:r>
      <w:r w:rsidR="008F1161" w:rsidRPr="003259E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="008F1161" w:rsidRPr="003259E0">
        <w:rPr>
          <w:rFonts w:cs="David" w:hint="cs"/>
          <w:sz w:val="24"/>
          <w:szCs w:val="24"/>
          <w:rtl/>
        </w:rPr>
        <w:t>שפיר</w:t>
      </w:r>
      <w:r>
        <w:rPr>
          <w:rFonts w:cs="David" w:hint="cs"/>
          <w:sz w:val="24"/>
          <w:szCs w:val="24"/>
          <w:rtl/>
        </w:rPr>
        <w:t>'</w:t>
      </w:r>
      <w:r w:rsidR="008F1161" w:rsidRPr="003259E0">
        <w:rPr>
          <w:rFonts w:cs="David" w:hint="cs"/>
          <w:sz w:val="24"/>
          <w:szCs w:val="24"/>
          <w:rtl/>
        </w:rPr>
        <w:t xml:space="preserve"> </w:t>
      </w:r>
      <w:r w:rsidR="00D02FFF" w:rsidRPr="003259E0">
        <w:rPr>
          <w:rFonts w:cs="David" w:hint="cs"/>
          <w:sz w:val="24"/>
          <w:szCs w:val="24"/>
          <w:rtl/>
        </w:rPr>
        <w:t xml:space="preserve">שיש לפרק השיתוף </w:t>
      </w:r>
      <w:r w:rsidR="00175A0A" w:rsidRPr="003259E0">
        <w:rPr>
          <w:rFonts w:cs="David" w:hint="cs"/>
          <w:sz w:val="24"/>
          <w:szCs w:val="24"/>
          <w:rtl/>
        </w:rPr>
        <w:t>דרך חלוקה בעין לפי ס' 41(ג) לחוק המקרקעין</w:t>
      </w:r>
      <w:r w:rsidR="00460671" w:rsidRPr="003259E0">
        <w:rPr>
          <w:rFonts w:cs="David" w:hint="cs"/>
          <w:sz w:val="24"/>
          <w:szCs w:val="24"/>
          <w:rtl/>
        </w:rPr>
        <w:t xml:space="preserve">- </w:t>
      </w:r>
      <w:r w:rsidR="007A5591" w:rsidRPr="003259E0">
        <w:rPr>
          <w:rFonts w:cs="David" w:hint="cs"/>
          <w:sz w:val="24"/>
          <w:szCs w:val="24"/>
          <w:rtl/>
        </w:rPr>
        <w:t xml:space="preserve">יורשי שולץ הם </w:t>
      </w:r>
      <w:r w:rsidR="00EE39E3" w:rsidRPr="003259E0">
        <w:rPr>
          <w:rFonts w:cs="David" w:hint="cs"/>
          <w:sz w:val="24"/>
          <w:szCs w:val="24"/>
          <w:rtl/>
        </w:rPr>
        <w:t>'</w:t>
      </w:r>
      <w:r w:rsidR="00C04139" w:rsidRPr="003259E0">
        <w:rPr>
          <w:rFonts w:cs="David" w:hint="cs"/>
          <w:sz w:val="24"/>
          <w:szCs w:val="24"/>
          <w:rtl/>
        </w:rPr>
        <w:t xml:space="preserve">מקצת </w:t>
      </w:r>
      <w:r w:rsidR="00EE39E3" w:rsidRPr="003259E0">
        <w:rPr>
          <w:rFonts w:cs="David" w:hint="cs"/>
          <w:sz w:val="24"/>
          <w:szCs w:val="24"/>
          <w:rtl/>
        </w:rPr>
        <w:t>השותפים'</w:t>
      </w:r>
      <w:r w:rsidR="007172CF" w:rsidRPr="003259E0">
        <w:rPr>
          <w:rFonts w:cs="David" w:hint="cs"/>
          <w:sz w:val="24"/>
          <w:szCs w:val="24"/>
          <w:rtl/>
        </w:rPr>
        <w:t xml:space="preserve"> (מקצת מבחינת חלקם)</w:t>
      </w:r>
      <w:r w:rsidR="00EE39E3" w:rsidRPr="003259E0">
        <w:rPr>
          <w:rFonts w:cs="David" w:hint="cs"/>
          <w:sz w:val="24"/>
          <w:szCs w:val="24"/>
          <w:rtl/>
        </w:rPr>
        <w:t xml:space="preserve"> שהחלקים שבבעלותם לא ניתנים לחלוקה בעין</w:t>
      </w:r>
      <w:r w:rsidR="00866B1F" w:rsidRPr="003259E0">
        <w:rPr>
          <w:rFonts w:cs="David" w:hint="cs"/>
          <w:sz w:val="24"/>
          <w:szCs w:val="24"/>
          <w:rtl/>
        </w:rPr>
        <w:t xml:space="preserve"> (0.25% מהחלקה לכל יורש)</w:t>
      </w:r>
      <w:r w:rsidR="00EE39E3" w:rsidRPr="003259E0">
        <w:rPr>
          <w:rFonts w:cs="David" w:hint="cs"/>
          <w:sz w:val="24"/>
          <w:szCs w:val="24"/>
          <w:rtl/>
        </w:rPr>
        <w:t xml:space="preserve">, ועל כן רשאית </w:t>
      </w:r>
      <w:r w:rsidR="00294974" w:rsidRPr="003259E0">
        <w:rPr>
          <w:rFonts w:cs="David" w:hint="cs"/>
          <w:sz w:val="24"/>
          <w:szCs w:val="24"/>
          <w:rtl/>
        </w:rPr>
        <w:t xml:space="preserve">קבוצת שפיר </w:t>
      </w:r>
      <w:r w:rsidR="00EE39E3" w:rsidRPr="003259E0">
        <w:rPr>
          <w:rFonts w:cs="David" w:hint="cs"/>
          <w:sz w:val="24"/>
          <w:szCs w:val="24"/>
          <w:rtl/>
        </w:rPr>
        <w:t>לקנות את חלקיה</w:t>
      </w:r>
      <w:r w:rsidR="005674DE" w:rsidRPr="003259E0">
        <w:rPr>
          <w:rFonts w:cs="David" w:hint="cs"/>
          <w:sz w:val="24"/>
          <w:szCs w:val="24"/>
          <w:rtl/>
        </w:rPr>
        <w:t>ם ב</w:t>
      </w:r>
      <w:r w:rsidR="00B65978" w:rsidRPr="003259E0">
        <w:rPr>
          <w:rFonts w:cs="David" w:hint="cs"/>
          <w:sz w:val="24"/>
          <w:szCs w:val="24"/>
          <w:rtl/>
        </w:rPr>
        <w:t xml:space="preserve">מחיר שהיו מקבלים היורשים אילו היו כל בעלי החלקה מוכרים אותה לפי ס' 40 (מכירה פומבית דרך הוצל"פ, או </w:t>
      </w:r>
      <w:r w:rsidR="00885C6E" w:rsidRPr="003259E0">
        <w:rPr>
          <w:rFonts w:cs="David" w:hint="cs"/>
          <w:sz w:val="24"/>
          <w:szCs w:val="24"/>
          <w:rtl/>
        </w:rPr>
        <w:t>מכירה אחרת, פרטית (בין השותפים) אם בנסיבות העניין היא יותר צודקת ויעילה)</w:t>
      </w:r>
      <w:r w:rsidR="008D41E5" w:rsidRPr="003259E0">
        <w:rPr>
          <w:rFonts w:cs="David" w:hint="cs"/>
          <w:sz w:val="24"/>
          <w:szCs w:val="24"/>
          <w:rtl/>
        </w:rPr>
        <w:t>.</w:t>
      </w:r>
      <w:r w:rsidR="008D41E5">
        <w:rPr>
          <w:rStyle w:val="a9"/>
          <w:rFonts w:cs="David"/>
          <w:sz w:val="24"/>
          <w:szCs w:val="24"/>
          <w:rtl/>
        </w:rPr>
        <w:footnoteReference w:id="10"/>
      </w:r>
      <w:r w:rsidR="008D41E5" w:rsidRPr="003259E0">
        <w:rPr>
          <w:rFonts w:cs="David" w:hint="cs"/>
          <w:sz w:val="24"/>
          <w:szCs w:val="24"/>
          <w:rtl/>
        </w:rPr>
        <w:t xml:space="preserve"> מנגד יטענו יורשי שולץ </w:t>
      </w:r>
      <w:r w:rsidR="00C50709" w:rsidRPr="003259E0">
        <w:rPr>
          <w:rFonts w:cs="David" w:hint="cs"/>
          <w:sz w:val="24"/>
          <w:szCs w:val="24"/>
          <w:rtl/>
        </w:rPr>
        <w:t>שהמונח 'מקצת השותפים' בס' 41(ג) מתייחס למספר השותפים עצמם שחלקם לא ניתן לחלוקה בעין, ולא לגודל הקרקע שבבעלותם</w:t>
      </w:r>
      <w:r w:rsidR="002B4498" w:rsidRPr="003259E0">
        <w:rPr>
          <w:rFonts w:cs="David" w:hint="cs"/>
          <w:sz w:val="24"/>
          <w:szCs w:val="24"/>
          <w:rtl/>
        </w:rPr>
        <w:t>, ועל</w:t>
      </w:r>
      <w:r w:rsidR="00305455">
        <w:rPr>
          <w:rFonts w:cs="David" w:hint="cs"/>
          <w:sz w:val="24"/>
          <w:szCs w:val="24"/>
          <w:rtl/>
        </w:rPr>
        <w:t>-</w:t>
      </w:r>
      <w:r w:rsidR="002B4498" w:rsidRPr="003259E0">
        <w:rPr>
          <w:rFonts w:cs="David" w:hint="cs"/>
          <w:sz w:val="24"/>
          <w:szCs w:val="24"/>
          <w:rtl/>
        </w:rPr>
        <w:t>כן אין תחולה ל-41(ג) כיוון שיורשי שולץ הם מרבית הבעלים בחלקה</w:t>
      </w:r>
      <w:r w:rsidR="00DB6C82" w:rsidRPr="003259E0">
        <w:rPr>
          <w:rFonts w:cs="David" w:hint="cs"/>
          <w:sz w:val="24"/>
          <w:szCs w:val="24"/>
          <w:rtl/>
        </w:rPr>
        <w:t>.</w:t>
      </w:r>
      <w:r w:rsidR="00927D0B">
        <w:rPr>
          <w:rStyle w:val="a9"/>
          <w:rFonts w:cs="David"/>
          <w:sz w:val="24"/>
          <w:szCs w:val="24"/>
          <w:rtl/>
        </w:rPr>
        <w:footnoteReference w:id="11"/>
      </w:r>
      <w:r w:rsidR="001E284E" w:rsidRPr="003259E0">
        <w:rPr>
          <w:rFonts w:cs="David" w:hint="cs"/>
          <w:sz w:val="24"/>
          <w:szCs w:val="24"/>
          <w:rtl/>
        </w:rPr>
        <w:t xml:space="preserve"> עוד ישיבו היורשים כי תכנית המתאר ל' </w:t>
      </w:r>
      <w:r w:rsidR="005F7571" w:rsidRPr="003259E0">
        <w:rPr>
          <w:rFonts w:cs="David" w:hint="cs"/>
          <w:sz w:val="24"/>
          <w:szCs w:val="24"/>
          <w:rtl/>
        </w:rPr>
        <w:t>עדיין לא קבעה סופית מה יהיה גודל השטח</w:t>
      </w:r>
      <w:r w:rsidR="00AD3443">
        <w:rPr>
          <w:rFonts w:cs="David" w:hint="cs"/>
          <w:sz w:val="24"/>
          <w:szCs w:val="24"/>
          <w:rtl/>
        </w:rPr>
        <w:t xml:space="preserve"> שיישאר בבעלותם</w:t>
      </w:r>
      <w:r w:rsidR="005F7571" w:rsidRPr="003259E0">
        <w:rPr>
          <w:rFonts w:cs="David" w:hint="cs"/>
          <w:sz w:val="24"/>
          <w:szCs w:val="24"/>
          <w:rtl/>
        </w:rPr>
        <w:t xml:space="preserve"> בחלקה,  ולכן אין אפשרות בכלל</w:t>
      </w:r>
      <w:r w:rsidR="0029795B" w:rsidRPr="003259E0">
        <w:rPr>
          <w:rFonts w:cs="David" w:hint="cs"/>
          <w:sz w:val="24"/>
          <w:szCs w:val="24"/>
          <w:rtl/>
        </w:rPr>
        <w:t xml:space="preserve"> </w:t>
      </w:r>
      <w:r w:rsidR="005F7571" w:rsidRPr="003259E0">
        <w:rPr>
          <w:rFonts w:cs="David" w:hint="cs"/>
          <w:sz w:val="24"/>
          <w:szCs w:val="24"/>
          <w:rtl/>
        </w:rPr>
        <w:t>ל</w:t>
      </w:r>
      <w:r w:rsidR="0029795B" w:rsidRPr="003259E0">
        <w:rPr>
          <w:rFonts w:cs="David" w:hint="cs"/>
          <w:sz w:val="24"/>
          <w:szCs w:val="24"/>
          <w:rtl/>
        </w:rPr>
        <w:t xml:space="preserve">חלוקה בעין </w:t>
      </w:r>
      <w:r w:rsidR="005F7571" w:rsidRPr="003259E0">
        <w:rPr>
          <w:rFonts w:cs="David" w:hint="cs"/>
          <w:sz w:val="24"/>
          <w:szCs w:val="24"/>
          <w:rtl/>
        </w:rPr>
        <w:t>כרגע.</w:t>
      </w:r>
    </w:p>
    <w:p w14:paraId="614B67E3" w14:textId="7E112A25" w:rsidR="005F7571" w:rsidRPr="005E491A" w:rsidRDefault="005E491A" w:rsidP="00621972">
      <w:pPr>
        <w:pStyle w:val="aa"/>
        <w:numPr>
          <w:ilvl w:val="0"/>
          <w:numId w:val="2"/>
        </w:numPr>
        <w:spacing w:line="480" w:lineRule="auto"/>
        <w:jc w:val="both"/>
        <w:rPr>
          <w:rFonts w:cs="David"/>
          <w:sz w:val="24"/>
          <w:szCs w:val="24"/>
          <w:u w:val="single"/>
        </w:rPr>
      </w:pPr>
      <w:r w:rsidRPr="005E491A">
        <w:rPr>
          <w:rFonts w:cs="David" w:hint="cs"/>
          <w:sz w:val="24"/>
          <w:szCs w:val="24"/>
          <w:u w:val="single"/>
          <w:rtl/>
        </w:rPr>
        <w:t>מכירה</w:t>
      </w:r>
    </w:p>
    <w:p w14:paraId="11E09BD9" w14:textId="0646B0B6" w:rsidR="00DF2959" w:rsidRDefault="00357927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70 </w:t>
      </w:r>
      <w:r w:rsidR="00CE60EC">
        <w:rPr>
          <w:rFonts w:cs="David" w:hint="cs"/>
          <w:sz w:val="24"/>
          <w:szCs w:val="24"/>
          <w:rtl/>
        </w:rPr>
        <w:t>יורשי שולץ יטענו ש</w:t>
      </w:r>
      <w:r w:rsidR="00AE084C">
        <w:rPr>
          <w:rFonts w:cs="David" w:hint="cs"/>
          <w:sz w:val="24"/>
          <w:szCs w:val="24"/>
          <w:rtl/>
        </w:rPr>
        <w:t xml:space="preserve">ברירת המחדל </w:t>
      </w:r>
      <w:r w:rsidR="005B429A">
        <w:rPr>
          <w:rFonts w:cs="David" w:hint="cs"/>
          <w:sz w:val="24"/>
          <w:szCs w:val="24"/>
          <w:rtl/>
        </w:rPr>
        <w:t>בפירוק בעלות מקרקעין משותפים ע"י מכירה תהיה מכיר</w:t>
      </w:r>
      <w:r w:rsidR="00977F45">
        <w:rPr>
          <w:rFonts w:cs="David" w:hint="cs"/>
          <w:sz w:val="24"/>
          <w:szCs w:val="24"/>
          <w:rtl/>
        </w:rPr>
        <w:t xml:space="preserve">ה פומבית </w:t>
      </w:r>
      <w:r w:rsidR="003170D4">
        <w:rPr>
          <w:rFonts w:cs="David" w:hint="cs"/>
          <w:sz w:val="24"/>
          <w:szCs w:val="24"/>
          <w:rtl/>
        </w:rPr>
        <w:t xml:space="preserve"> של כל החלקה </w:t>
      </w:r>
      <w:r w:rsidR="00977F45">
        <w:rPr>
          <w:rFonts w:cs="David" w:hint="cs"/>
          <w:sz w:val="24"/>
          <w:szCs w:val="24"/>
          <w:rtl/>
        </w:rPr>
        <w:t>דרך הוצל"פ</w:t>
      </w:r>
      <w:r w:rsidR="005F1D21">
        <w:rPr>
          <w:rFonts w:cs="David" w:hint="cs"/>
          <w:sz w:val="24"/>
          <w:szCs w:val="24"/>
          <w:rtl/>
        </w:rPr>
        <w:t>.</w:t>
      </w:r>
      <w:r w:rsidR="00CE60EC">
        <w:rPr>
          <w:rStyle w:val="a9"/>
          <w:rFonts w:cs="David"/>
          <w:sz w:val="24"/>
          <w:szCs w:val="24"/>
          <w:rtl/>
        </w:rPr>
        <w:footnoteReference w:id="12"/>
      </w:r>
      <w:r w:rsidR="003656C7">
        <w:rPr>
          <w:rFonts w:cs="David" w:hint="cs"/>
          <w:sz w:val="24"/>
          <w:szCs w:val="24"/>
          <w:rtl/>
        </w:rPr>
        <w:t xml:space="preserve"> </w:t>
      </w:r>
      <w:r w:rsidR="0081166D">
        <w:rPr>
          <w:rFonts w:cs="David" w:hint="cs"/>
          <w:sz w:val="24"/>
          <w:szCs w:val="24"/>
          <w:rtl/>
        </w:rPr>
        <w:t xml:space="preserve">וכי </w:t>
      </w:r>
      <w:r w:rsidR="00C3566E">
        <w:rPr>
          <w:rFonts w:cs="David" w:hint="cs"/>
          <w:sz w:val="24"/>
          <w:szCs w:val="24"/>
          <w:rtl/>
        </w:rPr>
        <w:t>על</w:t>
      </w:r>
      <w:r w:rsidR="003170D4">
        <w:rPr>
          <w:rFonts w:cs="David" w:hint="cs"/>
          <w:sz w:val="24"/>
          <w:szCs w:val="24"/>
          <w:rtl/>
        </w:rPr>
        <w:t xml:space="preserve"> </w:t>
      </w:r>
      <w:r w:rsidR="00F10762">
        <w:rPr>
          <w:rFonts w:cs="David" w:hint="cs"/>
          <w:sz w:val="24"/>
          <w:szCs w:val="24"/>
          <w:rtl/>
        </w:rPr>
        <w:t>השותף</w:t>
      </w:r>
      <w:r w:rsidR="00C22624">
        <w:rPr>
          <w:rFonts w:cs="David" w:hint="cs"/>
          <w:sz w:val="24"/>
          <w:szCs w:val="24"/>
          <w:rtl/>
        </w:rPr>
        <w:t xml:space="preserve"> שמבקש מכירה אחרת שורה חובת </w:t>
      </w:r>
      <w:r w:rsidR="00FC09A3">
        <w:rPr>
          <w:rFonts w:cs="David" w:hint="cs"/>
          <w:sz w:val="24"/>
          <w:szCs w:val="24"/>
          <w:rtl/>
        </w:rPr>
        <w:t>ה</w:t>
      </w:r>
      <w:r w:rsidR="00C22624">
        <w:rPr>
          <w:rFonts w:cs="David" w:hint="cs"/>
          <w:sz w:val="24"/>
          <w:szCs w:val="24"/>
          <w:rtl/>
        </w:rPr>
        <w:t>הוכחה שדרך זו אכן יעילה וצודקת</w:t>
      </w:r>
      <w:r w:rsidR="00C3566E">
        <w:rPr>
          <w:rFonts w:cs="David" w:hint="cs"/>
          <w:sz w:val="24"/>
          <w:szCs w:val="24"/>
          <w:rtl/>
        </w:rPr>
        <w:t xml:space="preserve"> יותר ממכירה פומבית</w:t>
      </w:r>
      <w:r w:rsidR="00C22624">
        <w:rPr>
          <w:rFonts w:cs="David" w:hint="cs"/>
          <w:sz w:val="24"/>
          <w:szCs w:val="24"/>
          <w:rtl/>
        </w:rPr>
        <w:t>.</w:t>
      </w:r>
      <w:r w:rsidR="00387FA1">
        <w:rPr>
          <w:rStyle w:val="a9"/>
          <w:rFonts w:cs="David"/>
          <w:sz w:val="24"/>
          <w:szCs w:val="24"/>
          <w:rtl/>
        </w:rPr>
        <w:footnoteReference w:id="13"/>
      </w:r>
      <w:r w:rsidR="00C2262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מנגד 30 יורשי שולץ </w:t>
      </w:r>
      <w:r w:rsidR="00FD25C0">
        <w:rPr>
          <w:rFonts w:cs="David" w:hint="cs"/>
          <w:sz w:val="24"/>
          <w:szCs w:val="24"/>
          <w:rtl/>
        </w:rPr>
        <w:t xml:space="preserve">יטענו </w:t>
      </w:r>
      <w:r w:rsidR="005238CD">
        <w:rPr>
          <w:rFonts w:cs="David" w:hint="cs"/>
          <w:sz w:val="24"/>
          <w:szCs w:val="24"/>
          <w:rtl/>
        </w:rPr>
        <w:t xml:space="preserve">שדרך המכירה הצודקת והיעילה תהיה </w:t>
      </w:r>
      <w:r w:rsidR="00FD25C0">
        <w:rPr>
          <w:rFonts w:cs="David" w:hint="cs"/>
          <w:sz w:val="24"/>
          <w:szCs w:val="24"/>
          <w:rtl/>
        </w:rPr>
        <w:t>מכירה פנימית בין השותפים (</w:t>
      </w:r>
      <w:r w:rsidR="00FD25C0" w:rsidRPr="00FD25C0">
        <w:rPr>
          <w:rFonts w:asciiTheme="majorBidi" w:hAnsiTheme="majorBidi" w:cstheme="majorBidi"/>
          <w:sz w:val="24"/>
          <w:szCs w:val="24"/>
        </w:rPr>
        <w:t>BMBY</w:t>
      </w:r>
      <w:r w:rsidR="00FD25C0">
        <w:rPr>
          <w:rFonts w:cs="David" w:hint="cs"/>
          <w:sz w:val="24"/>
          <w:szCs w:val="24"/>
          <w:rtl/>
        </w:rPr>
        <w:t>)</w:t>
      </w:r>
      <w:r w:rsidR="00E30480">
        <w:rPr>
          <w:rFonts w:cs="David" w:hint="cs"/>
          <w:sz w:val="24"/>
          <w:szCs w:val="24"/>
          <w:rtl/>
        </w:rPr>
        <w:t>.</w:t>
      </w:r>
      <w:r w:rsidR="0089662B">
        <w:rPr>
          <w:rFonts w:cs="David" w:hint="cs"/>
          <w:sz w:val="24"/>
          <w:szCs w:val="24"/>
          <w:rtl/>
        </w:rPr>
        <w:t xml:space="preserve"> על </w:t>
      </w:r>
      <w:r w:rsidR="0081166D">
        <w:rPr>
          <w:rFonts w:cs="David" w:hint="cs"/>
          <w:sz w:val="24"/>
          <w:szCs w:val="24"/>
          <w:rtl/>
        </w:rPr>
        <w:t>ביהמ"ש</w:t>
      </w:r>
      <w:r w:rsidR="0089662B">
        <w:rPr>
          <w:rFonts w:cs="David" w:hint="cs"/>
          <w:sz w:val="24"/>
          <w:szCs w:val="24"/>
          <w:rtl/>
        </w:rPr>
        <w:t xml:space="preserve"> להתחשב ברצונם של מקצת השותפים, במיוחד כאשר לא הם היו שביקשו פירוק-שיתוף,</w:t>
      </w:r>
      <w:r w:rsidR="00E30480">
        <w:rPr>
          <w:rFonts w:cs="David" w:hint="cs"/>
          <w:sz w:val="24"/>
          <w:szCs w:val="24"/>
          <w:rtl/>
        </w:rPr>
        <w:t xml:space="preserve"> </w:t>
      </w:r>
      <w:r w:rsidR="0089662B">
        <w:rPr>
          <w:rFonts w:cs="David" w:hint="cs"/>
          <w:sz w:val="24"/>
          <w:szCs w:val="24"/>
          <w:rtl/>
        </w:rPr>
        <w:t>ועל כן</w:t>
      </w:r>
      <w:r w:rsidR="00375E98">
        <w:rPr>
          <w:rFonts w:cs="David" w:hint="cs"/>
          <w:sz w:val="24"/>
          <w:szCs w:val="24"/>
          <w:rtl/>
        </w:rPr>
        <w:t xml:space="preserve"> </w:t>
      </w:r>
      <w:r w:rsidR="00A0643F">
        <w:rPr>
          <w:rFonts w:cs="David" w:hint="cs"/>
          <w:sz w:val="24"/>
          <w:szCs w:val="24"/>
          <w:rtl/>
        </w:rPr>
        <w:t>יש</w:t>
      </w:r>
      <w:r w:rsidR="0089662B">
        <w:rPr>
          <w:rFonts w:cs="David" w:hint="cs"/>
          <w:sz w:val="24"/>
          <w:szCs w:val="24"/>
          <w:rtl/>
        </w:rPr>
        <w:t xml:space="preserve"> </w:t>
      </w:r>
      <w:r w:rsidR="00A0643F">
        <w:rPr>
          <w:rFonts w:cs="David" w:hint="cs"/>
          <w:sz w:val="24"/>
          <w:szCs w:val="24"/>
          <w:rtl/>
        </w:rPr>
        <w:t xml:space="preserve">לכבד את זכותם הקניינית </w:t>
      </w:r>
      <w:r w:rsidR="0089662B">
        <w:rPr>
          <w:rFonts w:cs="David" w:hint="cs"/>
          <w:sz w:val="24"/>
          <w:szCs w:val="24"/>
          <w:rtl/>
        </w:rPr>
        <w:t xml:space="preserve">של 30 היורשים </w:t>
      </w:r>
      <w:r w:rsidR="006D63AB">
        <w:rPr>
          <w:rFonts w:cs="David" w:hint="cs"/>
          <w:sz w:val="24"/>
          <w:szCs w:val="24"/>
          <w:rtl/>
        </w:rPr>
        <w:t xml:space="preserve">להמשיך </w:t>
      </w:r>
      <w:r w:rsidR="00E30480">
        <w:rPr>
          <w:rFonts w:cs="David" w:hint="cs"/>
          <w:sz w:val="24"/>
          <w:szCs w:val="24"/>
          <w:rtl/>
        </w:rPr>
        <w:t xml:space="preserve">להיות הבעלים במקרקעין, </w:t>
      </w:r>
      <w:r w:rsidR="00F027F0">
        <w:rPr>
          <w:rFonts w:cs="David" w:hint="cs"/>
          <w:sz w:val="24"/>
          <w:szCs w:val="24"/>
          <w:rtl/>
        </w:rPr>
        <w:t>ו</w:t>
      </w:r>
      <w:r w:rsidR="00375E98">
        <w:rPr>
          <w:rFonts w:cs="David" w:hint="cs"/>
          <w:sz w:val="24"/>
          <w:szCs w:val="24"/>
          <w:rtl/>
        </w:rPr>
        <w:t xml:space="preserve">לתת </w:t>
      </w:r>
      <w:r w:rsidR="00E30480">
        <w:rPr>
          <w:rFonts w:cs="David" w:hint="cs"/>
          <w:sz w:val="24"/>
          <w:szCs w:val="24"/>
          <w:rtl/>
        </w:rPr>
        <w:t>להם האפשרות לנסות לקנות מ</w:t>
      </w:r>
      <w:r w:rsidR="00B37C26">
        <w:rPr>
          <w:rFonts w:cs="David" w:hint="cs"/>
          <w:sz w:val="24"/>
          <w:szCs w:val="24"/>
          <w:rtl/>
        </w:rPr>
        <w:t>קבוצת שפיר ומ</w:t>
      </w:r>
      <w:r w:rsidR="00F027F0">
        <w:rPr>
          <w:rFonts w:cs="David" w:hint="cs"/>
          <w:sz w:val="24"/>
          <w:szCs w:val="24"/>
          <w:rtl/>
        </w:rPr>
        <w:t>-70 יורשי שולץ את חלק</w:t>
      </w:r>
      <w:r w:rsidR="0089662B">
        <w:rPr>
          <w:rFonts w:cs="David" w:hint="cs"/>
          <w:sz w:val="24"/>
          <w:szCs w:val="24"/>
          <w:rtl/>
        </w:rPr>
        <w:t>ם.</w:t>
      </w:r>
      <w:r w:rsidR="000A6E68">
        <w:rPr>
          <w:rStyle w:val="a9"/>
          <w:rFonts w:cs="David"/>
          <w:sz w:val="24"/>
          <w:szCs w:val="24"/>
          <w:rtl/>
        </w:rPr>
        <w:footnoteReference w:id="14"/>
      </w:r>
      <w:r w:rsidR="0089662B">
        <w:rPr>
          <w:rFonts w:cs="David" w:hint="cs"/>
          <w:sz w:val="24"/>
          <w:szCs w:val="24"/>
          <w:rtl/>
        </w:rPr>
        <w:t xml:space="preserve"> </w:t>
      </w:r>
      <w:r w:rsidR="008A7C97">
        <w:rPr>
          <w:rFonts w:cs="David" w:hint="cs"/>
          <w:sz w:val="24"/>
          <w:szCs w:val="24"/>
        </w:rPr>
        <w:t xml:space="preserve"> </w:t>
      </w:r>
      <w:r w:rsidR="008A7C97">
        <w:rPr>
          <w:rFonts w:cs="David" w:hint="cs"/>
          <w:sz w:val="24"/>
          <w:szCs w:val="24"/>
          <w:rtl/>
        </w:rPr>
        <w:t>על-כך ישיבו</w:t>
      </w:r>
      <w:r w:rsidR="00591766">
        <w:rPr>
          <w:rFonts w:cs="David" w:hint="cs"/>
          <w:sz w:val="24"/>
          <w:szCs w:val="24"/>
          <w:rtl/>
        </w:rPr>
        <w:t xml:space="preserve"> 70</w:t>
      </w:r>
      <w:r w:rsidR="008A7C97">
        <w:rPr>
          <w:rFonts w:cs="David" w:hint="cs"/>
          <w:sz w:val="24"/>
          <w:szCs w:val="24"/>
          <w:rtl/>
        </w:rPr>
        <w:t xml:space="preserve"> יורשי שולץ </w:t>
      </w:r>
      <w:r w:rsidR="00E50D12">
        <w:rPr>
          <w:rFonts w:cs="David" w:hint="cs"/>
          <w:sz w:val="24"/>
          <w:szCs w:val="24"/>
          <w:rtl/>
        </w:rPr>
        <w:t>שדרך זו אינה צודקת בעליל</w:t>
      </w:r>
      <w:r w:rsidR="00F83164">
        <w:rPr>
          <w:rFonts w:cs="David" w:hint="cs"/>
          <w:sz w:val="24"/>
          <w:szCs w:val="24"/>
          <w:rtl/>
        </w:rPr>
        <w:t>.</w:t>
      </w:r>
      <w:r w:rsidR="00E50D12">
        <w:rPr>
          <w:rFonts w:cs="David" w:hint="cs"/>
          <w:sz w:val="24"/>
          <w:szCs w:val="24"/>
          <w:rtl/>
        </w:rPr>
        <w:t xml:space="preserve"> 30 יורשי שולץ הינם בעלי</w:t>
      </w:r>
      <w:r w:rsidR="00911C45">
        <w:rPr>
          <w:rFonts w:cs="David" w:hint="cs"/>
          <w:sz w:val="24"/>
          <w:szCs w:val="24"/>
          <w:rtl/>
        </w:rPr>
        <w:t>-</w:t>
      </w:r>
      <w:r w:rsidR="00E50D12">
        <w:rPr>
          <w:rFonts w:cs="David" w:hint="cs"/>
          <w:sz w:val="24"/>
          <w:szCs w:val="24"/>
          <w:rtl/>
        </w:rPr>
        <w:t xml:space="preserve">הון, </w:t>
      </w:r>
      <w:r w:rsidR="00F83164">
        <w:rPr>
          <w:rFonts w:cs="David" w:hint="cs"/>
          <w:sz w:val="24"/>
          <w:szCs w:val="24"/>
          <w:rtl/>
        </w:rPr>
        <w:t>הם</w:t>
      </w:r>
      <w:r w:rsidR="00E50D12">
        <w:rPr>
          <w:rFonts w:cs="David" w:hint="cs"/>
          <w:sz w:val="24"/>
          <w:szCs w:val="24"/>
          <w:rtl/>
        </w:rPr>
        <w:t xml:space="preserve"> יוכלו להציע מחיר </w:t>
      </w:r>
      <w:r w:rsidR="00F83164">
        <w:rPr>
          <w:rFonts w:cs="David" w:hint="cs"/>
          <w:sz w:val="24"/>
          <w:szCs w:val="24"/>
          <w:rtl/>
        </w:rPr>
        <w:t>נמוך ממחיר השוק</w:t>
      </w:r>
      <w:r w:rsidR="00BD328B">
        <w:rPr>
          <w:rFonts w:cs="David" w:hint="cs"/>
          <w:sz w:val="24"/>
          <w:szCs w:val="24"/>
          <w:rtl/>
        </w:rPr>
        <w:t xml:space="preserve"> על חלקיהם של 70 היורשים, </w:t>
      </w:r>
      <w:r w:rsidR="005828D3">
        <w:rPr>
          <w:rFonts w:cs="David" w:hint="cs"/>
          <w:sz w:val="24"/>
          <w:szCs w:val="24"/>
          <w:rtl/>
        </w:rPr>
        <w:t>ולאחרונים</w:t>
      </w:r>
      <w:r w:rsidR="00BD328B">
        <w:rPr>
          <w:rFonts w:cs="David" w:hint="cs"/>
          <w:sz w:val="24"/>
          <w:szCs w:val="24"/>
          <w:rtl/>
        </w:rPr>
        <w:t xml:space="preserve"> לא תהיה אפשרות לסרב </w:t>
      </w:r>
      <w:r w:rsidR="005828D3">
        <w:rPr>
          <w:rFonts w:cs="David" w:hint="cs"/>
          <w:sz w:val="24"/>
          <w:szCs w:val="24"/>
          <w:rtl/>
        </w:rPr>
        <w:t xml:space="preserve">ולקנות באותו מחיר את </w:t>
      </w:r>
      <w:r w:rsidR="00F83164">
        <w:rPr>
          <w:rFonts w:cs="David" w:hint="cs"/>
          <w:sz w:val="24"/>
          <w:szCs w:val="24"/>
          <w:rtl/>
        </w:rPr>
        <w:t>חלקם של בעלי</w:t>
      </w:r>
      <w:r w:rsidR="00911C45">
        <w:rPr>
          <w:rFonts w:cs="David" w:hint="cs"/>
          <w:sz w:val="24"/>
          <w:szCs w:val="24"/>
          <w:rtl/>
        </w:rPr>
        <w:t>-</w:t>
      </w:r>
      <w:r w:rsidR="00F83164">
        <w:rPr>
          <w:rFonts w:cs="David" w:hint="cs"/>
          <w:sz w:val="24"/>
          <w:szCs w:val="24"/>
          <w:rtl/>
        </w:rPr>
        <w:t>ההון, כי אינם בעלי-הון בעצמם.</w:t>
      </w:r>
      <w:r w:rsidR="006B7E63">
        <w:rPr>
          <w:rFonts w:cs="David" w:hint="cs"/>
          <w:sz w:val="24"/>
          <w:szCs w:val="24"/>
          <w:rtl/>
        </w:rPr>
        <w:t xml:space="preserve"> זהו פתח ל'סחטנות אסטרטגית'.</w:t>
      </w:r>
      <w:r w:rsidR="00420519">
        <w:rPr>
          <w:rFonts w:cs="David" w:hint="cs"/>
          <w:sz w:val="24"/>
          <w:szCs w:val="24"/>
          <w:rtl/>
        </w:rPr>
        <w:t xml:space="preserve"> </w:t>
      </w:r>
      <w:r w:rsidR="00A02DA8">
        <w:rPr>
          <w:rFonts w:cs="David" w:hint="cs"/>
          <w:sz w:val="24"/>
          <w:szCs w:val="24"/>
          <w:rtl/>
        </w:rPr>
        <w:t xml:space="preserve">עוד ישיבו 70 היורשים כי </w:t>
      </w:r>
      <w:r w:rsidR="00064C84">
        <w:rPr>
          <w:rFonts w:cs="David" w:hint="cs"/>
          <w:sz w:val="24"/>
          <w:szCs w:val="24"/>
          <w:rtl/>
        </w:rPr>
        <w:t>הדרך היעילה והצודקת כאמור תהיה מכירה פומבית של כל החלקה, שמטרתה</w:t>
      </w:r>
      <w:r w:rsidR="009943C7">
        <w:rPr>
          <w:rFonts w:cs="David" w:hint="cs"/>
          <w:sz w:val="24"/>
          <w:szCs w:val="24"/>
          <w:rtl/>
        </w:rPr>
        <w:t xml:space="preserve"> להשיג מחיר מקסימלי מבלי לקפח שותפים </w:t>
      </w:r>
      <w:r w:rsidR="001B204B">
        <w:rPr>
          <w:rFonts w:cs="David" w:hint="cs"/>
          <w:sz w:val="24"/>
          <w:szCs w:val="24"/>
          <w:rtl/>
        </w:rPr>
        <w:t>שאינם שווים כלכלית לעמיתיהם</w:t>
      </w:r>
      <w:r w:rsidR="00274509">
        <w:rPr>
          <w:rFonts w:cs="David" w:hint="cs"/>
          <w:sz w:val="24"/>
          <w:szCs w:val="24"/>
          <w:rtl/>
        </w:rPr>
        <w:t xml:space="preserve"> </w:t>
      </w:r>
      <w:r w:rsidR="00A14045">
        <w:rPr>
          <w:rFonts w:cs="David" w:hint="cs"/>
          <w:sz w:val="24"/>
          <w:szCs w:val="24"/>
          <w:rtl/>
        </w:rPr>
        <w:t>(כך אני מכריע)</w:t>
      </w:r>
      <w:r w:rsidR="001B204B">
        <w:rPr>
          <w:rFonts w:cs="David" w:hint="cs"/>
          <w:sz w:val="24"/>
          <w:szCs w:val="24"/>
          <w:rtl/>
        </w:rPr>
        <w:t>.</w:t>
      </w:r>
      <w:r w:rsidR="00B37C26">
        <w:rPr>
          <w:rStyle w:val="a9"/>
          <w:rFonts w:cs="David"/>
          <w:sz w:val="24"/>
          <w:szCs w:val="24"/>
          <w:rtl/>
        </w:rPr>
        <w:footnoteReference w:id="15"/>
      </w:r>
      <w:r w:rsidR="00B37C26">
        <w:rPr>
          <w:rFonts w:cs="David" w:hint="cs"/>
          <w:sz w:val="24"/>
          <w:szCs w:val="24"/>
          <w:rtl/>
        </w:rPr>
        <w:t xml:space="preserve"> </w:t>
      </w:r>
    </w:p>
    <w:p w14:paraId="60F5DA75" w14:textId="11FFE4C2" w:rsidR="000966B2" w:rsidRDefault="000966B2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0966B2">
        <w:rPr>
          <w:rFonts w:cs="David" w:hint="cs"/>
          <w:sz w:val="24"/>
          <w:szCs w:val="24"/>
          <w:highlight w:val="yellow"/>
          <w:rtl/>
        </w:rPr>
        <w:lastRenderedPageBreak/>
        <w:t>אין התייחסות לפס"ד גן בעז</w:t>
      </w:r>
      <w:r>
        <w:rPr>
          <w:rFonts w:cs="David" w:hint="cs"/>
          <w:sz w:val="24"/>
          <w:szCs w:val="24"/>
          <w:highlight w:val="yellow"/>
          <w:rtl/>
        </w:rPr>
        <w:t xml:space="preserve"> ולבעלי חלקה 10</w:t>
      </w:r>
      <w:r w:rsidRPr="000966B2">
        <w:rPr>
          <w:rFonts w:cs="David" w:hint="cs"/>
          <w:sz w:val="24"/>
          <w:szCs w:val="24"/>
          <w:highlight w:val="yellow"/>
          <w:rtl/>
        </w:rPr>
        <w:t xml:space="preserve"> , שם מצויין שלא ניתן לבצע חלוקה בעין אם אין את הסכמת המיעוט</w:t>
      </w:r>
    </w:p>
    <w:p w14:paraId="0C3EF960" w14:textId="3342F895" w:rsidR="000966B2" w:rsidRPr="00AB1618" w:rsidRDefault="000966B2" w:rsidP="00621972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0966B2">
        <w:rPr>
          <w:rFonts w:cs="David" w:hint="cs"/>
          <w:sz w:val="24"/>
          <w:szCs w:val="24"/>
          <w:highlight w:val="yellow"/>
          <w:rtl/>
        </w:rPr>
        <w:t>2</w:t>
      </w:r>
      <w:r>
        <w:rPr>
          <w:rFonts w:cs="David" w:hint="cs"/>
          <w:sz w:val="24"/>
          <w:szCs w:val="24"/>
          <w:highlight w:val="yellow"/>
          <w:rtl/>
        </w:rPr>
        <w:t>5</w:t>
      </w:r>
      <w:r w:rsidRPr="000966B2">
        <w:rPr>
          <w:rFonts w:cs="David" w:hint="cs"/>
          <w:sz w:val="24"/>
          <w:szCs w:val="24"/>
          <w:highlight w:val="yellow"/>
          <w:rtl/>
        </w:rPr>
        <w:t xml:space="preserve"> נק</w:t>
      </w:r>
    </w:p>
    <w:p w14:paraId="1F7CBF25" w14:textId="5F620C27" w:rsidR="00024559" w:rsidRDefault="00024559" w:rsidP="00621972">
      <w:pPr>
        <w:spacing w:after="0" w:line="48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D529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D5295" w:rsidRPr="006D5295">
        <w:rPr>
          <w:rFonts w:cs="David" w:hint="cs"/>
          <w:b/>
          <w:bCs/>
          <w:sz w:val="24"/>
          <w:szCs w:val="24"/>
          <w:u w:val="single"/>
          <w:rtl/>
        </w:rPr>
        <w:t>אירוע 2</w:t>
      </w:r>
    </w:p>
    <w:p w14:paraId="0CECCEB9" w14:textId="0CCF18BE" w:rsidR="001429FD" w:rsidRDefault="008B3BD1" w:rsidP="00621972">
      <w:pPr>
        <w:pStyle w:val="aa"/>
        <w:numPr>
          <w:ilvl w:val="0"/>
          <w:numId w:val="3"/>
        </w:numPr>
        <w:spacing w:after="0" w:line="48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הוצאת הרכוש המשותף</w:t>
      </w:r>
      <w:r>
        <w:rPr>
          <w:rFonts w:cs="David" w:hint="cs"/>
          <w:sz w:val="24"/>
          <w:szCs w:val="24"/>
          <w:rtl/>
        </w:rPr>
        <w:t xml:space="preserve">: </w:t>
      </w:r>
      <w:r w:rsidR="001429FD">
        <w:rPr>
          <w:rFonts w:cs="David" w:hint="cs"/>
          <w:sz w:val="24"/>
          <w:szCs w:val="24"/>
          <w:rtl/>
        </w:rPr>
        <w:t>התנאים להוצאה</w:t>
      </w:r>
      <w:r w:rsidR="006212BE">
        <w:rPr>
          <w:rFonts w:cs="David" w:hint="cs"/>
          <w:sz w:val="24"/>
          <w:szCs w:val="24"/>
          <w:rtl/>
        </w:rPr>
        <w:t xml:space="preserve"> (מבחן דו שלבי)</w:t>
      </w:r>
      <w:r w:rsidR="001429FD">
        <w:rPr>
          <w:rFonts w:cs="David" w:hint="cs"/>
          <w:sz w:val="24"/>
          <w:szCs w:val="24"/>
          <w:rtl/>
        </w:rPr>
        <w:t>:</w:t>
      </w:r>
      <w:r w:rsidR="006212BE" w:rsidRPr="002D5B41">
        <w:rPr>
          <w:rStyle w:val="a9"/>
          <w:rFonts w:cs="David"/>
          <w:sz w:val="24"/>
          <w:szCs w:val="24"/>
        </w:rPr>
        <w:footnoteReference w:id="16"/>
      </w:r>
    </w:p>
    <w:p w14:paraId="7FF4EEFC" w14:textId="3B228A3E" w:rsidR="002D5B41" w:rsidRDefault="00C82E5C" w:rsidP="00621972">
      <w:pPr>
        <w:pStyle w:val="aa"/>
        <w:numPr>
          <w:ilvl w:val="0"/>
          <w:numId w:val="4"/>
        </w:numPr>
        <w:spacing w:after="0"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הרכוש משותף</w:t>
      </w:r>
      <w:r w:rsidR="005903B2">
        <w:rPr>
          <w:rFonts w:cs="David" w:hint="cs"/>
          <w:sz w:val="24"/>
          <w:szCs w:val="24"/>
          <w:rtl/>
        </w:rPr>
        <w:t xml:space="preserve"> (וניתן לניכוס)</w:t>
      </w:r>
      <w:r>
        <w:rPr>
          <w:rFonts w:cs="David" w:hint="cs"/>
          <w:sz w:val="24"/>
          <w:szCs w:val="24"/>
          <w:rtl/>
        </w:rPr>
        <w:t>:</w:t>
      </w:r>
      <w:r w:rsidR="003208A5" w:rsidRPr="003208A5">
        <w:rPr>
          <w:rStyle w:val="a9"/>
          <w:rFonts w:cs="David"/>
          <w:sz w:val="24"/>
          <w:szCs w:val="24"/>
          <w:rtl/>
        </w:rPr>
        <w:t xml:space="preserve"> </w:t>
      </w:r>
      <w:r w:rsidR="003208A5">
        <w:rPr>
          <w:rStyle w:val="a9"/>
          <w:rFonts w:cs="David"/>
          <w:sz w:val="24"/>
          <w:szCs w:val="24"/>
          <w:rtl/>
        </w:rPr>
        <w:footnoteReference w:id="17"/>
      </w:r>
      <w:r>
        <w:rPr>
          <w:rFonts w:cs="David" w:hint="cs"/>
          <w:sz w:val="24"/>
          <w:szCs w:val="24"/>
          <w:rtl/>
        </w:rPr>
        <w:t xml:space="preserve"> מבחן הייעו</w:t>
      </w:r>
      <w:r w:rsidR="008273A7">
        <w:rPr>
          <w:rFonts w:cs="David" w:hint="cs"/>
          <w:sz w:val="24"/>
          <w:szCs w:val="24"/>
          <w:rtl/>
        </w:rPr>
        <w:t xml:space="preserve">ד </w:t>
      </w:r>
      <w:r w:rsidRPr="008273A7">
        <w:rPr>
          <w:rFonts w:cs="David" w:hint="cs"/>
          <w:sz w:val="24"/>
          <w:szCs w:val="24"/>
          <w:rtl/>
        </w:rPr>
        <w:t>-</w:t>
      </w:r>
      <w:r w:rsidR="00E7292E" w:rsidRPr="008273A7">
        <w:rPr>
          <w:rFonts w:cs="David" w:hint="cs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הרכוש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המשותף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הוא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כזה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המיועד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לשימוש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כלל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הדיירים</w:t>
      </w:r>
      <w:r w:rsidR="008273A7" w:rsidRPr="008273A7">
        <w:rPr>
          <w:rFonts w:cs="David"/>
          <w:sz w:val="24"/>
          <w:szCs w:val="24"/>
          <w:rtl/>
        </w:rPr>
        <w:t>,</w:t>
      </w:r>
      <w:r w:rsidR="00AC5C56">
        <w:rPr>
          <w:rFonts w:cs="David" w:hint="cs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ושניתנה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לדיירים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3208A5">
        <w:rPr>
          <w:rFonts w:cs="David" w:hint="cs"/>
          <w:b/>
          <w:bCs/>
          <w:sz w:val="24"/>
          <w:szCs w:val="24"/>
          <w:rtl/>
        </w:rPr>
        <w:t>זכות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שימוש</w:t>
      </w:r>
      <w:r w:rsidR="008273A7" w:rsidRPr="008273A7">
        <w:rPr>
          <w:rFonts w:cs="David"/>
          <w:sz w:val="24"/>
          <w:szCs w:val="24"/>
          <w:rtl/>
        </w:rPr>
        <w:t xml:space="preserve"> </w:t>
      </w:r>
      <w:r w:rsidR="008273A7" w:rsidRPr="008273A7">
        <w:rPr>
          <w:rFonts w:cs="David" w:hint="cs"/>
          <w:sz w:val="24"/>
          <w:szCs w:val="24"/>
          <w:rtl/>
        </w:rPr>
        <w:t>בו</w:t>
      </w:r>
      <w:r w:rsidR="007B3106">
        <w:rPr>
          <w:rFonts w:cs="David" w:hint="cs"/>
          <w:sz w:val="24"/>
          <w:szCs w:val="24"/>
          <w:rtl/>
        </w:rPr>
        <w:t xml:space="preserve"> (גם אם הוא מוגדר כ'דירה')</w:t>
      </w:r>
      <w:r w:rsidR="00076595">
        <w:rPr>
          <w:rFonts w:cs="David" w:hint="cs"/>
          <w:sz w:val="24"/>
          <w:szCs w:val="24"/>
          <w:rtl/>
        </w:rPr>
        <w:t>:</w:t>
      </w:r>
      <w:r w:rsidR="003208A5">
        <w:rPr>
          <w:rFonts w:cs="David" w:hint="cs"/>
          <w:sz w:val="24"/>
          <w:szCs w:val="24"/>
          <w:rtl/>
        </w:rPr>
        <w:t xml:space="preserve"> </w:t>
      </w:r>
      <w:r w:rsidR="00116578">
        <w:rPr>
          <w:rFonts w:cs="David" w:hint="cs"/>
          <w:sz w:val="24"/>
          <w:szCs w:val="24"/>
          <w:rtl/>
        </w:rPr>
        <w:t xml:space="preserve"> </w:t>
      </w:r>
    </w:p>
    <w:p w14:paraId="05BB6AD3" w14:textId="117D6643" w:rsidR="00F276BE" w:rsidRDefault="00D30F9D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המחסנים, גג הבניין,</w:t>
      </w:r>
      <w:r w:rsidR="00F06C38">
        <w:rPr>
          <w:rFonts w:cs="David" w:hint="cs"/>
          <w:sz w:val="24"/>
          <w:szCs w:val="24"/>
          <w:rtl/>
        </w:rPr>
        <w:t xml:space="preserve"> מבואת הכניסה</w:t>
      </w:r>
      <w:r>
        <w:rPr>
          <w:rFonts w:cs="David" w:hint="cs"/>
          <w:sz w:val="24"/>
          <w:szCs w:val="24"/>
          <w:rtl/>
        </w:rPr>
        <w:t xml:space="preserve"> </w:t>
      </w:r>
      <w:r w:rsidR="00B22C35">
        <w:rPr>
          <w:rFonts w:cs="David" w:hint="cs"/>
          <w:sz w:val="24"/>
          <w:szCs w:val="24"/>
          <w:rtl/>
        </w:rPr>
        <w:t>והחניות הם</w:t>
      </w:r>
      <w:r w:rsidR="00F06C38">
        <w:rPr>
          <w:rFonts w:cs="David" w:hint="cs"/>
          <w:sz w:val="24"/>
          <w:szCs w:val="24"/>
          <w:rtl/>
        </w:rPr>
        <w:t xml:space="preserve"> אכן</w:t>
      </w:r>
      <w:r w:rsidR="00B22C35">
        <w:rPr>
          <w:rFonts w:cs="David" w:hint="cs"/>
          <w:sz w:val="24"/>
          <w:szCs w:val="24"/>
          <w:rtl/>
        </w:rPr>
        <w:t xml:space="preserve"> רכוש משותף</w:t>
      </w:r>
      <w:r w:rsidR="009B7171">
        <w:rPr>
          <w:rFonts w:cs="David" w:hint="cs"/>
          <w:sz w:val="24"/>
          <w:szCs w:val="24"/>
          <w:rtl/>
        </w:rPr>
        <w:t xml:space="preserve"> כיוון </w:t>
      </w:r>
      <w:r w:rsidR="00CF151B">
        <w:rPr>
          <w:rFonts w:cs="David" w:hint="cs"/>
          <w:sz w:val="24"/>
          <w:szCs w:val="24"/>
          <w:rtl/>
        </w:rPr>
        <w:t>ש</w:t>
      </w:r>
      <w:r w:rsidR="00056252">
        <w:rPr>
          <w:rFonts w:cs="David" w:hint="cs"/>
          <w:sz w:val="24"/>
          <w:szCs w:val="24"/>
          <w:rtl/>
        </w:rPr>
        <w:t>-1</w:t>
      </w:r>
      <w:r w:rsidR="002C4B52">
        <w:rPr>
          <w:rFonts w:cs="David" w:hint="cs"/>
          <w:sz w:val="24"/>
          <w:szCs w:val="24"/>
          <w:rtl/>
        </w:rPr>
        <w:t xml:space="preserve">. </w:t>
      </w:r>
      <w:r w:rsidR="00CF151B">
        <w:rPr>
          <w:rFonts w:cs="David" w:hint="cs"/>
          <w:sz w:val="24"/>
          <w:szCs w:val="24"/>
          <w:rtl/>
        </w:rPr>
        <w:t>ע"פ מהותם הם</w:t>
      </w:r>
      <w:r w:rsidR="009B7171">
        <w:rPr>
          <w:rFonts w:cs="David" w:hint="cs"/>
          <w:sz w:val="24"/>
          <w:szCs w:val="24"/>
          <w:rtl/>
        </w:rPr>
        <w:t xml:space="preserve"> לשימוש כלל הדיירים</w:t>
      </w:r>
      <w:r w:rsidR="00222995">
        <w:rPr>
          <w:rFonts w:cs="David" w:hint="cs"/>
          <w:sz w:val="24"/>
          <w:szCs w:val="24"/>
          <w:rtl/>
        </w:rPr>
        <w:t xml:space="preserve"> </w:t>
      </w:r>
      <w:r w:rsidR="009B7171">
        <w:rPr>
          <w:rFonts w:cs="David" w:hint="cs"/>
          <w:sz w:val="24"/>
          <w:szCs w:val="24"/>
          <w:rtl/>
        </w:rPr>
        <w:t>ו</w:t>
      </w:r>
      <w:r w:rsidR="002C4B52">
        <w:rPr>
          <w:rFonts w:cs="David" w:hint="cs"/>
          <w:sz w:val="24"/>
          <w:szCs w:val="24"/>
          <w:rtl/>
        </w:rPr>
        <w:t>-</w:t>
      </w:r>
      <w:r w:rsidR="00056252">
        <w:rPr>
          <w:rFonts w:cs="David" w:hint="cs"/>
          <w:sz w:val="24"/>
          <w:szCs w:val="24"/>
          <w:rtl/>
        </w:rPr>
        <w:t>2</w:t>
      </w:r>
      <w:r w:rsidR="002C4B52">
        <w:rPr>
          <w:rFonts w:cs="David" w:hint="cs"/>
          <w:sz w:val="24"/>
          <w:szCs w:val="24"/>
          <w:rtl/>
        </w:rPr>
        <w:t xml:space="preserve">. </w:t>
      </w:r>
      <w:r w:rsidR="009B7171">
        <w:rPr>
          <w:rFonts w:cs="David" w:hint="cs"/>
          <w:sz w:val="24"/>
          <w:szCs w:val="24"/>
          <w:rtl/>
        </w:rPr>
        <w:t>ניתנה לדיירים זכות להשתמש בהם</w:t>
      </w:r>
      <w:r w:rsidR="00E649F4">
        <w:rPr>
          <w:rFonts w:cs="David" w:hint="cs"/>
          <w:sz w:val="24"/>
          <w:szCs w:val="24"/>
          <w:rtl/>
        </w:rPr>
        <w:t xml:space="preserve"> (גם אם חלקם מוגדרים 'דירה'</w:t>
      </w:r>
      <w:r w:rsidR="00C8100A">
        <w:rPr>
          <w:rFonts w:cs="David" w:hint="cs"/>
          <w:sz w:val="24"/>
          <w:szCs w:val="24"/>
          <w:rtl/>
        </w:rPr>
        <w:t>)</w:t>
      </w:r>
      <w:r w:rsidR="001E46A4">
        <w:rPr>
          <w:rStyle w:val="a9"/>
          <w:rFonts w:cs="David"/>
          <w:sz w:val="24"/>
          <w:szCs w:val="24"/>
          <w:rtl/>
        </w:rPr>
        <w:footnoteReference w:id="18"/>
      </w:r>
      <w:r w:rsidR="001E46A4">
        <w:rPr>
          <w:rFonts w:cs="David" w:hint="cs"/>
          <w:sz w:val="24"/>
          <w:szCs w:val="24"/>
          <w:rtl/>
        </w:rPr>
        <w:t>, כי</w:t>
      </w:r>
      <w:r w:rsidR="003F4BEC">
        <w:rPr>
          <w:rFonts w:cs="David" w:hint="cs"/>
          <w:sz w:val="24"/>
          <w:szCs w:val="24"/>
          <w:rtl/>
        </w:rPr>
        <w:t xml:space="preserve"> </w:t>
      </w:r>
      <w:r w:rsidR="00124AD8">
        <w:rPr>
          <w:rFonts w:cs="David" w:hint="cs"/>
          <w:sz w:val="24"/>
          <w:szCs w:val="24"/>
          <w:rtl/>
        </w:rPr>
        <w:t xml:space="preserve">נכללו בהסכם המכר לכתחילה כדי שיוצאו ע"י </w:t>
      </w:r>
      <w:r w:rsidR="00056252">
        <w:rPr>
          <w:rFonts w:cs="David" w:hint="cs"/>
          <w:sz w:val="24"/>
          <w:szCs w:val="24"/>
          <w:rtl/>
        </w:rPr>
        <w:t>הקבלן</w:t>
      </w:r>
      <w:r w:rsidR="009B7171">
        <w:rPr>
          <w:rFonts w:cs="David" w:hint="cs"/>
          <w:sz w:val="24"/>
          <w:szCs w:val="24"/>
          <w:rtl/>
        </w:rPr>
        <w:t>.</w:t>
      </w:r>
      <w:r w:rsidR="009B7171">
        <w:rPr>
          <w:rStyle w:val="a9"/>
          <w:rFonts w:cs="David"/>
          <w:sz w:val="24"/>
          <w:szCs w:val="24"/>
          <w:rtl/>
        </w:rPr>
        <w:footnoteReference w:id="19"/>
      </w:r>
      <w:r w:rsidR="00B955A2">
        <w:rPr>
          <w:rFonts w:cs="David" w:hint="cs"/>
          <w:sz w:val="24"/>
          <w:szCs w:val="24"/>
          <w:rtl/>
        </w:rPr>
        <w:t xml:space="preserve"> </w:t>
      </w:r>
    </w:p>
    <w:p w14:paraId="3D2A25A3" w14:textId="1C62220A" w:rsidR="00F06C38" w:rsidRDefault="00F06C38" w:rsidP="00621972">
      <w:pPr>
        <w:pStyle w:val="aa"/>
        <w:numPr>
          <w:ilvl w:val="0"/>
          <w:numId w:val="4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2035FE">
        <w:rPr>
          <w:rFonts w:cs="David" w:hint="cs"/>
          <w:sz w:val="24"/>
          <w:szCs w:val="24"/>
          <w:u w:val="single"/>
          <w:rtl/>
        </w:rPr>
        <w:t>הרכוש נגרע כדין</w:t>
      </w:r>
      <w:r>
        <w:rPr>
          <w:rFonts w:cs="David" w:hint="cs"/>
          <w:sz w:val="24"/>
          <w:szCs w:val="24"/>
          <w:rtl/>
        </w:rPr>
        <w:t>:</w:t>
      </w:r>
      <w:r w:rsidR="002D57BE">
        <w:rPr>
          <w:rFonts w:cs="David" w:hint="cs"/>
          <w:sz w:val="24"/>
          <w:szCs w:val="24"/>
          <w:rtl/>
        </w:rPr>
        <w:t xml:space="preserve"> </w:t>
      </w:r>
      <w:r w:rsidR="0092475B">
        <w:rPr>
          <w:rFonts w:cs="David" w:hint="cs"/>
          <w:sz w:val="24"/>
          <w:szCs w:val="24"/>
          <w:rtl/>
        </w:rPr>
        <w:t xml:space="preserve">יטענו </w:t>
      </w:r>
      <w:r w:rsidR="00275EFA">
        <w:rPr>
          <w:rFonts w:cs="David" w:hint="cs"/>
          <w:sz w:val="24"/>
          <w:szCs w:val="24"/>
          <w:rtl/>
        </w:rPr>
        <w:t>הדיירים</w:t>
      </w:r>
      <w:r w:rsidR="00E74AA4">
        <w:rPr>
          <w:rFonts w:cs="David" w:hint="cs"/>
          <w:sz w:val="24"/>
          <w:szCs w:val="24"/>
          <w:rtl/>
        </w:rPr>
        <w:t xml:space="preserve"> שמבואת הכניסה הינה רכוש משותף </w:t>
      </w:r>
      <w:r w:rsidR="00950A1A">
        <w:rPr>
          <w:rFonts w:cs="David" w:hint="cs"/>
          <w:sz w:val="24"/>
          <w:szCs w:val="24"/>
          <w:rtl/>
        </w:rPr>
        <w:t>לכל בעלי הדירות ועל</w:t>
      </w:r>
      <w:r w:rsidR="00275EFA">
        <w:rPr>
          <w:rFonts w:cs="David" w:hint="cs"/>
          <w:sz w:val="24"/>
          <w:szCs w:val="24"/>
          <w:rtl/>
        </w:rPr>
        <w:t>-</w:t>
      </w:r>
      <w:r w:rsidR="00950A1A">
        <w:rPr>
          <w:rFonts w:cs="David" w:hint="cs"/>
          <w:sz w:val="24"/>
          <w:szCs w:val="24"/>
          <w:rtl/>
        </w:rPr>
        <w:t xml:space="preserve">כן לא יכולה להיגרע </w:t>
      </w:r>
      <w:r w:rsidR="001A5F9F">
        <w:rPr>
          <w:rFonts w:cs="David" w:hint="cs"/>
          <w:sz w:val="24"/>
          <w:szCs w:val="24"/>
          <w:rtl/>
        </w:rPr>
        <w:t>מהרכוש המשותף</w:t>
      </w:r>
      <w:r w:rsidR="005C464C">
        <w:rPr>
          <w:rFonts w:cs="David" w:hint="cs"/>
          <w:sz w:val="24"/>
          <w:szCs w:val="24"/>
          <w:rtl/>
        </w:rPr>
        <w:t>,</w:t>
      </w:r>
      <w:r w:rsidR="00556301">
        <w:rPr>
          <w:rFonts w:cs="David" w:hint="cs"/>
          <w:sz w:val="24"/>
          <w:szCs w:val="24"/>
          <w:rtl/>
        </w:rPr>
        <w:t xml:space="preserve"> גם לא בהסכם</w:t>
      </w:r>
      <w:r w:rsidR="001A5F9F">
        <w:rPr>
          <w:rFonts w:cs="David" w:hint="cs"/>
          <w:sz w:val="24"/>
          <w:szCs w:val="24"/>
          <w:rtl/>
        </w:rPr>
        <w:t>.</w:t>
      </w:r>
      <w:r w:rsidR="001A5F9F">
        <w:rPr>
          <w:rStyle w:val="a9"/>
          <w:rFonts w:cs="David"/>
          <w:sz w:val="24"/>
          <w:szCs w:val="24"/>
          <w:rtl/>
        </w:rPr>
        <w:footnoteReference w:id="20"/>
      </w:r>
    </w:p>
    <w:p w14:paraId="79EF7EB1" w14:textId="447FA477" w:rsidR="00003AB6" w:rsidRDefault="00112C3B" w:rsidP="00621972">
      <w:pPr>
        <w:spacing w:after="0" w:line="48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המבחן להוצאה</w:t>
      </w:r>
      <w:r w:rsidR="00635793">
        <w:rPr>
          <w:rFonts w:cs="David" w:hint="cs"/>
          <w:sz w:val="24"/>
          <w:szCs w:val="24"/>
          <w:rtl/>
        </w:rPr>
        <w:t xml:space="preserve"> והצמדה</w:t>
      </w:r>
      <w:r>
        <w:rPr>
          <w:rFonts w:cs="David" w:hint="cs"/>
          <w:sz w:val="24"/>
          <w:szCs w:val="24"/>
          <w:rtl/>
        </w:rPr>
        <w:t>:</w:t>
      </w:r>
      <w:r>
        <w:rPr>
          <w:rStyle w:val="a9"/>
          <w:rFonts w:cs="David"/>
          <w:sz w:val="24"/>
          <w:szCs w:val="24"/>
          <w:rtl/>
        </w:rPr>
        <w:footnoteReference w:id="21"/>
      </w:r>
      <w:r>
        <w:rPr>
          <w:rFonts w:cs="David" w:hint="cs"/>
          <w:sz w:val="24"/>
          <w:szCs w:val="24"/>
          <w:rtl/>
        </w:rPr>
        <w:t xml:space="preserve"> 1</w:t>
      </w:r>
      <w:r w:rsidRPr="00112C3B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הוצאת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השטח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נפרדת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לחוזה</w:t>
      </w:r>
      <w:r w:rsidRPr="00B60429">
        <w:rPr>
          <w:rFonts w:cs="David"/>
          <w:b/>
          <w:bCs/>
          <w:sz w:val="24"/>
          <w:szCs w:val="24"/>
          <w:rtl/>
        </w:rPr>
        <w:t xml:space="preserve"> (</w:t>
      </w:r>
      <w:r w:rsidR="00F312F5" w:rsidRPr="00B60429">
        <w:rPr>
          <w:rFonts w:cs="David" w:hint="cs"/>
          <w:b/>
          <w:bCs/>
          <w:sz w:val="24"/>
          <w:szCs w:val="24"/>
          <w:rtl/>
        </w:rPr>
        <w:t>ב</w:t>
      </w:r>
      <w:r w:rsidRPr="00B60429">
        <w:rPr>
          <w:rFonts w:cs="David" w:hint="cs"/>
          <w:b/>
          <w:bCs/>
          <w:sz w:val="24"/>
          <w:szCs w:val="24"/>
          <w:rtl/>
        </w:rPr>
        <w:t>מפרט</w:t>
      </w:r>
      <w:r w:rsidRPr="00B60429">
        <w:rPr>
          <w:rFonts w:cs="David"/>
          <w:b/>
          <w:bCs/>
          <w:sz w:val="24"/>
          <w:szCs w:val="24"/>
          <w:rtl/>
        </w:rPr>
        <w:t>)</w:t>
      </w:r>
      <w:r w:rsidR="00F312F5">
        <w:rPr>
          <w:rFonts w:cs="David" w:hint="cs"/>
          <w:sz w:val="24"/>
          <w:szCs w:val="24"/>
          <w:rtl/>
        </w:rPr>
        <w:t xml:space="preserve"> </w:t>
      </w:r>
      <w:r w:rsidR="00FB671E">
        <w:rPr>
          <w:rFonts w:cs="David"/>
          <w:sz w:val="24"/>
          <w:szCs w:val="24"/>
          <w:rtl/>
        </w:rPr>
        <w:t>–</w:t>
      </w:r>
      <w:r w:rsidR="00F312F5">
        <w:rPr>
          <w:rFonts w:cs="David" w:hint="cs"/>
          <w:sz w:val="24"/>
          <w:szCs w:val="24"/>
          <w:rtl/>
        </w:rPr>
        <w:t xml:space="preserve"> </w:t>
      </w:r>
      <w:r w:rsidR="00FB671E">
        <w:rPr>
          <w:rFonts w:cs="David" w:hint="cs"/>
          <w:sz w:val="24"/>
          <w:szCs w:val="24"/>
          <w:rtl/>
        </w:rPr>
        <w:t xml:space="preserve">הדיירים יטענו שהחלק הנגרע במבואת הכניסה לא צוינה במפרט, ועל כן לא ניתן להוציאה מהרכוש המשותף </w:t>
      </w:r>
      <w:r w:rsidR="00B60429">
        <w:rPr>
          <w:rFonts w:cs="David" w:hint="cs"/>
          <w:sz w:val="24"/>
          <w:szCs w:val="24"/>
          <w:rtl/>
        </w:rPr>
        <w:t>כבר כעת</w:t>
      </w:r>
      <w:r w:rsidRPr="00112C3B">
        <w:rPr>
          <w:rFonts w:cs="David"/>
          <w:sz w:val="24"/>
          <w:szCs w:val="24"/>
          <w:rtl/>
        </w:rPr>
        <w:t xml:space="preserve">. </w:t>
      </w:r>
      <w:r w:rsidRPr="00112C3B">
        <w:rPr>
          <w:rFonts w:cs="David" w:hint="cs"/>
          <w:sz w:val="24"/>
          <w:szCs w:val="24"/>
          <w:rtl/>
        </w:rPr>
        <w:t>ב</w:t>
      </w:r>
      <w:r w:rsidRPr="00112C3B">
        <w:rPr>
          <w:rFonts w:cs="David"/>
          <w:sz w:val="24"/>
          <w:szCs w:val="24"/>
          <w:rtl/>
        </w:rPr>
        <w:t xml:space="preserve">. </w:t>
      </w:r>
      <w:r w:rsidRPr="00B60429">
        <w:rPr>
          <w:rFonts w:cs="David" w:hint="cs"/>
          <w:b/>
          <w:bCs/>
          <w:sz w:val="24"/>
          <w:szCs w:val="24"/>
          <w:rtl/>
        </w:rPr>
        <w:t>מסמך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זה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יצורף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לחוזה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המכר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בעת</w:t>
      </w:r>
      <w:r w:rsidRPr="00B60429">
        <w:rPr>
          <w:rFonts w:cs="David"/>
          <w:b/>
          <w:bCs/>
          <w:sz w:val="24"/>
          <w:szCs w:val="24"/>
          <w:rtl/>
        </w:rPr>
        <w:t xml:space="preserve"> </w:t>
      </w:r>
      <w:r w:rsidRPr="00B60429">
        <w:rPr>
          <w:rFonts w:cs="David" w:hint="cs"/>
          <w:b/>
          <w:bCs/>
          <w:sz w:val="24"/>
          <w:szCs w:val="24"/>
          <w:rtl/>
        </w:rPr>
        <w:t>עריכתו</w:t>
      </w:r>
      <w:r w:rsidR="00236F51">
        <w:rPr>
          <w:rFonts w:cs="David" w:hint="cs"/>
          <w:sz w:val="24"/>
          <w:szCs w:val="24"/>
          <w:rtl/>
        </w:rPr>
        <w:t>- המפרט אכן צורף להסכם המכר</w:t>
      </w:r>
      <w:r w:rsidRPr="00112C3B">
        <w:rPr>
          <w:rFonts w:cs="David"/>
          <w:sz w:val="24"/>
          <w:szCs w:val="24"/>
          <w:rtl/>
        </w:rPr>
        <w:t xml:space="preserve">. </w:t>
      </w:r>
      <w:r w:rsidRPr="00112C3B">
        <w:rPr>
          <w:rFonts w:cs="David" w:hint="cs"/>
          <w:sz w:val="24"/>
          <w:szCs w:val="24"/>
          <w:rtl/>
        </w:rPr>
        <w:t>ג</w:t>
      </w:r>
      <w:r w:rsidRPr="00112C3B">
        <w:rPr>
          <w:rFonts w:cs="David"/>
          <w:sz w:val="24"/>
          <w:szCs w:val="24"/>
          <w:rtl/>
        </w:rPr>
        <w:t xml:space="preserve">. </w:t>
      </w:r>
      <w:r w:rsidRPr="001F00E6">
        <w:rPr>
          <w:rFonts w:cs="David" w:hint="cs"/>
          <w:b/>
          <w:bCs/>
          <w:sz w:val="24"/>
          <w:szCs w:val="24"/>
          <w:rtl/>
        </w:rPr>
        <w:t>הגריעה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מהרכוש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המשותף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תעשה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באופן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קונקרטי</w:t>
      </w:r>
      <w:r w:rsidRPr="001F00E6">
        <w:rPr>
          <w:rFonts w:cs="David"/>
          <w:b/>
          <w:bCs/>
          <w:sz w:val="24"/>
          <w:szCs w:val="24"/>
          <w:rtl/>
        </w:rPr>
        <w:t xml:space="preserve">, </w:t>
      </w:r>
      <w:r w:rsidRPr="001F00E6">
        <w:rPr>
          <w:rFonts w:cs="David" w:hint="cs"/>
          <w:b/>
          <w:bCs/>
          <w:sz w:val="24"/>
          <w:szCs w:val="24"/>
          <w:rtl/>
        </w:rPr>
        <w:t>ספציפי</w:t>
      </w:r>
      <w:r w:rsidRPr="001F00E6">
        <w:rPr>
          <w:rFonts w:cs="David"/>
          <w:b/>
          <w:bCs/>
          <w:sz w:val="24"/>
          <w:szCs w:val="24"/>
          <w:rtl/>
        </w:rPr>
        <w:t xml:space="preserve"> </w:t>
      </w:r>
      <w:r w:rsidRPr="001F00E6">
        <w:rPr>
          <w:rFonts w:cs="David" w:hint="cs"/>
          <w:b/>
          <w:bCs/>
          <w:sz w:val="24"/>
          <w:szCs w:val="24"/>
          <w:rtl/>
        </w:rPr>
        <w:t>ומסוים</w:t>
      </w:r>
      <w:r w:rsidR="00B60429">
        <w:rPr>
          <w:rFonts w:cs="David" w:hint="cs"/>
          <w:sz w:val="24"/>
          <w:szCs w:val="24"/>
          <w:rtl/>
        </w:rPr>
        <w:t xml:space="preserve">- </w:t>
      </w:r>
      <w:r w:rsidR="00792FE9">
        <w:rPr>
          <w:rFonts w:cs="David" w:hint="cs"/>
          <w:sz w:val="24"/>
          <w:szCs w:val="24"/>
          <w:rtl/>
        </w:rPr>
        <w:t>הדיירים יטענו שלא היתה התייחסות קונקרטית</w:t>
      </w:r>
      <w:r w:rsidR="00F3086B">
        <w:rPr>
          <w:rFonts w:cs="David" w:hint="cs"/>
          <w:sz w:val="24"/>
          <w:szCs w:val="24"/>
          <w:rtl/>
        </w:rPr>
        <w:t xml:space="preserve"> במפרט </w:t>
      </w:r>
      <w:r w:rsidR="00792FE9">
        <w:rPr>
          <w:rFonts w:cs="David" w:hint="cs"/>
          <w:sz w:val="24"/>
          <w:szCs w:val="24"/>
          <w:rtl/>
        </w:rPr>
        <w:t>באשר לחניות ("</w:t>
      </w:r>
      <w:r w:rsidR="00F3086B">
        <w:rPr>
          <w:rFonts w:cs="David" w:hint="cs"/>
          <w:sz w:val="24"/>
          <w:szCs w:val="24"/>
          <w:rtl/>
        </w:rPr>
        <w:t>שטחי חניה"</w:t>
      </w:r>
      <w:r w:rsidR="00816381">
        <w:rPr>
          <w:rFonts w:cs="David" w:hint="cs"/>
          <w:sz w:val="24"/>
          <w:szCs w:val="24"/>
          <w:rtl/>
        </w:rPr>
        <w:t xml:space="preserve"> ולא אילו שטחים</w:t>
      </w:r>
      <w:r w:rsidR="00AE3748">
        <w:rPr>
          <w:rFonts w:cs="David" w:hint="cs"/>
          <w:sz w:val="24"/>
          <w:szCs w:val="24"/>
          <w:rtl/>
        </w:rPr>
        <w:t>/</w:t>
      </w:r>
      <w:r w:rsidR="00816381">
        <w:rPr>
          <w:rFonts w:cs="David" w:hint="cs"/>
          <w:sz w:val="24"/>
          <w:szCs w:val="24"/>
          <w:rtl/>
        </w:rPr>
        <w:t>כולם</w:t>
      </w:r>
      <w:r w:rsidR="00F3086B">
        <w:rPr>
          <w:rFonts w:cs="David" w:hint="cs"/>
          <w:sz w:val="24"/>
          <w:szCs w:val="24"/>
          <w:rtl/>
        </w:rPr>
        <w:t>)</w:t>
      </w:r>
      <w:r w:rsidR="00A72EA4">
        <w:rPr>
          <w:rFonts w:cs="David" w:hint="cs"/>
          <w:sz w:val="24"/>
          <w:szCs w:val="24"/>
          <w:rtl/>
        </w:rPr>
        <w:t>, לגג הבניין (</w:t>
      </w:r>
      <w:r w:rsidR="00816381">
        <w:rPr>
          <w:rFonts w:cs="David" w:hint="cs"/>
          <w:sz w:val="24"/>
          <w:szCs w:val="24"/>
          <w:rtl/>
        </w:rPr>
        <w:t>"שטח הגגות")</w:t>
      </w:r>
      <w:r w:rsidR="00E316DE">
        <w:rPr>
          <w:rFonts w:cs="David" w:hint="cs"/>
          <w:sz w:val="24"/>
          <w:szCs w:val="24"/>
          <w:rtl/>
        </w:rPr>
        <w:t xml:space="preserve"> ולמחסנים</w:t>
      </w:r>
      <w:r w:rsidR="00AE3748">
        <w:rPr>
          <w:rFonts w:cs="David" w:hint="cs"/>
          <w:sz w:val="24"/>
          <w:szCs w:val="24"/>
          <w:rtl/>
        </w:rPr>
        <w:t xml:space="preserve"> </w:t>
      </w:r>
      <w:r w:rsidR="00E316DE">
        <w:rPr>
          <w:rFonts w:cs="David" w:hint="cs"/>
          <w:sz w:val="24"/>
          <w:szCs w:val="24"/>
          <w:rtl/>
        </w:rPr>
        <w:t>("מחסנים בקומת המרתף"</w:t>
      </w:r>
      <w:r w:rsidR="00816381">
        <w:rPr>
          <w:rFonts w:cs="David" w:hint="cs"/>
          <w:sz w:val="24"/>
          <w:szCs w:val="24"/>
          <w:rtl/>
        </w:rPr>
        <w:t xml:space="preserve">- </w:t>
      </w:r>
      <w:r w:rsidR="00B07363">
        <w:rPr>
          <w:rFonts w:cs="David" w:hint="cs"/>
          <w:sz w:val="24"/>
          <w:szCs w:val="24"/>
          <w:rtl/>
        </w:rPr>
        <w:t>כולם/חלקם</w:t>
      </w:r>
      <w:r w:rsidR="00E316DE">
        <w:rPr>
          <w:rFonts w:cs="David" w:hint="cs"/>
          <w:sz w:val="24"/>
          <w:szCs w:val="24"/>
          <w:rtl/>
        </w:rPr>
        <w:t>)</w:t>
      </w:r>
      <w:r w:rsidR="001F00E6">
        <w:rPr>
          <w:rFonts w:cs="David" w:hint="cs"/>
          <w:sz w:val="24"/>
          <w:szCs w:val="24"/>
          <w:rtl/>
        </w:rPr>
        <w:t xml:space="preserve">, ולראיה </w:t>
      </w:r>
      <w:r w:rsidR="002565BB">
        <w:rPr>
          <w:rFonts w:cs="David" w:hint="cs"/>
          <w:sz w:val="24"/>
          <w:szCs w:val="24"/>
          <w:rtl/>
        </w:rPr>
        <w:t xml:space="preserve">לשון המפרט לאחר שמנתה את הרכוש המשותף הנגרע: </w:t>
      </w:r>
      <w:r w:rsidR="00C03AD6">
        <w:rPr>
          <w:rFonts w:cs="David" w:hint="cs"/>
          <w:sz w:val="24"/>
          <w:szCs w:val="24"/>
          <w:rtl/>
        </w:rPr>
        <w:t>"בהתאם להחלטת החברה"</w:t>
      </w:r>
      <w:r w:rsidR="00B07363">
        <w:rPr>
          <w:rFonts w:cs="David" w:hint="cs"/>
          <w:sz w:val="24"/>
          <w:szCs w:val="24"/>
          <w:rtl/>
        </w:rPr>
        <w:t>.</w:t>
      </w:r>
      <w:r w:rsidR="007E3B0B">
        <w:rPr>
          <w:rFonts w:cs="David" w:hint="cs"/>
          <w:sz w:val="24"/>
          <w:szCs w:val="24"/>
          <w:rtl/>
        </w:rPr>
        <w:t xml:space="preserve"> </w:t>
      </w:r>
      <w:r w:rsidR="00391CED">
        <w:rPr>
          <w:rFonts w:cs="David" w:hint="cs"/>
          <w:sz w:val="24"/>
          <w:szCs w:val="24"/>
          <w:rtl/>
        </w:rPr>
        <w:t xml:space="preserve">לשון זו משאירה שיקול דעת </w:t>
      </w:r>
      <w:r w:rsidR="00056252">
        <w:rPr>
          <w:rFonts w:cs="David" w:hint="cs"/>
          <w:sz w:val="24"/>
          <w:szCs w:val="24"/>
          <w:rtl/>
        </w:rPr>
        <w:t>לקבלן</w:t>
      </w:r>
      <w:r w:rsidR="00391CED">
        <w:rPr>
          <w:rFonts w:cs="David" w:hint="cs"/>
          <w:sz w:val="24"/>
          <w:szCs w:val="24"/>
          <w:rtl/>
        </w:rPr>
        <w:t xml:space="preserve"> החורג מהחרגה קונקרטית, ולכן אסורה.</w:t>
      </w:r>
      <w:r w:rsidR="00391CED">
        <w:rPr>
          <w:rStyle w:val="a9"/>
          <w:rFonts w:cs="David"/>
          <w:sz w:val="24"/>
          <w:szCs w:val="24"/>
          <w:rtl/>
        </w:rPr>
        <w:footnoteReference w:id="22"/>
      </w:r>
      <w:r w:rsidR="004B3E88">
        <w:rPr>
          <w:rFonts w:cs="David" w:hint="cs"/>
          <w:sz w:val="24"/>
          <w:szCs w:val="24"/>
          <w:rtl/>
        </w:rPr>
        <w:t xml:space="preserve"> </w:t>
      </w:r>
    </w:p>
    <w:p w14:paraId="4D35DA19" w14:textId="4144EF26" w:rsidR="003E0C3E" w:rsidRDefault="004B3E88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003AB6">
        <w:rPr>
          <w:rFonts w:cs="David" w:hint="cs"/>
          <w:b/>
          <w:bCs/>
          <w:sz w:val="24"/>
          <w:szCs w:val="24"/>
          <w:rtl/>
        </w:rPr>
        <w:t>מנגד</w:t>
      </w:r>
      <w:r>
        <w:rPr>
          <w:rFonts w:cs="David" w:hint="cs"/>
          <w:sz w:val="24"/>
          <w:szCs w:val="24"/>
          <w:rtl/>
        </w:rPr>
        <w:t xml:space="preserve"> </w:t>
      </w:r>
      <w:r w:rsidR="00056252">
        <w:rPr>
          <w:rFonts w:cs="David" w:hint="cs"/>
          <w:sz w:val="24"/>
          <w:szCs w:val="24"/>
          <w:rtl/>
        </w:rPr>
        <w:t xml:space="preserve">יטען הקבלן </w:t>
      </w:r>
      <w:r>
        <w:rPr>
          <w:rFonts w:cs="David" w:hint="cs"/>
          <w:sz w:val="24"/>
          <w:szCs w:val="24"/>
          <w:rtl/>
        </w:rPr>
        <w:t xml:space="preserve">כי הלשון קונקרטית מספיק: </w:t>
      </w:r>
      <w:r w:rsidR="00DF0144">
        <w:rPr>
          <w:rFonts w:cs="David" w:hint="cs"/>
          <w:sz w:val="24"/>
          <w:szCs w:val="24"/>
          <w:rtl/>
        </w:rPr>
        <w:t>הגג- די באמירת כללית על הוצאת שטחי הגג.</w:t>
      </w:r>
      <w:r w:rsidR="00DF0144">
        <w:rPr>
          <w:rStyle w:val="a9"/>
          <w:rFonts w:cs="David"/>
          <w:sz w:val="24"/>
          <w:szCs w:val="24"/>
        </w:rPr>
        <w:footnoteReference w:id="23"/>
      </w:r>
      <w:r w:rsidR="00003AB6">
        <w:rPr>
          <w:rFonts w:cs="David" w:hint="cs"/>
          <w:sz w:val="24"/>
          <w:szCs w:val="24"/>
          <w:rtl/>
        </w:rPr>
        <w:t xml:space="preserve"> </w:t>
      </w:r>
      <w:r w:rsidR="000B3C44">
        <w:rPr>
          <w:rFonts w:cs="David" w:hint="cs"/>
          <w:sz w:val="24"/>
          <w:szCs w:val="24"/>
          <w:rtl/>
        </w:rPr>
        <w:t xml:space="preserve">מחסנים וחניות- </w:t>
      </w:r>
      <w:r w:rsidR="002A4CC5">
        <w:rPr>
          <w:rFonts w:cs="David" w:hint="cs"/>
          <w:sz w:val="24"/>
          <w:szCs w:val="24"/>
          <w:rtl/>
        </w:rPr>
        <w:t>אופן הגריעה עמד ברף הנדרש</w:t>
      </w:r>
      <w:r w:rsidR="00BE73BE">
        <w:rPr>
          <w:rFonts w:cs="David" w:hint="cs"/>
          <w:sz w:val="24"/>
          <w:szCs w:val="24"/>
          <w:rtl/>
        </w:rPr>
        <w:t xml:space="preserve"> </w:t>
      </w:r>
      <w:r w:rsidR="00AB57EC">
        <w:rPr>
          <w:rFonts w:cs="David" w:hint="cs"/>
          <w:sz w:val="24"/>
          <w:szCs w:val="24"/>
          <w:rtl/>
        </w:rPr>
        <w:t xml:space="preserve">כיוון שלשון המפרט זהה ללשון המפרט </w:t>
      </w:r>
      <w:r w:rsidR="00AB57EC" w:rsidRPr="00AB57EC">
        <w:rPr>
          <w:rFonts w:cs="David" w:hint="cs"/>
          <w:b/>
          <w:bCs/>
          <w:sz w:val="24"/>
          <w:szCs w:val="24"/>
          <w:rtl/>
        </w:rPr>
        <w:t>בעניין פרידמן</w:t>
      </w:r>
      <w:r w:rsidR="005C0C00">
        <w:rPr>
          <w:rFonts w:cs="David" w:hint="cs"/>
          <w:sz w:val="24"/>
          <w:szCs w:val="24"/>
          <w:rtl/>
        </w:rPr>
        <w:t>,</w:t>
      </w:r>
      <w:r w:rsidR="00154DF8">
        <w:rPr>
          <w:rFonts w:cs="David" w:hint="cs"/>
          <w:sz w:val="24"/>
          <w:szCs w:val="24"/>
          <w:rtl/>
        </w:rPr>
        <w:t xml:space="preserve"> </w:t>
      </w:r>
      <w:r w:rsidR="002A4CC5">
        <w:rPr>
          <w:rFonts w:cs="David" w:hint="cs"/>
          <w:sz w:val="24"/>
          <w:szCs w:val="24"/>
          <w:rtl/>
        </w:rPr>
        <w:t>שם</w:t>
      </w:r>
      <w:r w:rsidR="00993B86">
        <w:rPr>
          <w:rFonts w:cs="David" w:hint="cs"/>
          <w:sz w:val="24"/>
          <w:szCs w:val="24"/>
          <w:rtl/>
        </w:rPr>
        <w:t xml:space="preserve"> נפסק </w:t>
      </w:r>
      <w:r w:rsidR="002A4CC5">
        <w:rPr>
          <w:rFonts w:cs="David" w:hint="cs"/>
          <w:sz w:val="24"/>
          <w:szCs w:val="24"/>
          <w:rtl/>
        </w:rPr>
        <w:t>ש</w:t>
      </w:r>
      <w:r w:rsidR="00993B86">
        <w:rPr>
          <w:rFonts w:cs="David" w:hint="cs"/>
          <w:sz w:val="24"/>
          <w:szCs w:val="24"/>
          <w:rtl/>
        </w:rPr>
        <w:t>החברה עמדה במבחן ההוצאה וההצמדה</w:t>
      </w:r>
      <w:r w:rsidR="00195939">
        <w:rPr>
          <w:rFonts w:cs="David" w:hint="cs"/>
          <w:sz w:val="24"/>
          <w:szCs w:val="24"/>
          <w:rtl/>
        </w:rPr>
        <w:t xml:space="preserve"> לגבי המחסנים והחניות</w:t>
      </w:r>
      <w:r w:rsidR="00993B86">
        <w:rPr>
          <w:rFonts w:cs="David" w:hint="cs"/>
          <w:sz w:val="24"/>
          <w:szCs w:val="24"/>
          <w:rtl/>
        </w:rPr>
        <w:t>.</w:t>
      </w:r>
      <w:r w:rsidR="002A4CC5">
        <w:rPr>
          <w:rStyle w:val="a9"/>
          <w:rFonts w:cs="David"/>
          <w:sz w:val="24"/>
          <w:szCs w:val="24"/>
          <w:rtl/>
        </w:rPr>
        <w:footnoteReference w:id="24"/>
      </w:r>
      <w:r w:rsidR="00993B86">
        <w:rPr>
          <w:rFonts w:cs="David" w:hint="cs"/>
          <w:sz w:val="24"/>
          <w:szCs w:val="24"/>
          <w:rtl/>
        </w:rPr>
        <w:t xml:space="preserve"> </w:t>
      </w:r>
      <w:r w:rsidR="00D91BD9">
        <w:rPr>
          <w:rFonts w:cs="David" w:hint="cs"/>
          <w:sz w:val="24"/>
          <w:szCs w:val="24"/>
          <w:rtl/>
        </w:rPr>
        <w:t xml:space="preserve">על כך ישיבו הדיירים כי </w:t>
      </w:r>
      <w:r w:rsidR="00543A61">
        <w:rPr>
          <w:rFonts w:cs="David" w:hint="cs"/>
          <w:sz w:val="24"/>
          <w:szCs w:val="24"/>
          <w:rtl/>
        </w:rPr>
        <w:t>בעניין</w:t>
      </w:r>
      <w:r w:rsidR="00FC0BA7">
        <w:rPr>
          <w:rFonts w:cs="David" w:hint="cs"/>
          <w:sz w:val="24"/>
          <w:szCs w:val="24"/>
          <w:rtl/>
        </w:rPr>
        <w:t xml:space="preserve"> פרידמן</w:t>
      </w:r>
      <w:r w:rsidR="00F162AB">
        <w:rPr>
          <w:rFonts w:cs="David" w:hint="cs"/>
          <w:sz w:val="24"/>
          <w:szCs w:val="24"/>
          <w:rtl/>
        </w:rPr>
        <w:t xml:space="preserve"> </w:t>
      </w:r>
      <w:r w:rsidR="00F162AB">
        <w:rPr>
          <w:rFonts w:cs="David" w:hint="cs"/>
          <w:sz w:val="24"/>
          <w:szCs w:val="24"/>
          <w:rtl/>
        </w:rPr>
        <w:lastRenderedPageBreak/>
        <w:t>דיירים מסוימים רכשו עוד לפני התביעה מספר חניות ומחסנים</w:t>
      </w:r>
      <w:r w:rsidR="00125650">
        <w:rPr>
          <w:rFonts w:cs="David" w:hint="cs"/>
          <w:sz w:val="24"/>
          <w:szCs w:val="24"/>
          <w:rtl/>
        </w:rPr>
        <w:t xml:space="preserve">, ועל-כן </w:t>
      </w:r>
      <w:r w:rsidR="005949FA">
        <w:rPr>
          <w:rFonts w:cs="David" w:hint="cs"/>
          <w:sz w:val="24"/>
          <w:szCs w:val="24"/>
          <w:rtl/>
        </w:rPr>
        <w:t>הובן ע"י הדיירים</w:t>
      </w:r>
      <w:r w:rsidR="004F7A48">
        <w:rPr>
          <w:rFonts w:cs="David" w:hint="cs"/>
          <w:sz w:val="24"/>
          <w:szCs w:val="24"/>
          <w:rtl/>
        </w:rPr>
        <w:t xml:space="preserve"> שהמחסנים והחניות שלא נמכרו</w:t>
      </w:r>
      <w:r w:rsidR="005949FA">
        <w:rPr>
          <w:rFonts w:cs="David" w:hint="cs"/>
          <w:sz w:val="24"/>
          <w:szCs w:val="24"/>
          <w:rtl/>
        </w:rPr>
        <w:t xml:space="preserve"> </w:t>
      </w:r>
      <w:r w:rsidR="004F7A48">
        <w:rPr>
          <w:rFonts w:cs="David" w:hint="cs"/>
          <w:sz w:val="24"/>
          <w:szCs w:val="24"/>
          <w:rtl/>
        </w:rPr>
        <w:t>הוצאו מהרכוש המשות</w:t>
      </w:r>
      <w:r w:rsidR="00107843">
        <w:rPr>
          <w:rFonts w:cs="David" w:hint="cs"/>
          <w:sz w:val="24"/>
          <w:szCs w:val="24"/>
          <w:rtl/>
        </w:rPr>
        <w:t>ף.</w:t>
      </w:r>
      <w:r w:rsidR="003139BA">
        <w:rPr>
          <w:rStyle w:val="a9"/>
          <w:rFonts w:cs="David"/>
          <w:sz w:val="24"/>
          <w:szCs w:val="24"/>
          <w:rtl/>
        </w:rPr>
        <w:footnoteReference w:id="25"/>
      </w:r>
      <w:r w:rsidR="00107843">
        <w:rPr>
          <w:rFonts w:cs="David" w:hint="cs"/>
          <w:sz w:val="24"/>
          <w:szCs w:val="24"/>
          <w:rtl/>
        </w:rPr>
        <w:t xml:space="preserve"> לעומת זאת</w:t>
      </w:r>
      <w:r w:rsidR="005949FA">
        <w:rPr>
          <w:rFonts w:cs="David" w:hint="cs"/>
          <w:sz w:val="24"/>
          <w:szCs w:val="24"/>
          <w:rtl/>
        </w:rPr>
        <w:t xml:space="preserve"> יטענו הדיירים, ש</w:t>
      </w:r>
      <w:r w:rsidR="00107843">
        <w:rPr>
          <w:rFonts w:cs="David" w:hint="cs"/>
          <w:sz w:val="24"/>
          <w:szCs w:val="24"/>
          <w:rtl/>
        </w:rPr>
        <w:t xml:space="preserve">במקרה דנן </w:t>
      </w:r>
      <w:r w:rsidR="008A3E46">
        <w:rPr>
          <w:rFonts w:cs="David" w:hint="cs"/>
          <w:sz w:val="24"/>
          <w:szCs w:val="24"/>
          <w:rtl/>
        </w:rPr>
        <w:t>לא הוצע שום רכוש משותף</w:t>
      </w:r>
      <w:r w:rsidR="009037FD">
        <w:rPr>
          <w:rFonts w:cs="David" w:hint="cs"/>
          <w:sz w:val="24"/>
          <w:szCs w:val="24"/>
          <w:rtl/>
        </w:rPr>
        <w:t xml:space="preserve"> (שהוצא לפי הקבלן)</w:t>
      </w:r>
      <w:r w:rsidR="008A3E46">
        <w:rPr>
          <w:rFonts w:cs="David" w:hint="cs"/>
          <w:sz w:val="24"/>
          <w:szCs w:val="24"/>
          <w:rtl/>
        </w:rPr>
        <w:t xml:space="preserve"> למכירה ו</w:t>
      </w:r>
      <w:r w:rsidR="00107843">
        <w:rPr>
          <w:rFonts w:cs="David" w:hint="cs"/>
          <w:sz w:val="24"/>
          <w:szCs w:val="24"/>
          <w:rtl/>
        </w:rPr>
        <w:t>אף דייר לא רכש חלקים ברכוש המשותף</w:t>
      </w:r>
      <w:r w:rsidR="003139BA">
        <w:rPr>
          <w:rFonts w:cs="David" w:hint="cs"/>
          <w:sz w:val="24"/>
          <w:szCs w:val="24"/>
          <w:rtl/>
        </w:rPr>
        <w:t xml:space="preserve"> מזה כ-5 שנים מסיום הבנייה</w:t>
      </w:r>
      <w:r w:rsidR="00107843">
        <w:rPr>
          <w:rFonts w:cs="David" w:hint="cs"/>
          <w:sz w:val="24"/>
          <w:szCs w:val="24"/>
          <w:rtl/>
        </w:rPr>
        <w:t>, ולכן ברור שהרכוש הנ"ל</w:t>
      </w:r>
      <w:r w:rsidR="00056252">
        <w:rPr>
          <w:rFonts w:cs="David" w:hint="cs"/>
          <w:sz w:val="24"/>
          <w:szCs w:val="24"/>
          <w:rtl/>
        </w:rPr>
        <w:t xml:space="preserve"> משותף </w:t>
      </w:r>
      <w:r w:rsidR="00882A4A">
        <w:rPr>
          <w:rFonts w:cs="David" w:hint="cs"/>
          <w:sz w:val="24"/>
          <w:szCs w:val="24"/>
          <w:rtl/>
        </w:rPr>
        <w:t>ו</w:t>
      </w:r>
      <w:r w:rsidR="00107843">
        <w:rPr>
          <w:rFonts w:cs="David" w:hint="cs"/>
          <w:sz w:val="24"/>
          <w:szCs w:val="24"/>
          <w:rtl/>
        </w:rPr>
        <w:t xml:space="preserve">לא </w:t>
      </w:r>
      <w:r w:rsidR="00C73835">
        <w:rPr>
          <w:rFonts w:cs="David" w:hint="cs"/>
          <w:sz w:val="24"/>
          <w:szCs w:val="24"/>
          <w:rtl/>
        </w:rPr>
        <w:t>הובן</w:t>
      </w:r>
      <w:r w:rsidR="00056252">
        <w:rPr>
          <w:rFonts w:cs="David" w:hint="cs"/>
          <w:sz w:val="24"/>
          <w:szCs w:val="24"/>
          <w:rtl/>
        </w:rPr>
        <w:t xml:space="preserve"> </w:t>
      </w:r>
      <w:r w:rsidR="00C73835">
        <w:rPr>
          <w:rFonts w:cs="David" w:hint="cs"/>
          <w:sz w:val="24"/>
          <w:szCs w:val="24"/>
          <w:rtl/>
        </w:rPr>
        <w:t>שהוצא</w:t>
      </w:r>
      <w:r w:rsidR="00056252">
        <w:rPr>
          <w:rFonts w:cs="David" w:hint="cs"/>
          <w:sz w:val="24"/>
          <w:szCs w:val="24"/>
          <w:rtl/>
        </w:rPr>
        <w:t xml:space="preserve"> בחוזה המכר ובמפרט</w:t>
      </w:r>
      <w:r w:rsidR="00882A4A">
        <w:rPr>
          <w:rFonts w:cs="David" w:hint="cs"/>
          <w:sz w:val="24"/>
          <w:szCs w:val="24"/>
          <w:rtl/>
        </w:rPr>
        <w:t xml:space="preserve">. </w:t>
      </w:r>
      <w:r w:rsidR="00C73835">
        <w:rPr>
          <w:rFonts w:cs="David" w:hint="cs"/>
          <w:sz w:val="24"/>
          <w:szCs w:val="24"/>
          <w:rtl/>
        </w:rPr>
        <w:t>קל-וחומר</w:t>
      </w:r>
      <w:r w:rsidR="00862A1F">
        <w:rPr>
          <w:rFonts w:cs="David" w:hint="cs"/>
          <w:sz w:val="24"/>
          <w:szCs w:val="24"/>
          <w:rtl/>
        </w:rPr>
        <w:t xml:space="preserve"> כאשר הקבלן רוצה להוציא מהרכוש המשותף </w:t>
      </w:r>
      <w:r w:rsidR="00862A1F" w:rsidRPr="00862A1F">
        <w:rPr>
          <w:rFonts w:cs="David" w:hint="cs"/>
          <w:b/>
          <w:bCs/>
          <w:sz w:val="24"/>
          <w:szCs w:val="24"/>
          <w:rtl/>
        </w:rPr>
        <w:t>חלק</w:t>
      </w:r>
      <w:r w:rsidR="00862A1F">
        <w:rPr>
          <w:rFonts w:cs="David" w:hint="cs"/>
          <w:sz w:val="24"/>
          <w:szCs w:val="24"/>
          <w:rtl/>
        </w:rPr>
        <w:t xml:space="preserve"> מהחניות</w:t>
      </w:r>
      <w:r w:rsidR="00212056">
        <w:rPr>
          <w:rFonts w:cs="David" w:hint="cs"/>
          <w:sz w:val="24"/>
          <w:szCs w:val="24"/>
          <w:rtl/>
        </w:rPr>
        <w:t xml:space="preserve"> (</w:t>
      </w:r>
      <w:r w:rsidR="00951B3C">
        <w:rPr>
          <w:rFonts w:cs="David" w:hint="cs"/>
          <w:sz w:val="24"/>
          <w:szCs w:val="24"/>
          <w:rtl/>
        </w:rPr>
        <w:t xml:space="preserve">"שטחי חניה" </w:t>
      </w:r>
      <w:r w:rsidR="00A95517">
        <w:rPr>
          <w:rFonts w:cs="David" w:hint="cs"/>
          <w:sz w:val="24"/>
          <w:szCs w:val="24"/>
          <w:rtl/>
        </w:rPr>
        <w:t>במפרט</w:t>
      </w:r>
      <w:r w:rsidR="006A798C">
        <w:rPr>
          <w:rFonts w:cs="David" w:hint="cs"/>
          <w:sz w:val="24"/>
          <w:szCs w:val="24"/>
          <w:rtl/>
        </w:rPr>
        <w:t>,</w:t>
      </w:r>
      <w:r w:rsidR="00A95517">
        <w:rPr>
          <w:rFonts w:cs="David" w:hint="cs"/>
          <w:sz w:val="24"/>
          <w:szCs w:val="24"/>
          <w:rtl/>
        </w:rPr>
        <w:t xml:space="preserve"> לעומת</w:t>
      </w:r>
      <w:r w:rsidR="00951B3C">
        <w:rPr>
          <w:rFonts w:cs="David" w:hint="cs"/>
          <w:sz w:val="24"/>
          <w:szCs w:val="24"/>
          <w:rtl/>
        </w:rPr>
        <w:t xml:space="preserve"> "מספר חניות" </w:t>
      </w:r>
      <w:r w:rsidR="0030215B">
        <w:rPr>
          <w:rFonts w:cs="David" w:hint="cs"/>
          <w:sz w:val="24"/>
          <w:szCs w:val="24"/>
          <w:rtl/>
        </w:rPr>
        <w:t>בתשרי</w:t>
      </w:r>
      <w:r w:rsidR="006A798C">
        <w:rPr>
          <w:rFonts w:cs="David" w:hint="cs"/>
          <w:sz w:val="24"/>
          <w:szCs w:val="24"/>
          <w:rtl/>
        </w:rPr>
        <w:t>ט המצורף</w:t>
      </w:r>
      <w:r w:rsidR="00212056">
        <w:rPr>
          <w:rFonts w:cs="David" w:hint="cs"/>
          <w:sz w:val="24"/>
          <w:szCs w:val="24"/>
          <w:rtl/>
        </w:rPr>
        <w:t>)</w:t>
      </w:r>
      <w:r w:rsidR="00862A1F">
        <w:rPr>
          <w:rFonts w:cs="David" w:hint="cs"/>
          <w:sz w:val="24"/>
          <w:szCs w:val="24"/>
          <w:rtl/>
        </w:rPr>
        <w:t xml:space="preserve">, </w:t>
      </w:r>
      <w:r w:rsidR="006A798C">
        <w:rPr>
          <w:rFonts w:cs="David" w:hint="cs"/>
          <w:sz w:val="24"/>
          <w:szCs w:val="24"/>
          <w:rtl/>
        </w:rPr>
        <w:t>ואת</w:t>
      </w:r>
      <w:r w:rsidR="00862A1F">
        <w:rPr>
          <w:rFonts w:cs="David" w:hint="cs"/>
          <w:sz w:val="24"/>
          <w:szCs w:val="24"/>
          <w:rtl/>
        </w:rPr>
        <w:t xml:space="preserve"> </w:t>
      </w:r>
      <w:r w:rsidR="00862A1F">
        <w:rPr>
          <w:rFonts w:cs="David" w:hint="cs"/>
          <w:b/>
          <w:bCs/>
          <w:sz w:val="24"/>
          <w:szCs w:val="24"/>
          <w:rtl/>
        </w:rPr>
        <w:t xml:space="preserve">כל </w:t>
      </w:r>
      <w:r w:rsidR="00862A1F">
        <w:rPr>
          <w:rFonts w:cs="David" w:hint="cs"/>
          <w:sz w:val="24"/>
          <w:szCs w:val="24"/>
          <w:rtl/>
        </w:rPr>
        <w:t>המחסנים (</w:t>
      </w:r>
      <w:r w:rsidR="00951B3C">
        <w:rPr>
          <w:rFonts w:cs="David" w:hint="cs"/>
          <w:sz w:val="24"/>
          <w:szCs w:val="24"/>
          <w:rtl/>
        </w:rPr>
        <w:t xml:space="preserve">"מחסנים בקומת המרתף" במפרט לעומת </w:t>
      </w:r>
      <w:r w:rsidR="00212056">
        <w:rPr>
          <w:rFonts w:cs="David" w:hint="cs"/>
          <w:sz w:val="24"/>
          <w:szCs w:val="24"/>
          <w:rtl/>
        </w:rPr>
        <w:t>"המחסנים שבקומת המרתף"</w:t>
      </w:r>
      <w:r w:rsidR="00951B3C">
        <w:rPr>
          <w:rFonts w:cs="David" w:hint="cs"/>
          <w:sz w:val="24"/>
          <w:szCs w:val="24"/>
          <w:rtl/>
        </w:rPr>
        <w:t xml:space="preserve"> בתשריט</w:t>
      </w:r>
      <w:r w:rsidR="00212056">
        <w:rPr>
          <w:rFonts w:cs="David" w:hint="cs"/>
          <w:sz w:val="24"/>
          <w:szCs w:val="24"/>
          <w:rtl/>
        </w:rPr>
        <w:t>)</w:t>
      </w:r>
      <w:r w:rsidR="0064450B">
        <w:rPr>
          <w:rFonts w:cs="David" w:hint="cs"/>
          <w:sz w:val="24"/>
          <w:szCs w:val="24"/>
          <w:rtl/>
        </w:rPr>
        <w:t>- אין קונקרטיות מספקת</w:t>
      </w:r>
      <w:r w:rsidR="007A3AE3">
        <w:rPr>
          <w:rFonts w:cs="David" w:hint="cs"/>
          <w:sz w:val="24"/>
          <w:szCs w:val="24"/>
          <w:rtl/>
        </w:rPr>
        <w:t xml:space="preserve"> וכך גם </w:t>
      </w:r>
      <w:r w:rsidR="00776F40">
        <w:rPr>
          <w:rFonts w:cs="David" w:hint="cs"/>
          <w:sz w:val="24"/>
          <w:szCs w:val="24"/>
          <w:rtl/>
        </w:rPr>
        <w:t xml:space="preserve">הוחלט שיהיה בעתיד, למעט </w:t>
      </w:r>
      <w:r w:rsidR="007A3AE3" w:rsidRPr="007A3AE3">
        <w:rPr>
          <w:rFonts w:cs="David" w:hint="cs"/>
          <w:b/>
          <w:bCs/>
          <w:sz w:val="24"/>
          <w:szCs w:val="24"/>
          <w:rtl/>
        </w:rPr>
        <w:t>עניין פרידמן</w:t>
      </w:r>
      <w:r w:rsidR="00776F40">
        <w:rPr>
          <w:rFonts w:cs="David" w:hint="cs"/>
          <w:b/>
          <w:bCs/>
          <w:sz w:val="24"/>
          <w:szCs w:val="24"/>
          <w:rtl/>
        </w:rPr>
        <w:t xml:space="preserve"> </w:t>
      </w:r>
      <w:r w:rsidR="00776F40" w:rsidRPr="00776F40">
        <w:rPr>
          <w:rFonts w:cs="David" w:hint="cs"/>
          <w:sz w:val="24"/>
          <w:szCs w:val="24"/>
          <w:rtl/>
        </w:rPr>
        <w:t>עצמו</w:t>
      </w:r>
      <w:r w:rsidR="007A3AE3">
        <w:rPr>
          <w:rFonts w:cs="David" w:hint="cs"/>
          <w:sz w:val="24"/>
          <w:szCs w:val="24"/>
          <w:rtl/>
        </w:rPr>
        <w:t>.</w:t>
      </w:r>
      <w:r w:rsidR="007A3AE3">
        <w:rPr>
          <w:rStyle w:val="a9"/>
          <w:rFonts w:cs="David"/>
          <w:sz w:val="24"/>
          <w:szCs w:val="24"/>
          <w:rtl/>
        </w:rPr>
        <w:footnoteReference w:id="26"/>
      </w:r>
    </w:p>
    <w:p w14:paraId="0814A968" w14:textId="20F7B1C8" w:rsidR="00BF1B95" w:rsidRDefault="005C464C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לחלופין יטענו הדיירים </w:t>
      </w:r>
      <w:r w:rsidR="00860FEB">
        <w:rPr>
          <w:rFonts w:cs="David" w:hint="cs"/>
          <w:sz w:val="24"/>
          <w:szCs w:val="24"/>
          <w:rtl/>
        </w:rPr>
        <w:t>ש</w:t>
      </w:r>
      <w:r w:rsidR="00300D06">
        <w:rPr>
          <w:rFonts w:cs="David" w:hint="cs"/>
          <w:sz w:val="24"/>
          <w:szCs w:val="24"/>
          <w:rtl/>
        </w:rPr>
        <w:t>גם אם</w:t>
      </w:r>
      <w:r>
        <w:rPr>
          <w:rFonts w:cs="David" w:hint="cs"/>
          <w:sz w:val="24"/>
          <w:szCs w:val="24"/>
          <w:rtl/>
        </w:rPr>
        <w:t xml:space="preserve"> </w:t>
      </w:r>
      <w:r w:rsidR="00300D06">
        <w:rPr>
          <w:rFonts w:cs="David" w:hint="cs"/>
          <w:sz w:val="24"/>
          <w:szCs w:val="24"/>
          <w:rtl/>
        </w:rPr>
        <w:t>חל מבחן ההוצאה וההצמדה - ל</w:t>
      </w:r>
      <w:r>
        <w:rPr>
          <w:rFonts w:cs="David" w:hint="cs"/>
          <w:sz w:val="24"/>
          <w:szCs w:val="24"/>
          <w:rtl/>
        </w:rPr>
        <w:t>קבלן</w:t>
      </w:r>
      <w:r w:rsidR="00300D06">
        <w:rPr>
          <w:rFonts w:cs="David" w:hint="cs"/>
          <w:sz w:val="24"/>
          <w:szCs w:val="24"/>
          <w:rtl/>
        </w:rPr>
        <w:t xml:space="preserve"> אין זכות קניינית בחלקים המוצאים כיוון</w:t>
      </w:r>
      <w:r>
        <w:rPr>
          <w:rFonts w:cs="David" w:hint="cs"/>
          <w:sz w:val="24"/>
          <w:szCs w:val="24"/>
          <w:rtl/>
        </w:rPr>
        <w:t xml:space="preserve"> </w:t>
      </w:r>
      <w:r w:rsidR="00300D06">
        <w:rPr>
          <w:rFonts w:cs="David" w:hint="cs"/>
          <w:sz w:val="24"/>
          <w:szCs w:val="24"/>
          <w:rtl/>
        </w:rPr>
        <w:t>ש</w:t>
      </w:r>
      <w:r w:rsidR="00660BC3">
        <w:rPr>
          <w:rFonts w:cs="David" w:hint="cs"/>
          <w:sz w:val="24"/>
          <w:szCs w:val="24"/>
          <w:rtl/>
        </w:rPr>
        <w:t>לא עמד בחובת הגילוי המוגברת</w:t>
      </w:r>
      <w:r w:rsidR="00A01A4C">
        <w:rPr>
          <w:rFonts w:cs="David" w:hint="cs"/>
          <w:sz w:val="24"/>
          <w:szCs w:val="24"/>
          <w:rtl/>
        </w:rPr>
        <w:t xml:space="preserve"> בטכניקת 'הקולב המשפטי'</w:t>
      </w:r>
      <w:r w:rsidR="00300D06">
        <w:rPr>
          <w:rFonts w:cs="David" w:hint="cs"/>
          <w:sz w:val="24"/>
          <w:szCs w:val="24"/>
          <w:rtl/>
        </w:rPr>
        <w:t>,</w:t>
      </w:r>
      <w:r w:rsidR="00C346DF">
        <w:rPr>
          <w:rStyle w:val="a9"/>
          <w:rFonts w:cs="David"/>
          <w:sz w:val="24"/>
          <w:szCs w:val="24"/>
          <w:rtl/>
        </w:rPr>
        <w:footnoteReference w:id="27"/>
      </w:r>
      <w:r w:rsidR="00BF0AC2">
        <w:rPr>
          <w:rFonts w:cs="David" w:hint="cs"/>
          <w:sz w:val="24"/>
          <w:szCs w:val="24"/>
          <w:rtl/>
        </w:rPr>
        <w:t xml:space="preserve"> </w:t>
      </w:r>
      <w:r w:rsidR="00A01A4C">
        <w:rPr>
          <w:rFonts w:cs="David" w:hint="cs"/>
          <w:sz w:val="24"/>
          <w:szCs w:val="24"/>
          <w:rtl/>
        </w:rPr>
        <w:t>ה</w:t>
      </w:r>
      <w:r w:rsidR="006D1638">
        <w:rPr>
          <w:rFonts w:cs="David" w:hint="cs"/>
          <w:sz w:val="24"/>
          <w:szCs w:val="24"/>
          <w:rtl/>
        </w:rPr>
        <w:t>דורשת</w:t>
      </w:r>
      <w:r w:rsidR="00A6597A">
        <w:rPr>
          <w:rFonts w:cs="David" w:hint="cs"/>
          <w:sz w:val="24"/>
          <w:szCs w:val="24"/>
          <w:rtl/>
        </w:rPr>
        <w:t xml:space="preserve"> שיצוין</w:t>
      </w:r>
      <w:r w:rsidR="006D1638">
        <w:rPr>
          <w:rFonts w:cs="David" w:hint="cs"/>
          <w:sz w:val="24"/>
          <w:szCs w:val="24"/>
          <w:rtl/>
        </w:rPr>
        <w:t xml:space="preserve"> </w:t>
      </w:r>
      <w:r w:rsidR="00A6597A">
        <w:rPr>
          <w:rFonts w:cs="David" w:hint="cs"/>
          <w:sz w:val="24"/>
          <w:szCs w:val="24"/>
          <w:rtl/>
        </w:rPr>
        <w:t xml:space="preserve">במפרט ובחוזה המכר </w:t>
      </w:r>
      <w:r w:rsidR="00FC5F95">
        <w:rPr>
          <w:rFonts w:cs="David" w:hint="cs"/>
          <w:sz w:val="24"/>
          <w:szCs w:val="24"/>
          <w:rtl/>
        </w:rPr>
        <w:t>ש</w:t>
      </w:r>
      <w:r w:rsidR="00A6597A">
        <w:rPr>
          <w:rFonts w:cs="David" w:hint="cs"/>
          <w:sz w:val="24"/>
          <w:szCs w:val="24"/>
          <w:rtl/>
        </w:rPr>
        <w:t xml:space="preserve">החלקים המוצאים מהרכוש המשותף נועדו להצמדה לדירות </w:t>
      </w:r>
      <w:r w:rsidR="00D070B8">
        <w:rPr>
          <w:rFonts w:cs="David" w:hint="cs"/>
          <w:sz w:val="24"/>
          <w:szCs w:val="24"/>
          <w:rtl/>
        </w:rPr>
        <w:t>בבעלותו</w:t>
      </w:r>
      <w:r w:rsidR="00300D06">
        <w:rPr>
          <w:rFonts w:cs="David" w:hint="cs"/>
          <w:sz w:val="24"/>
          <w:szCs w:val="24"/>
          <w:rtl/>
        </w:rPr>
        <w:t xml:space="preserve"> </w:t>
      </w:r>
      <w:r w:rsidR="0038249F">
        <w:rPr>
          <w:rFonts w:cs="David" w:hint="cs"/>
          <w:sz w:val="24"/>
          <w:szCs w:val="24"/>
          <w:rtl/>
        </w:rPr>
        <w:t xml:space="preserve">(אין </w:t>
      </w:r>
      <w:r w:rsidR="002D5EAC">
        <w:rPr>
          <w:rFonts w:cs="David" w:hint="cs"/>
          <w:sz w:val="24"/>
          <w:szCs w:val="24"/>
          <w:rtl/>
        </w:rPr>
        <w:t>לקבלן</w:t>
      </w:r>
      <w:r w:rsidR="0038249F">
        <w:rPr>
          <w:rFonts w:cs="David" w:hint="cs"/>
          <w:sz w:val="24"/>
          <w:szCs w:val="24"/>
          <w:rtl/>
        </w:rPr>
        <w:t xml:space="preserve"> דירות בבעלותו</w:t>
      </w:r>
      <w:r w:rsidR="00DF5366">
        <w:rPr>
          <w:rFonts w:cs="David" w:hint="cs"/>
          <w:sz w:val="24"/>
          <w:szCs w:val="24"/>
          <w:rtl/>
        </w:rPr>
        <w:t>-</w:t>
      </w:r>
      <w:r w:rsidR="0038249F">
        <w:rPr>
          <w:rFonts w:cs="David" w:hint="cs"/>
          <w:sz w:val="24"/>
          <w:szCs w:val="24"/>
          <w:rtl/>
        </w:rPr>
        <w:t>כולן נמכרו לדיירים)</w:t>
      </w:r>
      <w:r w:rsidR="00A6597A">
        <w:rPr>
          <w:rFonts w:cs="David" w:hint="cs"/>
          <w:sz w:val="24"/>
          <w:szCs w:val="24"/>
          <w:rtl/>
        </w:rPr>
        <w:t xml:space="preserve"> או</w:t>
      </w:r>
      <w:r w:rsidR="00DF5366">
        <w:rPr>
          <w:rFonts w:cs="David" w:hint="cs"/>
          <w:sz w:val="24"/>
          <w:szCs w:val="24"/>
          <w:rtl/>
        </w:rPr>
        <w:t xml:space="preserve"> </w:t>
      </w:r>
      <w:r w:rsidR="00FC2CC0">
        <w:rPr>
          <w:rFonts w:cs="David" w:hint="cs"/>
          <w:sz w:val="24"/>
          <w:szCs w:val="24"/>
          <w:rtl/>
        </w:rPr>
        <w:t>ש</w:t>
      </w:r>
      <w:r w:rsidR="00DF5366">
        <w:rPr>
          <w:rFonts w:cs="David" w:hint="cs"/>
          <w:sz w:val="24"/>
          <w:szCs w:val="24"/>
          <w:rtl/>
        </w:rPr>
        <w:t>נועדו</w:t>
      </w:r>
      <w:r w:rsidR="00A6597A">
        <w:rPr>
          <w:rFonts w:cs="David" w:hint="cs"/>
          <w:sz w:val="24"/>
          <w:szCs w:val="24"/>
          <w:rtl/>
        </w:rPr>
        <w:t xml:space="preserve"> ל</w:t>
      </w:r>
      <w:r w:rsidR="0073466C">
        <w:rPr>
          <w:rFonts w:cs="David" w:hint="cs"/>
          <w:sz w:val="24"/>
          <w:szCs w:val="24"/>
          <w:rtl/>
        </w:rPr>
        <w:t>רישום כ'דירה', שתישאר בבעלות</w:t>
      </w:r>
      <w:r w:rsidR="00DF5366">
        <w:rPr>
          <w:rFonts w:cs="David" w:hint="cs"/>
          <w:sz w:val="24"/>
          <w:szCs w:val="24"/>
          <w:rtl/>
        </w:rPr>
        <w:t>ו</w:t>
      </w:r>
      <w:r w:rsidR="00A110DD">
        <w:rPr>
          <w:rFonts w:cs="David" w:hint="cs"/>
          <w:sz w:val="24"/>
          <w:szCs w:val="24"/>
          <w:rtl/>
        </w:rPr>
        <w:t>. הקבלן לא יכול לרשום חלק כזה כ'דירה'</w:t>
      </w:r>
      <w:r w:rsidR="009A597D">
        <w:rPr>
          <w:rFonts w:cs="David" w:hint="cs"/>
          <w:sz w:val="24"/>
          <w:szCs w:val="24"/>
          <w:rtl/>
        </w:rPr>
        <w:t xml:space="preserve"> </w:t>
      </w:r>
      <w:r w:rsidR="00AF17AD">
        <w:rPr>
          <w:rFonts w:cs="David" w:hint="cs"/>
          <w:sz w:val="24"/>
          <w:szCs w:val="24"/>
          <w:rtl/>
        </w:rPr>
        <w:t xml:space="preserve">כיוון שלא </w:t>
      </w:r>
      <w:r w:rsidR="00537986">
        <w:rPr>
          <w:rFonts w:cs="David" w:hint="cs"/>
          <w:sz w:val="24"/>
          <w:szCs w:val="24"/>
          <w:rtl/>
        </w:rPr>
        <w:t xml:space="preserve">הזכיר זאת בחוזה המכר ובמפרט. </w:t>
      </w:r>
      <w:r w:rsidR="0038249F">
        <w:rPr>
          <w:rFonts w:cs="David" w:hint="cs"/>
          <w:sz w:val="24"/>
          <w:szCs w:val="24"/>
          <w:rtl/>
        </w:rPr>
        <w:t>לשון חוזה המכר</w:t>
      </w:r>
      <w:r w:rsidR="00537986">
        <w:rPr>
          <w:rFonts w:cs="David" w:hint="cs"/>
          <w:sz w:val="24"/>
          <w:szCs w:val="24"/>
          <w:rtl/>
        </w:rPr>
        <w:t xml:space="preserve"> של הקבלן</w:t>
      </w:r>
      <w:r w:rsidR="00DF5366">
        <w:rPr>
          <w:rFonts w:cs="David" w:hint="cs"/>
          <w:sz w:val="24"/>
          <w:szCs w:val="24"/>
          <w:rtl/>
        </w:rPr>
        <w:t xml:space="preserve"> </w:t>
      </w:r>
      <w:r w:rsidR="0038249F">
        <w:rPr>
          <w:rFonts w:cs="David" w:hint="cs"/>
          <w:sz w:val="24"/>
          <w:szCs w:val="24"/>
          <w:rtl/>
        </w:rPr>
        <w:t xml:space="preserve">זהה ללשון החוזה </w:t>
      </w:r>
      <w:r w:rsidR="0038249F" w:rsidRPr="0038249F">
        <w:rPr>
          <w:rFonts w:cs="David" w:hint="cs"/>
          <w:b/>
          <w:bCs/>
          <w:sz w:val="24"/>
          <w:szCs w:val="24"/>
          <w:rtl/>
        </w:rPr>
        <w:t>בפרידמן</w:t>
      </w:r>
      <w:r w:rsidR="0038249F">
        <w:rPr>
          <w:rFonts w:cs="David" w:hint="cs"/>
          <w:sz w:val="24"/>
          <w:szCs w:val="24"/>
          <w:rtl/>
        </w:rPr>
        <w:t>- "</w:t>
      </w:r>
      <w:r w:rsidR="0023228D" w:rsidRPr="0023228D">
        <w:rPr>
          <w:rFonts w:cs="David" w:hint="cs"/>
          <w:sz w:val="24"/>
          <w:szCs w:val="24"/>
          <w:rtl/>
        </w:rPr>
        <w:t>החברה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תוציא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ו</w:t>
      </w:r>
      <w:r w:rsidR="0023228D" w:rsidRPr="0023228D">
        <w:rPr>
          <w:rFonts w:cs="David"/>
          <w:sz w:val="24"/>
          <w:szCs w:val="24"/>
          <w:rtl/>
        </w:rPr>
        <w:t>/</w:t>
      </w:r>
      <w:r w:rsidR="0023228D" w:rsidRPr="0023228D">
        <w:rPr>
          <w:rFonts w:cs="David" w:hint="cs"/>
          <w:sz w:val="24"/>
          <w:szCs w:val="24"/>
          <w:rtl/>
        </w:rPr>
        <w:t>או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תצמיד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חלקים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מהרכוש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המשותף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ליחידות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משנה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אחרות</w:t>
      </w:r>
      <w:r w:rsidR="0023228D" w:rsidRPr="0023228D">
        <w:rPr>
          <w:rFonts w:cs="David"/>
          <w:sz w:val="24"/>
          <w:szCs w:val="24"/>
          <w:rtl/>
        </w:rPr>
        <w:t xml:space="preserve"> </w:t>
      </w:r>
      <w:r w:rsidR="0023228D" w:rsidRPr="0023228D">
        <w:rPr>
          <w:rFonts w:cs="David" w:hint="cs"/>
          <w:sz w:val="24"/>
          <w:szCs w:val="24"/>
          <w:rtl/>
        </w:rPr>
        <w:t>בבניי</w:t>
      </w:r>
      <w:r w:rsidR="009A597D">
        <w:rPr>
          <w:rFonts w:cs="David" w:hint="cs"/>
          <w:sz w:val="24"/>
          <w:szCs w:val="24"/>
          <w:rtl/>
        </w:rPr>
        <w:t>ן</w:t>
      </w:r>
      <w:r w:rsidR="00632BCB">
        <w:rPr>
          <w:rStyle w:val="a9"/>
          <w:rFonts w:cs="David"/>
          <w:sz w:val="24"/>
          <w:szCs w:val="24"/>
          <w:rtl/>
        </w:rPr>
        <w:footnoteReference w:id="28"/>
      </w:r>
      <w:r w:rsidR="009A597D">
        <w:rPr>
          <w:rFonts w:cs="David" w:hint="cs"/>
          <w:sz w:val="24"/>
          <w:szCs w:val="24"/>
          <w:rtl/>
        </w:rPr>
        <w:t>-</w:t>
      </w:r>
      <w:r w:rsidR="00DF5366">
        <w:rPr>
          <w:rFonts w:cs="David" w:hint="cs"/>
          <w:sz w:val="24"/>
          <w:szCs w:val="24"/>
          <w:rtl/>
        </w:rPr>
        <w:t xml:space="preserve"> שם נפסק כי מעתה ואילך לשון זו לא תתקבל</w:t>
      </w:r>
      <w:r w:rsidR="00A110DD">
        <w:rPr>
          <w:rFonts w:cs="David" w:hint="cs"/>
          <w:sz w:val="24"/>
          <w:szCs w:val="24"/>
          <w:rtl/>
        </w:rPr>
        <w:t xml:space="preserve"> </w:t>
      </w:r>
      <w:r w:rsidR="00537986">
        <w:rPr>
          <w:rFonts w:cs="David" w:hint="cs"/>
          <w:sz w:val="24"/>
          <w:szCs w:val="24"/>
          <w:rtl/>
        </w:rPr>
        <w:t xml:space="preserve">כאילו פורט </w:t>
      </w:r>
      <w:r w:rsidR="003402BD">
        <w:rPr>
          <w:rFonts w:cs="David" w:hint="cs"/>
          <w:sz w:val="24"/>
          <w:szCs w:val="24"/>
          <w:rtl/>
        </w:rPr>
        <w:t>מה ייעשה ברכוש המשותף (רישום כ'דירה' או הצמדה)</w:t>
      </w:r>
      <w:r w:rsidR="0073466C">
        <w:rPr>
          <w:rFonts w:cs="David" w:hint="cs"/>
          <w:sz w:val="24"/>
          <w:szCs w:val="24"/>
          <w:rtl/>
        </w:rPr>
        <w:t>.</w:t>
      </w:r>
      <w:r w:rsidR="0072245E">
        <w:rPr>
          <w:rStyle w:val="a9"/>
          <w:rFonts w:cs="David"/>
          <w:sz w:val="24"/>
          <w:szCs w:val="24"/>
          <w:rtl/>
        </w:rPr>
        <w:footnoteReference w:id="29"/>
      </w:r>
      <w:r w:rsidR="00DF2D61">
        <w:rPr>
          <w:rFonts w:cs="David" w:hint="cs"/>
          <w:sz w:val="24"/>
          <w:szCs w:val="24"/>
          <w:rtl/>
        </w:rPr>
        <w:t xml:space="preserve"> </w:t>
      </w:r>
      <w:r w:rsidR="002635F6">
        <w:rPr>
          <w:rFonts w:cs="David" w:hint="cs"/>
          <w:sz w:val="24"/>
          <w:szCs w:val="24"/>
          <w:rtl/>
        </w:rPr>
        <w:t>מ</w:t>
      </w:r>
      <w:r w:rsidR="00DF678D">
        <w:rPr>
          <w:rFonts w:cs="David" w:hint="cs"/>
          <w:sz w:val="24"/>
          <w:szCs w:val="24"/>
          <w:rtl/>
        </w:rPr>
        <w:t>שלא עמד בחובת הגילוי המוגברת,</w:t>
      </w:r>
      <w:r w:rsidR="002635F6">
        <w:rPr>
          <w:rFonts w:cs="David" w:hint="cs"/>
          <w:sz w:val="24"/>
          <w:szCs w:val="24"/>
          <w:rtl/>
        </w:rPr>
        <w:t xml:space="preserve"> לקבלן</w:t>
      </w:r>
      <w:r w:rsidR="00D20B06">
        <w:rPr>
          <w:rFonts w:cs="David" w:hint="cs"/>
          <w:sz w:val="24"/>
          <w:szCs w:val="24"/>
          <w:rtl/>
        </w:rPr>
        <w:t xml:space="preserve"> </w:t>
      </w:r>
      <w:r w:rsidR="002635F6">
        <w:rPr>
          <w:rFonts w:cs="David" w:hint="cs"/>
          <w:sz w:val="24"/>
          <w:szCs w:val="24"/>
          <w:rtl/>
        </w:rPr>
        <w:t xml:space="preserve">זכות חוזית בלבד </w:t>
      </w:r>
      <w:r w:rsidR="00D20B06">
        <w:rPr>
          <w:rFonts w:cs="David" w:hint="cs"/>
          <w:sz w:val="24"/>
          <w:szCs w:val="24"/>
          <w:rtl/>
        </w:rPr>
        <w:t>בחלקים המוצאים</w:t>
      </w:r>
      <w:r w:rsidR="0046449C">
        <w:rPr>
          <w:rFonts w:cs="David" w:hint="cs"/>
          <w:sz w:val="24"/>
          <w:szCs w:val="24"/>
          <w:rtl/>
        </w:rPr>
        <w:t xml:space="preserve"> כדין</w:t>
      </w:r>
      <w:r w:rsidR="009B2815">
        <w:rPr>
          <w:rFonts w:cs="David" w:hint="cs"/>
          <w:sz w:val="24"/>
          <w:szCs w:val="24"/>
          <w:rtl/>
        </w:rPr>
        <w:t>.</w:t>
      </w:r>
      <w:r w:rsidR="00D20B06">
        <w:rPr>
          <w:rFonts w:cs="David" w:hint="cs"/>
          <w:sz w:val="24"/>
          <w:szCs w:val="24"/>
          <w:rtl/>
        </w:rPr>
        <w:t xml:space="preserve"> </w:t>
      </w:r>
      <w:r w:rsidR="00FE318B">
        <w:rPr>
          <w:rFonts w:cs="David" w:hint="cs"/>
          <w:sz w:val="24"/>
          <w:szCs w:val="24"/>
          <w:rtl/>
        </w:rPr>
        <w:t>הם</w:t>
      </w:r>
      <w:r w:rsidR="00D20B06">
        <w:rPr>
          <w:rFonts w:cs="David" w:hint="cs"/>
          <w:sz w:val="24"/>
          <w:szCs w:val="24"/>
          <w:rtl/>
        </w:rPr>
        <w:t xml:space="preserve"> </w:t>
      </w:r>
      <w:r w:rsidR="00FE318B">
        <w:rPr>
          <w:rFonts w:cs="David" w:hint="cs"/>
          <w:sz w:val="24"/>
          <w:szCs w:val="24"/>
          <w:rtl/>
        </w:rPr>
        <w:t>עדיין מהווים</w:t>
      </w:r>
      <w:r w:rsidR="00D20B06">
        <w:rPr>
          <w:rFonts w:cs="David" w:hint="cs"/>
          <w:sz w:val="24"/>
          <w:szCs w:val="24"/>
          <w:rtl/>
        </w:rPr>
        <w:t xml:space="preserve"> רכוש משותף, </w:t>
      </w:r>
      <w:r w:rsidR="005D0660">
        <w:rPr>
          <w:rFonts w:cs="David" w:hint="cs"/>
          <w:sz w:val="24"/>
          <w:szCs w:val="24"/>
          <w:rtl/>
        </w:rPr>
        <w:t>ואין</w:t>
      </w:r>
      <w:r w:rsidR="005A580B">
        <w:rPr>
          <w:rFonts w:cs="David" w:hint="cs"/>
          <w:sz w:val="24"/>
          <w:szCs w:val="24"/>
          <w:rtl/>
        </w:rPr>
        <w:t xml:space="preserve"> </w:t>
      </w:r>
      <w:r w:rsidR="00907AF4">
        <w:rPr>
          <w:rFonts w:cs="David" w:hint="cs"/>
          <w:sz w:val="24"/>
          <w:szCs w:val="24"/>
          <w:rtl/>
        </w:rPr>
        <w:t xml:space="preserve">לו </w:t>
      </w:r>
      <w:r w:rsidR="005A580B">
        <w:rPr>
          <w:rFonts w:cs="David" w:hint="cs"/>
          <w:sz w:val="24"/>
          <w:szCs w:val="24"/>
          <w:rtl/>
        </w:rPr>
        <w:t>אלא</w:t>
      </w:r>
      <w:r w:rsidR="00D20B06">
        <w:rPr>
          <w:rFonts w:cs="David" w:hint="cs"/>
          <w:sz w:val="24"/>
          <w:szCs w:val="24"/>
          <w:rtl/>
        </w:rPr>
        <w:t xml:space="preserve"> למכור </w:t>
      </w:r>
      <w:r w:rsidR="005A580B">
        <w:rPr>
          <w:rFonts w:cs="David" w:hint="cs"/>
          <w:sz w:val="24"/>
          <w:szCs w:val="24"/>
          <w:rtl/>
        </w:rPr>
        <w:t>החלקים הנ"ל</w:t>
      </w:r>
      <w:r w:rsidR="00E87900">
        <w:rPr>
          <w:rFonts w:cs="David" w:hint="cs"/>
          <w:sz w:val="24"/>
          <w:szCs w:val="24"/>
          <w:rtl/>
        </w:rPr>
        <w:t xml:space="preserve"> </w:t>
      </w:r>
      <w:r w:rsidR="008A639B">
        <w:rPr>
          <w:rFonts w:cs="David" w:hint="cs"/>
          <w:sz w:val="24"/>
          <w:szCs w:val="24"/>
          <w:rtl/>
        </w:rPr>
        <w:t>לדיירים</w:t>
      </w:r>
      <w:r w:rsidR="005D0660">
        <w:rPr>
          <w:rFonts w:cs="David" w:hint="cs"/>
          <w:sz w:val="24"/>
          <w:szCs w:val="24"/>
          <w:rtl/>
        </w:rPr>
        <w:t xml:space="preserve"> בלבד</w:t>
      </w:r>
      <w:r w:rsidR="00E87900">
        <w:rPr>
          <w:rFonts w:cs="David" w:hint="cs"/>
          <w:sz w:val="24"/>
          <w:szCs w:val="24"/>
          <w:rtl/>
        </w:rPr>
        <w:t xml:space="preserve"> לשם הצמדה לדירותיהם, או לחלופין לקנות דירה </w:t>
      </w:r>
      <w:r w:rsidR="00C75886">
        <w:rPr>
          <w:rFonts w:cs="David" w:hint="cs"/>
          <w:sz w:val="24"/>
          <w:szCs w:val="24"/>
          <w:rtl/>
        </w:rPr>
        <w:t>בבניין</w:t>
      </w:r>
      <w:r w:rsidR="00E96800">
        <w:rPr>
          <w:rFonts w:cs="David" w:hint="cs"/>
          <w:sz w:val="24"/>
          <w:szCs w:val="24"/>
          <w:rtl/>
        </w:rPr>
        <w:t xml:space="preserve"> מדייר</w:t>
      </w:r>
      <w:r w:rsidR="00C75886">
        <w:rPr>
          <w:rFonts w:cs="David" w:hint="cs"/>
          <w:sz w:val="24"/>
          <w:szCs w:val="24"/>
          <w:rtl/>
        </w:rPr>
        <w:t xml:space="preserve"> ולהצמיד לה את החלקים</w:t>
      </w:r>
      <w:r w:rsidR="00341082">
        <w:rPr>
          <w:rFonts w:cs="David" w:hint="cs"/>
          <w:sz w:val="24"/>
          <w:szCs w:val="24"/>
          <w:rtl/>
        </w:rPr>
        <w:t xml:space="preserve"> המוצאים.</w:t>
      </w:r>
      <w:r w:rsidR="00907AF4">
        <w:rPr>
          <w:rStyle w:val="a9"/>
          <w:rFonts w:cs="David"/>
          <w:sz w:val="24"/>
          <w:szCs w:val="24"/>
          <w:rtl/>
        </w:rPr>
        <w:footnoteReference w:id="30"/>
      </w:r>
      <w:r w:rsidR="00C75886">
        <w:rPr>
          <w:rFonts w:cs="David" w:hint="cs"/>
          <w:sz w:val="24"/>
          <w:szCs w:val="24"/>
          <w:rtl/>
        </w:rPr>
        <w:t xml:space="preserve"> (בכפוף ל</w:t>
      </w:r>
      <w:r w:rsidR="002635F6">
        <w:rPr>
          <w:rFonts w:cs="David" w:hint="cs"/>
          <w:sz w:val="24"/>
          <w:szCs w:val="24"/>
          <w:rtl/>
        </w:rPr>
        <w:t>ה</w:t>
      </w:r>
      <w:r w:rsidR="008A639B">
        <w:rPr>
          <w:rFonts w:cs="David" w:hint="cs"/>
          <w:sz w:val="24"/>
          <w:szCs w:val="24"/>
          <w:rtl/>
        </w:rPr>
        <w:t>ג</w:t>
      </w:r>
      <w:r w:rsidR="002635F6">
        <w:rPr>
          <w:rFonts w:cs="David" w:hint="cs"/>
          <w:sz w:val="24"/>
          <w:szCs w:val="24"/>
          <w:rtl/>
        </w:rPr>
        <w:t>בלה על הצמדת חניות)</w:t>
      </w:r>
      <w:r w:rsidR="0046449C">
        <w:rPr>
          <w:rFonts w:cs="David" w:hint="cs"/>
          <w:sz w:val="24"/>
          <w:szCs w:val="24"/>
          <w:rtl/>
        </w:rPr>
        <w:t>.</w:t>
      </w:r>
      <w:r w:rsidR="008A639B">
        <w:rPr>
          <w:rStyle w:val="a9"/>
          <w:rFonts w:cs="David"/>
          <w:sz w:val="24"/>
          <w:szCs w:val="24"/>
          <w:rtl/>
        </w:rPr>
        <w:footnoteReference w:id="31"/>
      </w:r>
      <w:r w:rsidR="0046449C">
        <w:rPr>
          <w:rFonts w:cs="David" w:hint="cs"/>
          <w:sz w:val="24"/>
          <w:szCs w:val="24"/>
          <w:rtl/>
        </w:rPr>
        <w:t xml:space="preserve"> </w:t>
      </w:r>
    </w:p>
    <w:p w14:paraId="4575E7A0" w14:textId="662F5BB6" w:rsidR="000966B2" w:rsidRDefault="00FE6E73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highlight w:val="yellow"/>
          <w:rtl/>
        </w:rPr>
        <w:t>29</w:t>
      </w:r>
      <w:r w:rsidR="000966B2" w:rsidRPr="000966B2">
        <w:rPr>
          <w:rFonts w:cs="David" w:hint="cs"/>
          <w:sz w:val="24"/>
          <w:szCs w:val="24"/>
          <w:highlight w:val="yellow"/>
          <w:rtl/>
        </w:rPr>
        <w:t xml:space="preserve"> נק</w:t>
      </w:r>
    </w:p>
    <w:p w14:paraId="1ECCD630" w14:textId="769ED765" w:rsidR="00AA4BE5" w:rsidRPr="005B409C" w:rsidRDefault="009E067A" w:rsidP="00621972">
      <w:pPr>
        <w:pStyle w:val="aa"/>
        <w:numPr>
          <w:ilvl w:val="0"/>
          <w:numId w:val="3"/>
        </w:numPr>
        <w:spacing w:after="0" w:line="480" w:lineRule="auto"/>
        <w:jc w:val="both"/>
        <w:rPr>
          <w:rFonts w:cs="David"/>
          <w:sz w:val="24"/>
          <w:szCs w:val="24"/>
          <w:u w:val="single"/>
          <w:rtl/>
        </w:rPr>
      </w:pPr>
      <w:r w:rsidRPr="005B409C">
        <w:rPr>
          <w:rFonts w:cs="David" w:hint="cs"/>
          <w:sz w:val="24"/>
          <w:szCs w:val="24"/>
          <w:u w:val="single"/>
          <w:rtl/>
        </w:rPr>
        <w:t>ההחלטה להסבת הרכוש המשותף</w:t>
      </w:r>
    </w:p>
    <w:p w14:paraId="35900CB3" w14:textId="051BF6DA" w:rsidR="00044FA3" w:rsidRDefault="005B409C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מזרחי יטענו כי</w:t>
      </w:r>
      <w:r w:rsidR="002322F4">
        <w:rPr>
          <w:rFonts w:cs="David" w:hint="cs"/>
          <w:sz w:val="24"/>
          <w:szCs w:val="24"/>
          <w:rtl/>
        </w:rPr>
        <w:t xml:space="preserve"> </w:t>
      </w:r>
      <w:r w:rsidR="00641504">
        <w:rPr>
          <w:rFonts w:cs="David" w:hint="cs"/>
          <w:sz w:val="24"/>
          <w:szCs w:val="24"/>
          <w:rtl/>
        </w:rPr>
        <w:t>השטח</w:t>
      </w:r>
      <w:r w:rsidR="002322F4">
        <w:rPr>
          <w:rFonts w:cs="David" w:hint="cs"/>
          <w:sz w:val="24"/>
          <w:szCs w:val="24"/>
          <w:rtl/>
        </w:rPr>
        <w:t xml:space="preserve"> יועד ל</w:t>
      </w:r>
      <w:r w:rsidR="0004680E">
        <w:rPr>
          <w:rFonts w:cs="David" w:hint="cs"/>
          <w:sz w:val="24"/>
          <w:szCs w:val="24"/>
          <w:rtl/>
        </w:rPr>
        <w:t>גינה לפי ההדמיה שהוצגה לה.</w:t>
      </w:r>
      <w:r>
        <w:rPr>
          <w:rFonts w:cs="David" w:hint="cs"/>
          <w:sz w:val="24"/>
          <w:szCs w:val="24"/>
          <w:rtl/>
        </w:rPr>
        <w:t xml:space="preserve"> האספה לא השיגה רוב של </w:t>
      </w:r>
      <w:r w:rsidR="00DA5177">
        <w:rPr>
          <w:rFonts w:cs="David" w:hint="cs"/>
          <w:sz w:val="24"/>
          <w:szCs w:val="24"/>
          <w:rtl/>
        </w:rPr>
        <w:t xml:space="preserve">60% מבעלי הדירות, הדרוש לשם התאמה לבעל מוגבלות ע"י </w:t>
      </w:r>
      <w:r w:rsidR="00D91B7A">
        <w:rPr>
          <w:rFonts w:cs="David" w:hint="cs"/>
          <w:sz w:val="24"/>
          <w:szCs w:val="24"/>
          <w:rtl/>
        </w:rPr>
        <w:t>הכשרת מקום כמקום חניה</w:t>
      </w:r>
      <w:r w:rsidR="00641504">
        <w:rPr>
          <w:rFonts w:cs="David" w:hint="cs"/>
          <w:sz w:val="24"/>
          <w:szCs w:val="24"/>
          <w:rtl/>
        </w:rPr>
        <w:t>, ולכן ההחלטה אינה חוקית</w:t>
      </w:r>
      <w:r w:rsidR="00D91B7A">
        <w:rPr>
          <w:rFonts w:cs="David" w:hint="cs"/>
          <w:sz w:val="24"/>
          <w:szCs w:val="24"/>
          <w:rtl/>
        </w:rPr>
        <w:t>.</w:t>
      </w:r>
      <w:r w:rsidR="00D91B7A">
        <w:rPr>
          <w:rStyle w:val="a9"/>
          <w:rFonts w:cs="David"/>
          <w:sz w:val="24"/>
          <w:szCs w:val="24"/>
          <w:rtl/>
        </w:rPr>
        <w:footnoteReference w:id="32"/>
      </w:r>
      <w:r w:rsidR="001D2419">
        <w:rPr>
          <w:rFonts w:cs="David" w:hint="cs"/>
          <w:sz w:val="24"/>
          <w:szCs w:val="24"/>
          <w:rtl/>
        </w:rPr>
        <w:t xml:space="preserve"> מנגד יטענו המשיבים כי </w:t>
      </w:r>
      <w:r w:rsidR="00D206DF">
        <w:rPr>
          <w:rFonts w:cs="David" w:hint="cs"/>
          <w:sz w:val="24"/>
          <w:szCs w:val="24"/>
          <w:rtl/>
        </w:rPr>
        <w:t xml:space="preserve">השטח </w:t>
      </w:r>
      <w:r w:rsidR="004F02B0">
        <w:rPr>
          <w:rFonts w:cs="David" w:hint="cs"/>
          <w:sz w:val="24"/>
          <w:szCs w:val="24"/>
          <w:rtl/>
        </w:rPr>
        <w:t>לא יועד</w:t>
      </w:r>
      <w:r w:rsidR="00694F93">
        <w:rPr>
          <w:rFonts w:cs="David" w:hint="cs"/>
          <w:sz w:val="24"/>
          <w:szCs w:val="24"/>
          <w:rtl/>
        </w:rPr>
        <w:t xml:space="preserve"> לגינה</w:t>
      </w:r>
      <w:r w:rsidR="004F02B0">
        <w:rPr>
          <w:rFonts w:cs="David" w:hint="cs"/>
          <w:sz w:val="24"/>
          <w:szCs w:val="24"/>
          <w:rtl/>
        </w:rPr>
        <w:t xml:space="preserve"> כדין ולא נרשם כ</w:t>
      </w:r>
      <w:r w:rsidR="002571B8">
        <w:rPr>
          <w:rFonts w:cs="David" w:hint="cs"/>
          <w:sz w:val="24"/>
          <w:szCs w:val="24"/>
          <w:rtl/>
        </w:rPr>
        <w:t xml:space="preserve">'גינה', </w:t>
      </w:r>
      <w:r w:rsidR="008906DC">
        <w:rPr>
          <w:rFonts w:cs="David" w:hint="cs"/>
          <w:sz w:val="24"/>
          <w:szCs w:val="24"/>
          <w:rtl/>
        </w:rPr>
        <w:t>וכי האספה לא קבעה</w:t>
      </w:r>
      <w:r w:rsidR="00694F93">
        <w:rPr>
          <w:rFonts w:cs="David" w:hint="cs"/>
          <w:sz w:val="24"/>
          <w:szCs w:val="24"/>
          <w:rtl/>
        </w:rPr>
        <w:t xml:space="preserve"> מעולם</w:t>
      </w:r>
      <w:r w:rsidR="00181FEB">
        <w:rPr>
          <w:rFonts w:cs="David" w:hint="cs"/>
          <w:sz w:val="24"/>
          <w:szCs w:val="24"/>
          <w:rtl/>
        </w:rPr>
        <w:t xml:space="preserve"> בהחלטה</w:t>
      </w:r>
      <w:r w:rsidR="008906DC">
        <w:rPr>
          <w:rFonts w:cs="David" w:hint="cs"/>
          <w:sz w:val="24"/>
          <w:szCs w:val="24"/>
          <w:rtl/>
        </w:rPr>
        <w:t xml:space="preserve"> </w:t>
      </w:r>
      <w:r w:rsidR="00694F93">
        <w:rPr>
          <w:rFonts w:cs="David" w:hint="cs"/>
          <w:sz w:val="24"/>
          <w:szCs w:val="24"/>
          <w:rtl/>
        </w:rPr>
        <w:t xml:space="preserve">שהשטח יהווה </w:t>
      </w:r>
      <w:r w:rsidR="008906DC">
        <w:rPr>
          <w:rFonts w:cs="David" w:hint="cs"/>
          <w:sz w:val="24"/>
          <w:szCs w:val="24"/>
          <w:rtl/>
        </w:rPr>
        <w:t>גינ</w:t>
      </w:r>
      <w:r w:rsidR="00694F93">
        <w:rPr>
          <w:rFonts w:cs="David" w:hint="cs"/>
          <w:sz w:val="24"/>
          <w:szCs w:val="24"/>
          <w:rtl/>
        </w:rPr>
        <w:t>ה</w:t>
      </w:r>
      <w:r w:rsidR="008906DC">
        <w:rPr>
          <w:rFonts w:cs="David" w:hint="cs"/>
          <w:sz w:val="24"/>
          <w:szCs w:val="24"/>
          <w:rtl/>
        </w:rPr>
        <w:t xml:space="preserve">, ולכן זהו רכוש משותף </w:t>
      </w:r>
      <w:r w:rsidR="00181FEB">
        <w:rPr>
          <w:rFonts w:cs="David" w:hint="cs"/>
          <w:sz w:val="24"/>
          <w:szCs w:val="24"/>
          <w:rtl/>
        </w:rPr>
        <w:t>שלא הוגדר</w:t>
      </w:r>
      <w:r w:rsidR="006F1169">
        <w:rPr>
          <w:rFonts w:cs="David" w:hint="cs"/>
          <w:sz w:val="24"/>
          <w:szCs w:val="24"/>
          <w:rtl/>
        </w:rPr>
        <w:t xml:space="preserve"> </w:t>
      </w:r>
      <w:r w:rsidR="00181FEB">
        <w:rPr>
          <w:rFonts w:cs="David" w:hint="cs"/>
          <w:sz w:val="24"/>
          <w:szCs w:val="24"/>
          <w:rtl/>
        </w:rPr>
        <w:t>ו</w:t>
      </w:r>
      <w:r w:rsidR="00445774">
        <w:rPr>
          <w:rFonts w:cs="David" w:hint="cs"/>
          <w:sz w:val="24"/>
          <w:szCs w:val="24"/>
          <w:rtl/>
        </w:rPr>
        <w:t>אין דרישה ל</w:t>
      </w:r>
      <w:r w:rsidR="00C67BBE">
        <w:rPr>
          <w:rFonts w:cs="David" w:hint="cs"/>
          <w:sz w:val="24"/>
          <w:szCs w:val="24"/>
          <w:rtl/>
        </w:rPr>
        <w:t>הכשירו במיוחד</w:t>
      </w:r>
      <w:r w:rsidR="00181FEB">
        <w:rPr>
          <w:rFonts w:cs="David" w:hint="cs"/>
          <w:sz w:val="24"/>
          <w:szCs w:val="24"/>
          <w:rtl/>
        </w:rPr>
        <w:t xml:space="preserve"> לשם חנייה</w:t>
      </w:r>
      <w:r w:rsidR="00444490">
        <w:rPr>
          <w:rFonts w:cs="David" w:hint="cs"/>
          <w:sz w:val="24"/>
          <w:szCs w:val="24"/>
          <w:rtl/>
        </w:rPr>
        <w:t xml:space="preserve"> ע"י </w:t>
      </w:r>
      <w:r w:rsidR="00444490">
        <w:rPr>
          <w:rFonts w:cs="David" w:hint="cs"/>
          <w:sz w:val="24"/>
          <w:szCs w:val="24"/>
          <w:rtl/>
        </w:rPr>
        <w:lastRenderedPageBreak/>
        <w:t>ההתאמה לבעל מוגבלות</w:t>
      </w:r>
      <w:r w:rsidR="00A83AE6">
        <w:rPr>
          <w:rFonts w:cs="David" w:hint="cs"/>
          <w:sz w:val="24"/>
          <w:szCs w:val="24"/>
          <w:rtl/>
        </w:rPr>
        <w:t>.</w:t>
      </w:r>
      <w:r w:rsidR="00A83AE6">
        <w:rPr>
          <w:rStyle w:val="a9"/>
          <w:rFonts w:cs="David"/>
          <w:sz w:val="24"/>
          <w:szCs w:val="24"/>
          <w:rtl/>
        </w:rPr>
        <w:footnoteReference w:id="33"/>
      </w:r>
      <w:r w:rsidR="005D03B9">
        <w:rPr>
          <w:rFonts w:cs="David" w:hint="cs"/>
          <w:sz w:val="24"/>
          <w:szCs w:val="24"/>
          <w:rtl/>
        </w:rPr>
        <w:t xml:space="preserve"> </w:t>
      </w:r>
      <w:r w:rsidR="00970A3E">
        <w:rPr>
          <w:rFonts w:cs="David" w:hint="cs"/>
          <w:sz w:val="24"/>
          <w:szCs w:val="24"/>
          <w:rtl/>
        </w:rPr>
        <w:t>עוד ישיבו</w:t>
      </w:r>
      <w:r w:rsidR="006F1169">
        <w:rPr>
          <w:rFonts w:cs="David" w:hint="cs"/>
          <w:sz w:val="24"/>
          <w:szCs w:val="24"/>
          <w:rtl/>
        </w:rPr>
        <w:t xml:space="preserve"> </w:t>
      </w:r>
      <w:r w:rsidR="0086381A">
        <w:rPr>
          <w:rFonts w:cs="David" w:hint="cs"/>
          <w:sz w:val="24"/>
          <w:szCs w:val="24"/>
          <w:rtl/>
        </w:rPr>
        <w:t>שהוחלט</w:t>
      </w:r>
      <w:r w:rsidR="005504AB">
        <w:rPr>
          <w:rFonts w:cs="David" w:hint="cs"/>
          <w:sz w:val="24"/>
          <w:szCs w:val="24"/>
          <w:rtl/>
        </w:rPr>
        <w:t xml:space="preserve"> על הסבה לחנייה</w:t>
      </w:r>
      <w:r w:rsidR="0086381A">
        <w:rPr>
          <w:rFonts w:cs="David" w:hint="cs"/>
          <w:sz w:val="24"/>
          <w:szCs w:val="24"/>
          <w:rtl/>
        </w:rPr>
        <w:t xml:space="preserve"> </w:t>
      </w:r>
      <w:r w:rsidR="00DD089C">
        <w:rPr>
          <w:rFonts w:cs="David" w:hint="cs"/>
          <w:sz w:val="24"/>
          <w:szCs w:val="24"/>
          <w:rtl/>
        </w:rPr>
        <w:t>ב</w:t>
      </w:r>
      <w:r w:rsidR="00970A3E">
        <w:rPr>
          <w:rFonts w:cs="David" w:hint="cs"/>
          <w:sz w:val="24"/>
          <w:szCs w:val="24"/>
          <w:rtl/>
        </w:rPr>
        <w:t>אספה הכללית</w:t>
      </w:r>
      <w:r w:rsidR="00FE095A">
        <w:rPr>
          <w:rFonts w:cs="David" w:hint="cs"/>
          <w:sz w:val="24"/>
          <w:szCs w:val="24"/>
          <w:rtl/>
        </w:rPr>
        <w:t xml:space="preserve"> (כולם השתתפו)</w:t>
      </w:r>
      <w:r w:rsidR="00FE095A">
        <w:rPr>
          <w:rStyle w:val="a9"/>
          <w:rFonts w:cs="David"/>
          <w:sz w:val="24"/>
          <w:szCs w:val="24"/>
          <w:rtl/>
        </w:rPr>
        <w:footnoteReference w:id="34"/>
      </w:r>
      <w:r w:rsidR="003550F3">
        <w:rPr>
          <w:rFonts w:cs="David" w:hint="cs"/>
          <w:sz w:val="24"/>
          <w:szCs w:val="24"/>
          <w:rtl/>
        </w:rPr>
        <w:t xml:space="preserve"> </w:t>
      </w:r>
      <w:r w:rsidR="005504AB">
        <w:rPr>
          <w:rFonts w:cs="David" w:hint="cs"/>
          <w:sz w:val="24"/>
          <w:szCs w:val="24"/>
          <w:rtl/>
        </w:rPr>
        <w:t>ובהכרעת</w:t>
      </w:r>
      <w:r w:rsidR="0086381A">
        <w:rPr>
          <w:rFonts w:cs="David" w:hint="cs"/>
          <w:sz w:val="24"/>
          <w:szCs w:val="24"/>
          <w:rtl/>
        </w:rPr>
        <w:t xml:space="preserve"> </w:t>
      </w:r>
      <w:r w:rsidR="00D84E50">
        <w:rPr>
          <w:rFonts w:cs="David" w:hint="cs"/>
          <w:sz w:val="24"/>
          <w:szCs w:val="24"/>
          <w:rtl/>
        </w:rPr>
        <w:t>רוב</w:t>
      </w:r>
      <w:r w:rsidR="0086381A">
        <w:rPr>
          <w:rFonts w:cs="David" w:hint="cs"/>
          <w:sz w:val="24"/>
          <w:szCs w:val="24"/>
          <w:rtl/>
        </w:rPr>
        <w:t xml:space="preserve"> הדיירים</w:t>
      </w:r>
      <w:r w:rsidR="003550F3">
        <w:rPr>
          <w:rFonts w:cs="David" w:hint="cs"/>
          <w:sz w:val="24"/>
          <w:szCs w:val="24"/>
          <w:rtl/>
        </w:rPr>
        <w:t xml:space="preserve">, מתוקף </w:t>
      </w:r>
      <w:r w:rsidR="005E0597">
        <w:rPr>
          <w:rFonts w:cs="David" w:hint="cs"/>
          <w:sz w:val="24"/>
          <w:szCs w:val="24"/>
          <w:rtl/>
        </w:rPr>
        <w:t>סמכות בעלי הדירות</w:t>
      </w:r>
      <w:r w:rsidR="003550F3">
        <w:rPr>
          <w:rFonts w:cs="David" w:hint="cs"/>
          <w:sz w:val="24"/>
          <w:szCs w:val="24"/>
          <w:rtl/>
        </w:rPr>
        <w:t xml:space="preserve"> לקבוע</w:t>
      </w:r>
      <w:r w:rsidR="004510E5">
        <w:rPr>
          <w:rFonts w:cs="David" w:hint="cs"/>
          <w:sz w:val="24"/>
          <w:szCs w:val="24"/>
          <w:rtl/>
        </w:rPr>
        <w:t xml:space="preserve"> </w:t>
      </w:r>
      <w:r w:rsidR="004B06FA">
        <w:rPr>
          <w:rFonts w:cs="David" w:hint="cs"/>
          <w:sz w:val="24"/>
          <w:szCs w:val="24"/>
          <w:rtl/>
        </w:rPr>
        <w:t xml:space="preserve">דרכי ניהול ושימוש </w:t>
      </w:r>
      <w:r w:rsidR="00C67BBE">
        <w:rPr>
          <w:rFonts w:cs="David" w:hint="cs"/>
          <w:sz w:val="24"/>
          <w:szCs w:val="24"/>
          <w:rtl/>
        </w:rPr>
        <w:t>בשטח</w:t>
      </w:r>
      <w:r w:rsidR="003550F3">
        <w:rPr>
          <w:rFonts w:cs="David" w:hint="cs"/>
          <w:sz w:val="24"/>
          <w:szCs w:val="24"/>
          <w:rtl/>
        </w:rPr>
        <w:t xml:space="preserve"> האמור</w:t>
      </w:r>
      <w:r w:rsidR="00753BE0">
        <w:rPr>
          <w:rFonts w:cs="David" w:hint="cs"/>
          <w:sz w:val="24"/>
          <w:szCs w:val="24"/>
          <w:rtl/>
        </w:rPr>
        <w:t>.</w:t>
      </w:r>
      <w:r w:rsidR="00753BE0">
        <w:rPr>
          <w:rStyle w:val="a9"/>
          <w:rFonts w:cs="David"/>
          <w:sz w:val="24"/>
          <w:szCs w:val="24"/>
          <w:rtl/>
        </w:rPr>
        <w:footnoteReference w:id="35"/>
      </w:r>
      <w:r w:rsidR="006D4437">
        <w:rPr>
          <w:rFonts w:cs="David" w:hint="cs"/>
          <w:sz w:val="24"/>
          <w:szCs w:val="24"/>
          <w:rtl/>
        </w:rPr>
        <w:t xml:space="preserve"> </w:t>
      </w:r>
      <w:r w:rsidR="0076190B">
        <w:rPr>
          <w:rFonts w:cs="David" w:hint="cs"/>
          <w:sz w:val="24"/>
          <w:szCs w:val="24"/>
          <w:rtl/>
        </w:rPr>
        <w:t>הסבת</w:t>
      </w:r>
      <w:r w:rsidR="006D4437">
        <w:rPr>
          <w:rFonts w:cs="David" w:hint="cs"/>
          <w:sz w:val="24"/>
          <w:szCs w:val="24"/>
          <w:rtl/>
        </w:rPr>
        <w:t xml:space="preserve"> </w:t>
      </w:r>
      <w:r w:rsidR="0076190B">
        <w:rPr>
          <w:rFonts w:cs="David" w:hint="cs"/>
          <w:sz w:val="24"/>
          <w:szCs w:val="24"/>
          <w:rtl/>
        </w:rPr>
        <w:t>ה</w:t>
      </w:r>
      <w:r w:rsidR="006D4437">
        <w:rPr>
          <w:rFonts w:cs="David" w:hint="cs"/>
          <w:sz w:val="24"/>
          <w:szCs w:val="24"/>
          <w:rtl/>
        </w:rPr>
        <w:t xml:space="preserve">שטח המשותף </w:t>
      </w:r>
      <w:r w:rsidR="0076190B">
        <w:rPr>
          <w:rFonts w:cs="David" w:hint="cs"/>
          <w:sz w:val="24"/>
          <w:szCs w:val="24"/>
          <w:rtl/>
        </w:rPr>
        <w:t>ל</w:t>
      </w:r>
      <w:r w:rsidR="006D4437">
        <w:rPr>
          <w:rFonts w:cs="David" w:hint="cs"/>
          <w:sz w:val="24"/>
          <w:szCs w:val="24"/>
          <w:rtl/>
        </w:rPr>
        <w:t>חנייה לכלל הדיירים (</w:t>
      </w:r>
      <w:r w:rsidR="0076190B">
        <w:rPr>
          <w:rFonts w:cs="David" w:hint="cs"/>
          <w:sz w:val="24"/>
          <w:szCs w:val="24"/>
          <w:rtl/>
        </w:rPr>
        <w:t xml:space="preserve">לשון אירועון - </w:t>
      </w:r>
      <w:r w:rsidR="006D4437">
        <w:rPr>
          <w:rFonts w:cs="David" w:hint="cs"/>
          <w:sz w:val="24"/>
          <w:szCs w:val="24"/>
          <w:rtl/>
        </w:rPr>
        <w:t>"</w:t>
      </w:r>
      <w:r w:rsidR="007C4522">
        <w:rPr>
          <w:rFonts w:cs="David" w:hint="cs"/>
          <w:sz w:val="24"/>
          <w:szCs w:val="24"/>
          <w:rtl/>
        </w:rPr>
        <w:t>חלק מן הרכוש המשותף") הוא שימוש</w:t>
      </w:r>
      <w:r w:rsidR="00BD29D5">
        <w:rPr>
          <w:rFonts w:cs="David" w:hint="cs"/>
          <w:sz w:val="24"/>
          <w:szCs w:val="24"/>
          <w:rtl/>
        </w:rPr>
        <w:t xml:space="preserve"> סביר ושוויוני</w:t>
      </w:r>
      <w:r w:rsidR="00DD089C">
        <w:rPr>
          <w:rFonts w:cs="David" w:hint="cs"/>
          <w:sz w:val="24"/>
          <w:szCs w:val="24"/>
          <w:rtl/>
        </w:rPr>
        <w:t>.</w:t>
      </w:r>
      <w:r w:rsidR="00E2174B">
        <w:rPr>
          <w:rStyle w:val="a9"/>
          <w:rFonts w:cs="David"/>
          <w:sz w:val="24"/>
          <w:szCs w:val="24"/>
          <w:rtl/>
        </w:rPr>
        <w:footnoteReference w:id="36"/>
      </w:r>
    </w:p>
    <w:p w14:paraId="4AAB98EC" w14:textId="29BE8E27" w:rsidR="00422CCB" w:rsidRPr="003E0C3E" w:rsidRDefault="001642D5" w:rsidP="00621972">
      <w:pPr>
        <w:spacing w:after="0"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לחלופין יטענו מזרחי </w:t>
      </w:r>
      <w:r w:rsidR="00CE5A5B">
        <w:rPr>
          <w:rFonts w:cs="David" w:hint="cs"/>
          <w:sz w:val="24"/>
          <w:szCs w:val="24"/>
          <w:rtl/>
        </w:rPr>
        <w:t>שבמידה</w:t>
      </w:r>
      <w:r w:rsidR="00BE66C9">
        <w:rPr>
          <w:rFonts w:cs="David" w:hint="cs"/>
          <w:sz w:val="24"/>
          <w:szCs w:val="24"/>
          <w:rtl/>
        </w:rPr>
        <w:t xml:space="preserve"> </w:t>
      </w:r>
      <w:r w:rsidR="00CE5A5B">
        <w:rPr>
          <w:rFonts w:cs="David" w:hint="cs"/>
          <w:sz w:val="24"/>
          <w:szCs w:val="24"/>
          <w:rtl/>
        </w:rPr>
        <w:t>ו</w:t>
      </w:r>
      <w:r w:rsidR="00BE66C9">
        <w:rPr>
          <w:rFonts w:cs="David" w:hint="cs"/>
          <w:sz w:val="24"/>
          <w:szCs w:val="24"/>
          <w:rtl/>
        </w:rPr>
        <w:t xml:space="preserve">ההסבה נעשתה כדין, </w:t>
      </w:r>
      <w:r w:rsidR="00FF4E91">
        <w:rPr>
          <w:rFonts w:cs="David" w:hint="cs"/>
          <w:sz w:val="24"/>
          <w:szCs w:val="24"/>
          <w:rtl/>
        </w:rPr>
        <w:t>יש</w:t>
      </w:r>
      <w:r w:rsidR="00BE66C9">
        <w:rPr>
          <w:rFonts w:cs="David" w:hint="cs"/>
          <w:sz w:val="24"/>
          <w:szCs w:val="24"/>
          <w:rtl/>
        </w:rPr>
        <w:t xml:space="preserve"> </w:t>
      </w:r>
      <w:r w:rsidR="00FF4E91">
        <w:rPr>
          <w:rFonts w:cs="David" w:hint="cs"/>
          <w:sz w:val="24"/>
          <w:szCs w:val="24"/>
          <w:rtl/>
        </w:rPr>
        <w:t>לתקן</w:t>
      </w:r>
      <w:r w:rsidR="009A6DAF">
        <w:rPr>
          <w:rFonts w:cs="David" w:hint="cs"/>
          <w:sz w:val="24"/>
          <w:szCs w:val="24"/>
          <w:rtl/>
        </w:rPr>
        <w:t xml:space="preserve"> </w:t>
      </w:r>
      <w:r w:rsidR="00FF4E91">
        <w:rPr>
          <w:rFonts w:cs="David" w:hint="cs"/>
          <w:sz w:val="24"/>
          <w:szCs w:val="24"/>
          <w:rtl/>
        </w:rPr>
        <w:t xml:space="preserve">את </w:t>
      </w:r>
      <w:r w:rsidR="009A6DAF">
        <w:rPr>
          <w:rFonts w:cs="David" w:hint="cs"/>
          <w:sz w:val="24"/>
          <w:szCs w:val="24"/>
          <w:rtl/>
        </w:rPr>
        <w:t xml:space="preserve">החניה </w:t>
      </w:r>
      <w:r w:rsidR="008870C8">
        <w:rPr>
          <w:rFonts w:cs="David" w:hint="cs"/>
          <w:sz w:val="24"/>
          <w:szCs w:val="24"/>
          <w:rtl/>
        </w:rPr>
        <w:t>ו</w:t>
      </w:r>
      <w:r w:rsidR="00FF4E91">
        <w:rPr>
          <w:rFonts w:cs="David" w:hint="cs"/>
          <w:sz w:val="24"/>
          <w:szCs w:val="24"/>
          <w:rtl/>
        </w:rPr>
        <w:t xml:space="preserve">דירתם כך שהחניה </w:t>
      </w:r>
      <w:r w:rsidR="004B3097">
        <w:rPr>
          <w:rFonts w:cs="David" w:hint="cs"/>
          <w:sz w:val="24"/>
          <w:szCs w:val="24"/>
          <w:rtl/>
        </w:rPr>
        <w:t>לא ת</w:t>
      </w:r>
      <w:r w:rsidR="00FF4E91">
        <w:rPr>
          <w:rFonts w:cs="David" w:hint="cs"/>
          <w:sz w:val="24"/>
          <w:szCs w:val="24"/>
          <w:rtl/>
        </w:rPr>
        <w:t>גרום</w:t>
      </w:r>
      <w:r w:rsidR="004B3097">
        <w:rPr>
          <w:rFonts w:cs="David" w:hint="cs"/>
          <w:sz w:val="24"/>
          <w:szCs w:val="24"/>
          <w:rtl/>
        </w:rPr>
        <w:t xml:space="preserve"> לרעש ולזיהום אוויר בדירתם</w:t>
      </w:r>
      <w:r w:rsidR="00B145D1">
        <w:rPr>
          <w:rFonts w:cs="David" w:hint="cs"/>
          <w:sz w:val="24"/>
          <w:szCs w:val="24"/>
          <w:rtl/>
        </w:rPr>
        <w:t xml:space="preserve"> </w:t>
      </w:r>
      <w:r w:rsidR="008870C8">
        <w:rPr>
          <w:rFonts w:cs="David" w:hint="cs"/>
          <w:sz w:val="24"/>
          <w:szCs w:val="24"/>
          <w:rtl/>
        </w:rPr>
        <w:t>כדי</w:t>
      </w:r>
      <w:r w:rsidR="001A3F18">
        <w:rPr>
          <w:rFonts w:cs="David" w:hint="cs"/>
          <w:sz w:val="24"/>
          <w:szCs w:val="24"/>
          <w:rtl/>
        </w:rPr>
        <w:t xml:space="preserve"> לשמור על </w:t>
      </w:r>
      <w:r w:rsidR="00B145D1">
        <w:rPr>
          <w:rFonts w:cs="David" w:hint="cs"/>
          <w:sz w:val="24"/>
          <w:szCs w:val="24"/>
          <w:rtl/>
        </w:rPr>
        <w:t>ערכה</w:t>
      </w:r>
      <w:r w:rsidR="001A3F18">
        <w:rPr>
          <w:rFonts w:cs="David" w:hint="cs"/>
          <w:sz w:val="24"/>
          <w:szCs w:val="24"/>
          <w:rtl/>
        </w:rPr>
        <w:t xml:space="preserve"> ו</w:t>
      </w:r>
      <w:r w:rsidR="00B145D1">
        <w:rPr>
          <w:rFonts w:cs="David" w:hint="cs"/>
          <w:sz w:val="24"/>
          <w:szCs w:val="24"/>
          <w:rtl/>
        </w:rPr>
        <w:t xml:space="preserve">על </w:t>
      </w:r>
      <w:r w:rsidR="001A3F18">
        <w:rPr>
          <w:rFonts w:cs="David" w:hint="cs"/>
          <w:sz w:val="24"/>
          <w:szCs w:val="24"/>
          <w:rtl/>
        </w:rPr>
        <w:t>מרקם חיים תקין</w:t>
      </w:r>
      <w:r w:rsidR="004B3097">
        <w:rPr>
          <w:rFonts w:cs="David" w:hint="cs"/>
          <w:sz w:val="24"/>
          <w:szCs w:val="24"/>
          <w:rtl/>
        </w:rPr>
        <w:t>.</w:t>
      </w:r>
      <w:r w:rsidR="004B3097">
        <w:rPr>
          <w:rStyle w:val="a9"/>
          <w:rFonts w:cs="David"/>
          <w:sz w:val="24"/>
          <w:szCs w:val="24"/>
          <w:rtl/>
        </w:rPr>
        <w:footnoteReference w:id="37"/>
      </w:r>
    </w:p>
    <w:p w14:paraId="3F3CAEEF" w14:textId="5A65FAB2" w:rsidR="001429FD" w:rsidRDefault="00354935" w:rsidP="00621972">
      <w:pPr>
        <w:spacing w:after="0" w:line="48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התשלום על ההסבה </w:t>
      </w:r>
    </w:p>
    <w:p w14:paraId="0C1ACEDB" w14:textId="002C838C" w:rsidR="00354935" w:rsidRDefault="005F5CB1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מזרחי יטענו שאינם חייבים לשלם</w:t>
      </w:r>
      <w:r w:rsidR="00BE515C">
        <w:rPr>
          <w:rFonts w:cs="David" w:hint="cs"/>
          <w:sz w:val="24"/>
          <w:szCs w:val="24"/>
          <w:rtl/>
        </w:rPr>
        <w:t xml:space="preserve"> על ההסבה לחניה</w:t>
      </w:r>
      <w:r w:rsidR="00141765">
        <w:rPr>
          <w:rFonts w:cs="David" w:hint="cs"/>
          <w:sz w:val="24"/>
          <w:szCs w:val="24"/>
          <w:rtl/>
        </w:rPr>
        <w:t>, בהתאם לס' 12(ב) לתקנון המצוי</w:t>
      </w:r>
      <w:r w:rsidR="00C54E2C">
        <w:rPr>
          <w:rFonts w:cs="David" w:hint="cs"/>
          <w:sz w:val="24"/>
          <w:szCs w:val="24"/>
          <w:rtl/>
        </w:rPr>
        <w:t xml:space="preserve"> ולס' 62(א) לחוק המקרקעין</w:t>
      </w:r>
      <w:r w:rsidR="00141765">
        <w:rPr>
          <w:rFonts w:cs="David" w:hint="cs"/>
          <w:sz w:val="24"/>
          <w:szCs w:val="24"/>
          <w:rtl/>
        </w:rPr>
        <w:t xml:space="preserve">, </w:t>
      </w:r>
      <w:r w:rsidR="00CB08D9">
        <w:rPr>
          <w:rFonts w:cs="David" w:hint="cs"/>
          <w:sz w:val="24"/>
          <w:szCs w:val="24"/>
          <w:rtl/>
        </w:rPr>
        <w:t>כי</w:t>
      </w:r>
      <w:r w:rsidR="00016572">
        <w:rPr>
          <w:rFonts w:cs="David" w:hint="cs"/>
          <w:sz w:val="24"/>
          <w:szCs w:val="24"/>
          <w:rtl/>
        </w:rPr>
        <w:t xml:space="preserve"> לא הסכימו </w:t>
      </w:r>
      <w:r w:rsidR="00173A9E">
        <w:rPr>
          <w:rFonts w:cs="David" w:hint="cs"/>
          <w:sz w:val="24"/>
          <w:szCs w:val="24"/>
          <w:rtl/>
        </w:rPr>
        <w:t xml:space="preserve">לשלם הוצאה </w:t>
      </w:r>
      <w:r w:rsidR="001B55B0">
        <w:rPr>
          <w:rFonts w:cs="David" w:hint="cs"/>
          <w:sz w:val="24"/>
          <w:szCs w:val="24"/>
          <w:rtl/>
        </w:rPr>
        <w:t>כזו על ההסבה</w:t>
      </w:r>
      <w:r w:rsidR="00016572">
        <w:rPr>
          <w:rFonts w:cs="David" w:hint="cs"/>
          <w:sz w:val="24"/>
          <w:szCs w:val="24"/>
          <w:rtl/>
        </w:rPr>
        <w:t>.</w:t>
      </w:r>
      <w:r w:rsidR="001E761F">
        <w:rPr>
          <w:rFonts w:cs="David" w:hint="cs"/>
          <w:sz w:val="24"/>
          <w:szCs w:val="24"/>
          <w:rtl/>
        </w:rPr>
        <w:t xml:space="preserve"> מנגד</w:t>
      </w:r>
      <w:r w:rsidR="001B55B0">
        <w:rPr>
          <w:rFonts w:cs="David" w:hint="cs"/>
          <w:sz w:val="24"/>
          <w:szCs w:val="24"/>
          <w:rtl/>
        </w:rPr>
        <w:t>,</w:t>
      </w:r>
      <w:r w:rsidR="001E761F">
        <w:rPr>
          <w:rFonts w:cs="David" w:hint="cs"/>
          <w:sz w:val="24"/>
          <w:szCs w:val="24"/>
          <w:rtl/>
        </w:rPr>
        <w:t xml:space="preserve"> יטענו בעלי הדירות</w:t>
      </w:r>
      <w:r w:rsidR="005A086E">
        <w:rPr>
          <w:rFonts w:cs="David" w:hint="cs"/>
          <w:sz w:val="24"/>
          <w:szCs w:val="24"/>
          <w:rtl/>
        </w:rPr>
        <w:t xml:space="preserve"> שרק הוצאות שלא פורשו בחוק</w:t>
      </w:r>
      <w:r w:rsidR="0018350A">
        <w:rPr>
          <w:rFonts w:cs="David" w:hint="cs"/>
          <w:sz w:val="24"/>
          <w:szCs w:val="24"/>
          <w:rtl/>
        </w:rPr>
        <w:t xml:space="preserve"> המקרקעין</w:t>
      </w:r>
      <w:r w:rsidR="005A086E">
        <w:rPr>
          <w:rFonts w:cs="David" w:hint="cs"/>
          <w:sz w:val="24"/>
          <w:szCs w:val="24"/>
          <w:rtl/>
        </w:rPr>
        <w:t xml:space="preserve"> </w:t>
      </w:r>
      <w:r w:rsidR="0018350A">
        <w:rPr>
          <w:rFonts w:cs="David" w:hint="cs"/>
          <w:sz w:val="24"/>
          <w:szCs w:val="24"/>
          <w:rtl/>
        </w:rPr>
        <w:t>אינן</w:t>
      </w:r>
      <w:r w:rsidR="005A086E">
        <w:rPr>
          <w:rFonts w:cs="David" w:hint="cs"/>
          <w:sz w:val="24"/>
          <w:szCs w:val="24"/>
          <w:rtl/>
        </w:rPr>
        <w:t xml:space="preserve"> מחייבות את מי שלא הסכים להן.</w:t>
      </w:r>
      <w:r w:rsidR="001B2F24">
        <w:rPr>
          <w:rStyle w:val="a9"/>
          <w:rFonts w:cs="David"/>
          <w:sz w:val="24"/>
          <w:szCs w:val="24"/>
          <w:rtl/>
        </w:rPr>
        <w:footnoteReference w:id="38"/>
      </w:r>
      <w:r w:rsidR="005A086E">
        <w:rPr>
          <w:rFonts w:cs="David" w:hint="cs"/>
          <w:sz w:val="24"/>
          <w:szCs w:val="24"/>
          <w:rtl/>
        </w:rPr>
        <w:t xml:space="preserve"> </w:t>
      </w:r>
      <w:r w:rsidR="00277399">
        <w:rPr>
          <w:rFonts w:cs="David" w:hint="cs"/>
          <w:sz w:val="24"/>
          <w:szCs w:val="24"/>
          <w:rtl/>
        </w:rPr>
        <w:t>ההסבה נקבעה באספה</w:t>
      </w:r>
      <w:r w:rsidR="00277399" w:rsidRPr="004607AF">
        <w:rPr>
          <w:rFonts w:cs="David" w:hint="cs"/>
          <w:sz w:val="24"/>
          <w:szCs w:val="24"/>
          <w:rtl/>
        </w:rPr>
        <w:t xml:space="preserve"> </w:t>
      </w:r>
      <w:r w:rsidR="00277399">
        <w:rPr>
          <w:rFonts w:cs="David" w:hint="cs"/>
          <w:sz w:val="24"/>
          <w:szCs w:val="24"/>
          <w:rtl/>
        </w:rPr>
        <w:t>לצורך הגדרת דרכי</w:t>
      </w:r>
      <w:r w:rsidR="007A7E2F">
        <w:rPr>
          <w:rFonts w:cs="David" w:hint="cs"/>
          <w:sz w:val="24"/>
          <w:szCs w:val="24"/>
          <w:rtl/>
        </w:rPr>
        <w:t>-</w:t>
      </w:r>
      <w:r w:rsidR="00277399">
        <w:rPr>
          <w:rFonts w:cs="David" w:hint="cs"/>
          <w:sz w:val="24"/>
          <w:szCs w:val="24"/>
          <w:rtl/>
        </w:rPr>
        <w:t xml:space="preserve">שימוש בשטח </w:t>
      </w:r>
      <w:r w:rsidR="00AF6608">
        <w:rPr>
          <w:rFonts w:cs="David" w:hint="cs"/>
          <w:sz w:val="24"/>
          <w:szCs w:val="24"/>
          <w:rtl/>
        </w:rPr>
        <w:t>המשותף</w:t>
      </w:r>
      <w:r w:rsidR="00277399">
        <w:rPr>
          <w:rFonts w:cs="David" w:hint="cs"/>
          <w:sz w:val="24"/>
          <w:szCs w:val="24"/>
          <w:rtl/>
        </w:rPr>
        <w:t xml:space="preserve"> (הקמת חניה).</w:t>
      </w:r>
      <w:r w:rsidR="00091854">
        <w:rPr>
          <w:rStyle w:val="a9"/>
          <w:rFonts w:cs="David"/>
          <w:sz w:val="24"/>
          <w:szCs w:val="24"/>
          <w:rtl/>
        </w:rPr>
        <w:footnoteReference w:id="39"/>
      </w:r>
      <w:r w:rsidR="00091854">
        <w:rPr>
          <w:rFonts w:cs="David" w:hint="cs"/>
          <w:sz w:val="24"/>
          <w:szCs w:val="24"/>
          <w:rtl/>
        </w:rPr>
        <w:t xml:space="preserve"> </w:t>
      </w:r>
      <w:r w:rsidR="00C26B54">
        <w:rPr>
          <w:rFonts w:cs="David" w:hint="cs"/>
          <w:sz w:val="24"/>
          <w:szCs w:val="24"/>
          <w:rtl/>
        </w:rPr>
        <w:t>ההסבה</w:t>
      </w:r>
      <w:r w:rsidR="00862CCB">
        <w:rPr>
          <w:rFonts w:cs="David" w:hint="cs"/>
          <w:sz w:val="24"/>
          <w:szCs w:val="24"/>
          <w:rtl/>
        </w:rPr>
        <w:t xml:space="preserve"> לחניה היא </w:t>
      </w:r>
      <w:r w:rsidR="00862CCB" w:rsidRPr="00E510A8">
        <w:rPr>
          <w:rFonts w:cs="David" w:hint="cs"/>
          <w:b/>
          <w:bCs/>
          <w:sz w:val="24"/>
          <w:szCs w:val="24"/>
          <w:rtl/>
        </w:rPr>
        <w:t>שיפור</w:t>
      </w:r>
      <w:r w:rsidR="00862CCB">
        <w:rPr>
          <w:rFonts w:cs="David" w:hint="cs"/>
          <w:sz w:val="24"/>
          <w:szCs w:val="24"/>
          <w:rtl/>
        </w:rPr>
        <w:t xml:space="preserve"> הרכוש המשותף (השטח)- </w:t>
      </w:r>
      <w:r w:rsidR="004F38C5">
        <w:rPr>
          <w:rFonts w:cs="David" w:hint="cs"/>
          <w:sz w:val="24"/>
          <w:szCs w:val="24"/>
          <w:rtl/>
        </w:rPr>
        <w:t>ולכן</w:t>
      </w:r>
      <w:r w:rsidR="00E510A8">
        <w:rPr>
          <w:rFonts w:cs="David" w:hint="cs"/>
          <w:sz w:val="24"/>
          <w:szCs w:val="24"/>
          <w:rtl/>
        </w:rPr>
        <w:t xml:space="preserve"> ההסבה</w:t>
      </w:r>
      <w:r w:rsidR="001E761F">
        <w:rPr>
          <w:rFonts w:cs="David" w:hint="cs"/>
          <w:sz w:val="24"/>
          <w:szCs w:val="24"/>
          <w:rtl/>
        </w:rPr>
        <w:t xml:space="preserve"> </w:t>
      </w:r>
      <w:r w:rsidR="00862CCB">
        <w:rPr>
          <w:rFonts w:cs="David" w:hint="cs"/>
          <w:sz w:val="24"/>
          <w:szCs w:val="24"/>
          <w:rtl/>
        </w:rPr>
        <w:t xml:space="preserve">מהווה </w:t>
      </w:r>
      <w:r w:rsidR="001E761F">
        <w:rPr>
          <w:rFonts w:cs="David" w:hint="cs"/>
          <w:sz w:val="24"/>
          <w:szCs w:val="24"/>
          <w:rtl/>
        </w:rPr>
        <w:t>הוצא</w:t>
      </w:r>
      <w:r w:rsidR="00C26B54">
        <w:rPr>
          <w:rFonts w:cs="David" w:hint="cs"/>
          <w:sz w:val="24"/>
          <w:szCs w:val="24"/>
          <w:rtl/>
        </w:rPr>
        <w:t>ה</w:t>
      </w:r>
      <w:r w:rsidR="001E761F">
        <w:rPr>
          <w:rFonts w:cs="David" w:hint="cs"/>
          <w:sz w:val="24"/>
          <w:szCs w:val="24"/>
          <w:rtl/>
        </w:rPr>
        <w:t xml:space="preserve"> </w:t>
      </w:r>
      <w:r w:rsidR="00A83884">
        <w:rPr>
          <w:rFonts w:cs="David" w:hint="cs"/>
          <w:sz w:val="24"/>
          <w:szCs w:val="24"/>
          <w:rtl/>
        </w:rPr>
        <w:t>הדרושה ל</w:t>
      </w:r>
      <w:r w:rsidR="002058CC">
        <w:rPr>
          <w:rFonts w:cs="David" w:hint="cs"/>
          <w:sz w:val="24"/>
          <w:szCs w:val="24"/>
          <w:rtl/>
        </w:rPr>
        <w:t>'החזקה תקינה וניהול'</w:t>
      </w:r>
      <w:r w:rsidR="002D5519">
        <w:rPr>
          <w:rFonts w:cs="David" w:hint="cs"/>
          <w:sz w:val="24"/>
          <w:szCs w:val="24"/>
          <w:rtl/>
        </w:rPr>
        <w:t xml:space="preserve"> (</w:t>
      </w:r>
      <w:r w:rsidR="00621972">
        <w:rPr>
          <w:rFonts w:cs="David" w:hint="cs"/>
          <w:sz w:val="24"/>
          <w:szCs w:val="24"/>
          <w:rtl/>
        </w:rPr>
        <w:t>ש</w:t>
      </w:r>
      <w:r w:rsidR="002D5519">
        <w:rPr>
          <w:rFonts w:cs="David" w:hint="cs"/>
          <w:sz w:val="24"/>
          <w:szCs w:val="24"/>
          <w:rtl/>
        </w:rPr>
        <w:t>כוללת גם שיפור</w:t>
      </w:r>
      <w:r w:rsidR="00621972">
        <w:rPr>
          <w:rFonts w:cs="David" w:hint="cs"/>
          <w:sz w:val="24"/>
          <w:szCs w:val="24"/>
          <w:rtl/>
        </w:rPr>
        <w:t xml:space="preserve"> כאמור,</w:t>
      </w:r>
      <w:r w:rsidR="00E510A8">
        <w:rPr>
          <w:rFonts w:cs="David" w:hint="cs"/>
          <w:sz w:val="24"/>
          <w:szCs w:val="24"/>
          <w:rtl/>
        </w:rPr>
        <w:t xml:space="preserve"> לפי ס' 58 לחוק המקרקעין</w:t>
      </w:r>
      <w:r w:rsidR="005A086E">
        <w:rPr>
          <w:rFonts w:cs="David" w:hint="cs"/>
          <w:sz w:val="24"/>
          <w:szCs w:val="24"/>
          <w:rtl/>
        </w:rPr>
        <w:t>)</w:t>
      </w:r>
      <w:r w:rsidR="002058CC">
        <w:rPr>
          <w:rFonts w:cs="David" w:hint="cs"/>
          <w:sz w:val="24"/>
          <w:szCs w:val="24"/>
          <w:rtl/>
        </w:rPr>
        <w:t xml:space="preserve"> של הרכוש המשותף</w:t>
      </w:r>
      <w:r w:rsidR="000E7624">
        <w:rPr>
          <w:rFonts w:cs="David" w:hint="cs"/>
          <w:sz w:val="24"/>
          <w:szCs w:val="24"/>
          <w:rtl/>
        </w:rPr>
        <w:t xml:space="preserve">, כלומר הוצאה שפורשה בחוק </w:t>
      </w:r>
      <w:r w:rsidR="004F38C5">
        <w:rPr>
          <w:rFonts w:cs="David" w:hint="cs"/>
          <w:sz w:val="24"/>
          <w:szCs w:val="24"/>
          <w:rtl/>
        </w:rPr>
        <w:t>ש</w:t>
      </w:r>
      <w:r w:rsidR="00A36202">
        <w:rPr>
          <w:rFonts w:cs="David" w:hint="cs"/>
          <w:sz w:val="24"/>
          <w:szCs w:val="24"/>
          <w:rtl/>
        </w:rPr>
        <w:t>בעל-דירה חייב להשתתף בה</w:t>
      </w:r>
      <w:r w:rsidR="002D5519">
        <w:rPr>
          <w:rFonts w:cs="David" w:hint="cs"/>
          <w:sz w:val="24"/>
          <w:szCs w:val="24"/>
          <w:rtl/>
        </w:rPr>
        <w:t>.</w:t>
      </w:r>
      <w:r w:rsidR="00112FAA">
        <w:rPr>
          <w:rStyle w:val="a9"/>
          <w:rFonts w:cs="David"/>
          <w:sz w:val="24"/>
          <w:szCs w:val="24"/>
          <w:rtl/>
        </w:rPr>
        <w:footnoteReference w:id="40"/>
      </w:r>
    </w:p>
    <w:p w14:paraId="46BF475C" w14:textId="528B3C75" w:rsidR="000966B2" w:rsidRDefault="000966B2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0966B2">
        <w:rPr>
          <w:rFonts w:cs="David" w:hint="cs"/>
          <w:sz w:val="24"/>
          <w:szCs w:val="24"/>
          <w:highlight w:val="yellow"/>
          <w:rtl/>
        </w:rPr>
        <w:t>אין התיחסות לשאלה האם התיק אמור להיות לפני בית המשפט או המפקח</w:t>
      </w:r>
    </w:p>
    <w:p w14:paraId="3811B4FA" w14:textId="4E49CC39" w:rsidR="000966B2" w:rsidRPr="00354935" w:rsidRDefault="000966B2" w:rsidP="00621972">
      <w:pPr>
        <w:spacing w:after="0" w:line="480" w:lineRule="auto"/>
        <w:jc w:val="both"/>
        <w:rPr>
          <w:rFonts w:cs="David"/>
          <w:sz w:val="24"/>
          <w:szCs w:val="24"/>
        </w:rPr>
      </w:pPr>
      <w:r w:rsidRPr="000966B2">
        <w:rPr>
          <w:rFonts w:cs="David" w:hint="cs"/>
          <w:sz w:val="24"/>
          <w:szCs w:val="24"/>
          <w:highlight w:val="yellow"/>
          <w:rtl/>
        </w:rPr>
        <w:t>18 נק</w:t>
      </w:r>
    </w:p>
    <w:p w14:paraId="68DEA22C" w14:textId="703FCB45" w:rsidR="00990974" w:rsidRPr="00990974" w:rsidRDefault="00926C80" w:rsidP="00621972">
      <w:pPr>
        <w:pStyle w:val="aa"/>
        <w:numPr>
          <w:ilvl w:val="0"/>
          <w:numId w:val="3"/>
        </w:numPr>
        <w:spacing w:after="0" w:line="48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ה</w:t>
      </w:r>
      <w:r w:rsidR="002A175A">
        <w:rPr>
          <w:rFonts w:cs="David" w:hint="cs"/>
          <w:sz w:val="24"/>
          <w:szCs w:val="24"/>
          <w:u w:val="single"/>
          <w:rtl/>
        </w:rPr>
        <w:t>ה</w:t>
      </w:r>
      <w:r>
        <w:rPr>
          <w:rFonts w:cs="David" w:hint="cs"/>
          <w:sz w:val="24"/>
          <w:szCs w:val="24"/>
          <w:u w:val="single"/>
          <w:rtl/>
        </w:rPr>
        <w:t>רחבה</w:t>
      </w:r>
    </w:p>
    <w:p w14:paraId="23D02A1C" w14:textId="429B2D98" w:rsidR="00990974" w:rsidRDefault="00990974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קרמר יטען שההחלטה על</w:t>
      </w:r>
      <w:r w:rsidR="001F191D">
        <w:rPr>
          <w:rFonts w:cs="David" w:hint="cs"/>
          <w:sz w:val="24"/>
          <w:szCs w:val="24"/>
          <w:rtl/>
        </w:rPr>
        <w:t xml:space="preserve"> הרחבת הדירה של מזרחי לא-חוקית כי היא </w:t>
      </w:r>
      <w:r w:rsidR="00602F9B">
        <w:rPr>
          <w:rFonts w:cs="David" w:hint="cs"/>
          <w:sz w:val="24"/>
          <w:szCs w:val="24"/>
          <w:rtl/>
        </w:rPr>
        <w:t>החלטה על הוצאה והצמדה של רכוש משותף לדירה- החלטה ש</w:t>
      </w:r>
      <w:r w:rsidR="001F191D">
        <w:rPr>
          <w:rFonts w:cs="David" w:hint="cs"/>
          <w:sz w:val="24"/>
          <w:szCs w:val="24"/>
          <w:rtl/>
        </w:rPr>
        <w:t>טעונה הסכמת כל בעלי הדירות, והוא התנגד</w:t>
      </w:r>
      <w:r w:rsidR="00D02D30">
        <w:rPr>
          <w:rFonts w:cs="David" w:hint="cs"/>
          <w:sz w:val="24"/>
          <w:szCs w:val="24"/>
          <w:rtl/>
        </w:rPr>
        <w:t xml:space="preserve"> לכך.</w:t>
      </w:r>
      <w:r w:rsidR="00D02D30">
        <w:rPr>
          <w:rStyle w:val="a9"/>
          <w:rFonts w:cs="David"/>
          <w:sz w:val="24"/>
          <w:szCs w:val="24"/>
          <w:rtl/>
        </w:rPr>
        <w:footnoteReference w:id="41"/>
      </w:r>
      <w:r w:rsidR="00DB4F03">
        <w:rPr>
          <w:rFonts w:cs="David" w:hint="cs"/>
          <w:sz w:val="24"/>
          <w:szCs w:val="24"/>
          <w:rtl/>
        </w:rPr>
        <w:t xml:space="preserve"> </w:t>
      </w:r>
      <w:r w:rsidR="00793896">
        <w:rPr>
          <w:rFonts w:cs="David" w:hint="cs"/>
          <w:sz w:val="24"/>
          <w:szCs w:val="24"/>
          <w:rtl/>
        </w:rPr>
        <w:t xml:space="preserve">על כך ישיבו מזרחי כי </w:t>
      </w:r>
      <w:r w:rsidR="00484D65">
        <w:rPr>
          <w:rFonts w:cs="David" w:hint="cs"/>
          <w:sz w:val="24"/>
          <w:szCs w:val="24"/>
          <w:rtl/>
        </w:rPr>
        <w:t xml:space="preserve">ההרחבה חוקית </w:t>
      </w:r>
      <w:r w:rsidR="003E6EBE">
        <w:rPr>
          <w:rFonts w:cs="David" w:hint="cs"/>
          <w:sz w:val="24"/>
          <w:szCs w:val="24"/>
          <w:rtl/>
        </w:rPr>
        <w:t>כיוון</w:t>
      </w:r>
      <w:r w:rsidR="00171067">
        <w:rPr>
          <w:rFonts w:cs="David" w:hint="cs"/>
          <w:sz w:val="24"/>
          <w:szCs w:val="24"/>
          <w:rtl/>
        </w:rPr>
        <w:t xml:space="preserve"> </w:t>
      </w:r>
      <w:r w:rsidR="003E6EBE">
        <w:rPr>
          <w:rFonts w:cs="David" w:hint="cs"/>
          <w:sz w:val="24"/>
          <w:szCs w:val="24"/>
          <w:rtl/>
        </w:rPr>
        <w:t>ש</w:t>
      </w:r>
      <w:r w:rsidR="00C507D8">
        <w:rPr>
          <w:rFonts w:cs="David" w:hint="cs"/>
          <w:sz w:val="24"/>
          <w:szCs w:val="24"/>
          <w:rtl/>
        </w:rPr>
        <w:t xml:space="preserve">החלטה על </w:t>
      </w:r>
      <w:r w:rsidR="00BE4CBC">
        <w:rPr>
          <w:rFonts w:cs="David" w:hint="cs"/>
          <w:sz w:val="24"/>
          <w:szCs w:val="24"/>
          <w:rtl/>
        </w:rPr>
        <w:t>הוצאה והצמדה של הרכוש המשותף לדירה כדי להרחיבה</w:t>
      </w:r>
      <w:r w:rsidR="00C507D8">
        <w:rPr>
          <w:rFonts w:cs="David" w:hint="cs"/>
          <w:sz w:val="24"/>
          <w:szCs w:val="24"/>
          <w:rtl/>
        </w:rPr>
        <w:t xml:space="preserve"> </w:t>
      </w:r>
      <w:r w:rsidR="00484D65">
        <w:rPr>
          <w:rFonts w:cs="David" w:hint="cs"/>
          <w:sz w:val="24"/>
          <w:szCs w:val="24"/>
          <w:rtl/>
        </w:rPr>
        <w:t xml:space="preserve">טעונה </w:t>
      </w:r>
      <w:r w:rsidR="0083528C">
        <w:rPr>
          <w:rFonts w:cs="David" w:hint="cs"/>
          <w:sz w:val="24"/>
          <w:szCs w:val="24"/>
          <w:rtl/>
        </w:rPr>
        <w:t>הסכמת</w:t>
      </w:r>
      <w:r w:rsidR="003E6EBE">
        <w:rPr>
          <w:rFonts w:cs="David" w:hint="cs"/>
          <w:sz w:val="24"/>
          <w:szCs w:val="24"/>
          <w:rtl/>
        </w:rPr>
        <w:t xml:space="preserve"> 75% מהם </w:t>
      </w:r>
      <w:r w:rsidR="00B91BAA">
        <w:rPr>
          <w:rFonts w:cs="David" w:hint="cs"/>
          <w:sz w:val="24"/>
          <w:szCs w:val="24"/>
          <w:rtl/>
        </w:rPr>
        <w:t xml:space="preserve">ולא הסכמת כולם </w:t>
      </w:r>
      <w:r w:rsidR="003E6EBE">
        <w:rPr>
          <w:rFonts w:cs="David" w:hint="cs"/>
          <w:sz w:val="24"/>
          <w:szCs w:val="24"/>
          <w:rtl/>
        </w:rPr>
        <w:t>(וכולם הסכימו חוץ מקרמר)</w:t>
      </w:r>
      <w:r w:rsidR="002C3E68">
        <w:rPr>
          <w:rFonts w:cs="David" w:hint="cs"/>
          <w:sz w:val="24"/>
          <w:szCs w:val="24"/>
          <w:rtl/>
        </w:rPr>
        <w:t>.</w:t>
      </w:r>
      <w:r w:rsidR="00F2487E">
        <w:rPr>
          <w:rStyle w:val="a9"/>
          <w:rFonts w:cs="David"/>
          <w:sz w:val="24"/>
          <w:szCs w:val="24"/>
          <w:rtl/>
        </w:rPr>
        <w:footnoteReference w:id="42"/>
      </w:r>
      <w:r w:rsidR="002C3E68">
        <w:rPr>
          <w:rFonts w:cs="David" w:hint="cs"/>
          <w:sz w:val="24"/>
          <w:szCs w:val="24"/>
          <w:rtl/>
        </w:rPr>
        <w:t xml:space="preserve"> </w:t>
      </w:r>
      <w:r w:rsidR="00483999">
        <w:rPr>
          <w:rFonts w:cs="David" w:hint="cs"/>
          <w:sz w:val="24"/>
          <w:szCs w:val="24"/>
          <w:rtl/>
        </w:rPr>
        <w:t xml:space="preserve">לחלופין יטען קרמר </w:t>
      </w:r>
      <w:r w:rsidR="007A38BE">
        <w:rPr>
          <w:rFonts w:cs="David" w:hint="cs"/>
          <w:sz w:val="24"/>
          <w:szCs w:val="24"/>
          <w:rtl/>
        </w:rPr>
        <w:t>ש</w:t>
      </w:r>
      <w:r w:rsidR="00483999">
        <w:rPr>
          <w:rFonts w:cs="David" w:hint="cs"/>
          <w:sz w:val="24"/>
          <w:szCs w:val="24"/>
          <w:rtl/>
        </w:rPr>
        <w:t xml:space="preserve">ההרחבה תפגע </w:t>
      </w:r>
      <w:r w:rsidR="00A31A2E">
        <w:rPr>
          <w:rFonts w:cs="David" w:hint="cs"/>
          <w:sz w:val="24"/>
          <w:szCs w:val="24"/>
          <w:rtl/>
        </w:rPr>
        <w:t>ב</w:t>
      </w:r>
      <w:r w:rsidR="007A38BE">
        <w:rPr>
          <w:rFonts w:cs="David" w:hint="cs"/>
          <w:sz w:val="24"/>
          <w:szCs w:val="24"/>
          <w:rtl/>
        </w:rPr>
        <w:t xml:space="preserve">זכות הבנייה שלו להרחבה </w:t>
      </w:r>
      <w:r w:rsidR="00F2487E">
        <w:rPr>
          <w:rFonts w:cs="David" w:hint="cs"/>
          <w:sz w:val="24"/>
          <w:szCs w:val="24"/>
          <w:rtl/>
        </w:rPr>
        <w:t>של דירתו, ועל כן אינה חוקית.</w:t>
      </w:r>
      <w:r w:rsidR="00F2487E">
        <w:rPr>
          <w:rStyle w:val="a9"/>
          <w:rFonts w:cs="David"/>
          <w:sz w:val="24"/>
          <w:szCs w:val="24"/>
          <w:rtl/>
        </w:rPr>
        <w:footnoteReference w:id="43"/>
      </w:r>
      <w:r w:rsidR="00122620">
        <w:rPr>
          <w:rFonts w:cs="David" w:hint="cs"/>
          <w:sz w:val="24"/>
          <w:szCs w:val="24"/>
          <w:rtl/>
        </w:rPr>
        <w:t xml:space="preserve"> </w:t>
      </w:r>
      <w:r w:rsidR="004D6239">
        <w:rPr>
          <w:rFonts w:cs="David" w:hint="cs"/>
          <w:sz w:val="24"/>
          <w:szCs w:val="24"/>
          <w:rtl/>
        </w:rPr>
        <w:t xml:space="preserve">על זאת </w:t>
      </w:r>
      <w:r w:rsidR="00122620">
        <w:rPr>
          <w:rFonts w:cs="David" w:hint="cs"/>
          <w:sz w:val="24"/>
          <w:szCs w:val="24"/>
          <w:rtl/>
        </w:rPr>
        <w:t xml:space="preserve">ישיבו מזרחי כי ההרחבה לא פוגעת בזכותו להרחיב את דירתו באופן דומה (שאלה </w:t>
      </w:r>
      <w:r w:rsidR="0029482E">
        <w:rPr>
          <w:rFonts w:cs="David" w:hint="cs"/>
          <w:sz w:val="24"/>
          <w:szCs w:val="24"/>
          <w:rtl/>
        </w:rPr>
        <w:t>שבעובדה</w:t>
      </w:r>
      <w:r w:rsidR="00122620">
        <w:rPr>
          <w:rFonts w:cs="David" w:hint="cs"/>
          <w:sz w:val="24"/>
          <w:szCs w:val="24"/>
          <w:rtl/>
        </w:rPr>
        <w:t>)</w:t>
      </w:r>
      <w:r w:rsidR="004D6239">
        <w:rPr>
          <w:rFonts w:cs="David" w:hint="cs"/>
          <w:sz w:val="24"/>
          <w:szCs w:val="24"/>
          <w:rtl/>
        </w:rPr>
        <w:t xml:space="preserve"> ולכן חוקית</w:t>
      </w:r>
      <w:r w:rsidR="00122620">
        <w:rPr>
          <w:rFonts w:cs="David" w:hint="cs"/>
          <w:sz w:val="24"/>
          <w:szCs w:val="24"/>
          <w:rtl/>
        </w:rPr>
        <w:t>.</w:t>
      </w:r>
      <w:r w:rsidR="00715459">
        <w:rPr>
          <w:rFonts w:cs="David" w:hint="cs"/>
          <w:sz w:val="24"/>
          <w:szCs w:val="24"/>
          <w:rtl/>
        </w:rPr>
        <w:t xml:space="preserve"> </w:t>
      </w:r>
      <w:r w:rsidR="001234DD">
        <w:rPr>
          <w:rFonts w:cs="David" w:hint="cs"/>
          <w:sz w:val="24"/>
          <w:szCs w:val="24"/>
          <w:rtl/>
        </w:rPr>
        <w:t>עוד ישיבו</w:t>
      </w:r>
      <w:r w:rsidR="00EE34FA">
        <w:rPr>
          <w:rFonts w:cs="David" w:hint="cs"/>
          <w:sz w:val="24"/>
          <w:szCs w:val="24"/>
          <w:rtl/>
        </w:rPr>
        <w:t xml:space="preserve"> שישנה חובה על תו"ל (לפי סע' 39 ו61 לחוה"ח) בהחלטות של אספת הדיירים מכוח התקנון (שנחשב להסכם), ואילו קרמר הפר את חובת</w:t>
      </w:r>
      <w:r w:rsidR="001234DD">
        <w:rPr>
          <w:rFonts w:cs="David" w:hint="cs"/>
          <w:sz w:val="24"/>
          <w:szCs w:val="24"/>
          <w:rtl/>
        </w:rPr>
        <w:t xml:space="preserve"> </w:t>
      </w:r>
      <w:r w:rsidR="00EE34FA">
        <w:rPr>
          <w:rFonts w:cs="David" w:hint="cs"/>
          <w:sz w:val="24"/>
          <w:szCs w:val="24"/>
          <w:rtl/>
        </w:rPr>
        <w:t>ה</w:t>
      </w:r>
      <w:r w:rsidR="001234DD">
        <w:rPr>
          <w:rFonts w:cs="David" w:hint="cs"/>
          <w:sz w:val="24"/>
          <w:szCs w:val="24"/>
          <w:rtl/>
        </w:rPr>
        <w:t xml:space="preserve">תו"ל </w:t>
      </w:r>
      <w:r w:rsidR="006003ED">
        <w:rPr>
          <w:rFonts w:cs="David" w:hint="cs"/>
          <w:sz w:val="24"/>
          <w:szCs w:val="24"/>
          <w:rtl/>
        </w:rPr>
        <w:lastRenderedPageBreak/>
        <w:t xml:space="preserve">כי </w:t>
      </w:r>
      <w:r w:rsidR="002518AF">
        <w:rPr>
          <w:rFonts w:cs="David" w:hint="cs"/>
          <w:sz w:val="24"/>
          <w:szCs w:val="24"/>
          <w:rtl/>
        </w:rPr>
        <w:t>הוא</w:t>
      </w:r>
      <w:r w:rsidR="004D6239">
        <w:rPr>
          <w:rFonts w:cs="David" w:hint="cs"/>
          <w:sz w:val="24"/>
          <w:szCs w:val="24"/>
          <w:rtl/>
        </w:rPr>
        <w:t xml:space="preserve"> </w:t>
      </w:r>
      <w:r w:rsidR="00555E88">
        <w:rPr>
          <w:rFonts w:cs="David" w:hint="cs"/>
          <w:sz w:val="24"/>
          <w:szCs w:val="24"/>
          <w:rtl/>
        </w:rPr>
        <w:t>מסרב בדווקנות על ההרחבה בגלל ניסיונם למנוע את הסבת הרכוש המשותף לחנייה.</w:t>
      </w:r>
      <w:r w:rsidR="00EE34FA">
        <w:rPr>
          <w:rStyle w:val="a9"/>
          <w:rFonts w:cs="David"/>
          <w:sz w:val="24"/>
          <w:szCs w:val="24"/>
          <w:rtl/>
        </w:rPr>
        <w:footnoteReference w:id="44"/>
      </w:r>
      <w:r w:rsidR="00555E88">
        <w:rPr>
          <w:rFonts w:cs="David" w:hint="cs"/>
          <w:sz w:val="24"/>
          <w:szCs w:val="24"/>
          <w:rtl/>
        </w:rPr>
        <w:t xml:space="preserve"> </w:t>
      </w:r>
      <w:r w:rsidR="007E7BFD">
        <w:rPr>
          <w:rFonts w:cs="David" w:hint="cs"/>
          <w:sz w:val="24"/>
          <w:szCs w:val="24"/>
          <w:rtl/>
        </w:rPr>
        <w:t xml:space="preserve">קרמר מצידו יטען שמזרחי </w:t>
      </w:r>
      <w:r w:rsidR="00C82126">
        <w:rPr>
          <w:rFonts w:cs="David" w:hint="cs"/>
          <w:sz w:val="24"/>
          <w:szCs w:val="24"/>
          <w:rtl/>
        </w:rPr>
        <w:t>חסרי</w:t>
      </w:r>
      <w:r w:rsidR="002518AF">
        <w:rPr>
          <w:rFonts w:cs="David" w:hint="cs"/>
          <w:sz w:val="24"/>
          <w:szCs w:val="24"/>
          <w:rtl/>
        </w:rPr>
        <w:t xml:space="preserve"> </w:t>
      </w:r>
      <w:r w:rsidR="007E7BFD">
        <w:rPr>
          <w:rFonts w:cs="David" w:hint="cs"/>
          <w:sz w:val="24"/>
          <w:szCs w:val="24"/>
          <w:rtl/>
        </w:rPr>
        <w:t xml:space="preserve">תו"ל </w:t>
      </w:r>
      <w:r w:rsidR="00C82126">
        <w:rPr>
          <w:rFonts w:cs="David" w:hint="cs"/>
          <w:sz w:val="24"/>
          <w:szCs w:val="24"/>
          <w:rtl/>
        </w:rPr>
        <w:t xml:space="preserve">כי </w:t>
      </w:r>
      <w:r w:rsidR="00DD6761">
        <w:rPr>
          <w:rFonts w:cs="David" w:hint="cs"/>
          <w:sz w:val="24"/>
          <w:szCs w:val="24"/>
          <w:rtl/>
        </w:rPr>
        <w:t>הם נתלים</w:t>
      </w:r>
      <w:r w:rsidR="00D3524A">
        <w:rPr>
          <w:rFonts w:cs="David" w:hint="cs"/>
          <w:sz w:val="24"/>
          <w:szCs w:val="24"/>
          <w:rtl/>
        </w:rPr>
        <w:t xml:space="preserve"> בדווקנות</w:t>
      </w:r>
      <w:r w:rsidR="00DD6761">
        <w:rPr>
          <w:rFonts w:cs="David" w:hint="cs"/>
          <w:sz w:val="24"/>
          <w:szCs w:val="24"/>
          <w:rtl/>
        </w:rPr>
        <w:t xml:space="preserve"> </w:t>
      </w:r>
      <w:r w:rsidR="00D3524A">
        <w:rPr>
          <w:rFonts w:cs="David" w:hint="cs"/>
          <w:sz w:val="24"/>
          <w:szCs w:val="24"/>
          <w:rtl/>
        </w:rPr>
        <w:t xml:space="preserve">על </w:t>
      </w:r>
      <w:r w:rsidR="00DD6761">
        <w:rPr>
          <w:rFonts w:cs="David" w:hint="cs"/>
          <w:sz w:val="24"/>
          <w:szCs w:val="24"/>
          <w:rtl/>
        </w:rPr>
        <w:t xml:space="preserve">זכותם להרחיב את הדירה </w:t>
      </w:r>
      <w:r w:rsidR="00D3524A">
        <w:rPr>
          <w:rFonts w:cs="David" w:hint="cs"/>
          <w:sz w:val="24"/>
          <w:szCs w:val="24"/>
          <w:rtl/>
        </w:rPr>
        <w:t>משום שהחנייה אושרה למרות התנגדותם.</w:t>
      </w:r>
    </w:p>
    <w:p w14:paraId="5630F8EF" w14:textId="2DA61E57" w:rsidR="000966B2" w:rsidRPr="000966B2" w:rsidRDefault="000966B2" w:rsidP="00621972">
      <w:pPr>
        <w:spacing w:after="0" w:line="480" w:lineRule="auto"/>
        <w:jc w:val="both"/>
        <w:rPr>
          <w:rFonts w:cs="David"/>
          <w:sz w:val="24"/>
          <w:szCs w:val="24"/>
          <w:highlight w:val="yellow"/>
          <w:rtl/>
        </w:rPr>
      </w:pPr>
      <w:r w:rsidRPr="000966B2">
        <w:rPr>
          <w:rFonts w:cs="David" w:hint="cs"/>
          <w:sz w:val="24"/>
          <w:szCs w:val="24"/>
          <w:highlight w:val="yellow"/>
          <w:rtl/>
        </w:rPr>
        <w:t>אין התייחסות לשאלה האם התיק ידון בפני בית המשפט או המפקח</w:t>
      </w:r>
    </w:p>
    <w:p w14:paraId="58E6BAD5" w14:textId="19A28008" w:rsidR="000966B2" w:rsidRDefault="000966B2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 w:rsidRPr="000966B2">
        <w:rPr>
          <w:rFonts w:cs="David" w:hint="cs"/>
          <w:sz w:val="24"/>
          <w:szCs w:val="24"/>
          <w:highlight w:val="yellow"/>
          <w:rtl/>
        </w:rPr>
        <w:t>18 נק</w:t>
      </w:r>
    </w:p>
    <w:p w14:paraId="41C93FFF" w14:textId="76A28635" w:rsidR="009B6DBC" w:rsidRDefault="009B6DBC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</w:p>
    <w:p w14:paraId="540394D1" w14:textId="2870EF9E" w:rsidR="009B6DBC" w:rsidRDefault="009B6DBC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</w:p>
    <w:p w14:paraId="0FA54423" w14:textId="19271F54" w:rsidR="009B6DBC" w:rsidRPr="00990974" w:rsidRDefault="009B6DBC" w:rsidP="00621972">
      <w:pPr>
        <w:spacing w:after="0"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מספר מילים: 1467.</w:t>
      </w:r>
    </w:p>
    <w:sectPr w:rsidR="009B6DBC" w:rsidRPr="00990974" w:rsidSect="00024559">
      <w:headerReference w:type="default" r:id="rId11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821F" w14:textId="77777777" w:rsidR="00A3186A" w:rsidRDefault="00A3186A" w:rsidP="00024559">
      <w:pPr>
        <w:spacing w:after="0" w:line="240" w:lineRule="auto"/>
      </w:pPr>
      <w:r>
        <w:separator/>
      </w:r>
    </w:p>
  </w:endnote>
  <w:endnote w:type="continuationSeparator" w:id="0">
    <w:p w14:paraId="604D8ED5" w14:textId="77777777" w:rsidR="00A3186A" w:rsidRDefault="00A3186A" w:rsidP="0002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13AD" w14:textId="77777777" w:rsidR="00A3186A" w:rsidRDefault="00A3186A" w:rsidP="00024559">
      <w:pPr>
        <w:spacing w:after="0" w:line="240" w:lineRule="auto"/>
      </w:pPr>
      <w:r>
        <w:separator/>
      </w:r>
    </w:p>
  </w:footnote>
  <w:footnote w:type="continuationSeparator" w:id="0">
    <w:p w14:paraId="62030AAA" w14:textId="77777777" w:rsidR="00A3186A" w:rsidRDefault="00A3186A" w:rsidP="00024559">
      <w:pPr>
        <w:spacing w:after="0" w:line="240" w:lineRule="auto"/>
      </w:pPr>
      <w:r>
        <w:continuationSeparator/>
      </w:r>
    </w:p>
  </w:footnote>
  <w:footnote w:id="1">
    <w:p w14:paraId="7ADF35E9" w14:textId="6E077247" w:rsidR="00024559" w:rsidRPr="00024559" w:rsidRDefault="00024559">
      <w:pPr>
        <w:pStyle w:val="a7"/>
        <w:rPr>
          <w:rFonts w:cs="David"/>
          <w:rtl/>
        </w:rPr>
      </w:pPr>
      <w:r>
        <w:rPr>
          <w:rStyle w:val="a9"/>
        </w:rPr>
        <w:footnoteRef/>
      </w:r>
      <w:r w:rsidR="00621972">
        <w:rPr>
          <w:rFonts w:cs="David" w:hint="cs"/>
          <w:rtl/>
        </w:rPr>
        <w:t xml:space="preserve"> </w:t>
      </w:r>
      <w:r w:rsidRPr="00024559">
        <w:rPr>
          <w:rFonts w:cs="David" w:hint="cs"/>
          <w:rtl/>
        </w:rPr>
        <w:t>יהושע</w:t>
      </w:r>
      <w:r w:rsidRPr="00024559">
        <w:rPr>
          <w:rFonts w:cs="David"/>
          <w:rtl/>
        </w:rPr>
        <w:t xml:space="preserve"> </w:t>
      </w:r>
      <w:r w:rsidRPr="00024559">
        <w:rPr>
          <w:rFonts w:cs="David" w:hint="cs"/>
          <w:rtl/>
        </w:rPr>
        <w:t>ויסמן</w:t>
      </w:r>
      <w:r w:rsidRPr="00024559">
        <w:rPr>
          <w:rFonts w:cs="David"/>
          <w:rtl/>
        </w:rPr>
        <w:t xml:space="preserve"> </w:t>
      </w:r>
      <w:r w:rsidRPr="00B34FA2">
        <w:rPr>
          <w:rFonts w:cs="David" w:hint="cs"/>
          <w:b/>
          <w:bCs/>
          <w:rtl/>
        </w:rPr>
        <w:t>דיני</w:t>
      </w:r>
      <w:r w:rsidRPr="00B34FA2">
        <w:rPr>
          <w:rFonts w:cs="David"/>
          <w:b/>
          <w:bCs/>
          <w:rtl/>
        </w:rPr>
        <w:t xml:space="preserve"> </w:t>
      </w:r>
      <w:r w:rsidRPr="00B34FA2">
        <w:rPr>
          <w:rFonts w:cs="David" w:hint="cs"/>
          <w:b/>
          <w:bCs/>
          <w:rtl/>
        </w:rPr>
        <w:t>קניין</w:t>
      </w:r>
      <w:r w:rsidRPr="00B34FA2">
        <w:rPr>
          <w:rFonts w:cs="David"/>
          <w:b/>
          <w:bCs/>
          <w:rtl/>
        </w:rPr>
        <w:t xml:space="preserve"> – </w:t>
      </w:r>
      <w:r w:rsidRPr="00B34FA2">
        <w:rPr>
          <w:rFonts w:cs="David" w:hint="cs"/>
          <w:b/>
          <w:bCs/>
          <w:rtl/>
        </w:rPr>
        <w:t>בעלות</w:t>
      </w:r>
      <w:r w:rsidRPr="00B34FA2">
        <w:rPr>
          <w:rFonts w:cs="David"/>
          <w:b/>
          <w:bCs/>
          <w:rtl/>
        </w:rPr>
        <w:t xml:space="preserve"> </w:t>
      </w:r>
      <w:r w:rsidRPr="00B34FA2">
        <w:rPr>
          <w:rFonts w:cs="David" w:hint="cs"/>
          <w:b/>
          <w:bCs/>
          <w:rtl/>
        </w:rPr>
        <w:t>ושיתוף</w:t>
      </w:r>
      <w:r w:rsidRPr="00024559">
        <w:rPr>
          <w:rFonts w:cs="David"/>
          <w:rtl/>
        </w:rPr>
        <w:t xml:space="preserve"> </w:t>
      </w:r>
      <w:r w:rsidRPr="00024559">
        <w:rPr>
          <w:rFonts w:cs="David" w:hint="cs"/>
          <w:rtl/>
        </w:rPr>
        <w:t>עמ</w:t>
      </w:r>
      <w:r w:rsidRPr="00024559">
        <w:rPr>
          <w:rFonts w:cs="David"/>
          <w:rtl/>
        </w:rPr>
        <w:t>' 129-132</w:t>
      </w:r>
      <w:r w:rsidR="00F729BF">
        <w:rPr>
          <w:rFonts w:cs="David" w:hint="cs"/>
          <w:rtl/>
        </w:rPr>
        <w:t xml:space="preserve"> (</w:t>
      </w:r>
      <w:r w:rsidR="002B7D8E">
        <w:rPr>
          <w:rFonts w:cs="David" w:hint="cs"/>
          <w:rtl/>
        </w:rPr>
        <w:t>1997).</w:t>
      </w:r>
    </w:p>
  </w:footnote>
  <w:footnote w:id="2">
    <w:p w14:paraId="60241E95" w14:textId="0CAFF0F0" w:rsidR="00D36E56" w:rsidRPr="00D36E56" w:rsidRDefault="00D36E56" w:rsidP="00D36E56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Fonts w:hint="cs"/>
          <w:rtl/>
        </w:rPr>
        <w:t xml:space="preserve"> </w:t>
      </w:r>
      <w:r w:rsidRPr="00D36E56">
        <w:rPr>
          <w:rFonts w:cs="David" w:hint="cs"/>
          <w:rtl/>
        </w:rPr>
        <w:t>סעיף 27 לחוק המקרקעין</w:t>
      </w:r>
      <w:r w:rsidR="00680E65">
        <w:rPr>
          <w:rFonts w:cs="David" w:hint="cs"/>
          <w:rtl/>
        </w:rPr>
        <w:t xml:space="preserve">, </w:t>
      </w:r>
      <w:r w:rsidR="005A587E" w:rsidRPr="005A587E">
        <w:rPr>
          <w:rFonts w:cs="David" w:hint="cs"/>
          <w:rtl/>
        </w:rPr>
        <w:t>תשכ</w:t>
      </w:r>
      <w:r w:rsidR="005A587E" w:rsidRPr="005A587E">
        <w:rPr>
          <w:rFonts w:cs="David"/>
          <w:rtl/>
        </w:rPr>
        <w:t>"</w:t>
      </w:r>
      <w:r w:rsidR="005A587E" w:rsidRPr="005A587E">
        <w:rPr>
          <w:rFonts w:cs="David" w:hint="cs"/>
          <w:rtl/>
        </w:rPr>
        <w:t>ט</w:t>
      </w:r>
      <w:r w:rsidR="005A587E" w:rsidRPr="005A587E">
        <w:rPr>
          <w:rFonts w:cs="David"/>
          <w:rtl/>
        </w:rPr>
        <w:t>-1969</w:t>
      </w:r>
      <w:r w:rsidR="00680E65">
        <w:rPr>
          <w:rFonts w:cs="David" w:hint="cs"/>
          <w:rtl/>
        </w:rPr>
        <w:t>.</w:t>
      </w:r>
    </w:p>
  </w:footnote>
  <w:footnote w:id="3">
    <w:p w14:paraId="64B62C8B" w14:textId="54BAE9F3" w:rsidR="00D36E56" w:rsidRPr="00D36E56" w:rsidRDefault="00D36E56">
      <w:pPr>
        <w:pStyle w:val="a7"/>
        <w:rPr>
          <w:rFonts w:cs="David"/>
          <w:rtl/>
        </w:rPr>
      </w:pPr>
      <w:r w:rsidRPr="00D36E56">
        <w:rPr>
          <w:rStyle w:val="a9"/>
          <w:rFonts w:cs="David"/>
        </w:rPr>
        <w:footnoteRef/>
      </w:r>
      <w:r w:rsidRPr="00D36E56">
        <w:rPr>
          <w:rFonts w:cs="David"/>
          <w:rtl/>
        </w:rPr>
        <w:t xml:space="preserve"> </w:t>
      </w:r>
      <w:r w:rsidRPr="00D36E56">
        <w:rPr>
          <w:rFonts w:cs="David" w:hint="cs"/>
          <w:rtl/>
        </w:rPr>
        <w:t>סעיף 28 לחוק המקרקעין</w:t>
      </w:r>
      <w:r w:rsidR="00680E65">
        <w:rPr>
          <w:rFonts w:cs="David" w:hint="cs"/>
          <w:rtl/>
        </w:rPr>
        <w:t>.</w:t>
      </w:r>
    </w:p>
  </w:footnote>
  <w:footnote w:id="4">
    <w:p w14:paraId="3DFEB779" w14:textId="7677904D" w:rsidR="00415FC9" w:rsidRPr="00697A88" w:rsidRDefault="00415FC9" w:rsidP="00E820FA">
      <w:pPr>
        <w:pStyle w:val="a7"/>
        <w:rPr>
          <w:rFonts w:cs="David"/>
          <w:rtl/>
        </w:rPr>
      </w:pPr>
      <w:r w:rsidRPr="00697A88">
        <w:rPr>
          <w:rStyle w:val="a9"/>
          <w:rFonts w:cs="David"/>
        </w:rPr>
        <w:footnoteRef/>
      </w:r>
      <w:r w:rsidRPr="00697A88">
        <w:rPr>
          <w:rFonts w:cs="David"/>
          <w:rtl/>
        </w:rPr>
        <w:t xml:space="preserve"> </w:t>
      </w:r>
      <w:bookmarkStart w:id="0" w:name="_Hlk71361456"/>
      <w:r w:rsidR="00E820FA" w:rsidRPr="00E820FA">
        <w:rPr>
          <w:rFonts w:cs="David" w:hint="cs"/>
          <w:rtl/>
        </w:rPr>
        <w:t>ע</w:t>
      </w:r>
      <w:r w:rsidR="00E820FA">
        <w:rPr>
          <w:rFonts w:cs="David" w:hint="cs"/>
          <w:rtl/>
        </w:rPr>
        <w:t>"</w:t>
      </w:r>
      <w:r w:rsidR="00E820FA" w:rsidRPr="00E820FA">
        <w:rPr>
          <w:rFonts w:cs="David" w:hint="cs"/>
          <w:rtl/>
        </w:rPr>
        <w:t>א</w:t>
      </w:r>
      <w:r w:rsidR="00E820FA" w:rsidRPr="00E820FA">
        <w:rPr>
          <w:rFonts w:cs="David"/>
          <w:rtl/>
        </w:rPr>
        <w:t xml:space="preserve"> 319/74</w:t>
      </w:r>
      <w:r w:rsidR="00E820FA">
        <w:rPr>
          <w:rFonts w:cs="David" w:hint="cs"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רובינשטיין</w:t>
      </w:r>
      <w:r w:rsidR="00E820FA" w:rsidRPr="00E820FA">
        <w:rPr>
          <w:rFonts w:cs="David"/>
          <w:b/>
          <w:bCs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ושות</w:t>
      </w:r>
      <w:r w:rsidR="00E820FA" w:rsidRPr="00E820FA">
        <w:rPr>
          <w:rFonts w:cs="David"/>
          <w:b/>
          <w:bCs/>
          <w:rtl/>
        </w:rPr>
        <w:t xml:space="preserve">' </w:t>
      </w:r>
      <w:r w:rsidR="00E820FA" w:rsidRPr="00E820FA">
        <w:rPr>
          <w:rFonts w:cs="David" w:hint="cs"/>
          <w:b/>
          <w:bCs/>
          <w:rtl/>
        </w:rPr>
        <w:t>חברה</w:t>
      </w:r>
      <w:r w:rsidR="00E820FA" w:rsidRPr="00E820FA">
        <w:rPr>
          <w:rFonts w:cs="David"/>
          <w:b/>
          <w:bCs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קבלנית</w:t>
      </w:r>
      <w:r w:rsidR="00E820FA" w:rsidRPr="00E820FA">
        <w:rPr>
          <w:rFonts w:cs="David"/>
          <w:b/>
          <w:bCs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בע</w:t>
      </w:r>
      <w:r w:rsidR="00E820FA" w:rsidRPr="00E820FA">
        <w:rPr>
          <w:rFonts w:cs="David"/>
          <w:b/>
          <w:bCs/>
          <w:rtl/>
        </w:rPr>
        <w:t>"</w:t>
      </w:r>
      <w:r w:rsidR="00E820FA" w:rsidRPr="00E820FA">
        <w:rPr>
          <w:rFonts w:cs="David" w:hint="cs"/>
          <w:b/>
          <w:bCs/>
          <w:rtl/>
        </w:rPr>
        <w:t>מ</w:t>
      </w:r>
      <w:r w:rsidR="00E820FA" w:rsidRPr="00E820FA">
        <w:rPr>
          <w:rFonts w:cs="David"/>
          <w:b/>
          <w:bCs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נ</w:t>
      </w:r>
      <w:r w:rsidR="00E820FA" w:rsidRPr="00E820FA">
        <w:rPr>
          <w:rFonts w:cs="David"/>
          <w:b/>
          <w:bCs/>
          <w:rtl/>
        </w:rPr>
        <w:t xml:space="preserve">' </w:t>
      </w:r>
      <w:r w:rsidR="00E820FA" w:rsidRPr="00E820FA">
        <w:rPr>
          <w:rFonts w:cs="David" w:hint="cs"/>
          <w:b/>
          <w:bCs/>
          <w:rtl/>
        </w:rPr>
        <w:t>תמרה</w:t>
      </w:r>
      <w:r w:rsidR="00E820FA" w:rsidRPr="00E820FA">
        <w:rPr>
          <w:rFonts w:cs="David"/>
          <w:b/>
          <w:bCs/>
          <w:rtl/>
        </w:rPr>
        <w:t xml:space="preserve"> </w:t>
      </w:r>
      <w:r w:rsidR="00E820FA" w:rsidRPr="00E820FA">
        <w:rPr>
          <w:rFonts w:cs="David" w:hint="cs"/>
          <w:b/>
          <w:bCs/>
          <w:rtl/>
        </w:rPr>
        <w:t>פיין</w:t>
      </w:r>
      <w:r w:rsidR="00AA2D0F">
        <w:rPr>
          <w:rFonts w:cs="David" w:hint="cs"/>
          <w:rtl/>
        </w:rPr>
        <w:t xml:space="preserve"> </w:t>
      </w:r>
      <w:r w:rsidR="008E42E1">
        <w:rPr>
          <w:rFonts w:cs="David" w:hint="cs"/>
          <w:rtl/>
        </w:rPr>
        <w:t xml:space="preserve">, </w:t>
      </w:r>
      <w:r w:rsidR="00E820FA" w:rsidRPr="00E820FA">
        <w:rPr>
          <w:rFonts w:cs="David" w:hint="cs"/>
          <w:rtl/>
        </w:rPr>
        <w:t>פ</w:t>
      </w:r>
      <w:r w:rsidR="00E820FA" w:rsidRPr="00E820FA">
        <w:rPr>
          <w:rFonts w:cs="David"/>
          <w:rtl/>
        </w:rPr>
        <w:t>"</w:t>
      </w:r>
      <w:r w:rsidR="00E820FA" w:rsidRPr="00E820FA">
        <w:rPr>
          <w:rFonts w:cs="David" w:hint="cs"/>
          <w:rtl/>
        </w:rPr>
        <w:t>מ</w:t>
      </w:r>
      <w:r w:rsidR="00E820FA" w:rsidRPr="00E820FA">
        <w:rPr>
          <w:rFonts w:cs="David"/>
          <w:rtl/>
        </w:rPr>
        <w:t xml:space="preserve"> </w:t>
      </w:r>
      <w:r w:rsidR="00E820FA" w:rsidRPr="00E820FA">
        <w:rPr>
          <w:rFonts w:cs="David" w:hint="cs"/>
          <w:rtl/>
        </w:rPr>
        <w:t>ל</w:t>
      </w:r>
      <w:r w:rsidR="00E820FA" w:rsidRPr="00E820FA">
        <w:rPr>
          <w:rFonts w:cs="David"/>
          <w:rtl/>
        </w:rPr>
        <w:t>(1) 454</w:t>
      </w:r>
      <w:r w:rsidR="00E820FA">
        <w:rPr>
          <w:rFonts w:cs="David" w:hint="cs"/>
          <w:rtl/>
        </w:rPr>
        <w:t xml:space="preserve">, </w:t>
      </w:r>
      <w:r w:rsidR="00FC6387">
        <w:rPr>
          <w:rFonts w:cs="David" w:hint="cs"/>
          <w:rtl/>
        </w:rPr>
        <w:t>457 פסקה שנייה מסוף העמו</w:t>
      </w:r>
      <w:r w:rsidR="001A43DA">
        <w:rPr>
          <w:rFonts w:cs="David" w:hint="cs"/>
          <w:rtl/>
        </w:rPr>
        <w:t>ד (1975)</w:t>
      </w:r>
      <w:r w:rsidR="00027996">
        <w:rPr>
          <w:rFonts w:cs="David" w:hint="cs"/>
          <w:rtl/>
        </w:rPr>
        <w:t>.</w:t>
      </w:r>
    </w:p>
    <w:bookmarkEnd w:id="0"/>
  </w:footnote>
  <w:footnote w:id="5">
    <w:p w14:paraId="54BD67B4" w14:textId="136F8B19" w:rsidR="00374BCD" w:rsidRPr="00BF3A46" w:rsidRDefault="00374BCD" w:rsidP="00BF3A46">
      <w:pPr>
        <w:pStyle w:val="a7"/>
        <w:rPr>
          <w:rFonts w:cs="David"/>
          <w:rtl/>
        </w:rPr>
      </w:pPr>
      <w:r>
        <w:rPr>
          <w:rStyle w:val="a9"/>
        </w:rPr>
        <w:footnoteRef/>
      </w:r>
      <w:r w:rsidR="00353EB1">
        <w:t xml:space="preserve"> </w:t>
      </w:r>
      <w:r w:rsidR="00353EB1">
        <w:rPr>
          <w:rFonts w:cs="David" w:hint="cs"/>
          <w:rtl/>
        </w:rPr>
        <w:t>ר</w:t>
      </w:r>
      <w:r w:rsidR="00BF3A46" w:rsidRPr="006C163E">
        <w:rPr>
          <w:rFonts w:cs="David" w:hint="cs"/>
          <w:rtl/>
        </w:rPr>
        <w:t>ע</w:t>
      </w:r>
      <w:r w:rsidR="00BF3A46" w:rsidRPr="00BF3A46">
        <w:rPr>
          <w:rFonts w:cs="David" w:hint="cs"/>
          <w:rtl/>
        </w:rPr>
        <w:t xml:space="preserve">"א 1017/97 </w:t>
      </w:r>
      <w:r w:rsidR="00BF3A46" w:rsidRPr="00BF3A46">
        <w:rPr>
          <w:rFonts w:cs="David" w:hint="cs"/>
          <w:b/>
          <w:bCs/>
          <w:rtl/>
        </w:rPr>
        <w:t>רידלביץ' נ' מודעי</w:t>
      </w:r>
      <w:r w:rsidR="007209B0" w:rsidRPr="00AA2D0F">
        <w:rPr>
          <w:rFonts w:cs="David" w:hint="cs"/>
          <w:rtl/>
        </w:rPr>
        <w:t>,</w:t>
      </w:r>
      <w:r w:rsidR="007209B0">
        <w:rPr>
          <w:rFonts w:cs="David" w:hint="cs"/>
          <w:b/>
          <w:bCs/>
          <w:rtl/>
        </w:rPr>
        <w:t xml:space="preserve"> </w:t>
      </w:r>
      <w:r w:rsidR="00CC3D70" w:rsidRPr="00CC3D70">
        <w:rPr>
          <w:rFonts w:cs="David" w:hint="cs"/>
          <w:rtl/>
        </w:rPr>
        <w:t>פ</w:t>
      </w:r>
      <w:r w:rsidR="00CC3D70" w:rsidRPr="00CC3D70">
        <w:rPr>
          <w:rFonts w:cs="David"/>
          <w:rtl/>
        </w:rPr>
        <w:t>"</w:t>
      </w:r>
      <w:r w:rsidR="00CC3D70" w:rsidRPr="00CC3D70">
        <w:rPr>
          <w:rFonts w:cs="David" w:hint="cs"/>
          <w:rtl/>
        </w:rPr>
        <w:t>ד</w:t>
      </w:r>
      <w:r w:rsidR="00CC3D70" w:rsidRPr="00CC3D70">
        <w:rPr>
          <w:rFonts w:cs="David"/>
          <w:rtl/>
        </w:rPr>
        <w:t xml:space="preserve"> </w:t>
      </w:r>
      <w:r w:rsidR="00CC3D70" w:rsidRPr="00CC3D70">
        <w:rPr>
          <w:rFonts w:cs="David" w:hint="cs"/>
          <w:rtl/>
        </w:rPr>
        <w:t>נב</w:t>
      </w:r>
      <w:r w:rsidR="00CC3D70" w:rsidRPr="00CC3D70">
        <w:rPr>
          <w:rFonts w:cs="David"/>
          <w:rtl/>
        </w:rPr>
        <w:t>(4) 625</w:t>
      </w:r>
      <w:r w:rsidR="00CC3D70">
        <w:rPr>
          <w:rFonts w:cs="David" w:hint="cs"/>
          <w:rtl/>
        </w:rPr>
        <w:t>,</w:t>
      </w:r>
      <w:r w:rsidR="005F4C64" w:rsidRPr="00CC3D70">
        <w:rPr>
          <w:rFonts w:cs="David" w:hint="cs"/>
          <w:rtl/>
        </w:rPr>
        <w:t xml:space="preserve"> </w:t>
      </w:r>
      <w:r w:rsidR="006A27E1" w:rsidRPr="00CC3D70">
        <w:rPr>
          <w:rFonts w:cs="David" w:hint="cs"/>
          <w:rtl/>
        </w:rPr>
        <w:t>632</w:t>
      </w:r>
      <w:r w:rsidR="006A27E1">
        <w:rPr>
          <w:rFonts w:cs="David" w:hint="cs"/>
          <w:rtl/>
        </w:rPr>
        <w:t xml:space="preserve"> פסקה 10 לפסק הדין</w:t>
      </w:r>
      <w:r w:rsidR="00CC3D70">
        <w:rPr>
          <w:rFonts w:cs="David" w:hint="cs"/>
          <w:rtl/>
        </w:rPr>
        <w:t xml:space="preserve"> (</w:t>
      </w:r>
      <w:r w:rsidR="00027996">
        <w:rPr>
          <w:rFonts w:cs="David" w:hint="cs"/>
          <w:rtl/>
        </w:rPr>
        <w:t>1998).</w:t>
      </w:r>
    </w:p>
  </w:footnote>
  <w:footnote w:id="6">
    <w:p w14:paraId="0978DCB5" w14:textId="26EC200C" w:rsidR="0067197A" w:rsidRPr="0067197A" w:rsidRDefault="0067197A">
      <w:pPr>
        <w:pStyle w:val="a7"/>
        <w:rPr>
          <w:rFonts w:cs="David"/>
          <w:rtl/>
        </w:rPr>
      </w:pPr>
      <w:r w:rsidRPr="0067197A">
        <w:rPr>
          <w:rStyle w:val="a9"/>
          <w:rFonts w:cs="David"/>
        </w:rPr>
        <w:footnoteRef/>
      </w:r>
      <w:r w:rsidRPr="0067197A">
        <w:rPr>
          <w:rFonts w:cs="David"/>
          <w:rtl/>
        </w:rPr>
        <w:t xml:space="preserve"> </w:t>
      </w:r>
      <w:r w:rsidRPr="0067197A">
        <w:rPr>
          <w:rFonts w:cs="David" w:hint="cs"/>
          <w:rtl/>
        </w:rPr>
        <w:t>ס' 37</w:t>
      </w:r>
      <w:r>
        <w:rPr>
          <w:rFonts w:cs="David" w:hint="cs"/>
          <w:rtl/>
        </w:rPr>
        <w:t>(א)</w:t>
      </w:r>
      <w:r w:rsidRPr="0067197A">
        <w:rPr>
          <w:rFonts w:cs="David" w:hint="cs"/>
          <w:rtl/>
        </w:rPr>
        <w:t xml:space="preserve"> לחוק המקרקעין</w:t>
      </w:r>
      <w:r w:rsidR="00680E65">
        <w:rPr>
          <w:rFonts w:cs="David" w:hint="cs"/>
          <w:rtl/>
        </w:rPr>
        <w:t>.</w:t>
      </w:r>
    </w:p>
  </w:footnote>
  <w:footnote w:id="7">
    <w:p w14:paraId="23C19555" w14:textId="4B963A49" w:rsidR="006B4FDF" w:rsidRDefault="006B4FDF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Pr="006B4FDF">
        <w:rPr>
          <w:rFonts w:cs="David" w:hint="cs"/>
          <w:rtl/>
        </w:rPr>
        <w:t>ס' 39(א) לחוק המקרקעין</w:t>
      </w:r>
      <w:r w:rsidR="00680E65">
        <w:rPr>
          <w:rFonts w:cs="David" w:hint="cs"/>
          <w:rtl/>
        </w:rPr>
        <w:t>.</w:t>
      </w:r>
    </w:p>
  </w:footnote>
  <w:footnote w:id="8">
    <w:p w14:paraId="5521A9FB" w14:textId="7BC01842" w:rsidR="006C163E" w:rsidRPr="00353EB1" w:rsidRDefault="006C163E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7F6A0B">
        <w:rPr>
          <w:rFonts w:cs="David" w:hint="cs"/>
          <w:rtl/>
        </w:rPr>
        <w:t xml:space="preserve">עניין </w:t>
      </w:r>
      <w:r w:rsidR="00C53607" w:rsidRPr="00C53607">
        <w:rPr>
          <w:rFonts w:cs="David" w:hint="cs"/>
          <w:b/>
          <w:bCs/>
          <w:rtl/>
        </w:rPr>
        <w:t>רידלביץ</w:t>
      </w:r>
      <w:r w:rsidR="009E7A53">
        <w:rPr>
          <w:rFonts w:cs="David" w:hint="cs"/>
          <w:b/>
          <w:bCs/>
          <w:rtl/>
        </w:rPr>
        <w:t>'</w:t>
      </w:r>
      <w:r w:rsidR="00353EB1">
        <w:rPr>
          <w:rFonts w:cs="David" w:hint="cs"/>
          <w:rtl/>
        </w:rPr>
        <w:t xml:space="preserve">, לעיל ה"ש 5, </w:t>
      </w:r>
      <w:r w:rsidR="007E50DA">
        <w:rPr>
          <w:rFonts w:cs="David" w:hint="cs"/>
          <w:rtl/>
        </w:rPr>
        <w:t>ב</w:t>
      </w:r>
      <w:r w:rsidR="004B4509">
        <w:rPr>
          <w:rFonts w:cs="David" w:hint="cs"/>
          <w:rtl/>
        </w:rPr>
        <w:t>עמ' 641 סעיף 25 לפסק הדין.</w:t>
      </w:r>
    </w:p>
  </w:footnote>
  <w:footnote w:id="9">
    <w:p w14:paraId="27F6DB98" w14:textId="79FC7744" w:rsidR="00CC60F0" w:rsidRPr="007E50DA" w:rsidRDefault="00CC60F0" w:rsidP="00CC60F0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015190">
        <w:rPr>
          <w:rFonts w:cs="David" w:hint="cs"/>
          <w:rtl/>
        </w:rPr>
        <w:t>סעיף 40</w:t>
      </w:r>
      <w:r>
        <w:rPr>
          <w:rFonts w:cs="David" w:hint="cs"/>
          <w:rtl/>
        </w:rPr>
        <w:t>(א)</w:t>
      </w:r>
      <w:r w:rsidRPr="00015190">
        <w:rPr>
          <w:rFonts w:cs="David" w:hint="cs"/>
          <w:rtl/>
        </w:rPr>
        <w:t xml:space="preserve"> לחוק המקרקעי</w:t>
      </w:r>
      <w:r>
        <w:rPr>
          <w:rFonts w:cs="David" w:hint="cs"/>
          <w:rtl/>
        </w:rPr>
        <w:t xml:space="preserve">ן; </w:t>
      </w:r>
      <w:r w:rsidR="007E50DA">
        <w:rPr>
          <w:rFonts w:cs="David" w:hint="cs"/>
          <w:rtl/>
        </w:rPr>
        <w:t xml:space="preserve">עניין </w:t>
      </w:r>
      <w:r w:rsidRPr="00C53607">
        <w:rPr>
          <w:rFonts w:cs="David" w:hint="cs"/>
          <w:b/>
          <w:bCs/>
          <w:rtl/>
        </w:rPr>
        <w:t>רידלביץ</w:t>
      </w:r>
      <w:r w:rsidRPr="00C53607">
        <w:rPr>
          <w:rFonts w:cs="David"/>
          <w:b/>
          <w:bCs/>
          <w:rtl/>
        </w:rPr>
        <w:t>'</w:t>
      </w:r>
      <w:r w:rsidR="007E50DA" w:rsidRPr="007E50DA">
        <w:rPr>
          <w:rFonts w:cs="David" w:hint="cs"/>
          <w:rtl/>
        </w:rPr>
        <w:t>, לעיל ה"ש 5.</w:t>
      </w:r>
    </w:p>
  </w:footnote>
  <w:footnote w:id="10">
    <w:p w14:paraId="50A33648" w14:textId="45255F21" w:rsidR="008D41E5" w:rsidRPr="008D41E5" w:rsidRDefault="008D41E5">
      <w:pPr>
        <w:pStyle w:val="a7"/>
        <w:rPr>
          <w:rFonts w:cs="David"/>
        </w:rPr>
      </w:pPr>
      <w:r w:rsidRPr="008D41E5">
        <w:rPr>
          <w:rStyle w:val="a9"/>
          <w:rFonts w:cs="David"/>
        </w:rPr>
        <w:footnoteRef/>
      </w:r>
      <w:r w:rsidRPr="008D41E5">
        <w:rPr>
          <w:rFonts w:cs="David"/>
          <w:rtl/>
        </w:rPr>
        <w:t xml:space="preserve"> </w:t>
      </w:r>
      <w:r w:rsidRPr="008D41E5">
        <w:rPr>
          <w:rFonts w:cs="David" w:hint="cs"/>
          <w:rtl/>
        </w:rPr>
        <w:t>סעיף 41(ג) לחוק המקרקעין</w:t>
      </w:r>
      <w:r w:rsidR="00670F63">
        <w:rPr>
          <w:rFonts w:cs="David" w:hint="cs"/>
          <w:rtl/>
        </w:rPr>
        <w:t>.</w:t>
      </w:r>
    </w:p>
  </w:footnote>
  <w:footnote w:id="11">
    <w:p w14:paraId="7AE8F8CD" w14:textId="3EBA1675" w:rsidR="00927D0B" w:rsidRPr="00977F45" w:rsidRDefault="00927D0B" w:rsidP="00977F45">
      <w:pPr>
        <w:pStyle w:val="a7"/>
        <w:rPr>
          <w:rFonts w:cs="David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7E50DA">
        <w:rPr>
          <w:rFonts w:cs="David" w:hint="cs"/>
          <w:rtl/>
        </w:rPr>
        <w:t>עניין</w:t>
      </w:r>
      <w:r w:rsidRPr="00697A88">
        <w:rPr>
          <w:rFonts w:cs="David"/>
          <w:rtl/>
        </w:rPr>
        <w:t xml:space="preserve"> </w:t>
      </w:r>
      <w:r w:rsidRPr="00697A88">
        <w:rPr>
          <w:rFonts w:cs="David" w:hint="cs"/>
          <w:b/>
          <w:bCs/>
          <w:rtl/>
        </w:rPr>
        <w:t>רובינשטיין</w:t>
      </w:r>
      <w:r w:rsidR="007E50DA">
        <w:rPr>
          <w:rFonts w:cs="David" w:hint="cs"/>
          <w:b/>
          <w:bCs/>
          <w:rtl/>
        </w:rPr>
        <w:t>,</w:t>
      </w:r>
      <w:r w:rsidR="007E50DA">
        <w:rPr>
          <w:rFonts w:cs="David" w:hint="cs"/>
          <w:rtl/>
        </w:rPr>
        <w:t xml:space="preserve"> לעיל ה"ש 4, </w:t>
      </w:r>
      <w:r w:rsidR="00A35E89">
        <w:rPr>
          <w:rFonts w:cs="David" w:hint="cs"/>
          <w:rtl/>
        </w:rPr>
        <w:t>עמ' 458</w:t>
      </w:r>
      <w:r w:rsidR="007E50DA">
        <w:rPr>
          <w:rFonts w:cs="David" w:hint="cs"/>
          <w:rtl/>
        </w:rPr>
        <w:t>.</w:t>
      </w:r>
    </w:p>
  </w:footnote>
  <w:footnote w:id="12">
    <w:p w14:paraId="7522BF1C" w14:textId="67085157" w:rsidR="00CE60EC" w:rsidRPr="003656C7" w:rsidRDefault="00CE60EC">
      <w:pPr>
        <w:pStyle w:val="a7"/>
        <w:rPr>
          <w:rFonts w:cs="David"/>
          <w:rtl/>
        </w:rPr>
      </w:pPr>
      <w:r w:rsidRPr="003656C7">
        <w:rPr>
          <w:rStyle w:val="a9"/>
          <w:rFonts w:cs="David"/>
        </w:rPr>
        <w:footnoteRef/>
      </w:r>
      <w:r w:rsidRPr="003656C7">
        <w:rPr>
          <w:rFonts w:cs="David"/>
          <w:rtl/>
        </w:rPr>
        <w:t xml:space="preserve"> </w:t>
      </w:r>
      <w:r w:rsidRPr="003656C7">
        <w:rPr>
          <w:rFonts w:cs="David" w:hint="cs"/>
          <w:rtl/>
        </w:rPr>
        <w:t>סעיף 40</w:t>
      </w:r>
      <w:r w:rsidR="003656C7" w:rsidRPr="003656C7">
        <w:rPr>
          <w:rFonts w:cs="David" w:hint="cs"/>
          <w:rtl/>
        </w:rPr>
        <w:t xml:space="preserve"> לחוק המקרקעין</w:t>
      </w:r>
      <w:r w:rsidR="00670F63">
        <w:rPr>
          <w:rFonts w:cs="David" w:hint="cs"/>
          <w:rtl/>
        </w:rPr>
        <w:t>.</w:t>
      </w:r>
    </w:p>
  </w:footnote>
  <w:footnote w:id="13">
    <w:p w14:paraId="149F60B3" w14:textId="38DF26AA" w:rsidR="00387FA1" w:rsidRPr="00387FA1" w:rsidRDefault="00387FA1">
      <w:pPr>
        <w:pStyle w:val="a7"/>
        <w:rPr>
          <w:rFonts w:cs="David"/>
        </w:rPr>
      </w:pPr>
      <w:r w:rsidRPr="00387FA1">
        <w:rPr>
          <w:rStyle w:val="a9"/>
          <w:rFonts w:cs="David"/>
        </w:rPr>
        <w:footnoteRef/>
      </w:r>
      <w:r w:rsidRPr="00387FA1">
        <w:rPr>
          <w:rFonts w:cs="David"/>
          <w:rtl/>
        </w:rPr>
        <w:t xml:space="preserve"> </w:t>
      </w:r>
      <w:r w:rsidRPr="00387FA1">
        <w:rPr>
          <w:rFonts w:cs="David" w:hint="cs"/>
          <w:rtl/>
        </w:rPr>
        <w:t>ע</w:t>
      </w:r>
      <w:r w:rsidRPr="00387FA1">
        <w:rPr>
          <w:rFonts w:cs="David"/>
          <w:rtl/>
        </w:rPr>
        <w:t>"</w:t>
      </w:r>
      <w:r w:rsidRPr="00387FA1">
        <w:rPr>
          <w:rFonts w:cs="David" w:hint="cs"/>
          <w:rtl/>
        </w:rPr>
        <w:t>א</w:t>
      </w:r>
      <w:r w:rsidRPr="00387FA1">
        <w:rPr>
          <w:rFonts w:cs="David"/>
          <w:rtl/>
        </w:rPr>
        <w:t xml:space="preserve"> 190/73 </w:t>
      </w:r>
      <w:r w:rsidRPr="00387FA1">
        <w:rPr>
          <w:rFonts w:cs="David" w:hint="cs"/>
          <w:b/>
          <w:bCs/>
          <w:rtl/>
        </w:rPr>
        <w:t>חזקיהו</w:t>
      </w:r>
      <w:r w:rsidRPr="00387FA1">
        <w:rPr>
          <w:rFonts w:cs="David"/>
          <w:b/>
          <w:bCs/>
          <w:rtl/>
        </w:rPr>
        <w:t xml:space="preserve"> </w:t>
      </w:r>
      <w:r w:rsidRPr="00387FA1">
        <w:rPr>
          <w:rFonts w:cs="David" w:hint="cs"/>
          <w:b/>
          <w:bCs/>
          <w:rtl/>
        </w:rPr>
        <w:t>ואח</w:t>
      </w:r>
      <w:r w:rsidRPr="00387FA1">
        <w:rPr>
          <w:rFonts w:cs="David"/>
          <w:b/>
          <w:bCs/>
          <w:rtl/>
        </w:rPr>
        <w:t xml:space="preserve">' </w:t>
      </w:r>
      <w:r w:rsidRPr="00387FA1">
        <w:rPr>
          <w:rFonts w:cs="David" w:hint="cs"/>
          <w:b/>
          <w:bCs/>
          <w:rtl/>
        </w:rPr>
        <w:t>נ</w:t>
      </w:r>
      <w:r w:rsidRPr="00387FA1">
        <w:rPr>
          <w:rFonts w:cs="David"/>
          <w:b/>
          <w:bCs/>
          <w:rtl/>
        </w:rPr>
        <w:t xml:space="preserve">' </w:t>
      </w:r>
      <w:r w:rsidRPr="00387FA1">
        <w:rPr>
          <w:rFonts w:cs="David" w:hint="cs"/>
          <w:b/>
          <w:bCs/>
          <w:rtl/>
        </w:rPr>
        <w:t>שרף</w:t>
      </w:r>
      <w:r w:rsidRPr="00387FA1">
        <w:rPr>
          <w:rFonts w:cs="David"/>
          <w:rtl/>
        </w:rPr>
        <w:t xml:space="preserve">, </w:t>
      </w:r>
      <w:r w:rsidRPr="00387FA1">
        <w:rPr>
          <w:rFonts w:cs="David" w:hint="cs"/>
          <w:rtl/>
        </w:rPr>
        <w:t>פ</w:t>
      </w:r>
      <w:r w:rsidRPr="00387FA1">
        <w:rPr>
          <w:rFonts w:cs="David"/>
          <w:rtl/>
        </w:rPr>
        <w:t>"</w:t>
      </w:r>
      <w:r w:rsidRPr="00387FA1">
        <w:rPr>
          <w:rFonts w:cs="David" w:hint="cs"/>
          <w:rtl/>
        </w:rPr>
        <w:t>ד</w:t>
      </w:r>
      <w:r w:rsidRPr="00387FA1">
        <w:rPr>
          <w:rFonts w:cs="David"/>
          <w:rtl/>
        </w:rPr>
        <w:t xml:space="preserve"> </w:t>
      </w:r>
      <w:r w:rsidRPr="00387FA1">
        <w:rPr>
          <w:rFonts w:cs="David" w:hint="cs"/>
          <w:rtl/>
        </w:rPr>
        <w:t>כח</w:t>
      </w:r>
      <w:r w:rsidR="00D10371">
        <w:rPr>
          <w:rFonts w:cs="David" w:hint="cs"/>
          <w:rtl/>
        </w:rPr>
        <w:t xml:space="preserve"> (2</w:t>
      </w:r>
      <w:r w:rsidRPr="00387FA1">
        <w:rPr>
          <w:rFonts w:cs="David"/>
          <w:rtl/>
        </w:rPr>
        <w:t>) 44</w:t>
      </w:r>
      <w:r w:rsidR="007831A7">
        <w:rPr>
          <w:rFonts w:cs="David" w:hint="cs"/>
          <w:rtl/>
        </w:rPr>
        <w:t xml:space="preserve">, 48 </w:t>
      </w:r>
      <w:r w:rsidR="00190CEE">
        <w:rPr>
          <w:rFonts w:cs="David" w:hint="cs"/>
          <w:rtl/>
        </w:rPr>
        <w:t>(1974).</w:t>
      </w:r>
    </w:p>
  </w:footnote>
  <w:footnote w:id="14">
    <w:p w14:paraId="430A563D" w14:textId="2ABC0A39" w:rsidR="000A6E68" w:rsidRPr="006D5295" w:rsidRDefault="000A6E68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6D5295" w:rsidRPr="006D5295">
        <w:rPr>
          <w:rFonts w:cs="David" w:hint="cs"/>
          <w:rtl/>
        </w:rPr>
        <w:t>סעיף 43 לחוק המקרקעין</w:t>
      </w:r>
      <w:r w:rsidR="00190CEE">
        <w:rPr>
          <w:rFonts w:cs="David" w:hint="cs"/>
          <w:rtl/>
        </w:rPr>
        <w:t>.</w:t>
      </w:r>
    </w:p>
  </w:footnote>
  <w:footnote w:id="15">
    <w:p w14:paraId="74EDE27D" w14:textId="1CFC9360" w:rsidR="00B37C26" w:rsidRPr="00190CEE" w:rsidRDefault="00B37C26" w:rsidP="00B37C26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190CEE">
        <w:rPr>
          <w:rFonts w:cs="David" w:hint="cs"/>
          <w:rtl/>
        </w:rPr>
        <w:t>עניין</w:t>
      </w:r>
      <w:r w:rsidRPr="00387FA1">
        <w:rPr>
          <w:rFonts w:cs="David"/>
          <w:rtl/>
        </w:rPr>
        <w:t xml:space="preserve"> </w:t>
      </w:r>
      <w:r w:rsidRPr="00387FA1">
        <w:rPr>
          <w:rFonts w:cs="David" w:hint="cs"/>
          <w:b/>
          <w:bCs/>
          <w:rtl/>
        </w:rPr>
        <w:t>חזקיהו</w:t>
      </w:r>
      <w:r w:rsidR="00190CEE">
        <w:rPr>
          <w:rFonts w:cs="David" w:hint="cs"/>
          <w:rtl/>
        </w:rPr>
        <w:t>, לעיל ה"ש 13</w:t>
      </w:r>
      <w:r w:rsidR="00AF146B">
        <w:rPr>
          <w:rFonts w:cs="David" w:hint="cs"/>
          <w:rtl/>
        </w:rPr>
        <w:t>, בעמ' 49.</w:t>
      </w:r>
    </w:p>
  </w:footnote>
  <w:footnote w:id="16">
    <w:p w14:paraId="7CA04391" w14:textId="10104CA3" w:rsidR="006212BE" w:rsidRPr="002D5B41" w:rsidRDefault="006212BE" w:rsidP="002D5B41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2D5B41" w:rsidRPr="002D5B41">
        <w:rPr>
          <w:rFonts w:cs="David" w:hint="cs"/>
          <w:rtl/>
        </w:rPr>
        <w:t>ע</w:t>
      </w:r>
      <w:r w:rsidR="002D5B41">
        <w:rPr>
          <w:rFonts w:cs="David" w:hint="cs"/>
          <w:rtl/>
        </w:rPr>
        <w:t>"</w:t>
      </w:r>
      <w:r w:rsidR="002D5B41" w:rsidRPr="002D5B41">
        <w:rPr>
          <w:rFonts w:cs="David" w:hint="cs"/>
          <w:rtl/>
        </w:rPr>
        <w:t>א</w:t>
      </w:r>
      <w:r w:rsidR="002D5B41" w:rsidRPr="002D5B41">
        <w:rPr>
          <w:rFonts w:cs="David"/>
          <w:rtl/>
        </w:rPr>
        <w:t xml:space="preserve"> 7260/12 </w:t>
      </w:r>
      <w:r w:rsidR="002D5B41" w:rsidRPr="002D5B41">
        <w:rPr>
          <w:rFonts w:cs="David" w:hint="cs"/>
          <w:b/>
          <w:bCs/>
          <w:rtl/>
        </w:rPr>
        <w:t>עמליה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פרנק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כהן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נכסים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והשקעות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בע</w:t>
      </w:r>
      <w:r w:rsidR="002D5B41" w:rsidRPr="002D5B41">
        <w:rPr>
          <w:rFonts w:cs="David"/>
          <w:b/>
          <w:bCs/>
          <w:rtl/>
        </w:rPr>
        <w:t>"</w:t>
      </w:r>
      <w:r w:rsidR="002D5B41" w:rsidRPr="002D5B41">
        <w:rPr>
          <w:rFonts w:cs="David" w:hint="cs"/>
          <w:b/>
          <w:bCs/>
          <w:rtl/>
        </w:rPr>
        <w:t>מ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נ</w:t>
      </w:r>
      <w:r w:rsidR="002D5B41" w:rsidRPr="002D5B41">
        <w:rPr>
          <w:rFonts w:cs="David"/>
          <w:b/>
          <w:bCs/>
          <w:rtl/>
        </w:rPr>
        <w:t xml:space="preserve">' </w:t>
      </w:r>
      <w:r w:rsidR="002D5B41" w:rsidRPr="002D5B41">
        <w:rPr>
          <w:rFonts w:cs="David" w:hint="cs"/>
          <w:b/>
          <w:bCs/>
          <w:rtl/>
        </w:rPr>
        <w:t>חברת</w:t>
      </w:r>
      <w:r w:rsidR="002D5B41" w:rsidRPr="002D5B41">
        <w:rPr>
          <w:rFonts w:cs="David"/>
          <w:b/>
          <w:bCs/>
          <w:rtl/>
        </w:rPr>
        <w:t xml:space="preserve"> "</w:t>
      </w:r>
      <w:r w:rsidR="002D5B41" w:rsidRPr="002D5B41">
        <w:rPr>
          <w:rFonts w:cs="David" w:hint="cs"/>
          <w:b/>
          <w:bCs/>
          <w:rtl/>
        </w:rPr>
        <w:t>וזוב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נכסים</w:t>
      </w:r>
      <w:r w:rsidR="002D5B41" w:rsidRPr="002D5B41">
        <w:rPr>
          <w:rFonts w:cs="David"/>
          <w:b/>
          <w:bCs/>
          <w:rtl/>
        </w:rPr>
        <w:t xml:space="preserve"> </w:t>
      </w:r>
      <w:r w:rsidR="002D5B41" w:rsidRPr="002D5B41">
        <w:rPr>
          <w:rFonts w:cs="David" w:hint="cs"/>
          <w:b/>
          <w:bCs/>
          <w:rtl/>
        </w:rPr>
        <w:t>בע</w:t>
      </w:r>
      <w:r w:rsidR="002D5B41" w:rsidRPr="002D5B41">
        <w:rPr>
          <w:rFonts w:cs="David"/>
          <w:b/>
          <w:bCs/>
          <w:rtl/>
        </w:rPr>
        <w:t>"</w:t>
      </w:r>
      <w:r w:rsidR="002D5B41" w:rsidRPr="002D5B41">
        <w:rPr>
          <w:rFonts w:cs="David" w:hint="cs"/>
          <w:b/>
          <w:bCs/>
          <w:rtl/>
        </w:rPr>
        <w:t>מ</w:t>
      </w:r>
      <w:r w:rsidR="002D5B41" w:rsidRPr="002D5B41">
        <w:rPr>
          <w:rFonts w:cs="David"/>
          <w:b/>
          <w:bCs/>
          <w:rtl/>
        </w:rPr>
        <w:t>"</w:t>
      </w:r>
      <w:r w:rsidR="002D5B41" w:rsidRPr="002D5B41">
        <w:rPr>
          <w:rFonts w:cs="David"/>
          <w:rtl/>
        </w:rPr>
        <w:t xml:space="preserve"> </w:t>
      </w:r>
      <w:r w:rsidR="002D5B41">
        <w:rPr>
          <w:rFonts w:cs="David" w:hint="cs"/>
          <w:rtl/>
        </w:rPr>
        <w:t>(</w:t>
      </w:r>
      <w:r w:rsidR="002D5B41" w:rsidRPr="002D5B41">
        <w:rPr>
          <w:rFonts w:cs="David" w:hint="cs"/>
          <w:rtl/>
        </w:rPr>
        <w:t>נבו</w:t>
      </w:r>
      <w:r w:rsidR="00732647">
        <w:rPr>
          <w:rFonts w:cs="David" w:hint="cs"/>
          <w:rtl/>
        </w:rPr>
        <w:t xml:space="preserve"> </w:t>
      </w:r>
      <w:r w:rsidR="00BE6098" w:rsidRPr="00BE6098">
        <w:rPr>
          <w:rFonts w:cs="David"/>
          <w:rtl/>
        </w:rPr>
        <w:t>20.11.2016</w:t>
      </w:r>
      <w:r w:rsidR="002D5B41">
        <w:rPr>
          <w:rFonts w:cs="David" w:hint="cs"/>
          <w:rtl/>
        </w:rPr>
        <w:t>).</w:t>
      </w:r>
    </w:p>
  </w:footnote>
  <w:footnote w:id="17">
    <w:p w14:paraId="7801E946" w14:textId="77777777" w:rsidR="003208A5" w:rsidRPr="00E7292E" w:rsidRDefault="003208A5" w:rsidP="003208A5">
      <w:pPr>
        <w:pStyle w:val="a7"/>
        <w:rPr>
          <w:rFonts w:cs="David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E7292E">
        <w:rPr>
          <w:rFonts w:cs="David" w:hint="cs"/>
          <w:rtl/>
        </w:rPr>
        <w:t>סעיף 55(ג) לחוק המקרקעין</w:t>
      </w:r>
      <w:r>
        <w:rPr>
          <w:rFonts w:cs="David" w:hint="cs"/>
          <w:rtl/>
        </w:rPr>
        <w:t>.</w:t>
      </w:r>
    </w:p>
  </w:footnote>
  <w:footnote w:id="18">
    <w:p w14:paraId="2715868B" w14:textId="09EAF3F1" w:rsidR="001E46A4" w:rsidRDefault="001E46A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BE3ECA">
        <w:rPr>
          <w:rFonts w:cs="David" w:hint="cs"/>
          <w:rtl/>
        </w:rPr>
        <w:t xml:space="preserve">עניין </w:t>
      </w:r>
      <w:r w:rsidRPr="002D5B41">
        <w:rPr>
          <w:rFonts w:cs="David" w:hint="cs"/>
          <w:b/>
          <w:bCs/>
          <w:rtl/>
        </w:rPr>
        <w:t>עמליה</w:t>
      </w:r>
      <w:r w:rsidRPr="002D5B41">
        <w:rPr>
          <w:rFonts w:cs="David"/>
          <w:b/>
          <w:bCs/>
          <w:rtl/>
        </w:rPr>
        <w:t xml:space="preserve"> </w:t>
      </w:r>
      <w:r w:rsidRPr="002D5B41">
        <w:rPr>
          <w:rFonts w:cs="David" w:hint="cs"/>
          <w:b/>
          <w:bCs/>
          <w:rtl/>
        </w:rPr>
        <w:t>פרנק</w:t>
      </w:r>
      <w:r w:rsidR="00BE3ECA">
        <w:rPr>
          <w:rFonts w:cs="David" w:hint="cs"/>
          <w:rtl/>
        </w:rPr>
        <w:t>, לעיל ה"ש 16,</w:t>
      </w:r>
      <w:r w:rsidR="003F4BEC">
        <w:rPr>
          <w:rFonts w:cs="David" w:hint="cs"/>
          <w:b/>
          <w:bCs/>
          <w:rtl/>
        </w:rPr>
        <w:t xml:space="preserve"> </w:t>
      </w:r>
      <w:r w:rsidR="003F4BEC" w:rsidRPr="003F4BEC">
        <w:rPr>
          <w:rFonts w:cs="David" w:hint="cs"/>
          <w:rtl/>
        </w:rPr>
        <w:t>ס' 17 לפסק דינה של נאור</w:t>
      </w:r>
      <w:r w:rsidR="00BE3ECA">
        <w:rPr>
          <w:rFonts w:cs="David" w:hint="cs"/>
          <w:rtl/>
        </w:rPr>
        <w:t>.</w:t>
      </w:r>
    </w:p>
  </w:footnote>
  <w:footnote w:id="19">
    <w:p w14:paraId="68B41E9A" w14:textId="7988C0D5" w:rsidR="009B7171" w:rsidRPr="002850F3" w:rsidRDefault="009B7171">
      <w:pPr>
        <w:pStyle w:val="a7"/>
        <w:rPr>
          <w:rFonts w:cs="David"/>
        </w:rPr>
      </w:pPr>
      <w:r>
        <w:rPr>
          <w:rStyle w:val="a9"/>
        </w:rPr>
        <w:footnoteRef/>
      </w:r>
      <w:r w:rsidR="00D81906">
        <w:t xml:space="preserve"> </w:t>
      </w:r>
      <w:r w:rsidR="002850F3" w:rsidRPr="002850F3">
        <w:rPr>
          <w:rFonts w:cs="David" w:hint="cs"/>
          <w:rtl/>
        </w:rPr>
        <w:t>ע</w:t>
      </w:r>
      <w:r w:rsidR="002850F3" w:rsidRPr="002850F3">
        <w:rPr>
          <w:rFonts w:cs="David"/>
          <w:rtl/>
        </w:rPr>
        <w:t>"</w:t>
      </w:r>
      <w:r w:rsidR="002850F3" w:rsidRPr="002850F3">
        <w:rPr>
          <w:rFonts w:cs="David" w:hint="cs"/>
          <w:rtl/>
        </w:rPr>
        <w:t>א</w:t>
      </w:r>
      <w:r w:rsidR="002850F3" w:rsidRPr="002850F3">
        <w:rPr>
          <w:rFonts w:cs="David"/>
          <w:rtl/>
        </w:rPr>
        <w:t xml:space="preserve"> 1781/13 </w:t>
      </w:r>
      <w:r w:rsidR="002850F3" w:rsidRPr="002850F3">
        <w:rPr>
          <w:rFonts w:cs="David" w:hint="cs"/>
          <w:b/>
          <w:bCs/>
          <w:rtl/>
        </w:rPr>
        <w:t>פרידמן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חכשורי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חברה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להנדסה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ולבנייה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בע</w:t>
      </w:r>
      <w:r w:rsidR="002850F3" w:rsidRPr="002850F3">
        <w:rPr>
          <w:rFonts w:cs="David"/>
          <w:b/>
          <w:bCs/>
          <w:rtl/>
        </w:rPr>
        <w:t>"</w:t>
      </w:r>
      <w:r w:rsidR="002850F3" w:rsidRPr="002850F3">
        <w:rPr>
          <w:rFonts w:cs="David" w:hint="cs"/>
          <w:b/>
          <w:bCs/>
          <w:rtl/>
        </w:rPr>
        <w:t>מ</w:t>
      </w:r>
      <w:r w:rsidR="002850F3" w:rsidRPr="002850F3">
        <w:rPr>
          <w:rFonts w:cs="David"/>
          <w:b/>
          <w:bCs/>
          <w:rtl/>
        </w:rPr>
        <w:t xml:space="preserve"> </w:t>
      </w:r>
      <w:r w:rsidR="002850F3" w:rsidRPr="002850F3">
        <w:rPr>
          <w:rFonts w:cs="David" w:hint="cs"/>
          <w:b/>
          <w:bCs/>
          <w:rtl/>
        </w:rPr>
        <w:t>נ</w:t>
      </w:r>
      <w:r w:rsidR="002850F3" w:rsidRPr="002850F3">
        <w:rPr>
          <w:rFonts w:cs="David"/>
          <w:b/>
          <w:bCs/>
          <w:rtl/>
        </w:rPr>
        <w:t xml:space="preserve">' </w:t>
      </w:r>
      <w:r w:rsidR="002850F3" w:rsidRPr="002850F3">
        <w:rPr>
          <w:rFonts w:cs="David" w:hint="cs"/>
          <w:b/>
          <w:bCs/>
          <w:rtl/>
        </w:rPr>
        <w:t>מלי</w:t>
      </w:r>
      <w:r w:rsidR="002850F3">
        <w:rPr>
          <w:rFonts w:cs="David" w:hint="cs"/>
          <w:b/>
          <w:bCs/>
          <w:rtl/>
        </w:rPr>
        <w:t>,</w:t>
      </w:r>
      <w:r w:rsidR="008A148E">
        <w:rPr>
          <w:rFonts w:cs="David" w:hint="cs"/>
          <w:b/>
          <w:bCs/>
          <w:rtl/>
        </w:rPr>
        <w:t xml:space="preserve"> </w:t>
      </w:r>
      <w:r w:rsidR="002850F3" w:rsidRPr="002850F3">
        <w:rPr>
          <w:rFonts w:cs="David"/>
          <w:rtl/>
        </w:rPr>
        <w:t xml:space="preserve"> </w:t>
      </w:r>
      <w:r w:rsidR="002850F3" w:rsidRPr="002850F3">
        <w:rPr>
          <w:rFonts w:cs="David" w:hint="cs"/>
          <w:rtl/>
        </w:rPr>
        <w:t>ס' כ' לפסק דינו של רובינשטיין</w:t>
      </w:r>
      <w:r w:rsidR="002850F3" w:rsidRPr="002850F3">
        <w:rPr>
          <w:rFonts w:cs="David"/>
          <w:rtl/>
        </w:rPr>
        <w:t xml:space="preserve"> </w:t>
      </w:r>
      <w:r w:rsidR="002850F3">
        <w:rPr>
          <w:rFonts w:cs="David" w:hint="cs"/>
          <w:rtl/>
        </w:rPr>
        <w:t>(</w:t>
      </w:r>
      <w:r w:rsidR="002850F3" w:rsidRPr="002850F3">
        <w:rPr>
          <w:rFonts w:cs="David" w:hint="cs"/>
          <w:rtl/>
        </w:rPr>
        <w:t>נבו</w:t>
      </w:r>
      <w:r w:rsidR="002850F3" w:rsidRPr="002850F3">
        <w:rPr>
          <w:rFonts w:cs="David"/>
          <w:rtl/>
        </w:rPr>
        <w:t xml:space="preserve"> 15.7.2015</w:t>
      </w:r>
      <w:r w:rsidR="002850F3">
        <w:rPr>
          <w:rFonts w:cs="David" w:hint="cs"/>
          <w:rtl/>
        </w:rPr>
        <w:t>)</w:t>
      </w:r>
      <w:r w:rsidR="00D81906" w:rsidRPr="002850F3">
        <w:rPr>
          <w:rFonts w:cs="David"/>
        </w:rPr>
        <w:t xml:space="preserve"> </w:t>
      </w:r>
      <w:r w:rsidR="00687EAC">
        <w:rPr>
          <w:rFonts w:cs="David"/>
        </w:rPr>
        <w:t>.</w:t>
      </w:r>
    </w:p>
  </w:footnote>
  <w:footnote w:id="20">
    <w:p w14:paraId="0B43D28A" w14:textId="655BB765" w:rsidR="001A5F9F" w:rsidRPr="00112C3B" w:rsidRDefault="001A5F9F" w:rsidP="00112C3B">
      <w:pPr>
        <w:pStyle w:val="a7"/>
        <w:rPr>
          <w:rFonts w:cs="David"/>
        </w:rPr>
      </w:pPr>
      <w:r>
        <w:rPr>
          <w:rStyle w:val="a9"/>
        </w:rPr>
        <w:footnoteRef/>
      </w:r>
      <w:r>
        <w:t xml:space="preserve"> </w:t>
      </w:r>
      <w:r w:rsidRPr="00E7292E">
        <w:rPr>
          <w:rFonts w:cs="David" w:hint="cs"/>
          <w:rtl/>
        </w:rPr>
        <w:t>סעיף 55(ג) לחוק המקרקעין</w:t>
      </w:r>
      <w:r w:rsidR="00C422E1">
        <w:rPr>
          <w:rFonts w:cs="David" w:hint="cs"/>
          <w:rtl/>
        </w:rPr>
        <w:t xml:space="preserve">; </w:t>
      </w:r>
      <w:r w:rsidR="007936E8">
        <w:rPr>
          <w:rFonts w:cs="David" w:hint="cs"/>
          <w:rtl/>
        </w:rPr>
        <w:t>ע"</w:t>
      </w:r>
      <w:r w:rsidR="007936E8" w:rsidRPr="002D5B41">
        <w:rPr>
          <w:rFonts w:cs="David" w:hint="cs"/>
          <w:rtl/>
        </w:rPr>
        <w:t>א</w:t>
      </w:r>
      <w:r w:rsidR="007936E8" w:rsidRPr="002D5B41">
        <w:rPr>
          <w:rFonts w:cs="David"/>
          <w:rtl/>
        </w:rPr>
        <w:t xml:space="preserve"> 7260/12 </w:t>
      </w:r>
      <w:r w:rsidR="007936E8" w:rsidRPr="002D5B41">
        <w:rPr>
          <w:rFonts w:cs="David" w:hint="cs"/>
          <w:b/>
          <w:bCs/>
          <w:rtl/>
        </w:rPr>
        <w:t>עמליה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פרנק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כהן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נכסים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והשקעות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בע</w:t>
      </w:r>
      <w:r w:rsidR="007936E8" w:rsidRPr="002D5B41">
        <w:rPr>
          <w:rFonts w:cs="David"/>
          <w:b/>
          <w:bCs/>
          <w:rtl/>
        </w:rPr>
        <w:t>"</w:t>
      </w:r>
      <w:r w:rsidR="007936E8" w:rsidRPr="002D5B41">
        <w:rPr>
          <w:rFonts w:cs="David" w:hint="cs"/>
          <w:b/>
          <w:bCs/>
          <w:rtl/>
        </w:rPr>
        <w:t>מ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נ</w:t>
      </w:r>
      <w:r w:rsidR="007936E8" w:rsidRPr="002D5B41">
        <w:rPr>
          <w:rFonts w:cs="David"/>
          <w:b/>
          <w:bCs/>
          <w:rtl/>
        </w:rPr>
        <w:t xml:space="preserve">' </w:t>
      </w:r>
      <w:r w:rsidR="007936E8" w:rsidRPr="002D5B41">
        <w:rPr>
          <w:rFonts w:cs="David" w:hint="cs"/>
          <w:b/>
          <w:bCs/>
          <w:rtl/>
        </w:rPr>
        <w:t>חברת</w:t>
      </w:r>
      <w:r w:rsidR="007936E8" w:rsidRPr="002D5B41">
        <w:rPr>
          <w:rFonts w:cs="David"/>
          <w:b/>
          <w:bCs/>
          <w:rtl/>
        </w:rPr>
        <w:t xml:space="preserve"> "</w:t>
      </w:r>
      <w:r w:rsidR="007936E8" w:rsidRPr="002D5B41">
        <w:rPr>
          <w:rFonts w:cs="David" w:hint="cs"/>
          <w:b/>
          <w:bCs/>
          <w:rtl/>
        </w:rPr>
        <w:t>וזוב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נכסים</w:t>
      </w:r>
      <w:r w:rsidR="007936E8" w:rsidRPr="002D5B41">
        <w:rPr>
          <w:rFonts w:cs="David"/>
          <w:b/>
          <w:bCs/>
          <w:rtl/>
        </w:rPr>
        <w:t xml:space="preserve"> </w:t>
      </w:r>
      <w:r w:rsidR="007936E8" w:rsidRPr="002D5B41">
        <w:rPr>
          <w:rFonts w:cs="David" w:hint="cs"/>
          <w:b/>
          <w:bCs/>
          <w:rtl/>
        </w:rPr>
        <w:t>בע</w:t>
      </w:r>
      <w:r w:rsidR="007936E8" w:rsidRPr="002D5B41">
        <w:rPr>
          <w:rFonts w:cs="David"/>
          <w:b/>
          <w:bCs/>
          <w:rtl/>
        </w:rPr>
        <w:t>"</w:t>
      </w:r>
      <w:r w:rsidR="007936E8" w:rsidRPr="002D5B41">
        <w:rPr>
          <w:rFonts w:cs="David" w:hint="cs"/>
          <w:b/>
          <w:bCs/>
          <w:rtl/>
        </w:rPr>
        <w:t>מ</w:t>
      </w:r>
      <w:r w:rsidR="007936E8" w:rsidRPr="002D5B41">
        <w:rPr>
          <w:rFonts w:cs="David"/>
          <w:b/>
          <w:bCs/>
          <w:rtl/>
        </w:rPr>
        <w:t>"</w:t>
      </w:r>
      <w:r w:rsidR="007936E8">
        <w:rPr>
          <w:rFonts w:cs="David" w:hint="cs"/>
          <w:rtl/>
        </w:rPr>
        <w:t xml:space="preserve"> 1, 37 סעיף 51 לפסק דינה של השו' נאור</w:t>
      </w:r>
      <w:r w:rsidR="00A01B6B">
        <w:rPr>
          <w:rFonts w:cs="David" w:hint="cs"/>
          <w:rtl/>
        </w:rPr>
        <w:t xml:space="preserve"> (</w:t>
      </w:r>
      <w:r w:rsidR="00A01B6B" w:rsidRPr="00A01B6B">
        <w:rPr>
          <w:rFonts w:cs="David" w:hint="cs"/>
          <w:rtl/>
        </w:rPr>
        <w:t>פורסם</w:t>
      </w:r>
      <w:r w:rsidR="00A01B6B" w:rsidRPr="00A01B6B">
        <w:rPr>
          <w:rFonts w:cs="David"/>
          <w:rtl/>
        </w:rPr>
        <w:t xml:space="preserve"> </w:t>
      </w:r>
      <w:r w:rsidR="00A01B6B" w:rsidRPr="00A01B6B">
        <w:rPr>
          <w:rFonts w:cs="David" w:hint="cs"/>
          <w:rtl/>
        </w:rPr>
        <w:t>בנבו</w:t>
      </w:r>
      <w:r w:rsidR="00A01B6B" w:rsidRPr="00A01B6B">
        <w:rPr>
          <w:rFonts w:cs="David"/>
          <w:rtl/>
        </w:rPr>
        <w:t>)</w:t>
      </w:r>
      <w:r w:rsidR="00A01B6B">
        <w:rPr>
          <w:rFonts w:cs="David" w:hint="cs"/>
          <w:rtl/>
        </w:rPr>
        <w:t>.</w:t>
      </w:r>
    </w:p>
  </w:footnote>
  <w:footnote w:id="21">
    <w:p w14:paraId="734A16C4" w14:textId="59379EDA" w:rsidR="00112C3B" w:rsidRPr="00F312F5" w:rsidRDefault="00112C3B">
      <w:pPr>
        <w:pStyle w:val="a7"/>
        <w:rPr>
          <w:rFonts w:cs="David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A510E0" w:rsidRPr="00A510E0">
        <w:rPr>
          <w:rFonts w:cs="David" w:hint="cs"/>
          <w:rtl/>
        </w:rPr>
        <w:t>עניין</w:t>
      </w:r>
      <w:r w:rsidR="00A510E0">
        <w:rPr>
          <w:rFonts w:cs="David" w:hint="cs"/>
          <w:b/>
          <w:bCs/>
          <w:rtl/>
        </w:rPr>
        <w:t xml:space="preserve"> </w:t>
      </w:r>
      <w:r w:rsidRPr="00112C3B">
        <w:rPr>
          <w:rFonts w:cs="David" w:hint="cs"/>
          <w:b/>
          <w:bCs/>
          <w:rtl/>
        </w:rPr>
        <w:t>פרידמן</w:t>
      </w:r>
      <w:r>
        <w:rPr>
          <w:rFonts w:hint="cs"/>
          <w:rtl/>
        </w:rPr>
        <w:t xml:space="preserve">, </w:t>
      </w:r>
      <w:r w:rsidRPr="00112C3B">
        <w:rPr>
          <w:rFonts w:cs="David" w:hint="cs"/>
          <w:rtl/>
        </w:rPr>
        <w:t>לעיל ה"ש 1</w:t>
      </w:r>
      <w:r w:rsidR="008A148E">
        <w:rPr>
          <w:rFonts w:cs="David" w:hint="cs"/>
          <w:rtl/>
        </w:rPr>
        <w:t>9</w:t>
      </w:r>
      <w:r>
        <w:rPr>
          <w:rFonts w:hint="cs"/>
          <w:rtl/>
        </w:rPr>
        <w:t xml:space="preserve">, </w:t>
      </w:r>
      <w:r w:rsidR="007A34CE" w:rsidRPr="00F312F5">
        <w:rPr>
          <w:rFonts w:cs="David" w:hint="cs"/>
          <w:rtl/>
        </w:rPr>
        <w:t>עמ' 10 פסקה כב'</w:t>
      </w:r>
      <w:r w:rsidR="00F312F5" w:rsidRPr="00F312F5">
        <w:rPr>
          <w:rFonts w:cs="David" w:hint="cs"/>
          <w:rtl/>
        </w:rPr>
        <w:t>.</w:t>
      </w:r>
    </w:p>
  </w:footnote>
  <w:footnote w:id="22">
    <w:p w14:paraId="5BE759AF" w14:textId="21EEA1AB" w:rsidR="00391CED" w:rsidRPr="000515B4" w:rsidRDefault="00391CE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bookmarkStart w:id="1" w:name="_Hlk71407152"/>
      <w:r w:rsidR="00A510E0">
        <w:rPr>
          <w:rFonts w:cs="David" w:hint="cs"/>
          <w:rtl/>
        </w:rPr>
        <w:t xml:space="preserve">עניין </w:t>
      </w:r>
      <w:r w:rsidR="000515B4" w:rsidRPr="000515B4">
        <w:rPr>
          <w:rFonts w:cs="David" w:hint="cs"/>
          <w:b/>
          <w:bCs/>
          <w:rtl/>
        </w:rPr>
        <w:t>פרידמ</w:t>
      </w:r>
      <w:r w:rsidR="000515B4">
        <w:rPr>
          <w:rFonts w:cs="David" w:hint="cs"/>
          <w:b/>
          <w:bCs/>
          <w:rtl/>
        </w:rPr>
        <w:t xml:space="preserve">ן, </w:t>
      </w:r>
      <w:r w:rsidR="000515B4">
        <w:rPr>
          <w:rFonts w:cs="David" w:hint="cs"/>
          <w:rtl/>
        </w:rPr>
        <w:t>לעיל ה"ש 1</w:t>
      </w:r>
      <w:r w:rsidR="00A510E0">
        <w:rPr>
          <w:rFonts w:cs="David" w:hint="cs"/>
          <w:rtl/>
        </w:rPr>
        <w:t>9</w:t>
      </w:r>
      <w:r w:rsidR="000515B4">
        <w:rPr>
          <w:rFonts w:cs="David" w:hint="cs"/>
          <w:rtl/>
        </w:rPr>
        <w:t xml:space="preserve">, </w:t>
      </w:r>
      <w:bookmarkEnd w:id="1"/>
      <w:r w:rsidR="000515B4">
        <w:rPr>
          <w:rFonts w:cs="David" w:hint="cs"/>
          <w:rtl/>
        </w:rPr>
        <w:t>עמ' 10-11 פ</w:t>
      </w:r>
      <w:r w:rsidR="00DF4094">
        <w:rPr>
          <w:rFonts w:cs="David" w:hint="cs"/>
          <w:rtl/>
        </w:rPr>
        <w:t>ס' כד'.</w:t>
      </w:r>
    </w:p>
  </w:footnote>
  <w:footnote w:id="23">
    <w:p w14:paraId="13A156BC" w14:textId="68B26F6E" w:rsidR="00DF0144" w:rsidRPr="008105DC" w:rsidRDefault="00DF0144">
      <w:pPr>
        <w:pStyle w:val="a7"/>
        <w:rPr>
          <w:rFonts w:cs="David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A510E0">
        <w:rPr>
          <w:rFonts w:cs="David" w:hint="cs"/>
          <w:rtl/>
        </w:rPr>
        <w:t xml:space="preserve">עניין </w:t>
      </w:r>
      <w:r w:rsidR="000515B4" w:rsidRPr="002D5B41">
        <w:rPr>
          <w:rFonts w:cs="David" w:hint="cs"/>
          <w:b/>
          <w:bCs/>
          <w:rtl/>
        </w:rPr>
        <w:t>עמליה</w:t>
      </w:r>
      <w:r w:rsidR="000515B4" w:rsidRPr="002D5B41">
        <w:rPr>
          <w:rFonts w:cs="David"/>
          <w:b/>
          <w:bCs/>
          <w:rtl/>
        </w:rPr>
        <w:t xml:space="preserve"> </w:t>
      </w:r>
      <w:r w:rsidR="000515B4" w:rsidRPr="002D5B41">
        <w:rPr>
          <w:rFonts w:cs="David" w:hint="cs"/>
          <w:b/>
          <w:bCs/>
          <w:rtl/>
        </w:rPr>
        <w:t>פרנק</w:t>
      </w:r>
      <w:r w:rsidR="00A510E0">
        <w:rPr>
          <w:rFonts w:cs="David" w:hint="cs"/>
          <w:b/>
          <w:bCs/>
          <w:rtl/>
        </w:rPr>
        <w:t xml:space="preserve">, </w:t>
      </w:r>
      <w:r w:rsidR="000515B4" w:rsidRPr="000515B4">
        <w:rPr>
          <w:rFonts w:cs="David" w:hint="cs"/>
          <w:rtl/>
        </w:rPr>
        <w:t>ל</w:t>
      </w:r>
      <w:r w:rsidR="000515B4">
        <w:rPr>
          <w:rFonts w:cs="David" w:hint="cs"/>
          <w:rtl/>
        </w:rPr>
        <w:t>ע</w:t>
      </w:r>
      <w:r w:rsidR="000515B4" w:rsidRPr="000515B4">
        <w:rPr>
          <w:rFonts w:cs="David" w:hint="cs"/>
          <w:rtl/>
        </w:rPr>
        <w:t>יל ה"ש 1</w:t>
      </w:r>
      <w:r w:rsidR="00A510E0">
        <w:rPr>
          <w:rFonts w:cs="David" w:hint="cs"/>
          <w:rtl/>
        </w:rPr>
        <w:t>6</w:t>
      </w:r>
      <w:r w:rsidR="000515B4" w:rsidRPr="000515B4">
        <w:rPr>
          <w:rFonts w:cs="David" w:hint="cs"/>
          <w:rtl/>
        </w:rPr>
        <w:t>,</w:t>
      </w:r>
      <w:r w:rsidR="000515B4">
        <w:rPr>
          <w:rFonts w:cs="David" w:hint="cs"/>
          <w:b/>
          <w:bCs/>
          <w:rtl/>
        </w:rPr>
        <w:t xml:space="preserve"> </w:t>
      </w:r>
      <w:r w:rsidR="00A510E0">
        <w:rPr>
          <w:rFonts w:cs="David" w:hint="cs"/>
          <w:rtl/>
        </w:rPr>
        <w:t>ב</w:t>
      </w:r>
      <w:r w:rsidR="008105DC" w:rsidRPr="008105DC">
        <w:rPr>
          <w:rFonts w:cs="David" w:hint="cs"/>
          <w:rtl/>
        </w:rPr>
        <w:t>עמ' 29 פסקה 37 לפסק דינה של נאור</w:t>
      </w:r>
      <w:r w:rsidR="000515B4">
        <w:rPr>
          <w:rFonts w:cs="David" w:hint="cs"/>
          <w:rtl/>
        </w:rPr>
        <w:t>.</w:t>
      </w:r>
    </w:p>
  </w:footnote>
  <w:footnote w:id="24">
    <w:p w14:paraId="5C60D3BD" w14:textId="0028D8F4" w:rsidR="002A4CC5" w:rsidRDefault="002A4CC5" w:rsidP="002A4CC5">
      <w:pPr>
        <w:pStyle w:val="a7"/>
      </w:pPr>
      <w:r>
        <w:rPr>
          <w:rStyle w:val="a9"/>
        </w:rPr>
        <w:footnoteRef/>
      </w:r>
      <w:r w:rsidR="00A510E0">
        <w:t xml:space="preserve"> </w:t>
      </w:r>
      <w:r w:rsidR="00A510E0" w:rsidRPr="00A510E0">
        <w:rPr>
          <w:rFonts w:cs="David" w:hint="cs"/>
          <w:rtl/>
        </w:rPr>
        <w:t>עניין</w:t>
      </w:r>
      <w:r w:rsidR="00A510E0">
        <w:rPr>
          <w:rFonts w:hint="cs"/>
          <w:rtl/>
        </w:rPr>
        <w:t xml:space="preserve"> </w:t>
      </w:r>
      <w:r w:rsidRPr="000515B4">
        <w:rPr>
          <w:rFonts w:cs="David" w:hint="cs"/>
          <w:b/>
          <w:bCs/>
          <w:rtl/>
        </w:rPr>
        <w:t>פרידמ</w:t>
      </w:r>
      <w:r>
        <w:rPr>
          <w:rFonts w:cs="David" w:hint="cs"/>
          <w:b/>
          <w:bCs/>
          <w:rtl/>
        </w:rPr>
        <w:t xml:space="preserve">ן, </w:t>
      </w:r>
      <w:r>
        <w:rPr>
          <w:rFonts w:cs="David" w:hint="cs"/>
          <w:rtl/>
        </w:rPr>
        <w:t>לעיל ה"ש 1</w:t>
      </w:r>
      <w:r w:rsidR="00A510E0">
        <w:rPr>
          <w:rFonts w:cs="David" w:hint="cs"/>
          <w:rtl/>
        </w:rPr>
        <w:t>9</w:t>
      </w:r>
      <w:r>
        <w:rPr>
          <w:rFonts w:cs="David" w:hint="cs"/>
          <w:rtl/>
        </w:rPr>
        <w:t xml:space="preserve">, </w:t>
      </w:r>
      <w:r w:rsidRPr="00154DF8">
        <w:rPr>
          <w:rFonts w:cs="David" w:hint="cs"/>
          <w:rtl/>
        </w:rPr>
        <w:t xml:space="preserve">סעיפים ה' ו-כד לפסק </w:t>
      </w:r>
      <w:r w:rsidR="00C80EC3">
        <w:rPr>
          <w:rFonts w:cs="David" w:hint="cs"/>
          <w:rtl/>
        </w:rPr>
        <w:t>ד</w:t>
      </w:r>
      <w:r w:rsidRPr="00154DF8">
        <w:rPr>
          <w:rFonts w:cs="David" w:hint="cs"/>
          <w:rtl/>
        </w:rPr>
        <w:t>ינו של רובינשטיין</w:t>
      </w:r>
      <w:r>
        <w:rPr>
          <w:rFonts w:hint="cs"/>
          <w:rtl/>
        </w:rPr>
        <w:t>.</w:t>
      </w:r>
    </w:p>
  </w:footnote>
  <w:footnote w:id="25">
    <w:p w14:paraId="1EA3C47E" w14:textId="39E9D320" w:rsidR="003139BA" w:rsidRDefault="003139BA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725039">
        <w:rPr>
          <w:rFonts w:cs="David" w:hint="cs"/>
          <w:rtl/>
        </w:rPr>
        <w:t xml:space="preserve">עניין </w:t>
      </w:r>
      <w:r w:rsidR="00C80EC3" w:rsidRPr="000515B4">
        <w:rPr>
          <w:rFonts w:cs="David" w:hint="cs"/>
          <w:b/>
          <w:bCs/>
          <w:rtl/>
        </w:rPr>
        <w:t>פרידמ</w:t>
      </w:r>
      <w:r w:rsidR="00C80EC3">
        <w:rPr>
          <w:rFonts w:cs="David" w:hint="cs"/>
          <w:b/>
          <w:bCs/>
          <w:rtl/>
        </w:rPr>
        <w:t xml:space="preserve">ן, </w:t>
      </w:r>
      <w:r w:rsidR="00C80EC3"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 w:rsidR="00C80EC3">
        <w:rPr>
          <w:rFonts w:cs="David" w:hint="cs"/>
          <w:rtl/>
        </w:rPr>
        <w:t xml:space="preserve">, </w:t>
      </w:r>
      <w:r w:rsidR="00C80EC3" w:rsidRPr="00154DF8">
        <w:rPr>
          <w:rFonts w:cs="David" w:hint="cs"/>
          <w:rtl/>
        </w:rPr>
        <w:t>סעי</w:t>
      </w:r>
      <w:r w:rsidR="00C80EC3">
        <w:rPr>
          <w:rFonts w:cs="David" w:hint="cs"/>
          <w:rtl/>
        </w:rPr>
        <w:t xml:space="preserve">ף </w:t>
      </w:r>
      <w:r w:rsidR="00C80EC3" w:rsidRPr="00154DF8">
        <w:rPr>
          <w:rFonts w:cs="David" w:hint="cs"/>
          <w:rtl/>
        </w:rPr>
        <w:t xml:space="preserve">כד לפסק </w:t>
      </w:r>
      <w:r w:rsidR="00C80EC3">
        <w:rPr>
          <w:rFonts w:cs="David" w:hint="cs"/>
          <w:rtl/>
        </w:rPr>
        <w:t>ד</w:t>
      </w:r>
      <w:r w:rsidR="00C80EC3" w:rsidRPr="00154DF8">
        <w:rPr>
          <w:rFonts w:cs="David" w:hint="cs"/>
          <w:rtl/>
        </w:rPr>
        <w:t>ינו של רובינשטיין</w:t>
      </w:r>
      <w:r w:rsidR="00C80EC3">
        <w:rPr>
          <w:rFonts w:hint="cs"/>
          <w:rtl/>
        </w:rPr>
        <w:t>.</w:t>
      </w:r>
    </w:p>
  </w:footnote>
  <w:footnote w:id="26">
    <w:p w14:paraId="6DB35AD5" w14:textId="1317AE74" w:rsidR="007A3AE3" w:rsidRPr="002D7B5E" w:rsidRDefault="007A3AE3" w:rsidP="002D7B5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725039" w:rsidRPr="00073245">
        <w:rPr>
          <w:rFonts w:cs="David" w:hint="cs"/>
          <w:rtl/>
        </w:rPr>
        <w:t>עניין</w:t>
      </w:r>
      <w:r w:rsidR="00725039">
        <w:rPr>
          <w:rFonts w:cs="David" w:hint="cs"/>
          <w:b/>
          <w:bCs/>
          <w:rtl/>
        </w:rPr>
        <w:t xml:space="preserve"> </w:t>
      </w:r>
      <w:r w:rsidR="002D7B5E" w:rsidRPr="000515B4">
        <w:rPr>
          <w:rFonts w:cs="David" w:hint="cs"/>
          <w:b/>
          <w:bCs/>
          <w:rtl/>
        </w:rPr>
        <w:t>פרידמ</w:t>
      </w:r>
      <w:r w:rsidR="002D7B5E">
        <w:rPr>
          <w:rFonts w:cs="David" w:hint="cs"/>
          <w:b/>
          <w:bCs/>
          <w:rtl/>
        </w:rPr>
        <w:t xml:space="preserve">ן, </w:t>
      </w:r>
      <w:r w:rsidR="002D7B5E"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 w:rsidR="002D7B5E">
        <w:rPr>
          <w:rFonts w:cs="David" w:hint="cs"/>
          <w:rtl/>
        </w:rPr>
        <w:t xml:space="preserve">, סיפא </w:t>
      </w:r>
      <w:r w:rsidR="002D7B5E" w:rsidRPr="00154DF8">
        <w:rPr>
          <w:rFonts w:cs="David" w:hint="cs"/>
          <w:rtl/>
        </w:rPr>
        <w:t>סעי</w:t>
      </w:r>
      <w:r w:rsidR="002D7B5E">
        <w:rPr>
          <w:rFonts w:cs="David" w:hint="cs"/>
          <w:rtl/>
        </w:rPr>
        <w:t xml:space="preserve">ף </w:t>
      </w:r>
      <w:r w:rsidR="002D7B5E" w:rsidRPr="00154DF8">
        <w:rPr>
          <w:rFonts w:cs="David" w:hint="cs"/>
          <w:rtl/>
        </w:rPr>
        <w:t>כד</w:t>
      </w:r>
      <w:r w:rsidR="002D7B5E">
        <w:rPr>
          <w:rFonts w:cs="David" w:hint="cs"/>
          <w:rtl/>
        </w:rPr>
        <w:t>'</w:t>
      </w:r>
      <w:r w:rsidR="002D7B5E" w:rsidRPr="00154DF8">
        <w:rPr>
          <w:rFonts w:cs="David" w:hint="cs"/>
          <w:rtl/>
        </w:rPr>
        <w:t xml:space="preserve"> לפסק </w:t>
      </w:r>
      <w:r w:rsidR="002D7B5E">
        <w:rPr>
          <w:rFonts w:cs="David" w:hint="cs"/>
          <w:rtl/>
        </w:rPr>
        <w:t>ד</w:t>
      </w:r>
      <w:r w:rsidR="002D7B5E" w:rsidRPr="00154DF8">
        <w:rPr>
          <w:rFonts w:cs="David" w:hint="cs"/>
          <w:rtl/>
        </w:rPr>
        <w:t>ינו של רובינשטיין</w:t>
      </w:r>
      <w:r w:rsidR="002D7B5E">
        <w:rPr>
          <w:rFonts w:hint="cs"/>
          <w:rtl/>
        </w:rPr>
        <w:t>.</w:t>
      </w:r>
    </w:p>
  </w:footnote>
  <w:footnote w:id="27">
    <w:p w14:paraId="3910F144" w14:textId="2BAC2978" w:rsidR="00C346DF" w:rsidRPr="002D79C1" w:rsidRDefault="00C346DF" w:rsidP="00C346DF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bookmarkStart w:id="2" w:name="_Hlk71411089"/>
      <w:r w:rsidR="00725039" w:rsidRPr="00073245">
        <w:rPr>
          <w:rFonts w:cs="David" w:hint="cs"/>
          <w:rtl/>
        </w:rPr>
        <w:t>עניין</w:t>
      </w:r>
      <w:r w:rsidR="00725039">
        <w:rPr>
          <w:rFonts w:hint="cs"/>
          <w:rtl/>
        </w:rPr>
        <w:t xml:space="preserve"> </w:t>
      </w:r>
      <w:r w:rsidRPr="000515B4">
        <w:rPr>
          <w:rFonts w:cs="David" w:hint="cs"/>
          <w:b/>
          <w:bCs/>
          <w:rtl/>
        </w:rPr>
        <w:t>פרידמ</w:t>
      </w:r>
      <w:r>
        <w:rPr>
          <w:rFonts w:cs="David" w:hint="cs"/>
          <w:b/>
          <w:bCs/>
          <w:rtl/>
        </w:rPr>
        <w:t xml:space="preserve">ן, </w:t>
      </w:r>
      <w:r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>
        <w:rPr>
          <w:rFonts w:cs="David" w:hint="cs"/>
          <w:rtl/>
        </w:rPr>
        <w:t xml:space="preserve">, עמ' 17 </w:t>
      </w:r>
      <w:r w:rsidRPr="00154DF8">
        <w:rPr>
          <w:rFonts w:cs="David" w:hint="cs"/>
          <w:rtl/>
        </w:rPr>
        <w:t>סעי</w:t>
      </w:r>
      <w:r>
        <w:rPr>
          <w:rFonts w:cs="David" w:hint="cs"/>
          <w:rtl/>
        </w:rPr>
        <w:t>ף לב'</w:t>
      </w:r>
      <w:r w:rsidRPr="00154DF8">
        <w:rPr>
          <w:rFonts w:cs="David" w:hint="cs"/>
          <w:rtl/>
        </w:rPr>
        <w:t xml:space="preserve"> לפסק </w:t>
      </w:r>
      <w:r>
        <w:rPr>
          <w:rFonts w:cs="David" w:hint="cs"/>
          <w:rtl/>
        </w:rPr>
        <w:t>ד</w:t>
      </w:r>
      <w:r w:rsidRPr="00154DF8">
        <w:rPr>
          <w:rFonts w:cs="David" w:hint="cs"/>
          <w:rtl/>
        </w:rPr>
        <w:t>ינו של רובינשטיין</w:t>
      </w:r>
      <w:r>
        <w:rPr>
          <w:rFonts w:hint="cs"/>
          <w:rtl/>
        </w:rPr>
        <w:t>.</w:t>
      </w:r>
      <w:bookmarkEnd w:id="2"/>
    </w:p>
  </w:footnote>
  <w:footnote w:id="28">
    <w:p w14:paraId="21112FB6" w14:textId="168315C3" w:rsidR="00632BCB" w:rsidRDefault="00632BCB" w:rsidP="00632BC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725039" w:rsidRPr="00073245">
        <w:rPr>
          <w:rFonts w:cs="David" w:hint="cs"/>
          <w:rtl/>
        </w:rPr>
        <w:t>עניין</w:t>
      </w:r>
      <w:r w:rsidR="00725039">
        <w:rPr>
          <w:rFonts w:cs="David" w:hint="cs"/>
          <w:b/>
          <w:bCs/>
          <w:rtl/>
        </w:rPr>
        <w:t xml:space="preserve"> </w:t>
      </w:r>
      <w:r w:rsidRPr="000515B4">
        <w:rPr>
          <w:rFonts w:cs="David" w:hint="cs"/>
          <w:b/>
          <w:bCs/>
          <w:rtl/>
        </w:rPr>
        <w:t>פרידמ</w:t>
      </w:r>
      <w:r>
        <w:rPr>
          <w:rFonts w:cs="David" w:hint="cs"/>
          <w:b/>
          <w:bCs/>
          <w:rtl/>
        </w:rPr>
        <w:t xml:space="preserve">ן, </w:t>
      </w:r>
      <w:r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>
        <w:rPr>
          <w:rFonts w:cs="David" w:hint="cs"/>
          <w:rtl/>
        </w:rPr>
        <w:t xml:space="preserve">, </w:t>
      </w:r>
      <w:r w:rsidRPr="004C0CDF">
        <w:rPr>
          <w:rFonts w:cs="David" w:hint="cs"/>
          <w:rtl/>
        </w:rPr>
        <w:t>סעיף 17 לפסק דינו של עמית</w:t>
      </w:r>
      <w:r>
        <w:rPr>
          <w:rFonts w:hint="cs"/>
          <w:rtl/>
        </w:rPr>
        <w:t>.</w:t>
      </w:r>
    </w:p>
  </w:footnote>
  <w:footnote w:id="29">
    <w:p w14:paraId="5F95F829" w14:textId="2FEAB8C9" w:rsidR="0072245E" w:rsidRPr="006F50B4" w:rsidRDefault="0072245E" w:rsidP="006F50B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725039" w:rsidRPr="00073245">
        <w:rPr>
          <w:rFonts w:cs="David" w:hint="cs"/>
          <w:rtl/>
        </w:rPr>
        <w:t>עניין</w:t>
      </w:r>
      <w:r w:rsidR="00725039">
        <w:rPr>
          <w:rFonts w:cs="David" w:hint="cs"/>
          <w:b/>
          <w:bCs/>
          <w:rtl/>
        </w:rPr>
        <w:t xml:space="preserve"> </w:t>
      </w:r>
      <w:r w:rsidR="006F50B4" w:rsidRPr="000515B4">
        <w:rPr>
          <w:rFonts w:cs="David" w:hint="cs"/>
          <w:b/>
          <w:bCs/>
          <w:rtl/>
        </w:rPr>
        <w:t>פרידמ</w:t>
      </w:r>
      <w:r w:rsidR="006F50B4">
        <w:rPr>
          <w:rFonts w:cs="David" w:hint="cs"/>
          <w:b/>
          <w:bCs/>
          <w:rtl/>
        </w:rPr>
        <w:t xml:space="preserve">ן, </w:t>
      </w:r>
      <w:r w:rsidR="006F50B4"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 w:rsidR="006F50B4">
        <w:rPr>
          <w:rFonts w:cs="David" w:hint="cs"/>
          <w:rtl/>
        </w:rPr>
        <w:t xml:space="preserve">, </w:t>
      </w:r>
      <w:r w:rsidR="006F50B4" w:rsidRPr="004C0CDF">
        <w:rPr>
          <w:rFonts w:cs="David" w:hint="cs"/>
          <w:rtl/>
        </w:rPr>
        <w:t>סעיף 17 לפסק דינו של עמית</w:t>
      </w:r>
      <w:r w:rsidR="006F50B4">
        <w:rPr>
          <w:rFonts w:hint="cs"/>
          <w:rtl/>
        </w:rPr>
        <w:t>.</w:t>
      </w:r>
    </w:p>
  </w:footnote>
  <w:footnote w:id="30">
    <w:p w14:paraId="6E5D78E8" w14:textId="3DAB6540" w:rsidR="00907AF4" w:rsidRDefault="00907AF4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073245" w:rsidRPr="00073245">
        <w:rPr>
          <w:rFonts w:cs="David" w:hint="cs"/>
          <w:rtl/>
        </w:rPr>
        <w:t>עניין</w:t>
      </w:r>
      <w:r w:rsidR="00073245">
        <w:rPr>
          <w:rFonts w:cs="David" w:hint="cs"/>
          <w:b/>
          <w:bCs/>
          <w:rtl/>
        </w:rPr>
        <w:t xml:space="preserve"> </w:t>
      </w:r>
      <w:r w:rsidR="004A798B" w:rsidRPr="000515B4">
        <w:rPr>
          <w:rFonts w:cs="David" w:hint="cs"/>
          <w:b/>
          <w:bCs/>
          <w:rtl/>
        </w:rPr>
        <w:t>פרידמ</w:t>
      </w:r>
      <w:r w:rsidR="004A798B">
        <w:rPr>
          <w:rFonts w:cs="David" w:hint="cs"/>
          <w:b/>
          <w:bCs/>
          <w:rtl/>
        </w:rPr>
        <w:t xml:space="preserve">ן, </w:t>
      </w:r>
      <w:r w:rsidR="004A798B"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 w:rsidR="004A798B">
        <w:rPr>
          <w:rFonts w:cs="David" w:hint="cs"/>
          <w:rtl/>
        </w:rPr>
        <w:t xml:space="preserve">, </w:t>
      </w:r>
      <w:r w:rsidR="004A798B" w:rsidRPr="004A798B">
        <w:rPr>
          <w:rFonts w:cs="David" w:hint="cs"/>
          <w:rtl/>
        </w:rPr>
        <w:t>סעיף לא' רישא וסעיף לד' פסק דינו של רובינשטיין</w:t>
      </w:r>
      <w:r w:rsidR="004A798B">
        <w:rPr>
          <w:rFonts w:hint="cs"/>
          <w:rtl/>
        </w:rPr>
        <w:t>.</w:t>
      </w:r>
    </w:p>
  </w:footnote>
  <w:footnote w:id="31">
    <w:p w14:paraId="0E364D71" w14:textId="79F18EC7" w:rsidR="008A639B" w:rsidRDefault="008A639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073245" w:rsidRPr="00073245">
        <w:rPr>
          <w:rFonts w:cs="David" w:hint="cs"/>
          <w:rtl/>
        </w:rPr>
        <w:t>עניין</w:t>
      </w:r>
      <w:r w:rsidR="00073245">
        <w:rPr>
          <w:rFonts w:hint="cs"/>
          <w:rtl/>
        </w:rPr>
        <w:t xml:space="preserve"> </w:t>
      </w:r>
      <w:r w:rsidRPr="000515B4">
        <w:rPr>
          <w:rFonts w:cs="David" w:hint="cs"/>
          <w:b/>
          <w:bCs/>
          <w:rtl/>
        </w:rPr>
        <w:t>פרידמ</w:t>
      </w:r>
      <w:r>
        <w:rPr>
          <w:rFonts w:cs="David" w:hint="cs"/>
          <w:b/>
          <w:bCs/>
          <w:rtl/>
        </w:rPr>
        <w:t xml:space="preserve">ן, </w:t>
      </w:r>
      <w:r>
        <w:rPr>
          <w:rFonts w:cs="David" w:hint="cs"/>
          <w:rtl/>
        </w:rPr>
        <w:t>לעיל ה"ש 1</w:t>
      </w:r>
      <w:r w:rsidR="00725039">
        <w:rPr>
          <w:rFonts w:cs="David" w:hint="cs"/>
          <w:rtl/>
        </w:rPr>
        <w:t>9</w:t>
      </w:r>
      <w:r>
        <w:rPr>
          <w:rFonts w:cs="David" w:hint="cs"/>
          <w:rtl/>
        </w:rPr>
        <w:t xml:space="preserve">, עמ' </w:t>
      </w:r>
      <w:r w:rsidR="0046449C">
        <w:rPr>
          <w:rFonts w:cs="David" w:hint="cs"/>
          <w:rtl/>
        </w:rPr>
        <w:t>26</w:t>
      </w:r>
      <w:r>
        <w:rPr>
          <w:rFonts w:cs="David" w:hint="cs"/>
          <w:rtl/>
        </w:rPr>
        <w:t xml:space="preserve"> </w:t>
      </w:r>
      <w:r w:rsidRPr="00154DF8">
        <w:rPr>
          <w:rFonts w:cs="David" w:hint="cs"/>
          <w:rtl/>
        </w:rPr>
        <w:t>סעי</w:t>
      </w:r>
      <w:r>
        <w:rPr>
          <w:rFonts w:cs="David" w:hint="cs"/>
          <w:rtl/>
        </w:rPr>
        <w:t xml:space="preserve">ף </w:t>
      </w:r>
      <w:r w:rsidR="0046449C">
        <w:rPr>
          <w:rFonts w:cs="David" w:hint="cs"/>
          <w:rtl/>
        </w:rPr>
        <w:t>8</w:t>
      </w:r>
      <w:r w:rsidRPr="00154DF8">
        <w:rPr>
          <w:rFonts w:cs="David" w:hint="cs"/>
          <w:rtl/>
        </w:rPr>
        <w:t xml:space="preserve"> לפסק </w:t>
      </w:r>
      <w:r>
        <w:rPr>
          <w:rFonts w:cs="David" w:hint="cs"/>
          <w:rtl/>
        </w:rPr>
        <w:t>ד</w:t>
      </w:r>
      <w:r w:rsidRPr="00154DF8">
        <w:rPr>
          <w:rFonts w:cs="David" w:hint="cs"/>
          <w:rtl/>
        </w:rPr>
        <w:t xml:space="preserve">ינו של </w:t>
      </w:r>
      <w:r>
        <w:rPr>
          <w:rFonts w:cs="David" w:hint="cs"/>
          <w:rtl/>
        </w:rPr>
        <w:t>עמית</w:t>
      </w:r>
      <w:r>
        <w:rPr>
          <w:rFonts w:hint="cs"/>
          <w:rtl/>
        </w:rPr>
        <w:t>.</w:t>
      </w:r>
    </w:p>
  </w:footnote>
  <w:footnote w:id="32">
    <w:p w14:paraId="7DF4543A" w14:textId="46FABD16" w:rsidR="00D91B7A" w:rsidRPr="00697DEC" w:rsidRDefault="00D91B7A">
      <w:pPr>
        <w:pStyle w:val="a7"/>
        <w:rPr>
          <w:rFonts w:cs="David"/>
        </w:rPr>
      </w:pPr>
      <w:r w:rsidRPr="00697DEC">
        <w:rPr>
          <w:rStyle w:val="a9"/>
          <w:rFonts w:cs="David"/>
        </w:rPr>
        <w:footnoteRef/>
      </w:r>
      <w:r w:rsidRPr="00697DEC">
        <w:rPr>
          <w:rFonts w:cs="David"/>
          <w:rtl/>
        </w:rPr>
        <w:t xml:space="preserve"> </w:t>
      </w:r>
      <w:r w:rsidR="00697DEC" w:rsidRPr="00697DEC">
        <w:rPr>
          <w:rFonts w:cs="David" w:hint="cs"/>
          <w:rtl/>
        </w:rPr>
        <w:t>סעיף 59ג (ג)(3)</w:t>
      </w:r>
      <w:r w:rsidR="00AF5AFC">
        <w:rPr>
          <w:rFonts w:cs="David" w:hint="cs"/>
          <w:rtl/>
        </w:rPr>
        <w:t xml:space="preserve"> לחוק המקרקעין; </w:t>
      </w:r>
      <w:r w:rsidR="00DD6C34">
        <w:rPr>
          <w:rFonts w:cs="David" w:hint="cs"/>
          <w:rtl/>
        </w:rPr>
        <w:t>חלק ג' ל</w:t>
      </w:r>
      <w:r w:rsidR="00AF5AFC">
        <w:rPr>
          <w:rFonts w:cs="David" w:hint="cs"/>
          <w:rtl/>
        </w:rPr>
        <w:t xml:space="preserve">תוספת </w:t>
      </w:r>
      <w:r w:rsidR="00DD6C34">
        <w:rPr>
          <w:rFonts w:cs="David" w:hint="cs"/>
          <w:rtl/>
        </w:rPr>
        <w:t>ה</w:t>
      </w:r>
      <w:r w:rsidR="00AF5AFC">
        <w:rPr>
          <w:rFonts w:cs="David" w:hint="cs"/>
          <w:rtl/>
        </w:rPr>
        <w:t>שנייה לחוק המקרקעין.</w:t>
      </w:r>
    </w:p>
  </w:footnote>
  <w:footnote w:id="33">
    <w:p w14:paraId="2AE8C26D" w14:textId="6C6A5C79" w:rsidR="00A83AE6" w:rsidRPr="00440D2E" w:rsidRDefault="00A83AE6">
      <w:pPr>
        <w:pStyle w:val="a7"/>
        <w:rPr>
          <w:rFonts w:cs="David"/>
        </w:rPr>
      </w:pPr>
      <w:r w:rsidRPr="00440D2E">
        <w:rPr>
          <w:rStyle w:val="a9"/>
          <w:rFonts w:cs="David"/>
        </w:rPr>
        <w:footnoteRef/>
      </w:r>
      <w:r w:rsidRPr="00440D2E">
        <w:rPr>
          <w:rFonts w:cs="David"/>
          <w:rtl/>
        </w:rPr>
        <w:t xml:space="preserve"> </w:t>
      </w:r>
      <w:r w:rsidR="00440D2E" w:rsidRPr="00440D2E">
        <w:rPr>
          <w:rFonts w:ascii="David" w:cs="David" w:hint="cs"/>
          <w:rtl/>
        </w:rPr>
        <w:t>ע</w:t>
      </w:r>
      <w:r w:rsidR="00440D2E" w:rsidRPr="00440D2E">
        <w:rPr>
          <w:rFonts w:ascii="David" w:cs="David"/>
          <w:rtl/>
        </w:rPr>
        <w:t>"</w:t>
      </w:r>
      <w:r w:rsidR="00440D2E" w:rsidRPr="00440D2E">
        <w:rPr>
          <w:rFonts w:ascii="David" w:cs="David" w:hint="cs"/>
          <w:rtl/>
        </w:rPr>
        <w:t>א</w:t>
      </w:r>
      <w:r w:rsidR="00440D2E" w:rsidRPr="00440D2E">
        <w:rPr>
          <w:rFonts w:ascii="David" w:cs="David"/>
          <w:rtl/>
        </w:rPr>
        <w:t xml:space="preserve"> 708/72 </w:t>
      </w:r>
      <w:r w:rsidR="00440D2E" w:rsidRPr="00440D2E">
        <w:rPr>
          <w:rFonts w:ascii="David-Bold" w:cs="David" w:hint="cs"/>
          <w:b/>
          <w:bCs/>
          <w:rtl/>
        </w:rPr>
        <w:t>פרשקר</w:t>
      </w:r>
      <w:r w:rsidR="00440D2E" w:rsidRPr="00440D2E">
        <w:rPr>
          <w:rFonts w:ascii="David-Bold" w:cs="David"/>
          <w:b/>
          <w:bCs/>
          <w:rtl/>
        </w:rPr>
        <w:t xml:space="preserve"> </w:t>
      </w:r>
      <w:r w:rsidR="00440D2E" w:rsidRPr="00440D2E">
        <w:rPr>
          <w:rFonts w:ascii="David-Bold" w:cs="David" w:hint="cs"/>
          <w:b/>
          <w:bCs/>
          <w:rtl/>
        </w:rPr>
        <w:t>נ</w:t>
      </w:r>
      <w:r w:rsidR="00440D2E" w:rsidRPr="00440D2E">
        <w:rPr>
          <w:rFonts w:ascii="David-Bold" w:cs="David"/>
          <w:b/>
          <w:bCs/>
          <w:rtl/>
        </w:rPr>
        <w:t xml:space="preserve">' </w:t>
      </w:r>
      <w:r w:rsidR="00440D2E" w:rsidRPr="00440D2E">
        <w:rPr>
          <w:rFonts w:ascii="David-Bold" w:cs="David" w:hint="cs"/>
          <w:b/>
          <w:bCs/>
          <w:rtl/>
        </w:rPr>
        <w:t>רוזנברג</w:t>
      </w:r>
      <w:r w:rsidR="00440D2E" w:rsidRPr="00440D2E">
        <w:rPr>
          <w:rFonts w:ascii="David" w:cs="David"/>
          <w:rtl/>
        </w:rPr>
        <w:t xml:space="preserve">, </w:t>
      </w:r>
      <w:r w:rsidR="00440D2E" w:rsidRPr="00440D2E">
        <w:rPr>
          <w:rFonts w:ascii="David" w:cs="David" w:hint="cs"/>
          <w:rtl/>
        </w:rPr>
        <w:t>פ</w:t>
      </w:r>
      <w:r w:rsidR="00440D2E" w:rsidRPr="00440D2E">
        <w:rPr>
          <w:rFonts w:ascii="David" w:cs="David"/>
          <w:rtl/>
        </w:rPr>
        <w:t>"</w:t>
      </w:r>
      <w:r w:rsidR="00440D2E" w:rsidRPr="00440D2E">
        <w:rPr>
          <w:rFonts w:ascii="David" w:cs="David" w:hint="cs"/>
          <w:rtl/>
        </w:rPr>
        <w:t>ד</w:t>
      </w:r>
      <w:r w:rsidR="00440D2E" w:rsidRPr="00440D2E">
        <w:rPr>
          <w:rFonts w:ascii="David" w:cs="David"/>
          <w:rtl/>
        </w:rPr>
        <w:t xml:space="preserve"> </w:t>
      </w:r>
      <w:r w:rsidR="00440D2E" w:rsidRPr="00440D2E">
        <w:rPr>
          <w:rFonts w:ascii="David" w:cs="David" w:hint="cs"/>
          <w:rtl/>
        </w:rPr>
        <w:t>כח</w:t>
      </w:r>
      <w:r w:rsidR="00440D2E">
        <w:rPr>
          <w:rFonts w:ascii="David" w:cs="David" w:hint="cs"/>
          <w:rtl/>
        </w:rPr>
        <w:t xml:space="preserve"> (2</w:t>
      </w:r>
      <w:r w:rsidR="00440D2E" w:rsidRPr="00440D2E">
        <w:rPr>
          <w:rFonts w:ascii="David" w:cs="David"/>
          <w:rtl/>
        </w:rPr>
        <w:t>) 817</w:t>
      </w:r>
      <w:r w:rsidR="00440D2E">
        <w:rPr>
          <w:rFonts w:cs="David" w:hint="cs"/>
          <w:rtl/>
        </w:rPr>
        <w:t>, 823 סעי</w:t>
      </w:r>
      <w:r w:rsidR="00756A47">
        <w:rPr>
          <w:rFonts w:cs="David" w:hint="cs"/>
          <w:rtl/>
        </w:rPr>
        <w:t>פים</w:t>
      </w:r>
      <w:r w:rsidR="00440D2E">
        <w:rPr>
          <w:rFonts w:cs="David" w:hint="cs"/>
          <w:rtl/>
        </w:rPr>
        <w:t xml:space="preserve"> 4</w:t>
      </w:r>
      <w:r w:rsidR="00756A47">
        <w:rPr>
          <w:rFonts w:cs="David" w:hint="cs"/>
          <w:rtl/>
        </w:rPr>
        <w:t>-5</w:t>
      </w:r>
      <w:r w:rsidR="00440D2E">
        <w:rPr>
          <w:rFonts w:cs="David" w:hint="cs"/>
          <w:rtl/>
        </w:rPr>
        <w:t xml:space="preserve"> לפסק דינו של זוסמן</w:t>
      </w:r>
      <w:r w:rsidR="001D798D">
        <w:rPr>
          <w:rFonts w:cs="David" w:hint="cs"/>
          <w:rtl/>
        </w:rPr>
        <w:t xml:space="preserve"> </w:t>
      </w:r>
      <w:r w:rsidR="00F07F81">
        <w:rPr>
          <w:rFonts w:cs="David" w:hint="cs"/>
          <w:rtl/>
        </w:rPr>
        <w:t>(1974)</w:t>
      </w:r>
      <w:r w:rsidR="00440D2E">
        <w:rPr>
          <w:rFonts w:cs="David" w:hint="cs"/>
          <w:rtl/>
        </w:rPr>
        <w:t>.</w:t>
      </w:r>
    </w:p>
  </w:footnote>
  <w:footnote w:id="34">
    <w:p w14:paraId="4192D825" w14:textId="05675573" w:rsidR="00FE095A" w:rsidRPr="00090515" w:rsidRDefault="00FE095A">
      <w:pPr>
        <w:pStyle w:val="a7"/>
        <w:rPr>
          <w:rFonts w:cs="David"/>
          <w:rtl/>
        </w:rPr>
      </w:pPr>
      <w:r w:rsidRPr="00090515">
        <w:rPr>
          <w:rStyle w:val="a9"/>
          <w:rFonts w:cs="David"/>
        </w:rPr>
        <w:footnoteRef/>
      </w:r>
      <w:r w:rsidRPr="00090515">
        <w:rPr>
          <w:rFonts w:cs="David"/>
          <w:rtl/>
        </w:rPr>
        <w:t xml:space="preserve"> </w:t>
      </w:r>
      <w:r w:rsidR="00090515" w:rsidRPr="00090515">
        <w:rPr>
          <w:rFonts w:cs="David" w:hint="cs"/>
          <w:rtl/>
        </w:rPr>
        <w:t xml:space="preserve">סעיף 8(א) </w:t>
      </w:r>
      <w:bookmarkStart w:id="3" w:name="_Hlk71551889"/>
      <w:r w:rsidR="00090515" w:rsidRPr="00090515">
        <w:rPr>
          <w:rFonts w:cs="David" w:hint="cs"/>
          <w:rtl/>
        </w:rPr>
        <w:t>ל</w:t>
      </w:r>
      <w:r w:rsidR="0016522D">
        <w:rPr>
          <w:rFonts w:cs="David" w:hint="cs"/>
          <w:rtl/>
        </w:rPr>
        <w:t>תוספת הראשונה לחוק המקרקעין (</w:t>
      </w:r>
      <w:r w:rsidR="00017872">
        <w:rPr>
          <w:rFonts w:cs="David" w:hint="cs"/>
          <w:rtl/>
        </w:rPr>
        <w:t>תקנון מצוי</w:t>
      </w:r>
      <w:bookmarkEnd w:id="3"/>
      <w:r w:rsidR="0016522D">
        <w:rPr>
          <w:rFonts w:cs="David" w:hint="cs"/>
          <w:rtl/>
        </w:rPr>
        <w:t>)</w:t>
      </w:r>
      <w:r w:rsidR="00D84E50">
        <w:rPr>
          <w:rFonts w:cs="David" w:hint="cs"/>
          <w:rtl/>
        </w:rPr>
        <w:t>; סעיף 64 לחוק המקרקעין.</w:t>
      </w:r>
    </w:p>
  </w:footnote>
  <w:footnote w:id="35">
    <w:p w14:paraId="267E2416" w14:textId="2659A619" w:rsidR="00753BE0" w:rsidRPr="00DE20C6" w:rsidRDefault="00753BE0">
      <w:pPr>
        <w:pStyle w:val="a7"/>
        <w:rPr>
          <w:rFonts w:cs="David"/>
        </w:rPr>
      </w:pPr>
      <w:r w:rsidRPr="00DE20C6">
        <w:rPr>
          <w:rStyle w:val="a9"/>
          <w:rFonts w:cs="David"/>
        </w:rPr>
        <w:footnoteRef/>
      </w:r>
      <w:r w:rsidRPr="00DE20C6">
        <w:rPr>
          <w:rFonts w:cs="David"/>
          <w:rtl/>
        </w:rPr>
        <w:t xml:space="preserve"> </w:t>
      </w:r>
      <w:r w:rsidR="003550F3" w:rsidRPr="00DE20C6">
        <w:rPr>
          <w:rFonts w:cs="David" w:hint="cs"/>
          <w:rtl/>
        </w:rPr>
        <w:t>סעיף 5(א)</w:t>
      </w:r>
      <w:r w:rsidR="00DE20C6" w:rsidRPr="00DE20C6">
        <w:rPr>
          <w:rFonts w:cs="David" w:hint="cs"/>
          <w:rtl/>
        </w:rPr>
        <w:t xml:space="preserve"> </w:t>
      </w:r>
      <w:r w:rsidR="0016522D">
        <w:rPr>
          <w:rFonts w:cs="David" w:hint="cs"/>
          <w:rtl/>
        </w:rPr>
        <w:t>ו</w:t>
      </w:r>
      <w:r w:rsidR="0016522D" w:rsidRPr="00DE20C6">
        <w:rPr>
          <w:rFonts w:cs="David" w:hint="cs"/>
          <w:rtl/>
        </w:rPr>
        <w:t xml:space="preserve">סעיף 12 (א) </w:t>
      </w:r>
      <w:r w:rsidR="0016522D" w:rsidRPr="00090515">
        <w:rPr>
          <w:rFonts w:cs="David" w:hint="cs"/>
          <w:rtl/>
        </w:rPr>
        <w:t>ל</w:t>
      </w:r>
      <w:r w:rsidR="0016522D">
        <w:rPr>
          <w:rFonts w:cs="David" w:hint="cs"/>
          <w:rtl/>
        </w:rPr>
        <w:t>תוספת הראשונה לחוק המקרקעין (תקנון מצוי).</w:t>
      </w:r>
    </w:p>
  </w:footnote>
  <w:footnote w:id="36">
    <w:p w14:paraId="1AB56195" w14:textId="273E0B02" w:rsidR="00E2174B" w:rsidRPr="0016522D" w:rsidRDefault="00E2174B">
      <w:pPr>
        <w:pStyle w:val="a7"/>
        <w:rPr>
          <w:rFonts w:cs="David"/>
        </w:rPr>
      </w:pPr>
      <w:r>
        <w:rPr>
          <w:rStyle w:val="a9"/>
        </w:rPr>
        <w:footnoteRef/>
      </w:r>
      <w:r w:rsidR="0016522D">
        <w:rPr>
          <w:rFonts w:cs="David" w:hint="cs"/>
          <w:b/>
          <w:bCs/>
          <w:rtl/>
        </w:rPr>
        <w:t xml:space="preserve"> </w:t>
      </w:r>
      <w:r w:rsidR="0016522D" w:rsidRPr="0016522D">
        <w:rPr>
          <w:rFonts w:cs="David" w:hint="cs"/>
          <w:rtl/>
        </w:rPr>
        <w:t>עניין</w:t>
      </w:r>
      <w:r w:rsidR="0016522D">
        <w:rPr>
          <w:rFonts w:cs="David" w:hint="cs"/>
          <w:b/>
          <w:bCs/>
          <w:rtl/>
        </w:rPr>
        <w:t xml:space="preserve"> </w:t>
      </w:r>
      <w:r w:rsidR="00E57EDF">
        <w:rPr>
          <w:rFonts w:cs="David" w:hint="cs"/>
          <w:b/>
          <w:bCs/>
          <w:rtl/>
        </w:rPr>
        <w:t xml:space="preserve">פרשקר, </w:t>
      </w:r>
      <w:r w:rsidR="00E57EDF" w:rsidRPr="00DD48CC">
        <w:rPr>
          <w:rFonts w:cs="David" w:hint="cs"/>
          <w:rtl/>
        </w:rPr>
        <w:t>לעיל ה"ש 3</w:t>
      </w:r>
      <w:r w:rsidR="0016522D">
        <w:rPr>
          <w:rFonts w:cs="David" w:hint="cs"/>
          <w:rtl/>
        </w:rPr>
        <w:t>3</w:t>
      </w:r>
      <w:r w:rsidR="00E57EDF" w:rsidRPr="00DD48CC">
        <w:rPr>
          <w:rFonts w:cs="David" w:hint="cs"/>
          <w:rtl/>
        </w:rPr>
        <w:t xml:space="preserve">, </w:t>
      </w:r>
      <w:r w:rsidR="00DD48CC" w:rsidRPr="00DD48CC">
        <w:rPr>
          <w:rFonts w:cs="David" w:hint="cs"/>
          <w:rtl/>
        </w:rPr>
        <w:t>עמ' 823 סעיף 4 לפסק דינו של זוסמן</w:t>
      </w:r>
      <w:r w:rsidR="0016522D">
        <w:rPr>
          <w:rFonts w:cs="David" w:hint="cs"/>
          <w:rtl/>
        </w:rPr>
        <w:t>.</w:t>
      </w:r>
    </w:p>
  </w:footnote>
  <w:footnote w:id="37">
    <w:p w14:paraId="13398885" w14:textId="41ADB987" w:rsidR="004B3097" w:rsidRPr="004946E5" w:rsidRDefault="004B3097">
      <w:pPr>
        <w:pStyle w:val="a7"/>
        <w:rPr>
          <w:rFonts w:cs="David"/>
        </w:rPr>
      </w:pPr>
      <w:r w:rsidRPr="004946E5">
        <w:rPr>
          <w:rStyle w:val="a9"/>
          <w:rFonts w:cs="David"/>
        </w:rPr>
        <w:footnoteRef/>
      </w:r>
      <w:r w:rsidRPr="004946E5">
        <w:rPr>
          <w:rFonts w:cs="David"/>
          <w:rtl/>
        </w:rPr>
        <w:t xml:space="preserve"> </w:t>
      </w:r>
      <w:r w:rsidR="004946E5" w:rsidRPr="004946E5">
        <w:rPr>
          <w:rFonts w:cs="David" w:hint="cs"/>
          <w:rtl/>
        </w:rPr>
        <w:t xml:space="preserve">סעיף 3(א) </w:t>
      </w:r>
      <w:r w:rsidR="0016522D" w:rsidRPr="00090515">
        <w:rPr>
          <w:rFonts w:cs="David" w:hint="cs"/>
          <w:rtl/>
        </w:rPr>
        <w:t>ל</w:t>
      </w:r>
      <w:r w:rsidR="0016522D">
        <w:rPr>
          <w:rFonts w:cs="David" w:hint="cs"/>
          <w:rtl/>
        </w:rPr>
        <w:t>תוספת הראשונה לחוק המקרקעין (תקנון מצוי).</w:t>
      </w:r>
    </w:p>
  </w:footnote>
  <w:footnote w:id="38">
    <w:p w14:paraId="7793A772" w14:textId="00E32086" w:rsidR="001B2F24" w:rsidRPr="00173A9E" w:rsidRDefault="001B2F24">
      <w:pPr>
        <w:pStyle w:val="a7"/>
        <w:rPr>
          <w:rFonts w:cs="David"/>
        </w:rPr>
      </w:pPr>
      <w:r w:rsidRPr="00173A9E">
        <w:rPr>
          <w:rStyle w:val="a9"/>
          <w:rFonts w:cs="David"/>
        </w:rPr>
        <w:footnoteRef/>
      </w:r>
      <w:r w:rsidRPr="00173A9E">
        <w:rPr>
          <w:rFonts w:cs="David"/>
          <w:rtl/>
        </w:rPr>
        <w:t xml:space="preserve"> </w:t>
      </w:r>
      <w:r w:rsidRPr="00173A9E">
        <w:rPr>
          <w:rFonts w:cs="David" w:hint="cs"/>
          <w:rtl/>
        </w:rPr>
        <w:t xml:space="preserve">סעיף 12(ב) </w:t>
      </w:r>
      <w:r w:rsidR="0016522D" w:rsidRPr="0016522D">
        <w:rPr>
          <w:rFonts w:cs="David" w:hint="cs"/>
          <w:rtl/>
        </w:rPr>
        <w:t>לתוספת</w:t>
      </w:r>
      <w:r w:rsidR="0016522D" w:rsidRPr="0016522D">
        <w:rPr>
          <w:rFonts w:cs="David"/>
          <w:rtl/>
        </w:rPr>
        <w:t xml:space="preserve"> </w:t>
      </w:r>
      <w:r w:rsidR="0016522D" w:rsidRPr="0016522D">
        <w:rPr>
          <w:rFonts w:cs="David" w:hint="cs"/>
          <w:rtl/>
        </w:rPr>
        <w:t>הראשונה</w:t>
      </w:r>
      <w:r w:rsidR="0016522D" w:rsidRPr="0016522D">
        <w:rPr>
          <w:rFonts w:cs="David"/>
          <w:rtl/>
        </w:rPr>
        <w:t xml:space="preserve"> </w:t>
      </w:r>
      <w:r w:rsidR="0016522D" w:rsidRPr="0016522D">
        <w:rPr>
          <w:rFonts w:cs="David" w:hint="cs"/>
          <w:rtl/>
        </w:rPr>
        <w:t>לחוק</w:t>
      </w:r>
      <w:r w:rsidR="0016522D" w:rsidRPr="0016522D">
        <w:rPr>
          <w:rFonts w:cs="David"/>
          <w:rtl/>
        </w:rPr>
        <w:t xml:space="preserve"> </w:t>
      </w:r>
      <w:r w:rsidR="0016522D" w:rsidRPr="0016522D">
        <w:rPr>
          <w:rFonts w:cs="David" w:hint="cs"/>
          <w:rtl/>
        </w:rPr>
        <w:t>המקרקעין</w:t>
      </w:r>
      <w:r w:rsidR="0016522D" w:rsidRPr="0016522D">
        <w:rPr>
          <w:rFonts w:cs="David"/>
          <w:rtl/>
        </w:rPr>
        <w:t xml:space="preserve"> (</w:t>
      </w:r>
      <w:r w:rsidR="0016522D" w:rsidRPr="0016522D">
        <w:rPr>
          <w:rFonts w:cs="David" w:hint="cs"/>
          <w:rtl/>
        </w:rPr>
        <w:t>תקנון</w:t>
      </w:r>
      <w:r w:rsidR="0016522D" w:rsidRPr="0016522D">
        <w:rPr>
          <w:rFonts w:cs="David"/>
          <w:rtl/>
        </w:rPr>
        <w:t xml:space="preserve"> </w:t>
      </w:r>
      <w:r w:rsidR="0016522D" w:rsidRPr="0016522D">
        <w:rPr>
          <w:rFonts w:cs="David" w:hint="cs"/>
          <w:rtl/>
        </w:rPr>
        <w:t>מצוי</w:t>
      </w:r>
      <w:r w:rsidR="0016522D">
        <w:rPr>
          <w:rFonts w:cs="David" w:hint="cs"/>
          <w:rtl/>
        </w:rPr>
        <w:t>)</w:t>
      </w:r>
      <w:r w:rsidRPr="00173A9E">
        <w:rPr>
          <w:rFonts w:cs="David" w:hint="cs"/>
          <w:rtl/>
        </w:rPr>
        <w:t xml:space="preserve">; סיפא </w:t>
      </w:r>
      <w:r w:rsidR="00173A9E" w:rsidRPr="00173A9E">
        <w:rPr>
          <w:rFonts w:cs="David" w:hint="cs"/>
          <w:rtl/>
        </w:rPr>
        <w:t>ס' 62(א) לחוק המקרקעין.</w:t>
      </w:r>
    </w:p>
  </w:footnote>
  <w:footnote w:id="39">
    <w:p w14:paraId="158F10F4" w14:textId="2241DB95" w:rsidR="00091854" w:rsidRPr="00091854" w:rsidRDefault="00091854" w:rsidP="0016522D">
      <w:pPr>
        <w:pStyle w:val="a7"/>
        <w:rPr>
          <w:rFonts w:cs="David"/>
          <w:rtl/>
        </w:rPr>
      </w:pPr>
      <w:r w:rsidRPr="00091854">
        <w:rPr>
          <w:rStyle w:val="a9"/>
          <w:rFonts w:cs="David"/>
        </w:rPr>
        <w:footnoteRef/>
      </w:r>
      <w:r w:rsidRPr="00091854">
        <w:rPr>
          <w:rFonts w:cs="David"/>
          <w:rtl/>
        </w:rPr>
        <w:t xml:space="preserve"> </w:t>
      </w:r>
      <w:r w:rsidRPr="00091854">
        <w:rPr>
          <w:rFonts w:cs="David" w:hint="cs"/>
          <w:rtl/>
        </w:rPr>
        <w:t xml:space="preserve">סעיף 5(א) </w:t>
      </w:r>
      <w:r w:rsidR="0016522D" w:rsidRPr="00090515">
        <w:rPr>
          <w:rFonts w:cs="David" w:hint="cs"/>
          <w:rtl/>
        </w:rPr>
        <w:t>ל</w:t>
      </w:r>
      <w:r w:rsidR="0016522D">
        <w:rPr>
          <w:rFonts w:cs="David" w:hint="cs"/>
          <w:rtl/>
        </w:rPr>
        <w:t>תוספת הראשונה לחוק המקרקעין (תקנון מצוי).</w:t>
      </w:r>
    </w:p>
  </w:footnote>
  <w:footnote w:id="40">
    <w:p w14:paraId="33C096EC" w14:textId="6ADF04ED" w:rsidR="00112FAA" w:rsidRPr="00665960" w:rsidRDefault="00112FAA" w:rsidP="00112FAA">
      <w:pPr>
        <w:pStyle w:val="a7"/>
        <w:rPr>
          <w:rFonts w:cs="David"/>
        </w:rPr>
      </w:pPr>
      <w:r w:rsidRPr="00665960">
        <w:rPr>
          <w:rStyle w:val="a9"/>
          <w:rFonts w:cs="David"/>
        </w:rPr>
        <w:footnoteRef/>
      </w:r>
      <w:r w:rsidRPr="00665960">
        <w:rPr>
          <w:rFonts w:cs="David"/>
          <w:rtl/>
        </w:rPr>
        <w:t xml:space="preserve"> </w:t>
      </w:r>
      <w:r w:rsidR="00665960" w:rsidRPr="00665960">
        <w:rPr>
          <w:rFonts w:cs="David" w:hint="cs"/>
          <w:rtl/>
        </w:rPr>
        <w:t>סעיף 58 לחוק המקרקעין</w:t>
      </w:r>
      <w:r w:rsidR="00A3799B">
        <w:rPr>
          <w:rFonts w:cs="David" w:hint="cs"/>
          <w:rtl/>
        </w:rPr>
        <w:t>.</w:t>
      </w:r>
    </w:p>
  </w:footnote>
  <w:footnote w:id="41">
    <w:p w14:paraId="4748BBD7" w14:textId="7D5F2CBC" w:rsidR="00D02D30" w:rsidRPr="0038799F" w:rsidRDefault="00D02D30">
      <w:pPr>
        <w:pStyle w:val="a7"/>
        <w:rPr>
          <w:rFonts w:cs="David"/>
        </w:rPr>
      </w:pPr>
      <w:r w:rsidRPr="0038799F">
        <w:rPr>
          <w:rStyle w:val="a9"/>
          <w:rFonts w:cs="David"/>
        </w:rPr>
        <w:footnoteRef/>
      </w:r>
      <w:r w:rsidRPr="0038799F">
        <w:rPr>
          <w:rFonts w:cs="David"/>
          <w:rtl/>
        </w:rPr>
        <w:t xml:space="preserve"> </w:t>
      </w:r>
      <w:r w:rsidR="00D771F3">
        <w:rPr>
          <w:rFonts w:cs="David" w:hint="cs"/>
          <w:rtl/>
        </w:rPr>
        <w:t xml:space="preserve">סיפא </w:t>
      </w:r>
      <w:r w:rsidR="0038799F" w:rsidRPr="0038799F">
        <w:rPr>
          <w:rFonts w:cs="David" w:hint="cs"/>
          <w:rtl/>
        </w:rPr>
        <w:t>סעיף 62(א) לחוק המקרקעין</w:t>
      </w:r>
      <w:r w:rsidR="0038799F">
        <w:rPr>
          <w:rFonts w:cs="David" w:hint="cs"/>
          <w:rtl/>
        </w:rPr>
        <w:t>.</w:t>
      </w:r>
    </w:p>
  </w:footnote>
  <w:footnote w:id="42">
    <w:p w14:paraId="0CBCF419" w14:textId="5391A30B" w:rsidR="00F2487E" w:rsidRPr="00F2487E" w:rsidRDefault="00F2487E">
      <w:pPr>
        <w:pStyle w:val="a7"/>
        <w:rPr>
          <w:rFonts w:cs="David"/>
          <w:rtl/>
        </w:rPr>
      </w:pPr>
      <w:r w:rsidRPr="00F2487E">
        <w:rPr>
          <w:rStyle w:val="a9"/>
          <w:rFonts w:cs="David"/>
        </w:rPr>
        <w:footnoteRef/>
      </w:r>
      <w:r w:rsidRPr="00F2487E">
        <w:rPr>
          <w:rFonts w:cs="David"/>
          <w:rtl/>
        </w:rPr>
        <w:t xml:space="preserve"> </w:t>
      </w:r>
      <w:r w:rsidRPr="00F2487E">
        <w:rPr>
          <w:rFonts w:cs="David" w:hint="cs"/>
          <w:rtl/>
        </w:rPr>
        <w:t>סעיף 71ב (א) לחוק המקרקעין</w:t>
      </w:r>
      <w:r w:rsidR="0016522D">
        <w:rPr>
          <w:rFonts w:cs="David" w:hint="cs"/>
          <w:rtl/>
        </w:rPr>
        <w:t>.</w:t>
      </w:r>
    </w:p>
  </w:footnote>
  <w:footnote w:id="43">
    <w:p w14:paraId="3060BA22" w14:textId="1528B484" w:rsidR="00F2487E" w:rsidRDefault="00F2487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Pr="000973E2">
        <w:rPr>
          <w:rFonts w:cs="David" w:hint="cs"/>
          <w:rtl/>
        </w:rPr>
        <w:t>סעיף 71ב (ב)</w:t>
      </w:r>
      <w:r w:rsidR="000973E2" w:rsidRPr="000973E2">
        <w:rPr>
          <w:rFonts w:cs="David" w:hint="cs"/>
          <w:rtl/>
        </w:rPr>
        <w:t xml:space="preserve"> לחוק המקרקעין</w:t>
      </w:r>
      <w:r w:rsidR="0016522D">
        <w:rPr>
          <w:rFonts w:hint="cs"/>
          <w:rtl/>
        </w:rPr>
        <w:t>.</w:t>
      </w:r>
    </w:p>
  </w:footnote>
  <w:footnote w:id="44">
    <w:p w14:paraId="1A1A653A" w14:textId="41148CF3" w:rsidR="00EE34FA" w:rsidRPr="007F4387" w:rsidRDefault="00EE34FA" w:rsidP="006070A3">
      <w:pPr>
        <w:pStyle w:val="a7"/>
        <w:rPr>
          <w:rFonts w:cs="David"/>
          <w:rtl/>
        </w:rPr>
      </w:pPr>
      <w:r>
        <w:rPr>
          <w:rStyle w:val="a9"/>
        </w:rPr>
        <w:footnoteRef/>
      </w:r>
      <w:r w:rsidR="007F4387">
        <w:rPr>
          <w:rFonts w:cs="David" w:hint="cs"/>
          <w:rtl/>
        </w:rPr>
        <w:t xml:space="preserve"> </w:t>
      </w:r>
      <w:r w:rsidR="006070A3" w:rsidRPr="006070A3">
        <w:rPr>
          <w:rFonts w:cs="David" w:hint="cs"/>
          <w:rtl/>
        </w:rPr>
        <w:t>תא</w:t>
      </w:r>
      <w:r w:rsidR="006070A3" w:rsidRPr="006070A3">
        <w:rPr>
          <w:rFonts w:cs="David"/>
          <w:rtl/>
        </w:rPr>
        <w:t xml:space="preserve"> (</w:t>
      </w:r>
      <w:r w:rsidR="006070A3" w:rsidRPr="006070A3">
        <w:rPr>
          <w:rFonts w:cs="David" w:hint="cs"/>
          <w:rtl/>
        </w:rPr>
        <w:t>ת</w:t>
      </w:r>
      <w:r w:rsidR="006070A3" w:rsidRPr="006070A3">
        <w:rPr>
          <w:rFonts w:cs="David"/>
          <w:rtl/>
        </w:rPr>
        <w:t>"</w:t>
      </w:r>
      <w:r w:rsidR="006070A3" w:rsidRPr="006070A3">
        <w:rPr>
          <w:rFonts w:cs="David" w:hint="cs"/>
          <w:rtl/>
        </w:rPr>
        <w:t>א</w:t>
      </w:r>
      <w:r w:rsidR="006070A3" w:rsidRPr="006070A3">
        <w:rPr>
          <w:rFonts w:cs="David"/>
          <w:rtl/>
        </w:rPr>
        <w:t xml:space="preserve">) 45652/88 </w:t>
      </w:r>
      <w:r w:rsidR="006070A3" w:rsidRPr="006070A3">
        <w:rPr>
          <w:rFonts w:cs="David" w:hint="cs"/>
          <w:b/>
          <w:bCs/>
          <w:rtl/>
        </w:rPr>
        <w:t>שמואל</w:t>
      </w:r>
      <w:r w:rsidR="006070A3" w:rsidRPr="006070A3">
        <w:rPr>
          <w:rFonts w:cs="David"/>
          <w:b/>
          <w:bCs/>
          <w:rtl/>
        </w:rPr>
        <w:t xml:space="preserve"> </w:t>
      </w:r>
      <w:r w:rsidR="006070A3" w:rsidRPr="006070A3">
        <w:rPr>
          <w:rFonts w:cs="David" w:hint="cs"/>
          <w:b/>
          <w:bCs/>
          <w:rtl/>
        </w:rPr>
        <w:t>שטנג</w:t>
      </w:r>
      <w:r w:rsidR="006070A3" w:rsidRPr="006070A3">
        <w:rPr>
          <w:rFonts w:cs="David"/>
          <w:b/>
          <w:bCs/>
          <w:rtl/>
        </w:rPr>
        <w:t xml:space="preserve"> </w:t>
      </w:r>
      <w:r w:rsidR="006070A3" w:rsidRPr="006070A3">
        <w:rPr>
          <w:rFonts w:cs="David" w:hint="cs"/>
          <w:b/>
          <w:bCs/>
          <w:rtl/>
        </w:rPr>
        <w:t>נ</w:t>
      </w:r>
      <w:r w:rsidR="006070A3" w:rsidRPr="006070A3">
        <w:rPr>
          <w:rFonts w:cs="David"/>
          <w:b/>
          <w:bCs/>
          <w:rtl/>
        </w:rPr>
        <w:t xml:space="preserve">' </w:t>
      </w:r>
      <w:r w:rsidR="006070A3" w:rsidRPr="006070A3">
        <w:rPr>
          <w:rFonts w:cs="David" w:hint="cs"/>
          <w:b/>
          <w:bCs/>
          <w:rtl/>
        </w:rPr>
        <w:t>שמואל</w:t>
      </w:r>
      <w:r w:rsidR="006070A3" w:rsidRPr="006070A3">
        <w:rPr>
          <w:rFonts w:cs="David"/>
          <w:b/>
          <w:bCs/>
          <w:rtl/>
        </w:rPr>
        <w:t xml:space="preserve"> </w:t>
      </w:r>
      <w:r w:rsidR="006070A3" w:rsidRPr="006070A3">
        <w:rPr>
          <w:rFonts w:cs="David" w:hint="cs"/>
          <w:b/>
          <w:bCs/>
          <w:rtl/>
        </w:rPr>
        <w:t>מינצר</w:t>
      </w:r>
      <w:r w:rsidR="007F4387">
        <w:rPr>
          <w:rFonts w:cs="David" w:hint="cs"/>
          <w:b/>
          <w:bCs/>
          <w:rtl/>
        </w:rPr>
        <w:t>,</w:t>
      </w:r>
      <w:r w:rsidR="006070A3">
        <w:rPr>
          <w:rFonts w:cs="David" w:hint="cs"/>
          <w:rtl/>
        </w:rPr>
        <w:t xml:space="preserve"> </w:t>
      </w:r>
      <w:r w:rsidR="006070A3" w:rsidRPr="006070A3">
        <w:rPr>
          <w:rFonts w:cs="David" w:hint="cs"/>
          <w:rtl/>
        </w:rPr>
        <w:t>פ</w:t>
      </w:r>
      <w:r w:rsidR="006070A3" w:rsidRPr="006070A3">
        <w:rPr>
          <w:rFonts w:cs="David"/>
          <w:rtl/>
        </w:rPr>
        <w:t>"</w:t>
      </w:r>
      <w:r w:rsidR="006070A3" w:rsidRPr="006070A3">
        <w:rPr>
          <w:rFonts w:cs="David" w:hint="cs"/>
          <w:rtl/>
        </w:rPr>
        <w:t>מ</w:t>
      </w:r>
      <w:r w:rsidR="006070A3" w:rsidRPr="006070A3">
        <w:rPr>
          <w:rFonts w:cs="David"/>
          <w:rtl/>
        </w:rPr>
        <w:t xml:space="preserve"> </w:t>
      </w:r>
      <w:r w:rsidR="006070A3" w:rsidRPr="006070A3">
        <w:rPr>
          <w:rFonts w:cs="David" w:hint="cs"/>
          <w:rtl/>
        </w:rPr>
        <w:t>תשנ</w:t>
      </w:r>
      <w:r w:rsidR="006070A3" w:rsidRPr="006070A3">
        <w:rPr>
          <w:rFonts w:cs="David"/>
          <w:rtl/>
        </w:rPr>
        <w:t>"</w:t>
      </w:r>
      <w:r w:rsidR="006070A3" w:rsidRPr="006070A3">
        <w:rPr>
          <w:rFonts w:cs="David" w:hint="cs"/>
          <w:rtl/>
        </w:rPr>
        <w:t>ה</w:t>
      </w:r>
      <w:r w:rsidR="006070A3" w:rsidRPr="006070A3">
        <w:rPr>
          <w:rFonts w:cs="David"/>
          <w:rtl/>
        </w:rPr>
        <w:t>(4)</w:t>
      </w:r>
      <w:r w:rsidR="006070A3">
        <w:rPr>
          <w:rFonts w:cs="David" w:hint="cs"/>
          <w:rtl/>
        </w:rPr>
        <w:t xml:space="preserve"> </w:t>
      </w:r>
      <w:r w:rsidR="006070A3" w:rsidRPr="006070A3">
        <w:rPr>
          <w:rFonts w:cs="David"/>
          <w:rtl/>
        </w:rPr>
        <w:t>221</w:t>
      </w:r>
      <w:r w:rsidR="006070A3">
        <w:rPr>
          <w:rFonts w:cs="David" w:hint="cs"/>
          <w:rtl/>
        </w:rPr>
        <w:t xml:space="preserve">, </w:t>
      </w:r>
      <w:r w:rsidR="007970EE" w:rsidRPr="007F4387">
        <w:rPr>
          <w:rFonts w:cs="David" w:hint="cs"/>
          <w:rtl/>
        </w:rPr>
        <w:t>238</w:t>
      </w:r>
      <w:r w:rsidR="006070A3" w:rsidRPr="007F4387">
        <w:rPr>
          <w:rFonts w:cs="David" w:hint="cs"/>
          <w:rtl/>
        </w:rPr>
        <w:t xml:space="preserve"> </w:t>
      </w:r>
      <w:r w:rsidR="007F4387" w:rsidRPr="007F4387">
        <w:rPr>
          <w:rFonts w:cs="David" w:hint="cs"/>
          <w:rtl/>
        </w:rPr>
        <w:t>(1995)</w:t>
      </w:r>
      <w:r w:rsidR="007F4387">
        <w:rPr>
          <w:rFonts w:cs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BCA" w14:textId="77777777" w:rsidR="00024559" w:rsidRPr="00024559" w:rsidRDefault="00024559" w:rsidP="00024559">
    <w:pPr>
      <w:pStyle w:val="a3"/>
      <w:jc w:val="both"/>
      <w:rPr>
        <w:rFonts w:cs="David"/>
        <w:sz w:val="24"/>
        <w:szCs w:val="24"/>
      </w:rPr>
    </w:pPr>
    <w:r w:rsidRPr="00024559">
      <w:rPr>
        <w:rFonts w:cs="David" w:hint="cs"/>
        <w:sz w:val="24"/>
        <w:szCs w:val="24"/>
        <w:rtl/>
      </w:rPr>
      <w:t xml:space="preserve">תומר פתאל, ת.ז 311145239  </w:t>
    </w:r>
    <w:r>
      <w:rPr>
        <w:rFonts w:cs="David" w:hint="cs"/>
        <w:sz w:val="24"/>
        <w:szCs w:val="24"/>
        <w:rtl/>
      </w:rPr>
      <w:t xml:space="preserve">                            </w:t>
    </w:r>
    <w:r w:rsidRPr="00024559">
      <w:rPr>
        <w:rFonts w:cs="David" w:hint="cs"/>
        <w:sz w:val="24"/>
        <w:szCs w:val="24"/>
        <w:rtl/>
      </w:rPr>
      <w:t xml:space="preserve">עבודה בקניין   </w:t>
    </w:r>
    <w:r>
      <w:rPr>
        <w:rFonts w:cs="David" w:hint="cs"/>
        <w:sz w:val="24"/>
        <w:szCs w:val="24"/>
        <w:rtl/>
      </w:rPr>
      <w:t xml:space="preserve">                                                </w:t>
    </w:r>
    <w:r w:rsidRPr="00024559">
      <w:rPr>
        <w:rFonts w:cs="David" w:hint="cs"/>
        <w:sz w:val="24"/>
        <w:szCs w:val="24"/>
        <w:rtl/>
      </w:rPr>
      <w:t>ד"ר שי שטרן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6A5"/>
    <w:multiLevelType w:val="hybridMultilevel"/>
    <w:tmpl w:val="88967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F6F82"/>
    <w:multiLevelType w:val="hybridMultilevel"/>
    <w:tmpl w:val="3A149180"/>
    <w:lvl w:ilvl="0" w:tplc="C84CBFB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82F38"/>
    <w:multiLevelType w:val="hybridMultilevel"/>
    <w:tmpl w:val="EEE8038A"/>
    <w:lvl w:ilvl="0" w:tplc="61C4F1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0AA"/>
    <w:multiLevelType w:val="hybridMultilevel"/>
    <w:tmpl w:val="A32C8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59"/>
    <w:rsid w:val="00003AB6"/>
    <w:rsid w:val="00015190"/>
    <w:rsid w:val="00016572"/>
    <w:rsid w:val="00017872"/>
    <w:rsid w:val="000241A3"/>
    <w:rsid w:val="00024559"/>
    <w:rsid w:val="00027996"/>
    <w:rsid w:val="00044FA3"/>
    <w:rsid w:val="0004680E"/>
    <w:rsid w:val="000515B4"/>
    <w:rsid w:val="00056252"/>
    <w:rsid w:val="00064C84"/>
    <w:rsid w:val="00073245"/>
    <w:rsid w:val="00076595"/>
    <w:rsid w:val="000844C7"/>
    <w:rsid w:val="00090515"/>
    <w:rsid w:val="00091854"/>
    <w:rsid w:val="000966B2"/>
    <w:rsid w:val="000973E2"/>
    <w:rsid w:val="000A01ED"/>
    <w:rsid w:val="000A2F83"/>
    <w:rsid w:val="000A6E68"/>
    <w:rsid w:val="000B3C44"/>
    <w:rsid w:val="000B53DF"/>
    <w:rsid w:val="000C7357"/>
    <w:rsid w:val="000E375F"/>
    <w:rsid w:val="000E7624"/>
    <w:rsid w:val="000F6AC7"/>
    <w:rsid w:val="00107843"/>
    <w:rsid w:val="00112C3B"/>
    <w:rsid w:val="00112FAA"/>
    <w:rsid w:val="00116578"/>
    <w:rsid w:val="00122620"/>
    <w:rsid w:val="001234DD"/>
    <w:rsid w:val="00124AD8"/>
    <w:rsid w:val="00125650"/>
    <w:rsid w:val="00141765"/>
    <w:rsid w:val="001429FD"/>
    <w:rsid w:val="001462F2"/>
    <w:rsid w:val="001469BE"/>
    <w:rsid w:val="00154DF8"/>
    <w:rsid w:val="001642D5"/>
    <w:rsid w:val="00164792"/>
    <w:rsid w:val="0016522D"/>
    <w:rsid w:val="00171067"/>
    <w:rsid w:val="00173A9E"/>
    <w:rsid w:val="00175A0A"/>
    <w:rsid w:val="0017790E"/>
    <w:rsid w:val="00180C49"/>
    <w:rsid w:val="00181FEB"/>
    <w:rsid w:val="0018350A"/>
    <w:rsid w:val="001907B5"/>
    <w:rsid w:val="00190CEE"/>
    <w:rsid w:val="00195939"/>
    <w:rsid w:val="001A3F18"/>
    <w:rsid w:val="001A43DA"/>
    <w:rsid w:val="001A5F9F"/>
    <w:rsid w:val="001B204B"/>
    <w:rsid w:val="001B2F24"/>
    <w:rsid w:val="001B55B0"/>
    <w:rsid w:val="001B6D42"/>
    <w:rsid w:val="001D2419"/>
    <w:rsid w:val="001D2CA2"/>
    <w:rsid w:val="001D798D"/>
    <w:rsid w:val="001E284E"/>
    <w:rsid w:val="001E46A4"/>
    <w:rsid w:val="001E761F"/>
    <w:rsid w:val="001F00E6"/>
    <w:rsid w:val="001F191D"/>
    <w:rsid w:val="002035FE"/>
    <w:rsid w:val="002039D4"/>
    <w:rsid w:val="002058CC"/>
    <w:rsid w:val="00212056"/>
    <w:rsid w:val="002133D3"/>
    <w:rsid w:val="00222995"/>
    <w:rsid w:val="00225B87"/>
    <w:rsid w:val="0023228D"/>
    <w:rsid w:val="002322F4"/>
    <w:rsid w:val="00233397"/>
    <w:rsid w:val="00236F51"/>
    <w:rsid w:val="002518AF"/>
    <w:rsid w:val="002565BB"/>
    <w:rsid w:val="002571B8"/>
    <w:rsid w:val="002635F6"/>
    <w:rsid w:val="002662B6"/>
    <w:rsid w:val="00274509"/>
    <w:rsid w:val="00275EFA"/>
    <w:rsid w:val="00277399"/>
    <w:rsid w:val="00281D09"/>
    <w:rsid w:val="00284685"/>
    <w:rsid w:val="002850F3"/>
    <w:rsid w:val="0029482E"/>
    <w:rsid w:val="00294974"/>
    <w:rsid w:val="0029795B"/>
    <w:rsid w:val="002A175A"/>
    <w:rsid w:val="002A46CD"/>
    <w:rsid w:val="002A4CC5"/>
    <w:rsid w:val="002B3C2F"/>
    <w:rsid w:val="002B4498"/>
    <w:rsid w:val="002B7D8E"/>
    <w:rsid w:val="002C3E68"/>
    <w:rsid w:val="002C4B52"/>
    <w:rsid w:val="002D5519"/>
    <w:rsid w:val="002D57BE"/>
    <w:rsid w:val="002D5B41"/>
    <w:rsid w:val="002D5EAC"/>
    <w:rsid w:val="002D79C1"/>
    <w:rsid w:val="002D7B5E"/>
    <w:rsid w:val="002E1813"/>
    <w:rsid w:val="00300D06"/>
    <w:rsid w:val="0030215B"/>
    <w:rsid w:val="00303F4E"/>
    <w:rsid w:val="00305455"/>
    <w:rsid w:val="003139BA"/>
    <w:rsid w:val="003170D4"/>
    <w:rsid w:val="003208A5"/>
    <w:rsid w:val="003259E0"/>
    <w:rsid w:val="00335CFD"/>
    <w:rsid w:val="003402BD"/>
    <w:rsid w:val="00341082"/>
    <w:rsid w:val="00353EB1"/>
    <w:rsid w:val="00354935"/>
    <w:rsid w:val="003550F3"/>
    <w:rsid w:val="00357927"/>
    <w:rsid w:val="003656C7"/>
    <w:rsid w:val="00374BCD"/>
    <w:rsid w:val="00375E98"/>
    <w:rsid w:val="003800CA"/>
    <w:rsid w:val="0038249F"/>
    <w:rsid w:val="0038799F"/>
    <w:rsid w:val="00387FA1"/>
    <w:rsid w:val="00391CED"/>
    <w:rsid w:val="003A523F"/>
    <w:rsid w:val="003B3D6E"/>
    <w:rsid w:val="003D1464"/>
    <w:rsid w:val="003D1B42"/>
    <w:rsid w:val="003D2B99"/>
    <w:rsid w:val="003D3D16"/>
    <w:rsid w:val="003D5FC9"/>
    <w:rsid w:val="003E0C3E"/>
    <w:rsid w:val="003E6EBE"/>
    <w:rsid w:val="003F4BEC"/>
    <w:rsid w:val="003F75A9"/>
    <w:rsid w:val="00403279"/>
    <w:rsid w:val="00415FC9"/>
    <w:rsid w:val="00416FB8"/>
    <w:rsid w:val="00420519"/>
    <w:rsid w:val="00422CCB"/>
    <w:rsid w:val="0043715D"/>
    <w:rsid w:val="00440D2E"/>
    <w:rsid w:val="00444490"/>
    <w:rsid w:val="00445774"/>
    <w:rsid w:val="004510E5"/>
    <w:rsid w:val="0045517B"/>
    <w:rsid w:val="00460671"/>
    <w:rsid w:val="004607AF"/>
    <w:rsid w:val="0046449C"/>
    <w:rsid w:val="00465D2D"/>
    <w:rsid w:val="00472D35"/>
    <w:rsid w:val="004751CD"/>
    <w:rsid w:val="00483999"/>
    <w:rsid w:val="00484D65"/>
    <w:rsid w:val="00493D72"/>
    <w:rsid w:val="004946E5"/>
    <w:rsid w:val="004A798B"/>
    <w:rsid w:val="004B06FA"/>
    <w:rsid w:val="004B3097"/>
    <w:rsid w:val="004B3E88"/>
    <w:rsid w:val="004B4509"/>
    <w:rsid w:val="004C0CDF"/>
    <w:rsid w:val="004D6239"/>
    <w:rsid w:val="004F02B0"/>
    <w:rsid w:val="004F38C5"/>
    <w:rsid w:val="004F7A48"/>
    <w:rsid w:val="005055BF"/>
    <w:rsid w:val="005238CD"/>
    <w:rsid w:val="005365D6"/>
    <w:rsid w:val="00537986"/>
    <w:rsid w:val="00543A61"/>
    <w:rsid w:val="005504AB"/>
    <w:rsid w:val="00555E88"/>
    <w:rsid w:val="00556301"/>
    <w:rsid w:val="005674DE"/>
    <w:rsid w:val="005828D3"/>
    <w:rsid w:val="00587261"/>
    <w:rsid w:val="005903B2"/>
    <w:rsid w:val="00591766"/>
    <w:rsid w:val="005945AA"/>
    <w:rsid w:val="005949FA"/>
    <w:rsid w:val="005A086E"/>
    <w:rsid w:val="005A580B"/>
    <w:rsid w:val="005A587E"/>
    <w:rsid w:val="005B409C"/>
    <w:rsid w:val="005B429A"/>
    <w:rsid w:val="005C0C00"/>
    <w:rsid w:val="005C464C"/>
    <w:rsid w:val="005C6BCD"/>
    <w:rsid w:val="005C78F4"/>
    <w:rsid w:val="005D03B9"/>
    <w:rsid w:val="005D0660"/>
    <w:rsid w:val="005E0597"/>
    <w:rsid w:val="005E3124"/>
    <w:rsid w:val="005E491A"/>
    <w:rsid w:val="005F1C72"/>
    <w:rsid w:val="005F1D21"/>
    <w:rsid w:val="005F4C64"/>
    <w:rsid w:val="005F581C"/>
    <w:rsid w:val="005F5CB1"/>
    <w:rsid w:val="005F5F20"/>
    <w:rsid w:val="005F7571"/>
    <w:rsid w:val="006003ED"/>
    <w:rsid w:val="00602F9B"/>
    <w:rsid w:val="006070A3"/>
    <w:rsid w:val="00613253"/>
    <w:rsid w:val="006212BE"/>
    <w:rsid w:val="00621972"/>
    <w:rsid w:val="006241A4"/>
    <w:rsid w:val="00632BCB"/>
    <w:rsid w:val="00634B8E"/>
    <w:rsid w:val="00635793"/>
    <w:rsid w:val="00641504"/>
    <w:rsid w:val="0064450B"/>
    <w:rsid w:val="00655A09"/>
    <w:rsid w:val="00660BC3"/>
    <w:rsid w:val="00665960"/>
    <w:rsid w:val="00670F63"/>
    <w:rsid w:val="0067197A"/>
    <w:rsid w:val="00673C6A"/>
    <w:rsid w:val="00680E65"/>
    <w:rsid w:val="00687EAC"/>
    <w:rsid w:val="00694F93"/>
    <w:rsid w:val="00697A88"/>
    <w:rsid w:val="00697DEC"/>
    <w:rsid w:val="006A27E1"/>
    <w:rsid w:val="006A7628"/>
    <w:rsid w:val="006A798C"/>
    <w:rsid w:val="006B4FDF"/>
    <w:rsid w:val="006B7E63"/>
    <w:rsid w:val="006C163E"/>
    <w:rsid w:val="006C5BB7"/>
    <w:rsid w:val="006D1638"/>
    <w:rsid w:val="006D4437"/>
    <w:rsid w:val="006D5295"/>
    <w:rsid w:val="006D63AB"/>
    <w:rsid w:val="006E66F7"/>
    <w:rsid w:val="006F1169"/>
    <w:rsid w:val="006F50B4"/>
    <w:rsid w:val="00715459"/>
    <w:rsid w:val="007172CF"/>
    <w:rsid w:val="007209B0"/>
    <w:rsid w:val="007217D8"/>
    <w:rsid w:val="0072245E"/>
    <w:rsid w:val="007241CD"/>
    <w:rsid w:val="00725039"/>
    <w:rsid w:val="00732647"/>
    <w:rsid w:val="00733617"/>
    <w:rsid w:val="0073466C"/>
    <w:rsid w:val="007424DE"/>
    <w:rsid w:val="007477F9"/>
    <w:rsid w:val="00753BE0"/>
    <w:rsid w:val="00756A47"/>
    <w:rsid w:val="0076190B"/>
    <w:rsid w:val="00776F40"/>
    <w:rsid w:val="007831A7"/>
    <w:rsid w:val="00792FE9"/>
    <w:rsid w:val="007936E8"/>
    <w:rsid w:val="00793896"/>
    <w:rsid w:val="0079424A"/>
    <w:rsid w:val="007970EE"/>
    <w:rsid w:val="007A34CE"/>
    <w:rsid w:val="007A38BE"/>
    <w:rsid w:val="007A3AE3"/>
    <w:rsid w:val="007A5591"/>
    <w:rsid w:val="007A7E2F"/>
    <w:rsid w:val="007B1BE9"/>
    <w:rsid w:val="007B3106"/>
    <w:rsid w:val="007C4522"/>
    <w:rsid w:val="007C4E7E"/>
    <w:rsid w:val="007E2A34"/>
    <w:rsid w:val="007E3B0B"/>
    <w:rsid w:val="007E50DA"/>
    <w:rsid w:val="007E7BFD"/>
    <w:rsid w:val="007F4387"/>
    <w:rsid w:val="007F6A0B"/>
    <w:rsid w:val="008105DC"/>
    <w:rsid w:val="0081166D"/>
    <w:rsid w:val="00816381"/>
    <w:rsid w:val="008273A7"/>
    <w:rsid w:val="0083528C"/>
    <w:rsid w:val="008439D3"/>
    <w:rsid w:val="00860FEB"/>
    <w:rsid w:val="00862A1F"/>
    <w:rsid w:val="00862CCB"/>
    <w:rsid w:val="0086381A"/>
    <w:rsid w:val="00866B1F"/>
    <w:rsid w:val="00882A4A"/>
    <w:rsid w:val="00885C6E"/>
    <w:rsid w:val="008870C8"/>
    <w:rsid w:val="008906DC"/>
    <w:rsid w:val="0089662B"/>
    <w:rsid w:val="008A148E"/>
    <w:rsid w:val="008A3BB6"/>
    <w:rsid w:val="008A3E46"/>
    <w:rsid w:val="008A639B"/>
    <w:rsid w:val="008A7C97"/>
    <w:rsid w:val="008B0074"/>
    <w:rsid w:val="008B3BD1"/>
    <w:rsid w:val="008C67A3"/>
    <w:rsid w:val="008D41E5"/>
    <w:rsid w:val="008E42E1"/>
    <w:rsid w:val="008E561D"/>
    <w:rsid w:val="008F1161"/>
    <w:rsid w:val="009037FD"/>
    <w:rsid w:val="00907AF4"/>
    <w:rsid w:val="00911C45"/>
    <w:rsid w:val="0092475B"/>
    <w:rsid w:val="00926C80"/>
    <w:rsid w:val="00927D0B"/>
    <w:rsid w:val="00932C82"/>
    <w:rsid w:val="00950A1A"/>
    <w:rsid w:val="00951B3C"/>
    <w:rsid w:val="00951DF4"/>
    <w:rsid w:val="0095482F"/>
    <w:rsid w:val="00956ED9"/>
    <w:rsid w:val="00970A3E"/>
    <w:rsid w:val="00977F45"/>
    <w:rsid w:val="00990974"/>
    <w:rsid w:val="00993B86"/>
    <w:rsid w:val="009943C7"/>
    <w:rsid w:val="009A0D2E"/>
    <w:rsid w:val="009A597D"/>
    <w:rsid w:val="009A5D8B"/>
    <w:rsid w:val="009A6DAF"/>
    <w:rsid w:val="009B2815"/>
    <w:rsid w:val="009B6590"/>
    <w:rsid w:val="009B6DBC"/>
    <w:rsid w:val="009B7171"/>
    <w:rsid w:val="009D24C2"/>
    <w:rsid w:val="009E067A"/>
    <w:rsid w:val="009E7A53"/>
    <w:rsid w:val="009F5686"/>
    <w:rsid w:val="00A01A4C"/>
    <w:rsid w:val="00A01B6B"/>
    <w:rsid w:val="00A02DA8"/>
    <w:rsid w:val="00A0643F"/>
    <w:rsid w:val="00A110DD"/>
    <w:rsid w:val="00A14045"/>
    <w:rsid w:val="00A22E04"/>
    <w:rsid w:val="00A3186A"/>
    <w:rsid w:val="00A31A2E"/>
    <w:rsid w:val="00A35E89"/>
    <w:rsid w:val="00A36202"/>
    <w:rsid w:val="00A3799B"/>
    <w:rsid w:val="00A510E0"/>
    <w:rsid w:val="00A653CA"/>
    <w:rsid w:val="00A6597A"/>
    <w:rsid w:val="00A72EA4"/>
    <w:rsid w:val="00A8359D"/>
    <w:rsid w:val="00A83884"/>
    <w:rsid w:val="00A83AE6"/>
    <w:rsid w:val="00A90A04"/>
    <w:rsid w:val="00A95517"/>
    <w:rsid w:val="00AA2D0F"/>
    <w:rsid w:val="00AA4BE5"/>
    <w:rsid w:val="00AB1618"/>
    <w:rsid w:val="00AB57EC"/>
    <w:rsid w:val="00AC54A9"/>
    <w:rsid w:val="00AC5C56"/>
    <w:rsid w:val="00AD3443"/>
    <w:rsid w:val="00AE084C"/>
    <w:rsid w:val="00AE3748"/>
    <w:rsid w:val="00AF146B"/>
    <w:rsid w:val="00AF17AD"/>
    <w:rsid w:val="00AF432D"/>
    <w:rsid w:val="00AF5AFC"/>
    <w:rsid w:val="00AF6608"/>
    <w:rsid w:val="00B06CFF"/>
    <w:rsid w:val="00B07363"/>
    <w:rsid w:val="00B145D1"/>
    <w:rsid w:val="00B16171"/>
    <w:rsid w:val="00B163B8"/>
    <w:rsid w:val="00B16AB5"/>
    <w:rsid w:val="00B22C35"/>
    <w:rsid w:val="00B27D6D"/>
    <w:rsid w:val="00B34FA2"/>
    <w:rsid w:val="00B34FBE"/>
    <w:rsid w:val="00B37C26"/>
    <w:rsid w:val="00B5583B"/>
    <w:rsid w:val="00B60429"/>
    <w:rsid w:val="00B62BC3"/>
    <w:rsid w:val="00B65978"/>
    <w:rsid w:val="00B7546A"/>
    <w:rsid w:val="00B8699A"/>
    <w:rsid w:val="00B91BAA"/>
    <w:rsid w:val="00B955A2"/>
    <w:rsid w:val="00BA7747"/>
    <w:rsid w:val="00BB3316"/>
    <w:rsid w:val="00BC5D94"/>
    <w:rsid w:val="00BD1758"/>
    <w:rsid w:val="00BD29D5"/>
    <w:rsid w:val="00BD328B"/>
    <w:rsid w:val="00BD7A9D"/>
    <w:rsid w:val="00BE3ECA"/>
    <w:rsid w:val="00BE4CBC"/>
    <w:rsid w:val="00BE515C"/>
    <w:rsid w:val="00BE6098"/>
    <w:rsid w:val="00BE66C9"/>
    <w:rsid w:val="00BE73BE"/>
    <w:rsid w:val="00BF0AC2"/>
    <w:rsid w:val="00BF1B95"/>
    <w:rsid w:val="00BF3A46"/>
    <w:rsid w:val="00C03A4B"/>
    <w:rsid w:val="00C03AD6"/>
    <w:rsid w:val="00C04139"/>
    <w:rsid w:val="00C22624"/>
    <w:rsid w:val="00C26B54"/>
    <w:rsid w:val="00C346DF"/>
    <w:rsid w:val="00C3566E"/>
    <w:rsid w:val="00C422E1"/>
    <w:rsid w:val="00C50709"/>
    <w:rsid w:val="00C507D8"/>
    <w:rsid w:val="00C53607"/>
    <w:rsid w:val="00C54E2C"/>
    <w:rsid w:val="00C636DE"/>
    <w:rsid w:val="00C67771"/>
    <w:rsid w:val="00C67BBE"/>
    <w:rsid w:val="00C73835"/>
    <w:rsid w:val="00C75886"/>
    <w:rsid w:val="00C77231"/>
    <w:rsid w:val="00C80EC3"/>
    <w:rsid w:val="00C8100A"/>
    <w:rsid w:val="00C82126"/>
    <w:rsid w:val="00C82E5C"/>
    <w:rsid w:val="00C83FAE"/>
    <w:rsid w:val="00CA5E5E"/>
    <w:rsid w:val="00CB08D9"/>
    <w:rsid w:val="00CC2A1E"/>
    <w:rsid w:val="00CC3D70"/>
    <w:rsid w:val="00CC60F0"/>
    <w:rsid w:val="00CD7675"/>
    <w:rsid w:val="00CE5A5B"/>
    <w:rsid w:val="00CE60EC"/>
    <w:rsid w:val="00CF151B"/>
    <w:rsid w:val="00D02D30"/>
    <w:rsid w:val="00D02FFF"/>
    <w:rsid w:val="00D070B8"/>
    <w:rsid w:val="00D10371"/>
    <w:rsid w:val="00D16F91"/>
    <w:rsid w:val="00D206DF"/>
    <w:rsid w:val="00D20B06"/>
    <w:rsid w:val="00D30F9D"/>
    <w:rsid w:val="00D31952"/>
    <w:rsid w:val="00D33775"/>
    <w:rsid w:val="00D3524A"/>
    <w:rsid w:val="00D36E56"/>
    <w:rsid w:val="00D50806"/>
    <w:rsid w:val="00D76AA6"/>
    <w:rsid w:val="00D771F3"/>
    <w:rsid w:val="00D81906"/>
    <w:rsid w:val="00D84E50"/>
    <w:rsid w:val="00D91B7A"/>
    <w:rsid w:val="00D91BD9"/>
    <w:rsid w:val="00D974E9"/>
    <w:rsid w:val="00DA413F"/>
    <w:rsid w:val="00DA5177"/>
    <w:rsid w:val="00DA5443"/>
    <w:rsid w:val="00DB4F03"/>
    <w:rsid w:val="00DB67F3"/>
    <w:rsid w:val="00DB6C82"/>
    <w:rsid w:val="00DB7030"/>
    <w:rsid w:val="00DD089C"/>
    <w:rsid w:val="00DD48CC"/>
    <w:rsid w:val="00DD6761"/>
    <w:rsid w:val="00DD6C34"/>
    <w:rsid w:val="00DE20C6"/>
    <w:rsid w:val="00DF0144"/>
    <w:rsid w:val="00DF058E"/>
    <w:rsid w:val="00DF2959"/>
    <w:rsid w:val="00DF2D61"/>
    <w:rsid w:val="00DF4094"/>
    <w:rsid w:val="00DF5366"/>
    <w:rsid w:val="00DF678D"/>
    <w:rsid w:val="00DF6D81"/>
    <w:rsid w:val="00E15F50"/>
    <w:rsid w:val="00E2174B"/>
    <w:rsid w:val="00E30480"/>
    <w:rsid w:val="00E30ADE"/>
    <w:rsid w:val="00E316DE"/>
    <w:rsid w:val="00E50D12"/>
    <w:rsid w:val="00E510A8"/>
    <w:rsid w:val="00E55F32"/>
    <w:rsid w:val="00E57EDF"/>
    <w:rsid w:val="00E649F4"/>
    <w:rsid w:val="00E7292E"/>
    <w:rsid w:val="00E74AA4"/>
    <w:rsid w:val="00E820FA"/>
    <w:rsid w:val="00E821CA"/>
    <w:rsid w:val="00E87900"/>
    <w:rsid w:val="00E92709"/>
    <w:rsid w:val="00E96725"/>
    <w:rsid w:val="00E96800"/>
    <w:rsid w:val="00EA4AD5"/>
    <w:rsid w:val="00ED7A20"/>
    <w:rsid w:val="00EE34FA"/>
    <w:rsid w:val="00EE39E3"/>
    <w:rsid w:val="00EF1A0F"/>
    <w:rsid w:val="00F027F0"/>
    <w:rsid w:val="00F06C38"/>
    <w:rsid w:val="00F07F81"/>
    <w:rsid w:val="00F10762"/>
    <w:rsid w:val="00F162AB"/>
    <w:rsid w:val="00F16B74"/>
    <w:rsid w:val="00F2487E"/>
    <w:rsid w:val="00F276BE"/>
    <w:rsid w:val="00F3086B"/>
    <w:rsid w:val="00F30F57"/>
    <w:rsid w:val="00F312F5"/>
    <w:rsid w:val="00F4475D"/>
    <w:rsid w:val="00F52CD3"/>
    <w:rsid w:val="00F729BF"/>
    <w:rsid w:val="00F83164"/>
    <w:rsid w:val="00F90CA0"/>
    <w:rsid w:val="00F92D81"/>
    <w:rsid w:val="00F97487"/>
    <w:rsid w:val="00FA2148"/>
    <w:rsid w:val="00FB0388"/>
    <w:rsid w:val="00FB045E"/>
    <w:rsid w:val="00FB671E"/>
    <w:rsid w:val="00FC09A3"/>
    <w:rsid w:val="00FC0BA7"/>
    <w:rsid w:val="00FC20B5"/>
    <w:rsid w:val="00FC2CC0"/>
    <w:rsid w:val="00FC5F95"/>
    <w:rsid w:val="00FC6387"/>
    <w:rsid w:val="00FD25C0"/>
    <w:rsid w:val="00FD7051"/>
    <w:rsid w:val="00FE095A"/>
    <w:rsid w:val="00FE1641"/>
    <w:rsid w:val="00FE318B"/>
    <w:rsid w:val="00FE6E73"/>
    <w:rsid w:val="00FF2F47"/>
    <w:rsid w:val="00FF4E91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D013A"/>
  <w15:chartTrackingRefBased/>
  <w15:docId w15:val="{64D54792-25F0-4F1A-94EC-F046478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4559"/>
  </w:style>
  <w:style w:type="paragraph" w:styleId="a5">
    <w:name w:val="footer"/>
    <w:basedOn w:val="a"/>
    <w:link w:val="a6"/>
    <w:uiPriority w:val="99"/>
    <w:unhideWhenUsed/>
    <w:rsid w:val="0002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4559"/>
  </w:style>
  <w:style w:type="paragraph" w:styleId="a7">
    <w:name w:val="footnote text"/>
    <w:basedOn w:val="a"/>
    <w:link w:val="a8"/>
    <w:uiPriority w:val="99"/>
    <w:semiHidden/>
    <w:unhideWhenUsed/>
    <w:rsid w:val="00024559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0245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4559"/>
    <w:rPr>
      <w:vertAlign w:val="superscript"/>
    </w:rPr>
  </w:style>
  <w:style w:type="paragraph" w:styleId="aa">
    <w:name w:val="List Paragraph"/>
    <w:basedOn w:val="a"/>
    <w:uiPriority w:val="34"/>
    <w:qFormat/>
    <w:rsid w:val="00E821C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F4C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F4C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38BB1A5B25A4FAE4259E6D64220A7" ma:contentTypeVersion="12" ma:contentTypeDescription="Create a new document." ma:contentTypeScope="" ma:versionID="9b73b83dfe830458758340e0c88aa544">
  <xsd:schema xmlns:xsd="http://www.w3.org/2001/XMLSchema" xmlns:xs="http://www.w3.org/2001/XMLSchema" xmlns:p="http://schemas.microsoft.com/office/2006/metadata/properties" xmlns:ns3="501386e3-3504-469c-9fe4-6d89dd01f705" xmlns:ns4="43270c31-8ee3-411b-9aef-3dc9c6313e3b" targetNamespace="http://schemas.microsoft.com/office/2006/metadata/properties" ma:root="true" ma:fieldsID="9782a596e5f31bca705b929160cc259f" ns3:_="" ns4:_="">
    <xsd:import namespace="501386e3-3504-469c-9fe4-6d89dd01f705"/>
    <xsd:import namespace="43270c31-8ee3-411b-9aef-3dc9c6313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86e3-3504-469c-9fe4-6d89dd01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0c31-8ee3-411b-9aef-3dc9c6313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93B1-B7EA-4B55-93C4-53F85446B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386e3-3504-469c-9fe4-6d89dd01f705"/>
    <ds:schemaRef ds:uri="43270c31-8ee3-411b-9aef-3dc9c6313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95AC6-41E9-4FFB-B687-7CC710F60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40B2E-F497-417A-9264-88202F596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723B3-1FB2-42BA-B226-C214A2B1B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6</Pages>
  <Words>1450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Patel</dc:creator>
  <cp:keywords/>
  <dc:description/>
  <cp:lastModifiedBy>Tomer Patel</cp:lastModifiedBy>
  <cp:revision>536</cp:revision>
  <dcterms:created xsi:type="dcterms:W3CDTF">2021-05-07T12:07:00Z</dcterms:created>
  <dcterms:modified xsi:type="dcterms:W3CDTF">2021-11-18T15:33:00Z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0x01010022938BB1A5B25A4FAE4259E6D64220A7</vt:lpwstr>
  </property>
</Properties>
</file>