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HAnsi"/>
          <w:b/>
          <w:bCs/>
          <w:color w:val="auto"/>
          <w:sz w:val="22"/>
          <w:szCs w:val="22"/>
          <w:lang w:val="he-IL"/>
        </w:rPr>
        <w:id w:val="-638028567"/>
        <w:docPartObj>
          <w:docPartGallery w:val="Table of Contents"/>
          <w:docPartUnique/>
        </w:docPartObj>
      </w:sdtPr>
      <w:sdtEndPr>
        <w:rPr>
          <w:b w:val="0"/>
          <w:bCs w:val="0"/>
          <w:lang w:val="en-US"/>
        </w:rPr>
      </w:sdtEndPr>
      <w:sdtContent>
        <w:p w14:paraId="00F29F47" w14:textId="639BA121" w:rsidR="00C3311D" w:rsidRPr="00C3311D" w:rsidRDefault="00C3311D" w:rsidP="00C3311D">
          <w:pPr>
            <w:pStyle w:val="a8"/>
            <w:jc w:val="center"/>
            <w:rPr>
              <w:rFonts w:asciiTheme="minorHAnsi" w:hAnsiTheme="minorHAnsi" w:cstheme="minorHAnsi"/>
              <w:b/>
              <w:bCs/>
              <w:color w:val="auto"/>
              <w:sz w:val="36"/>
              <w:szCs w:val="36"/>
              <w:lang w:val="he-IL"/>
            </w:rPr>
          </w:pPr>
          <w:r>
            <w:rPr>
              <w:rFonts w:asciiTheme="minorHAnsi" w:hAnsiTheme="minorHAnsi" w:cstheme="minorHAnsi" w:hint="cs"/>
              <w:b/>
              <w:bCs/>
              <w:color w:val="auto"/>
              <w:sz w:val="36"/>
              <w:szCs w:val="36"/>
              <w:lang w:val="he-IL"/>
            </w:rPr>
            <w:t xml:space="preserve">מחברת </w:t>
          </w:r>
          <w:r w:rsidR="00AA310D">
            <w:rPr>
              <w:rFonts w:asciiTheme="minorHAnsi" w:hAnsiTheme="minorHAnsi" w:cstheme="minorHAnsi" w:hint="cs"/>
              <w:b/>
              <w:bCs/>
              <w:color w:val="auto"/>
              <w:sz w:val="36"/>
              <w:szCs w:val="36"/>
              <w:lang w:val="he-IL"/>
            </w:rPr>
            <w:t>פס</w:t>
          </w:r>
          <w:r>
            <w:rPr>
              <w:rFonts w:asciiTheme="minorHAnsi" w:hAnsiTheme="minorHAnsi" w:cstheme="minorHAnsi" w:hint="cs"/>
              <w:b/>
              <w:bCs/>
              <w:color w:val="auto"/>
              <w:sz w:val="36"/>
              <w:szCs w:val="36"/>
              <w:lang w:val="he-IL"/>
            </w:rPr>
            <w:t xml:space="preserve">יקה </w:t>
          </w:r>
          <w:r>
            <w:rPr>
              <w:rFonts w:asciiTheme="minorHAnsi" w:hAnsiTheme="minorHAnsi" w:cstheme="minorHAnsi"/>
              <w:b/>
              <w:bCs/>
              <w:color w:val="auto"/>
              <w:sz w:val="36"/>
              <w:szCs w:val="36"/>
              <w:cs w:val="0"/>
              <w:lang w:val="he-IL"/>
            </w:rPr>
            <w:t>–</w:t>
          </w:r>
          <w:r>
            <w:rPr>
              <w:rFonts w:asciiTheme="minorHAnsi" w:hAnsiTheme="minorHAnsi" w:cstheme="minorHAnsi" w:hint="cs"/>
              <w:b/>
              <w:bCs/>
              <w:color w:val="auto"/>
              <w:sz w:val="36"/>
              <w:szCs w:val="36"/>
              <w:lang w:val="he-IL"/>
            </w:rPr>
            <w:t xml:space="preserve"> </w:t>
          </w:r>
          <w:r w:rsidR="007217F3">
            <w:rPr>
              <w:rFonts w:asciiTheme="minorHAnsi" w:hAnsiTheme="minorHAnsi" w:cstheme="minorHAnsi" w:hint="cs"/>
              <w:b/>
              <w:bCs/>
              <w:color w:val="auto"/>
              <w:sz w:val="36"/>
              <w:szCs w:val="36"/>
              <w:lang w:val="he-IL"/>
            </w:rPr>
            <w:t>משפט בינלאומי פרטי</w:t>
          </w:r>
        </w:p>
        <w:p w14:paraId="5043A633" w14:textId="19522F70" w:rsidR="00C3311D" w:rsidRPr="00C3311D" w:rsidRDefault="00C3311D" w:rsidP="00C3311D">
          <w:pPr>
            <w:pStyle w:val="a8"/>
            <w:rPr>
              <w:rFonts w:asciiTheme="minorHAnsi" w:hAnsiTheme="minorHAnsi" w:cstheme="minorHAnsi"/>
              <w:b/>
              <w:bCs/>
              <w:color w:val="auto"/>
            </w:rPr>
          </w:pPr>
          <w:r w:rsidRPr="00C3311D">
            <w:rPr>
              <w:rFonts w:asciiTheme="minorHAnsi" w:hAnsiTheme="minorHAnsi" w:cstheme="minorHAnsi"/>
              <w:b/>
              <w:bCs/>
              <w:color w:val="auto"/>
              <w:lang w:val="he-IL"/>
            </w:rPr>
            <w:t>תוכן עניינים</w:t>
          </w:r>
        </w:p>
        <w:p w14:paraId="4050CA5F" w14:textId="66D88859" w:rsidR="00C3311D" w:rsidRPr="00C3311D" w:rsidRDefault="00B004FD">
          <w:pPr>
            <w:pStyle w:val="TOC1"/>
            <w:rPr>
              <w:rFonts w:cstheme="minorHAnsi"/>
            </w:rPr>
          </w:pPr>
          <w:r>
            <w:rPr>
              <w:rFonts w:cstheme="minorHAnsi" w:hint="cs"/>
              <w:b/>
              <w:bCs/>
            </w:rPr>
            <w:t xml:space="preserve">רע"א 5860/16 </w:t>
          </w:r>
          <w:r>
            <w:rPr>
              <w:rFonts w:cstheme="minorHAnsi" w:hint="cs"/>
              <w:b/>
              <w:bCs/>
              <w:rtl w:val="0"/>
            </w:rPr>
            <w:t>FACEBOOK</w:t>
          </w:r>
          <w:r>
            <w:rPr>
              <w:rFonts w:cstheme="minorHAnsi" w:hint="cs"/>
              <w:b/>
              <w:bCs/>
              <w:cs w:val="0"/>
            </w:rPr>
            <w:t xml:space="preserve"> נ' בן חמו</w:t>
          </w:r>
          <w:r w:rsidR="00C3311D" w:rsidRPr="00C3311D">
            <w:rPr>
              <w:rFonts w:cstheme="minorHAnsi"/>
            </w:rPr>
            <w:ptab w:relativeTo="margin" w:alignment="right" w:leader="dot"/>
          </w:r>
          <w:r>
            <w:rPr>
              <w:rFonts w:cstheme="minorHAnsi" w:hint="cs"/>
              <w:b/>
              <w:bCs/>
              <w:lang w:val="he-IL"/>
            </w:rPr>
            <w:t>2</w:t>
          </w:r>
        </w:p>
        <w:p w14:paraId="43093D47" w14:textId="709619A6" w:rsidR="00B004FD" w:rsidRPr="00C3311D" w:rsidRDefault="00016BBD" w:rsidP="00B004FD">
          <w:pPr>
            <w:pStyle w:val="TOC1"/>
            <w:rPr>
              <w:rFonts w:cstheme="minorHAnsi"/>
            </w:rPr>
          </w:pPr>
          <w:r>
            <w:rPr>
              <w:rFonts w:cstheme="minorHAnsi" w:hint="cs"/>
              <w:b/>
              <w:bCs/>
            </w:rPr>
            <w:t xml:space="preserve">רע"א 2737/08 ארבל נ' </w:t>
          </w:r>
          <w:r>
            <w:rPr>
              <w:rFonts w:cstheme="minorHAnsi" w:hint="cs"/>
              <w:b/>
              <w:bCs/>
              <w:rtl w:val="0"/>
            </w:rPr>
            <w:t>TUI AG</w:t>
          </w:r>
          <w:r w:rsidR="00B004FD" w:rsidRPr="00C3311D">
            <w:rPr>
              <w:rFonts w:cstheme="minorHAnsi"/>
            </w:rPr>
            <w:ptab w:relativeTo="margin" w:alignment="right" w:leader="dot"/>
          </w:r>
          <w:r w:rsidR="00B004FD">
            <w:rPr>
              <w:rFonts w:cstheme="minorHAnsi" w:hint="cs"/>
              <w:b/>
              <w:bCs/>
              <w:lang w:val="he-IL"/>
            </w:rPr>
            <w:t>2</w:t>
          </w:r>
        </w:p>
        <w:p w14:paraId="0105A1AF" w14:textId="648366D6" w:rsidR="00B004FD" w:rsidRPr="00C3311D" w:rsidRDefault="00E546F7" w:rsidP="00B004FD">
          <w:pPr>
            <w:pStyle w:val="TOC1"/>
            <w:rPr>
              <w:rFonts w:cstheme="minorHAnsi"/>
            </w:rPr>
          </w:pPr>
          <w:r>
            <w:rPr>
              <w:rFonts w:cstheme="minorHAnsi" w:hint="cs"/>
              <w:b/>
              <w:bCs/>
            </w:rPr>
            <w:t xml:space="preserve">רע"א 2705/97 הגבס א' סיני (19898) בע"מ נ' </w:t>
          </w:r>
          <w:r>
            <w:rPr>
              <w:rFonts w:cstheme="minorHAnsi" w:hint="cs"/>
              <w:b/>
              <w:bCs/>
              <w:rtl w:val="0"/>
            </w:rPr>
            <w:t>THE LOCKFORMER CO</w:t>
          </w:r>
          <w:r w:rsidR="00B004FD" w:rsidRPr="00C3311D">
            <w:rPr>
              <w:rFonts w:cstheme="minorHAnsi"/>
            </w:rPr>
            <w:ptab w:relativeTo="margin" w:alignment="right" w:leader="dot"/>
          </w:r>
          <w:r w:rsidR="00B004FD">
            <w:rPr>
              <w:rFonts w:cstheme="minorHAnsi" w:hint="cs"/>
              <w:b/>
              <w:bCs/>
              <w:lang w:val="he-IL"/>
            </w:rPr>
            <w:t>2</w:t>
          </w:r>
        </w:p>
        <w:p w14:paraId="5915AB59" w14:textId="43E517D6" w:rsidR="00D7381A" w:rsidRPr="00C3311D" w:rsidRDefault="00D7381A" w:rsidP="00D7381A">
          <w:pPr>
            <w:pStyle w:val="TOC1"/>
            <w:rPr>
              <w:rFonts w:cstheme="minorHAnsi"/>
            </w:rPr>
          </w:pPr>
          <w:r>
            <w:rPr>
              <w:rFonts w:cstheme="minorHAnsi" w:hint="cs"/>
              <w:b/>
              <w:bCs/>
              <w:rtl w:val="0"/>
            </w:rPr>
            <w:t>ר"ע 68437-10-18 אוטוטו דיזיין בע"מ נ</w:t>
          </w:r>
          <w:r>
            <w:rPr>
              <w:rFonts w:cstheme="minorHAnsi" w:hint="cs"/>
              <w:b/>
              <w:bCs/>
            </w:rPr>
            <w:t xml:space="preserve">' </w:t>
          </w:r>
          <w:r>
            <w:rPr>
              <w:rFonts w:cstheme="minorHAnsi" w:hint="cs"/>
              <w:b/>
              <w:bCs/>
              <w:rtl w:val="0"/>
            </w:rPr>
            <w:t>AMAZON</w:t>
          </w:r>
          <w:r>
            <w:rPr>
              <w:rFonts w:cstheme="minorHAnsi"/>
              <w:b/>
              <w:bCs/>
              <w:rtl w:val="0"/>
              <w:cs w:val="0"/>
            </w:rPr>
            <w:t>.COM</w:t>
          </w:r>
          <w:r w:rsidRPr="00C3311D">
            <w:rPr>
              <w:rFonts w:cstheme="minorHAnsi"/>
            </w:rPr>
            <w:ptab w:relativeTo="margin" w:alignment="right" w:leader="dot"/>
          </w:r>
          <w:r w:rsidR="00E606CD">
            <w:rPr>
              <w:rFonts w:cstheme="minorHAnsi" w:hint="cs"/>
              <w:b/>
              <w:bCs/>
              <w:lang w:val="he-IL"/>
            </w:rPr>
            <w:t>2</w:t>
          </w:r>
        </w:p>
        <w:p w14:paraId="2EB864D9" w14:textId="6586C944" w:rsidR="00532A42" w:rsidRPr="00C3311D" w:rsidRDefault="003776DB" w:rsidP="00532A42">
          <w:pPr>
            <w:pStyle w:val="TOC1"/>
            <w:rPr>
              <w:rFonts w:cstheme="minorHAnsi"/>
            </w:rPr>
          </w:pPr>
          <w:r>
            <w:rPr>
              <w:rFonts w:cstheme="minorHAnsi" w:hint="cs"/>
              <w:b/>
              <w:bCs/>
            </w:rPr>
            <w:t>ע"א 1432/03 ינון ייצור ושיווק מוצרי מזון נ' מאגדה קרעאן</w:t>
          </w:r>
          <w:r w:rsidR="00532A42" w:rsidRPr="00C3311D">
            <w:rPr>
              <w:rFonts w:cstheme="minorHAnsi"/>
            </w:rPr>
            <w:ptab w:relativeTo="margin" w:alignment="right" w:leader="dot"/>
          </w:r>
          <w:r w:rsidR="005802AE">
            <w:rPr>
              <w:rFonts w:cstheme="minorHAnsi" w:hint="cs"/>
              <w:b/>
              <w:bCs/>
              <w:lang w:val="he-IL"/>
            </w:rPr>
            <w:t>3</w:t>
          </w:r>
        </w:p>
        <w:p w14:paraId="1683D94F" w14:textId="12BE64EC" w:rsidR="00532A42" w:rsidRPr="00C3311D" w:rsidRDefault="00175C2A" w:rsidP="00532A42">
          <w:pPr>
            <w:pStyle w:val="TOC1"/>
            <w:rPr>
              <w:rFonts w:cstheme="minorHAnsi"/>
            </w:rPr>
          </w:pPr>
          <w:r>
            <w:rPr>
              <w:rFonts w:cstheme="minorHAnsi" w:hint="cs"/>
              <w:b/>
              <w:bCs/>
            </w:rPr>
            <w:t>דנ"א 4655/09 סקאלר נ' יובינר</w:t>
          </w:r>
          <w:r w:rsidR="00532A42" w:rsidRPr="00C3311D">
            <w:rPr>
              <w:rFonts w:cstheme="minorHAnsi"/>
            </w:rPr>
            <w:ptab w:relativeTo="margin" w:alignment="right" w:leader="dot"/>
          </w:r>
          <w:r w:rsidR="005802AE">
            <w:rPr>
              <w:rFonts w:cstheme="minorHAnsi" w:hint="cs"/>
              <w:b/>
              <w:bCs/>
              <w:lang w:val="he-IL"/>
            </w:rPr>
            <w:t>3</w:t>
          </w:r>
        </w:p>
        <w:p w14:paraId="6F5EE56E" w14:textId="11A19E1A" w:rsidR="0008158D" w:rsidRPr="00C3311D" w:rsidRDefault="0008158D" w:rsidP="0008158D">
          <w:pPr>
            <w:pStyle w:val="TOC1"/>
            <w:rPr>
              <w:rFonts w:cstheme="minorHAnsi"/>
            </w:rPr>
          </w:pPr>
          <w:r>
            <w:rPr>
              <w:rFonts w:cstheme="minorHAnsi" w:hint="cs"/>
              <w:b/>
              <w:bCs/>
            </w:rPr>
            <w:t>בג"צ 5666/03 עמותת קו לעובד נ' בית הדין הארצי לעבודה בירושלים</w:t>
          </w:r>
          <w:r w:rsidRPr="00C3311D">
            <w:rPr>
              <w:rFonts w:cstheme="minorHAnsi"/>
            </w:rPr>
            <w:ptab w:relativeTo="margin" w:alignment="right" w:leader="dot"/>
          </w:r>
          <w:r w:rsidR="00A939E7">
            <w:rPr>
              <w:rFonts w:cstheme="minorHAnsi" w:hint="cs"/>
              <w:b/>
              <w:bCs/>
              <w:lang w:val="he-IL"/>
            </w:rPr>
            <w:t>3</w:t>
          </w:r>
        </w:p>
        <w:p w14:paraId="29728DC3" w14:textId="53094332" w:rsidR="004A0BB2" w:rsidRPr="00C3311D" w:rsidRDefault="004A0BB2" w:rsidP="004A0BB2">
          <w:pPr>
            <w:pStyle w:val="TOC1"/>
            <w:rPr>
              <w:rFonts w:cstheme="minorHAnsi"/>
            </w:rPr>
          </w:pPr>
          <w:r>
            <w:rPr>
              <w:rFonts w:cstheme="minorHAnsi" w:hint="cs"/>
              <w:b/>
              <w:bCs/>
            </w:rPr>
            <w:t>דנ"א 1558/94 נפיסי נ' נפיסי</w:t>
          </w:r>
          <w:r w:rsidRPr="00C3311D">
            <w:rPr>
              <w:rFonts w:cstheme="minorHAnsi"/>
            </w:rPr>
            <w:ptab w:relativeTo="margin" w:alignment="right" w:leader="dot"/>
          </w:r>
          <w:r w:rsidR="00F504C2">
            <w:rPr>
              <w:rFonts w:cstheme="minorHAnsi" w:hint="cs"/>
              <w:b/>
              <w:bCs/>
              <w:lang w:val="he-IL"/>
            </w:rPr>
            <w:t>3</w:t>
          </w:r>
        </w:p>
        <w:p w14:paraId="226C22FE" w14:textId="29274313" w:rsidR="00C225FE" w:rsidRPr="00C3311D" w:rsidRDefault="00C225FE" w:rsidP="00C225FE">
          <w:pPr>
            <w:pStyle w:val="TOC1"/>
            <w:rPr>
              <w:rFonts w:cstheme="minorHAnsi"/>
            </w:rPr>
          </w:pPr>
          <w:r>
            <w:rPr>
              <w:rFonts w:cstheme="minorHAnsi" w:hint="cs"/>
              <w:b/>
              <w:bCs/>
            </w:rPr>
            <w:t>בע"מ 594/04 היועץ המשפטי לממשלה- האפוטרופוס הכללי נ' פלוני</w:t>
          </w:r>
          <w:r w:rsidRPr="00C3311D">
            <w:rPr>
              <w:rFonts w:cstheme="minorHAnsi"/>
            </w:rPr>
            <w:ptab w:relativeTo="margin" w:alignment="right" w:leader="dot"/>
          </w:r>
          <w:r w:rsidRPr="00C3311D">
            <w:rPr>
              <w:rFonts w:cstheme="minorHAnsi"/>
              <w:b/>
              <w:bCs/>
              <w:lang w:val="he-IL"/>
            </w:rPr>
            <w:t>4</w:t>
          </w:r>
        </w:p>
        <w:p w14:paraId="2EE550C7" w14:textId="6CC67316" w:rsidR="00DE6015" w:rsidRPr="00C3311D" w:rsidRDefault="00704719" w:rsidP="00DE6015">
          <w:pPr>
            <w:pStyle w:val="TOC1"/>
            <w:rPr>
              <w:rFonts w:cstheme="minorHAnsi"/>
            </w:rPr>
          </w:pPr>
          <w:r>
            <w:rPr>
              <w:rFonts w:cstheme="minorHAnsi" w:hint="cs"/>
              <w:b/>
              <w:bCs/>
            </w:rPr>
            <w:t>ע"א 970/93 היועץ המשפטי לממשלה נ' איריס אגם</w:t>
          </w:r>
          <w:r w:rsidR="00DE6015" w:rsidRPr="00C3311D">
            <w:rPr>
              <w:rFonts w:cstheme="minorHAnsi"/>
            </w:rPr>
            <w:ptab w:relativeTo="margin" w:alignment="right" w:leader="dot"/>
          </w:r>
          <w:r w:rsidR="00DE6015" w:rsidRPr="00C3311D">
            <w:rPr>
              <w:rFonts w:cstheme="minorHAnsi"/>
              <w:b/>
              <w:bCs/>
              <w:lang w:val="he-IL"/>
            </w:rPr>
            <w:t>4</w:t>
          </w:r>
        </w:p>
        <w:p w14:paraId="30E3A448" w14:textId="73A26465" w:rsidR="00EC0D5B" w:rsidRPr="00C3311D" w:rsidRDefault="00EC0D5B" w:rsidP="00EC0D5B">
          <w:pPr>
            <w:pStyle w:val="TOC1"/>
            <w:rPr>
              <w:rFonts w:cstheme="minorHAnsi"/>
            </w:rPr>
          </w:pPr>
          <w:r>
            <w:rPr>
              <w:rFonts w:cstheme="minorHAnsi" w:hint="cs"/>
              <w:b/>
              <w:bCs/>
            </w:rPr>
            <w:t>ע"א 3081/12 דאבל קיי מוצרי דלק (1996) בע"מ נ' גזפרום טרנסגז אוכטה בע"מ</w:t>
          </w:r>
          <w:r w:rsidRPr="00C3311D">
            <w:rPr>
              <w:rFonts w:cstheme="minorHAnsi"/>
            </w:rPr>
            <w:ptab w:relativeTo="margin" w:alignment="right" w:leader="dot"/>
          </w:r>
          <w:r w:rsidRPr="00C3311D">
            <w:rPr>
              <w:rFonts w:cstheme="minorHAnsi"/>
              <w:b/>
              <w:bCs/>
              <w:lang w:val="he-IL"/>
            </w:rPr>
            <w:t>4</w:t>
          </w:r>
        </w:p>
        <w:p w14:paraId="09AD1FD2" w14:textId="0ECBEA35" w:rsidR="00C3311D" w:rsidRPr="00C3311D" w:rsidRDefault="006930DB">
          <w:pPr>
            <w:pStyle w:val="TOC3"/>
            <w:ind w:left="446"/>
            <w:rPr>
              <w:rFonts w:cstheme="minorHAnsi"/>
            </w:rPr>
          </w:pPr>
        </w:p>
      </w:sdtContent>
    </w:sdt>
    <w:p w14:paraId="2ED31F0F" w14:textId="2DAA4590" w:rsidR="005A6E23" w:rsidRDefault="005A6E23" w:rsidP="00E67560">
      <w:pPr>
        <w:pStyle w:val="a7"/>
        <w:rPr>
          <w:rFonts w:cstheme="minorHAnsi"/>
          <w:rtl/>
        </w:rPr>
      </w:pPr>
    </w:p>
    <w:p w14:paraId="783B6825" w14:textId="1BC0C201" w:rsidR="00DF2CCF" w:rsidRDefault="00DF2CCF" w:rsidP="00E67560">
      <w:pPr>
        <w:pStyle w:val="a7"/>
        <w:rPr>
          <w:rFonts w:cstheme="minorHAnsi"/>
          <w:rtl/>
        </w:rPr>
      </w:pPr>
    </w:p>
    <w:p w14:paraId="25509838" w14:textId="1FEC5F55" w:rsidR="00B004FD" w:rsidRDefault="00B004FD" w:rsidP="00E67560">
      <w:pPr>
        <w:pStyle w:val="a7"/>
        <w:rPr>
          <w:rFonts w:cstheme="minorHAnsi"/>
          <w:rtl/>
        </w:rPr>
      </w:pPr>
    </w:p>
    <w:p w14:paraId="4A120231" w14:textId="2FEAE220" w:rsidR="00B004FD" w:rsidRDefault="00B004FD" w:rsidP="00E67560">
      <w:pPr>
        <w:pStyle w:val="a7"/>
        <w:rPr>
          <w:rFonts w:cstheme="minorHAnsi"/>
          <w:rtl/>
        </w:rPr>
      </w:pPr>
    </w:p>
    <w:p w14:paraId="60F1B4AC" w14:textId="33AD1C87" w:rsidR="00B004FD" w:rsidRDefault="00B004FD" w:rsidP="00E67560">
      <w:pPr>
        <w:pStyle w:val="a7"/>
        <w:rPr>
          <w:rFonts w:cstheme="minorHAnsi"/>
          <w:rtl/>
        </w:rPr>
      </w:pPr>
    </w:p>
    <w:p w14:paraId="132C2C0E" w14:textId="20A2D3BA" w:rsidR="00B004FD" w:rsidRDefault="00B004FD" w:rsidP="00E67560">
      <w:pPr>
        <w:pStyle w:val="a7"/>
        <w:rPr>
          <w:rFonts w:cstheme="minorHAnsi"/>
          <w:rtl/>
        </w:rPr>
      </w:pPr>
    </w:p>
    <w:p w14:paraId="21A15AB8" w14:textId="4621F7A5" w:rsidR="00B004FD" w:rsidRDefault="00B004FD" w:rsidP="00E67560">
      <w:pPr>
        <w:pStyle w:val="a7"/>
        <w:rPr>
          <w:rFonts w:cstheme="minorHAnsi"/>
          <w:rtl/>
        </w:rPr>
      </w:pPr>
    </w:p>
    <w:p w14:paraId="202654A1" w14:textId="7989563D" w:rsidR="00B004FD" w:rsidRDefault="00B004FD" w:rsidP="00E67560">
      <w:pPr>
        <w:pStyle w:val="a7"/>
        <w:rPr>
          <w:rFonts w:cstheme="minorHAnsi"/>
          <w:rtl/>
        </w:rPr>
      </w:pPr>
    </w:p>
    <w:p w14:paraId="24BE5361" w14:textId="34917566" w:rsidR="00B004FD" w:rsidRDefault="00B004FD" w:rsidP="00E67560">
      <w:pPr>
        <w:pStyle w:val="a7"/>
        <w:rPr>
          <w:rFonts w:cstheme="minorHAnsi"/>
          <w:rtl/>
        </w:rPr>
      </w:pPr>
    </w:p>
    <w:p w14:paraId="4B5196A2" w14:textId="140C90C2" w:rsidR="00B004FD" w:rsidRDefault="00B004FD" w:rsidP="00E67560">
      <w:pPr>
        <w:pStyle w:val="a7"/>
        <w:rPr>
          <w:rFonts w:cstheme="minorHAnsi"/>
          <w:rtl/>
        </w:rPr>
      </w:pPr>
    </w:p>
    <w:p w14:paraId="411A1607" w14:textId="20CBE32F" w:rsidR="00B004FD" w:rsidRDefault="00B004FD" w:rsidP="00E67560">
      <w:pPr>
        <w:pStyle w:val="a7"/>
        <w:rPr>
          <w:rFonts w:cstheme="minorHAnsi"/>
          <w:rtl/>
        </w:rPr>
      </w:pPr>
    </w:p>
    <w:p w14:paraId="48D75758" w14:textId="083E9992" w:rsidR="00B004FD" w:rsidRDefault="00B004FD" w:rsidP="00E67560">
      <w:pPr>
        <w:pStyle w:val="a7"/>
        <w:rPr>
          <w:rFonts w:cstheme="minorHAnsi"/>
          <w:rtl/>
        </w:rPr>
      </w:pPr>
    </w:p>
    <w:p w14:paraId="282F186B" w14:textId="5B247BA8" w:rsidR="00B004FD" w:rsidRDefault="00B004FD" w:rsidP="00E67560">
      <w:pPr>
        <w:pStyle w:val="a7"/>
        <w:rPr>
          <w:rFonts w:cstheme="minorHAnsi"/>
          <w:rtl/>
        </w:rPr>
      </w:pPr>
    </w:p>
    <w:p w14:paraId="21A8C23C" w14:textId="77777777" w:rsidR="00EC0D5B" w:rsidRDefault="00EC0D5B" w:rsidP="00E67560">
      <w:pPr>
        <w:pStyle w:val="a7"/>
        <w:rPr>
          <w:rFonts w:cstheme="minorHAnsi"/>
          <w:rtl/>
        </w:rPr>
      </w:pPr>
    </w:p>
    <w:p w14:paraId="75D8E153" w14:textId="1C491BAD" w:rsidR="00B004FD" w:rsidRDefault="00B004FD" w:rsidP="00E67560">
      <w:pPr>
        <w:pStyle w:val="a7"/>
        <w:rPr>
          <w:rFonts w:cstheme="minorHAnsi"/>
          <w:rtl/>
        </w:rPr>
      </w:pPr>
    </w:p>
    <w:p w14:paraId="3BB76C54" w14:textId="06C39A00" w:rsidR="00B004FD" w:rsidRDefault="00B004FD" w:rsidP="00E67560">
      <w:pPr>
        <w:pStyle w:val="a7"/>
        <w:rPr>
          <w:rFonts w:cstheme="minorHAnsi"/>
          <w:rtl/>
        </w:rPr>
      </w:pPr>
    </w:p>
    <w:p w14:paraId="18F7B06B" w14:textId="7137B81C" w:rsidR="00B004FD" w:rsidRDefault="00B004FD" w:rsidP="00E67560">
      <w:pPr>
        <w:pStyle w:val="a7"/>
        <w:rPr>
          <w:rFonts w:cstheme="minorHAnsi"/>
          <w:rtl/>
        </w:rPr>
      </w:pPr>
    </w:p>
    <w:p w14:paraId="08D00691" w14:textId="53340147" w:rsidR="00B004FD" w:rsidRDefault="00B004FD" w:rsidP="00E67560">
      <w:pPr>
        <w:pStyle w:val="a7"/>
        <w:rPr>
          <w:rFonts w:cstheme="minorHAnsi"/>
          <w:rtl/>
        </w:rPr>
      </w:pPr>
    </w:p>
    <w:p w14:paraId="0D21F011" w14:textId="77777777" w:rsidR="004A0BB2" w:rsidRDefault="004A0BB2" w:rsidP="00E67560">
      <w:pPr>
        <w:pStyle w:val="a7"/>
        <w:rPr>
          <w:rFonts w:cstheme="minorHAnsi"/>
          <w:rtl/>
        </w:rPr>
      </w:pPr>
    </w:p>
    <w:p w14:paraId="73326FC4" w14:textId="4D96ADB5" w:rsidR="00B004FD" w:rsidRDefault="00B004FD" w:rsidP="00E67560">
      <w:pPr>
        <w:pStyle w:val="a7"/>
        <w:rPr>
          <w:rFonts w:cstheme="minorHAnsi"/>
          <w:rtl/>
        </w:rPr>
      </w:pPr>
    </w:p>
    <w:p w14:paraId="2892C64E" w14:textId="77777777" w:rsidR="003776DB" w:rsidRDefault="003776DB" w:rsidP="00E67560">
      <w:pPr>
        <w:pStyle w:val="a7"/>
        <w:rPr>
          <w:rFonts w:cstheme="minorHAnsi"/>
          <w:rtl/>
        </w:rPr>
      </w:pPr>
    </w:p>
    <w:p w14:paraId="43A58BD6" w14:textId="40F27BAA" w:rsidR="00B004FD" w:rsidRDefault="00B004FD" w:rsidP="00E67560">
      <w:pPr>
        <w:pStyle w:val="a7"/>
        <w:rPr>
          <w:rFonts w:cstheme="minorHAnsi"/>
          <w:rtl/>
        </w:rPr>
      </w:pPr>
    </w:p>
    <w:p w14:paraId="354057B8" w14:textId="3FE4992B" w:rsidR="00D7381A" w:rsidRDefault="00D7381A" w:rsidP="00E67560">
      <w:pPr>
        <w:pStyle w:val="a7"/>
        <w:rPr>
          <w:rFonts w:cstheme="minorHAnsi"/>
          <w:rtl/>
        </w:rPr>
      </w:pPr>
    </w:p>
    <w:p w14:paraId="3FD4DD04" w14:textId="642FA67C" w:rsidR="0096419A" w:rsidRDefault="0096419A" w:rsidP="00E67560">
      <w:pPr>
        <w:pStyle w:val="a7"/>
        <w:rPr>
          <w:rFonts w:cstheme="minorHAnsi"/>
          <w:rtl/>
        </w:rPr>
      </w:pPr>
    </w:p>
    <w:p w14:paraId="1312E08E" w14:textId="563D6494" w:rsidR="0096419A" w:rsidRDefault="0096419A" w:rsidP="00E67560">
      <w:pPr>
        <w:pStyle w:val="a7"/>
        <w:rPr>
          <w:rFonts w:cstheme="minorHAnsi"/>
          <w:rtl/>
        </w:rPr>
      </w:pPr>
    </w:p>
    <w:p w14:paraId="0C485610" w14:textId="77777777" w:rsidR="0096419A" w:rsidRDefault="0096419A" w:rsidP="00E67560">
      <w:pPr>
        <w:pStyle w:val="a7"/>
        <w:rPr>
          <w:rFonts w:cstheme="minorHAnsi"/>
          <w:rtl/>
        </w:rPr>
      </w:pPr>
    </w:p>
    <w:p w14:paraId="348D9149" w14:textId="77777777" w:rsidR="00DE6015" w:rsidRDefault="00DE6015" w:rsidP="00E67560">
      <w:pPr>
        <w:pStyle w:val="a7"/>
        <w:rPr>
          <w:rFonts w:cstheme="minorHAnsi"/>
          <w:rtl/>
        </w:rPr>
      </w:pPr>
    </w:p>
    <w:p w14:paraId="73B09F93" w14:textId="6244FBBA" w:rsidR="00B004FD" w:rsidRDefault="00B004FD" w:rsidP="00E67560">
      <w:pPr>
        <w:pStyle w:val="a7"/>
        <w:rPr>
          <w:rFonts w:cstheme="minorHAnsi"/>
          <w:rtl/>
        </w:rPr>
      </w:pPr>
    </w:p>
    <w:p w14:paraId="0B7A07E2" w14:textId="77777777" w:rsidR="00C225FE" w:rsidRDefault="00C225FE" w:rsidP="00E67560">
      <w:pPr>
        <w:pStyle w:val="a7"/>
        <w:rPr>
          <w:rFonts w:cstheme="minorHAnsi"/>
          <w:rtl/>
        </w:rPr>
      </w:pPr>
    </w:p>
    <w:p w14:paraId="04C3DBD2" w14:textId="68D4CD45" w:rsidR="00B004FD" w:rsidRDefault="00B004FD" w:rsidP="00E67560">
      <w:pPr>
        <w:pStyle w:val="a7"/>
        <w:rPr>
          <w:rFonts w:cstheme="minorHAnsi"/>
          <w:rtl/>
        </w:rPr>
      </w:pPr>
    </w:p>
    <w:p w14:paraId="33575A5A" w14:textId="77777777" w:rsidR="00B004FD" w:rsidRDefault="00B004FD" w:rsidP="00B004FD">
      <w:pPr>
        <w:pStyle w:val="a7"/>
        <w:jc w:val="both"/>
        <w:rPr>
          <w:rFonts w:cstheme="minorHAnsi"/>
          <w:rtl/>
        </w:rPr>
      </w:pPr>
    </w:p>
    <w:p w14:paraId="3931EB8A" w14:textId="77777777" w:rsidR="00B004FD" w:rsidRDefault="00B004FD" w:rsidP="00B004FD">
      <w:pPr>
        <w:pStyle w:val="a7"/>
        <w:pBdr>
          <w:top w:val="single" w:sz="6" w:space="1" w:color="auto"/>
          <w:bottom w:val="single" w:sz="6" w:space="1" w:color="auto"/>
        </w:pBdr>
        <w:jc w:val="center"/>
        <w:rPr>
          <w:rFonts w:cstheme="minorHAnsi"/>
          <w:b/>
          <w:bCs/>
          <w:rtl/>
        </w:rPr>
      </w:pPr>
      <w:r>
        <w:rPr>
          <w:rFonts w:cstheme="minorHAnsi" w:hint="cs"/>
          <w:b/>
          <w:bCs/>
          <w:rtl/>
        </w:rPr>
        <w:lastRenderedPageBreak/>
        <w:t xml:space="preserve">רע"א 5860/16 </w:t>
      </w:r>
      <w:r>
        <w:rPr>
          <w:rFonts w:cstheme="minorHAnsi" w:hint="cs"/>
          <w:b/>
          <w:bCs/>
        </w:rPr>
        <w:t>FACEBOOK</w:t>
      </w:r>
      <w:r>
        <w:rPr>
          <w:rFonts w:cstheme="minorHAnsi" w:hint="cs"/>
          <w:b/>
          <w:bCs/>
          <w:rtl/>
        </w:rPr>
        <w:t xml:space="preserve"> נ' בן חמו:</w:t>
      </w:r>
    </w:p>
    <w:p w14:paraId="4B25D37D" w14:textId="77777777" w:rsidR="00B004FD" w:rsidRDefault="00B004FD" w:rsidP="00B004FD">
      <w:pPr>
        <w:pStyle w:val="a7"/>
        <w:jc w:val="both"/>
        <w:rPr>
          <w:rFonts w:cstheme="minorHAnsi"/>
          <w:rtl/>
        </w:rPr>
      </w:pPr>
    </w:p>
    <w:p w14:paraId="46D3C2EE" w14:textId="188E141F" w:rsidR="00B004FD" w:rsidRDefault="00B004FD" w:rsidP="00B004FD">
      <w:pPr>
        <w:pStyle w:val="a7"/>
        <w:numPr>
          <w:ilvl w:val="0"/>
          <w:numId w:val="1"/>
        </w:numPr>
        <w:ind w:left="424"/>
        <w:jc w:val="both"/>
        <w:rPr>
          <w:rFonts w:cstheme="minorHAnsi"/>
        </w:rPr>
      </w:pPr>
      <w:r>
        <w:rPr>
          <w:rFonts w:cstheme="minorHAnsi" w:hint="cs"/>
          <w:rtl/>
        </w:rPr>
        <w:t>המשיב הגיש בקשה לאישור תובענה ייצוגית נגד המבקשות לבית המשפט, בעוד הן ביקשו לדחותה על הסף לאור תניית שיפוט זר בהסכם השימוש. בית המשפט דחה את בקשתן וקב כי תניית השיפוט הזר ותניית ברירת הדין הן תניות המקימות חזקת קיפוח. מכאן הערעור.</w:t>
      </w:r>
    </w:p>
    <w:p w14:paraId="1DA6ABA7" w14:textId="516D1F25" w:rsidR="00B004FD" w:rsidRDefault="00B004FD" w:rsidP="00B004FD">
      <w:pPr>
        <w:pStyle w:val="a7"/>
        <w:numPr>
          <w:ilvl w:val="0"/>
          <w:numId w:val="1"/>
        </w:numPr>
        <w:ind w:left="424"/>
        <w:jc w:val="both"/>
        <w:rPr>
          <w:rFonts w:cstheme="minorHAnsi"/>
        </w:rPr>
      </w:pPr>
      <w:r>
        <w:rPr>
          <w:rFonts w:cstheme="minorHAnsi" w:hint="cs"/>
          <w:rtl/>
        </w:rPr>
        <w:t>האם תניית מקום השיפוט וברירת הדין מקפחת?</w:t>
      </w:r>
    </w:p>
    <w:p w14:paraId="62509FE3" w14:textId="15A2A3FF" w:rsidR="00B004FD" w:rsidRDefault="00B004FD" w:rsidP="00B004FD">
      <w:pPr>
        <w:pStyle w:val="a7"/>
        <w:numPr>
          <w:ilvl w:val="0"/>
          <w:numId w:val="1"/>
        </w:numPr>
        <w:ind w:left="424"/>
        <w:jc w:val="both"/>
        <w:rPr>
          <w:rFonts w:cstheme="minorHAnsi"/>
        </w:rPr>
      </w:pPr>
      <w:r>
        <w:rPr>
          <w:rFonts w:cstheme="minorHAnsi" w:hint="cs"/>
          <w:u w:val="single"/>
          <w:rtl/>
        </w:rPr>
        <w:t>הנשיאה א' חיות</w:t>
      </w:r>
      <w:r>
        <w:rPr>
          <w:rFonts w:cstheme="minorHAnsi" w:hint="cs"/>
          <w:rtl/>
        </w:rPr>
        <w:t xml:space="preserve">- </w:t>
      </w:r>
      <w:r w:rsidR="00A86269">
        <w:rPr>
          <w:rFonts w:cstheme="minorHAnsi" w:hint="cs"/>
          <w:rtl/>
        </w:rPr>
        <w:t xml:space="preserve">לצורך ההכרעה בשאלה האם תניית מקום שיפוט בחוזה אחיד היא מקפחת, יש </w:t>
      </w:r>
      <w:r w:rsidR="00A86269" w:rsidRPr="001F4054">
        <w:rPr>
          <w:rFonts w:cstheme="minorHAnsi" w:hint="cs"/>
          <w:b/>
          <w:bCs/>
          <w:rtl/>
        </w:rPr>
        <w:t>לבחון</w:t>
      </w:r>
      <w:r w:rsidR="00A86269">
        <w:rPr>
          <w:rFonts w:cstheme="minorHAnsi" w:hint="cs"/>
          <w:rtl/>
        </w:rPr>
        <w:t xml:space="preserve"> האם תניה זו </w:t>
      </w:r>
      <w:r w:rsidR="00A86269" w:rsidRPr="001F4054">
        <w:rPr>
          <w:rFonts w:cstheme="minorHAnsi" w:hint="cs"/>
          <w:b/>
          <w:bCs/>
          <w:rtl/>
        </w:rPr>
        <w:t>מרתיעה</w:t>
      </w:r>
      <w:r w:rsidR="00A86269">
        <w:rPr>
          <w:rFonts w:cstheme="minorHAnsi" w:hint="cs"/>
          <w:rtl/>
        </w:rPr>
        <w:t xml:space="preserve"> את הלקוחות החתומים על החוזה מלנקוט בהליכים משפטיים. העובדה שפייסבוק אירלנד מספקת שירותים בחינם אינם מקנה לה חסינות מפני תביעה בישראל. פייסבוק אירלנד היא חברת ענק זרה הפועלת במספר רב של מדינות בעולם ועובדה זו מקשה על משתמשים ישראלים בפייסבוק לתבוע אותה.</w:t>
      </w:r>
      <w:r w:rsidR="00A86269" w:rsidRPr="00A86269">
        <w:rPr>
          <w:rFonts w:cstheme="minorHAnsi" w:hint="cs"/>
          <w:rtl/>
        </w:rPr>
        <w:t xml:space="preserve"> </w:t>
      </w:r>
      <w:r w:rsidR="00A86269">
        <w:rPr>
          <w:rFonts w:cstheme="minorHAnsi" w:hint="cs"/>
          <w:rtl/>
        </w:rPr>
        <w:t>לא עלה בידי פייסבוק אירלנד לסתור את חזקת הקיפוח החלה על תניית השיפוט הזר.</w:t>
      </w:r>
    </w:p>
    <w:p w14:paraId="1B7A2636" w14:textId="2BC3EC17" w:rsidR="00A86269" w:rsidRPr="00016BBD" w:rsidRDefault="00A86269" w:rsidP="00B004FD">
      <w:pPr>
        <w:pStyle w:val="a7"/>
        <w:numPr>
          <w:ilvl w:val="0"/>
          <w:numId w:val="1"/>
        </w:numPr>
        <w:ind w:left="424"/>
        <w:jc w:val="both"/>
        <w:rPr>
          <w:rFonts w:cstheme="minorHAnsi"/>
          <w:color w:val="FFC000"/>
        </w:rPr>
      </w:pPr>
      <w:r w:rsidRPr="00016BBD">
        <w:rPr>
          <w:rFonts w:cstheme="minorHAnsi" w:hint="cs"/>
          <w:color w:val="FFC000"/>
          <w:rtl/>
        </w:rPr>
        <w:t>הערעור התקבל בחלקו.</w:t>
      </w:r>
    </w:p>
    <w:p w14:paraId="07F3264B" w14:textId="77777777" w:rsidR="00016BBD" w:rsidRDefault="00016BBD" w:rsidP="00016BBD">
      <w:pPr>
        <w:pStyle w:val="a7"/>
        <w:jc w:val="both"/>
        <w:rPr>
          <w:rFonts w:cstheme="minorHAnsi"/>
          <w:rtl/>
        </w:rPr>
      </w:pPr>
    </w:p>
    <w:p w14:paraId="1610B3DC" w14:textId="77777777" w:rsidR="00016BBD" w:rsidRDefault="00016BBD" w:rsidP="00016BBD">
      <w:pPr>
        <w:pStyle w:val="a7"/>
        <w:pBdr>
          <w:top w:val="single" w:sz="6" w:space="1" w:color="auto"/>
          <w:bottom w:val="single" w:sz="6" w:space="1" w:color="auto"/>
        </w:pBdr>
        <w:jc w:val="center"/>
        <w:rPr>
          <w:rFonts w:cstheme="minorHAnsi"/>
          <w:b/>
          <w:bCs/>
          <w:rtl/>
        </w:rPr>
      </w:pPr>
      <w:r>
        <w:rPr>
          <w:rFonts w:cstheme="minorHAnsi" w:hint="cs"/>
          <w:b/>
          <w:bCs/>
          <w:rtl/>
        </w:rPr>
        <w:t xml:space="preserve">רע"א 2737/08 ארבל נ' </w:t>
      </w:r>
      <w:r>
        <w:rPr>
          <w:rFonts w:cstheme="minorHAnsi" w:hint="cs"/>
          <w:b/>
          <w:bCs/>
        </w:rPr>
        <w:t>TUI AG</w:t>
      </w:r>
      <w:r>
        <w:rPr>
          <w:rFonts w:cstheme="minorHAnsi" w:hint="cs"/>
          <w:b/>
          <w:bCs/>
          <w:rtl/>
        </w:rPr>
        <w:t>:</w:t>
      </w:r>
    </w:p>
    <w:p w14:paraId="19D0C3A2" w14:textId="77777777" w:rsidR="00016BBD" w:rsidRDefault="00016BBD" w:rsidP="00016BBD">
      <w:pPr>
        <w:pStyle w:val="a7"/>
        <w:jc w:val="both"/>
        <w:rPr>
          <w:rFonts w:cstheme="minorHAnsi"/>
          <w:rtl/>
        </w:rPr>
      </w:pPr>
    </w:p>
    <w:p w14:paraId="587A90DA" w14:textId="5FF04FD2" w:rsidR="00A86269" w:rsidRDefault="00016BBD" w:rsidP="00016BBD">
      <w:pPr>
        <w:pStyle w:val="a7"/>
        <w:numPr>
          <w:ilvl w:val="0"/>
          <w:numId w:val="2"/>
        </w:numPr>
        <w:ind w:left="424"/>
        <w:jc w:val="both"/>
        <w:rPr>
          <w:rFonts w:cstheme="minorHAnsi"/>
        </w:rPr>
      </w:pPr>
      <w:r>
        <w:rPr>
          <w:rFonts w:cstheme="minorHAnsi" w:hint="cs"/>
          <w:rtl/>
        </w:rPr>
        <w:t>האם כתב תביעה שהומצא למשיבות, חברות גרמניות השייכות לקונצרן תיירות בינלאומי ולמשיבות הפורמליות, המשווקות שירותי תיירות בישראל, בגין נזקי גוף שנגרמו למבקש עת שהה במועדון נופש בטורקיה, הומצאו כדין לפי תקנה 482 לתקנות סדר דין אזרחי, עת הומצאו לחברה ישראלית? כן נדונה השאלה האם בית המשפט בישראל הינו הפורום הנאות לדון בתובענה?</w:t>
      </w:r>
    </w:p>
    <w:p w14:paraId="21331624" w14:textId="41AD3BBD" w:rsidR="00016BBD" w:rsidRDefault="00016BBD" w:rsidP="00016BBD">
      <w:pPr>
        <w:pStyle w:val="a7"/>
        <w:numPr>
          <w:ilvl w:val="0"/>
          <w:numId w:val="2"/>
        </w:numPr>
        <w:ind w:left="424"/>
        <w:jc w:val="both"/>
        <w:rPr>
          <w:rFonts w:cstheme="minorHAnsi"/>
        </w:rPr>
      </w:pPr>
      <w:r>
        <w:rPr>
          <w:rFonts w:cstheme="minorHAnsi" w:hint="cs"/>
          <w:u w:val="single"/>
          <w:rtl/>
        </w:rPr>
        <w:t>השופט י' דנציגר</w:t>
      </w:r>
      <w:r>
        <w:rPr>
          <w:rFonts w:cstheme="minorHAnsi" w:hint="cs"/>
          <w:rtl/>
        </w:rPr>
        <w:t xml:space="preserve">- </w:t>
      </w:r>
      <w:r w:rsidR="004D31CD">
        <w:rPr>
          <w:rFonts w:cstheme="minorHAnsi" w:hint="cs"/>
          <w:rtl/>
        </w:rPr>
        <w:t xml:space="preserve">התיבה "אזור השיפוט" שבתקנה 482 לתקנות סדר דין אזרחי הורחבה גם למצבים בהם מצוי הנתבע מחוץ לשטח השיפוט של מדינת ישראל. אין לקבוע כי החברה הישראלית הינה "מורשה" של משיבה 2, הואיל ומשיבה 1 הינה "מורשה" של משיבה 2. </w:t>
      </w:r>
      <w:r w:rsidR="004D31CD" w:rsidRPr="00A978B1">
        <w:rPr>
          <w:rFonts w:cstheme="minorHAnsi" w:hint="cs"/>
          <w:u w:val="single"/>
          <w:rtl/>
        </w:rPr>
        <w:t>תוצאה אופרטיבית</w:t>
      </w:r>
      <w:r w:rsidR="004D31CD">
        <w:rPr>
          <w:rFonts w:cstheme="minorHAnsi" w:hint="cs"/>
          <w:rtl/>
        </w:rPr>
        <w:t xml:space="preserve"> של קביעה כזו תהיה כי </w:t>
      </w:r>
      <w:r w:rsidR="004D31CD">
        <w:rPr>
          <w:rFonts w:cstheme="minorHAnsi" w:hint="cs"/>
          <w:u w:val="single"/>
          <w:rtl/>
        </w:rPr>
        <w:t>די בכך</w:t>
      </w:r>
      <w:r w:rsidR="004D31CD">
        <w:rPr>
          <w:rFonts w:cstheme="minorHAnsi" w:hint="cs"/>
          <w:rtl/>
        </w:rPr>
        <w:t xml:space="preserve"> שמורשה של חברת אם פלונית יפעל בשטחי מדינת ישראל על מנת להמציא כתבי בי-דין לפי תקנה 482(א) לחברות בנות שלה, שבינן לבין המורשה אין דבר, הואיל וחברות בת או אחיות, שאינן פועלות בישראל, לא נוטלות סיכון צפוי להתדיינות בבית משפט ישראלי. בענייננו מבחן מירב הזיקות אינו מטה את הכף לזכות המשיבה, שכן הטיפולים הרפואיים של המבקש בוצעו בישראל והראיות הרפואיות על נזקיו נמצאות בישראל.</w:t>
      </w:r>
    </w:p>
    <w:p w14:paraId="75672784" w14:textId="1DC40E13" w:rsidR="004D31CD" w:rsidRPr="00E546F7" w:rsidRDefault="004D31CD" w:rsidP="00E546F7">
      <w:pPr>
        <w:pStyle w:val="a7"/>
        <w:numPr>
          <w:ilvl w:val="0"/>
          <w:numId w:val="2"/>
        </w:numPr>
        <w:ind w:left="424"/>
        <w:jc w:val="both"/>
        <w:rPr>
          <w:rFonts w:cstheme="minorHAnsi"/>
          <w:color w:val="FFC000"/>
          <w:rtl/>
        </w:rPr>
      </w:pPr>
      <w:r w:rsidRPr="00E546F7">
        <w:rPr>
          <w:rFonts w:cstheme="minorHAnsi" w:hint="cs"/>
          <w:color w:val="FFC000"/>
          <w:rtl/>
        </w:rPr>
        <w:t>רשות הערעור ניתנה והערעור התקבל בחלקו.</w:t>
      </w:r>
    </w:p>
    <w:p w14:paraId="5F605B77" w14:textId="77777777" w:rsidR="00E546F7" w:rsidRDefault="00E546F7" w:rsidP="00E546F7">
      <w:pPr>
        <w:pStyle w:val="a7"/>
        <w:jc w:val="both"/>
        <w:rPr>
          <w:rFonts w:cstheme="minorHAnsi"/>
          <w:rtl/>
        </w:rPr>
      </w:pPr>
    </w:p>
    <w:p w14:paraId="0EA1DC0B" w14:textId="77777777" w:rsidR="00E546F7" w:rsidRDefault="00E546F7" w:rsidP="00E546F7">
      <w:pPr>
        <w:pStyle w:val="a7"/>
        <w:pBdr>
          <w:top w:val="single" w:sz="6" w:space="1" w:color="auto"/>
          <w:bottom w:val="single" w:sz="6" w:space="1" w:color="auto"/>
        </w:pBdr>
        <w:jc w:val="center"/>
        <w:rPr>
          <w:rFonts w:cstheme="minorHAnsi"/>
          <w:b/>
          <w:bCs/>
          <w:rtl/>
        </w:rPr>
      </w:pPr>
      <w:r>
        <w:rPr>
          <w:rFonts w:cstheme="minorHAnsi" w:hint="cs"/>
          <w:b/>
          <w:bCs/>
          <w:rtl/>
        </w:rPr>
        <w:t xml:space="preserve">רע"א 2705/97 הגבס א' סיני (1989) בע"מ נ' </w:t>
      </w:r>
      <w:r>
        <w:rPr>
          <w:rFonts w:cstheme="minorHAnsi" w:hint="cs"/>
          <w:b/>
          <w:bCs/>
        </w:rPr>
        <w:t>THE LOCKFORMER CO</w:t>
      </w:r>
      <w:r>
        <w:rPr>
          <w:rFonts w:cstheme="minorHAnsi" w:hint="cs"/>
          <w:b/>
          <w:bCs/>
          <w:rtl/>
        </w:rPr>
        <w:t>:</w:t>
      </w:r>
    </w:p>
    <w:p w14:paraId="7283567A" w14:textId="77777777" w:rsidR="00E546F7" w:rsidRDefault="00E546F7" w:rsidP="00E546F7">
      <w:pPr>
        <w:pStyle w:val="a7"/>
        <w:jc w:val="both"/>
        <w:rPr>
          <w:rFonts w:cstheme="minorHAnsi"/>
          <w:rtl/>
        </w:rPr>
      </w:pPr>
    </w:p>
    <w:p w14:paraId="0087A8D5" w14:textId="77777777" w:rsidR="00AB30D4" w:rsidRDefault="00AB30D4" w:rsidP="00AB30D4">
      <w:pPr>
        <w:pStyle w:val="a7"/>
        <w:numPr>
          <w:ilvl w:val="0"/>
          <w:numId w:val="3"/>
        </w:numPr>
        <w:ind w:left="424"/>
        <w:jc w:val="both"/>
        <w:rPr>
          <w:rFonts w:cstheme="minorHAnsi"/>
        </w:rPr>
      </w:pPr>
      <w:r>
        <w:rPr>
          <w:rFonts w:cstheme="minorHAnsi" w:hint="cs"/>
          <w:rtl/>
        </w:rPr>
        <w:t>המבקשת התקשרה עם המשיבה הראשונה, יצרנית מכונות מארצות הברית, בהסכם לרכישת מכונה. כאשר הוצבה המכונה בישראל התגלו תקלות. המבקשת הגישה תביעת נזיקין כנגד המשיבות וקיבלה היתר להמצאת כתב תביעה והזמנה לדין למשיבה הראשונה בארצות הברית.</w:t>
      </w:r>
    </w:p>
    <w:p w14:paraId="122C2DF0" w14:textId="47C23568" w:rsidR="00AB30D4" w:rsidRPr="00AB30D4" w:rsidRDefault="00AB30D4" w:rsidP="00AB30D4">
      <w:pPr>
        <w:pStyle w:val="a7"/>
        <w:numPr>
          <w:ilvl w:val="0"/>
          <w:numId w:val="3"/>
        </w:numPr>
        <w:ind w:left="424"/>
        <w:jc w:val="both"/>
        <w:rPr>
          <w:rFonts w:cstheme="minorHAnsi"/>
          <w:rtl/>
        </w:rPr>
      </w:pPr>
      <w:r w:rsidRPr="00AB30D4">
        <w:rPr>
          <w:rFonts w:cstheme="minorHAnsi" w:hint="cs"/>
          <w:rtl/>
        </w:rPr>
        <w:t>האם בית המשפט הישראלי מהווה את הפורום הנאות לדיון בתביעה?</w:t>
      </w:r>
    </w:p>
    <w:p w14:paraId="35CB7ED6" w14:textId="1886862A" w:rsidR="00AB30D4" w:rsidRDefault="00015BED" w:rsidP="00E546F7">
      <w:pPr>
        <w:pStyle w:val="a7"/>
        <w:numPr>
          <w:ilvl w:val="0"/>
          <w:numId w:val="3"/>
        </w:numPr>
        <w:ind w:left="424"/>
        <w:jc w:val="both"/>
        <w:rPr>
          <w:rFonts w:cstheme="minorHAnsi"/>
        </w:rPr>
      </w:pPr>
      <w:r>
        <w:rPr>
          <w:rFonts w:cstheme="minorHAnsi" w:hint="cs"/>
          <w:rtl/>
        </w:rPr>
        <w:t>גם כאשר מתמלאים, כבמקרה הנדון, תנאי אחת מפסקות המשנה של תקנה 500 לתקנות סדר הדין האזרחי, מסור לבית המשפט שיקול דעת אם להתיר המצאה מחוץ לתחום השיפוט. בנסיבות המקרה, בית המשפט הישראלי הפורום הטבעי והנאות, משהמכונה נושא התובענה הנזיקית ממוקמת בישראל. יצרן המשווק את מוצריו לכל העולם ואינו מתנה את מקום השיפוט, מגלה בעקיפין מודעות ומוכנות לכך שהדיון יכול שייערך בפורום אחר.</w:t>
      </w:r>
    </w:p>
    <w:p w14:paraId="7BD5A90F" w14:textId="0D9F7C5A" w:rsidR="00015BED" w:rsidRPr="00260568" w:rsidRDefault="00015BED" w:rsidP="00E546F7">
      <w:pPr>
        <w:pStyle w:val="a7"/>
        <w:numPr>
          <w:ilvl w:val="0"/>
          <w:numId w:val="3"/>
        </w:numPr>
        <w:ind w:left="424"/>
        <w:jc w:val="both"/>
        <w:rPr>
          <w:rFonts w:cstheme="minorHAnsi"/>
          <w:color w:val="00B050"/>
        </w:rPr>
      </w:pPr>
      <w:r w:rsidRPr="00260568">
        <w:rPr>
          <w:rFonts w:cstheme="minorHAnsi" w:hint="cs"/>
          <w:color w:val="00B050"/>
          <w:rtl/>
        </w:rPr>
        <w:t>הערעור התקבל.</w:t>
      </w:r>
    </w:p>
    <w:p w14:paraId="00620757" w14:textId="77777777" w:rsidR="00945C3B" w:rsidRDefault="00945C3B" w:rsidP="00945C3B">
      <w:pPr>
        <w:pStyle w:val="a7"/>
        <w:jc w:val="both"/>
        <w:rPr>
          <w:rFonts w:cstheme="minorHAnsi"/>
          <w:rtl/>
        </w:rPr>
      </w:pPr>
    </w:p>
    <w:p w14:paraId="4BC0404A" w14:textId="77777777" w:rsidR="00945C3B" w:rsidRDefault="00945C3B" w:rsidP="00945C3B">
      <w:pPr>
        <w:pStyle w:val="a7"/>
        <w:pBdr>
          <w:top w:val="single" w:sz="6" w:space="1" w:color="auto"/>
          <w:bottom w:val="single" w:sz="6" w:space="1" w:color="auto"/>
        </w:pBdr>
        <w:jc w:val="center"/>
        <w:rPr>
          <w:rFonts w:cstheme="minorHAnsi"/>
          <w:b/>
          <w:bCs/>
          <w:rtl/>
        </w:rPr>
      </w:pPr>
      <w:r>
        <w:rPr>
          <w:rFonts w:cstheme="minorHAnsi" w:hint="cs"/>
          <w:b/>
          <w:bCs/>
          <w:rtl/>
        </w:rPr>
        <w:t xml:space="preserve">ר"ע 68437-10-18 אוטוטו דיזיין בע"מ נ' </w:t>
      </w:r>
      <w:r>
        <w:rPr>
          <w:rFonts w:cstheme="minorHAnsi" w:hint="cs"/>
          <w:b/>
          <w:bCs/>
        </w:rPr>
        <w:t>AMAZON</w:t>
      </w:r>
      <w:r>
        <w:rPr>
          <w:rFonts w:cstheme="minorHAnsi"/>
          <w:b/>
          <w:bCs/>
        </w:rPr>
        <w:t>.COM</w:t>
      </w:r>
      <w:r>
        <w:rPr>
          <w:rFonts w:cstheme="minorHAnsi" w:hint="cs"/>
          <w:b/>
          <w:bCs/>
          <w:rtl/>
        </w:rPr>
        <w:t>:</w:t>
      </w:r>
    </w:p>
    <w:p w14:paraId="296F2CC1" w14:textId="77777777" w:rsidR="00945C3B" w:rsidRDefault="00945C3B" w:rsidP="00945C3B">
      <w:pPr>
        <w:pStyle w:val="a7"/>
        <w:jc w:val="both"/>
        <w:rPr>
          <w:rFonts w:cstheme="minorHAnsi"/>
          <w:rtl/>
        </w:rPr>
      </w:pPr>
    </w:p>
    <w:p w14:paraId="6203691A" w14:textId="46F6109A" w:rsidR="00015BED" w:rsidRDefault="00E141C9" w:rsidP="00945C3B">
      <w:pPr>
        <w:pStyle w:val="a7"/>
        <w:numPr>
          <w:ilvl w:val="0"/>
          <w:numId w:val="4"/>
        </w:numPr>
        <w:ind w:left="424"/>
        <w:jc w:val="both"/>
        <w:rPr>
          <w:rFonts w:cstheme="minorHAnsi"/>
        </w:rPr>
      </w:pPr>
      <w:r>
        <w:rPr>
          <w:rFonts w:cstheme="minorHAnsi" w:hint="cs"/>
          <w:rtl/>
        </w:rPr>
        <w:t>המערערות הן חברות ישראליות הטוענות כי אמזון מוכרת בעצמה ואף מעודדת ועוזרת לצדדים שלישיים, למכור באתר מוצרים מזויפים שלמערערות זכויות קנייניות בהם, לרבות זכויות קניין רוחני.</w:t>
      </w:r>
    </w:p>
    <w:p w14:paraId="68E7AECC" w14:textId="609AF148" w:rsidR="00E141C9" w:rsidRDefault="00E141C9" w:rsidP="00945C3B">
      <w:pPr>
        <w:pStyle w:val="a7"/>
        <w:numPr>
          <w:ilvl w:val="0"/>
          <w:numId w:val="4"/>
        </w:numPr>
        <w:ind w:left="424"/>
        <w:jc w:val="both"/>
        <w:rPr>
          <w:rFonts w:cstheme="minorHAnsi"/>
        </w:rPr>
      </w:pPr>
      <w:r>
        <w:rPr>
          <w:rFonts w:cstheme="minorHAnsi" w:hint="cs"/>
          <w:rtl/>
        </w:rPr>
        <w:t>האם על בית המשפט להתיר את ההמצאה?</w:t>
      </w:r>
    </w:p>
    <w:p w14:paraId="33274A2C" w14:textId="7127E6DD" w:rsidR="00E141C9" w:rsidRDefault="003E2D99" w:rsidP="00945C3B">
      <w:pPr>
        <w:pStyle w:val="a7"/>
        <w:numPr>
          <w:ilvl w:val="0"/>
          <w:numId w:val="4"/>
        </w:numPr>
        <w:ind w:left="424"/>
        <w:jc w:val="both"/>
        <w:rPr>
          <w:rFonts w:cstheme="minorHAnsi"/>
        </w:rPr>
      </w:pPr>
      <w:r>
        <w:rPr>
          <w:rFonts w:cstheme="minorHAnsi" w:hint="cs"/>
          <w:u w:val="single"/>
          <w:rtl/>
        </w:rPr>
        <w:t>השופטת עינת רביד</w:t>
      </w:r>
      <w:r>
        <w:rPr>
          <w:rFonts w:cstheme="minorHAnsi" w:hint="cs"/>
          <w:rtl/>
        </w:rPr>
        <w:t>- התביעה על פניה היא תביעה ראויה לדיון ואינה בגדר תביעת סרק ולכן יש לבחון האם התקיימו תנאי תקנה 500 ו"הפורום הנאות". תקנה 500(7) לתקנות קובעת, כי יינתן היתר המצאה עת התובענה מבוססת על מעשה או על מחדל בתחום המדינה. קיימת גישה, שגיבשה הפסיקה, ולפיה פרסום באינטרנט, בהיותו חשוף לעיני כל, מהווה "מעשה", כנדרש בתקנה 500(7), שהתבצע "בכל מקום", וגישה זו חלה גם בנוגע לסמכות בינלאומית ובמציאות הגלובלית הקיימת ולאור התמורות הטכנולוגיות שחלו, אין לצמצם את "המעשה" למקום מושבו של המפר ויש מקום לתחולת תקנה 500(7).</w:t>
      </w:r>
      <w:r w:rsidRPr="003E2D99">
        <w:rPr>
          <w:rFonts w:cstheme="minorHAnsi" w:hint="cs"/>
          <w:rtl/>
        </w:rPr>
        <w:t xml:space="preserve"> </w:t>
      </w:r>
      <w:r>
        <w:rPr>
          <w:rFonts w:cstheme="minorHAnsi" w:hint="cs"/>
          <w:rtl/>
        </w:rPr>
        <w:t>חברה בינלאומית המשווקת את סחורתה ללקוח ישראלי צריכה לצפות כי תיתבע בישראל.</w:t>
      </w:r>
    </w:p>
    <w:p w14:paraId="22D0AFDD" w14:textId="2D46A5BE" w:rsidR="003E2D99" w:rsidRPr="00E606CD" w:rsidRDefault="003E2D99" w:rsidP="00945C3B">
      <w:pPr>
        <w:pStyle w:val="a7"/>
        <w:numPr>
          <w:ilvl w:val="0"/>
          <w:numId w:val="4"/>
        </w:numPr>
        <w:ind w:left="424"/>
        <w:jc w:val="both"/>
        <w:rPr>
          <w:rFonts w:cstheme="minorHAnsi"/>
          <w:color w:val="00B050"/>
        </w:rPr>
      </w:pPr>
      <w:r w:rsidRPr="00E606CD">
        <w:rPr>
          <w:rFonts w:cstheme="minorHAnsi" w:hint="cs"/>
          <w:color w:val="00B050"/>
          <w:rtl/>
        </w:rPr>
        <w:t>הערעור התקבל.</w:t>
      </w:r>
    </w:p>
    <w:p w14:paraId="22428233" w14:textId="77777777" w:rsidR="005A4C93" w:rsidRDefault="005A4C93" w:rsidP="005A4C93">
      <w:pPr>
        <w:pStyle w:val="a7"/>
        <w:jc w:val="both"/>
        <w:rPr>
          <w:rFonts w:cstheme="minorHAnsi"/>
          <w:rtl/>
        </w:rPr>
      </w:pPr>
    </w:p>
    <w:p w14:paraId="6C899EBD" w14:textId="77777777" w:rsidR="005A4C93" w:rsidRDefault="005A4C93" w:rsidP="005A4C93">
      <w:pPr>
        <w:pStyle w:val="a7"/>
        <w:pBdr>
          <w:top w:val="single" w:sz="6" w:space="1" w:color="auto"/>
          <w:bottom w:val="single" w:sz="6" w:space="1" w:color="auto"/>
        </w:pBdr>
        <w:jc w:val="center"/>
        <w:rPr>
          <w:rFonts w:cstheme="minorHAnsi"/>
          <w:b/>
          <w:bCs/>
          <w:rtl/>
        </w:rPr>
      </w:pPr>
      <w:r>
        <w:rPr>
          <w:rFonts w:cstheme="minorHAnsi" w:hint="cs"/>
          <w:b/>
          <w:bCs/>
          <w:rtl/>
        </w:rPr>
        <w:lastRenderedPageBreak/>
        <w:t>ע"א 1432/03 ינון ייצור מוצרי מזון בע"מ נ' מאג'דה קרעאן:</w:t>
      </w:r>
    </w:p>
    <w:p w14:paraId="769BAC0C" w14:textId="77777777" w:rsidR="005A4C93" w:rsidRDefault="005A4C93" w:rsidP="005A4C93">
      <w:pPr>
        <w:pStyle w:val="a7"/>
        <w:jc w:val="both"/>
        <w:rPr>
          <w:rFonts w:cstheme="minorHAnsi"/>
          <w:rtl/>
        </w:rPr>
      </w:pPr>
    </w:p>
    <w:p w14:paraId="484AD807" w14:textId="289565E2" w:rsidR="003E2D99" w:rsidRDefault="005A4C93" w:rsidP="005A4C93">
      <w:pPr>
        <w:pStyle w:val="a7"/>
        <w:numPr>
          <w:ilvl w:val="0"/>
          <w:numId w:val="5"/>
        </w:numPr>
        <w:ind w:left="424"/>
        <w:jc w:val="both"/>
        <w:rPr>
          <w:rFonts w:cstheme="minorHAnsi"/>
        </w:rPr>
      </w:pPr>
      <w:r w:rsidRPr="00BC77E8">
        <w:rPr>
          <w:rFonts w:cstheme="minorHAnsi"/>
          <w:rtl/>
        </w:rPr>
        <w:t>המשיבה</w:t>
      </w:r>
      <w:r w:rsidRPr="00BC77E8">
        <w:rPr>
          <w:rFonts w:cstheme="minorHAnsi" w:hint="cs"/>
          <w:rtl/>
        </w:rPr>
        <w:t xml:space="preserve">, </w:t>
      </w:r>
      <w:r w:rsidRPr="00BC77E8">
        <w:rPr>
          <w:rFonts w:cstheme="minorHAnsi"/>
          <w:rtl/>
        </w:rPr>
        <w:t>פלסטינית תושבת השטחים, נפגעה בתאונת עבודה בעת שעבדה במפעלה של המערערת, חברה הרשומה בישראל.</w:t>
      </w:r>
      <w:r>
        <w:rPr>
          <w:rFonts w:cstheme="minorHAnsi" w:hint="cs"/>
          <w:rtl/>
        </w:rPr>
        <w:t xml:space="preserve"> </w:t>
      </w:r>
      <w:r w:rsidRPr="00BC77E8">
        <w:rPr>
          <w:rFonts w:cstheme="minorHAnsi"/>
          <w:rtl/>
        </w:rPr>
        <w:t>המשיבה תבעה פיצויים מהמערערת, ובבית</w:t>
      </w:r>
      <w:r w:rsidRPr="00BC77E8">
        <w:rPr>
          <w:rFonts w:cstheme="minorHAnsi" w:hint="cs"/>
          <w:rtl/>
        </w:rPr>
        <w:t xml:space="preserve"> </w:t>
      </w:r>
      <w:r w:rsidRPr="00BC77E8">
        <w:rPr>
          <w:rFonts w:cstheme="minorHAnsi"/>
          <w:rtl/>
        </w:rPr>
        <w:t>המשפט התעוררה שאלה של ברירת הדין.</w:t>
      </w:r>
    </w:p>
    <w:p w14:paraId="067265A6" w14:textId="2F336143" w:rsidR="005A4C93" w:rsidRDefault="005A4C93" w:rsidP="005A4C93">
      <w:pPr>
        <w:pStyle w:val="a7"/>
        <w:numPr>
          <w:ilvl w:val="0"/>
          <w:numId w:val="5"/>
        </w:numPr>
        <w:ind w:left="424"/>
        <w:jc w:val="both"/>
        <w:rPr>
          <w:rFonts w:cstheme="minorHAnsi"/>
        </w:rPr>
      </w:pPr>
      <w:r w:rsidRPr="00BC77E8">
        <w:rPr>
          <w:rFonts w:cstheme="minorHAnsi"/>
          <w:rtl/>
        </w:rPr>
        <w:t>בית</w:t>
      </w:r>
      <w:r>
        <w:rPr>
          <w:rFonts w:cstheme="minorHAnsi" w:hint="cs"/>
          <w:rtl/>
        </w:rPr>
        <w:t xml:space="preserve"> </w:t>
      </w:r>
      <w:r w:rsidRPr="00BC77E8">
        <w:rPr>
          <w:rFonts w:cstheme="minorHAnsi"/>
          <w:rtl/>
        </w:rPr>
        <w:t>המשפט העליון נדרש בערעור לשאלה העקרונית של ברירת הדין בנזיקין. עוד נדרש בית</w:t>
      </w:r>
      <w:r>
        <w:rPr>
          <w:rFonts w:cstheme="minorHAnsi" w:hint="cs"/>
          <w:rtl/>
        </w:rPr>
        <w:t xml:space="preserve"> </w:t>
      </w:r>
      <w:r w:rsidRPr="00BC77E8">
        <w:rPr>
          <w:rFonts w:cstheme="minorHAnsi"/>
          <w:rtl/>
        </w:rPr>
        <w:t>המשפט לשאלת היחס שבין כללי המשפט הבי</w:t>
      </w:r>
      <w:r w:rsidRPr="00BC77E8">
        <w:rPr>
          <w:rFonts w:cstheme="minorHAnsi" w:hint="cs"/>
          <w:rtl/>
        </w:rPr>
        <w:t>נ</w:t>
      </w:r>
      <w:r w:rsidRPr="00BC77E8">
        <w:rPr>
          <w:rFonts w:cstheme="minorHAnsi"/>
          <w:rtl/>
        </w:rPr>
        <w:t>לאומי הפומבי, החלים בשטח הנתון לתפיסה לוחמתית, לבין כללי המשפט הבי</w:t>
      </w:r>
      <w:r w:rsidRPr="00BC77E8">
        <w:rPr>
          <w:rFonts w:cstheme="minorHAnsi" w:hint="cs"/>
          <w:rtl/>
        </w:rPr>
        <w:t>נ</w:t>
      </w:r>
      <w:r w:rsidRPr="00BC77E8">
        <w:rPr>
          <w:rFonts w:cstheme="minorHAnsi"/>
          <w:rtl/>
        </w:rPr>
        <w:t>לאומי הפרטי.</w:t>
      </w:r>
    </w:p>
    <w:p w14:paraId="612726CC" w14:textId="4EC00CC8" w:rsidR="005A4C93" w:rsidRDefault="005A4C93" w:rsidP="005A4C93">
      <w:pPr>
        <w:pStyle w:val="a7"/>
        <w:numPr>
          <w:ilvl w:val="0"/>
          <w:numId w:val="5"/>
        </w:numPr>
        <w:ind w:left="424"/>
        <w:jc w:val="both"/>
        <w:rPr>
          <w:rFonts w:cstheme="minorHAnsi"/>
        </w:rPr>
      </w:pPr>
      <w:r>
        <w:rPr>
          <w:rFonts w:cstheme="minorHAnsi" w:hint="cs"/>
          <w:u w:val="single"/>
          <w:rtl/>
        </w:rPr>
        <w:t>השופט א' ריבלין</w:t>
      </w:r>
      <w:r>
        <w:rPr>
          <w:rFonts w:cstheme="minorHAnsi" w:hint="cs"/>
          <w:rtl/>
        </w:rPr>
        <w:t xml:space="preserve">- </w:t>
      </w:r>
      <w:r w:rsidR="00732F57" w:rsidRPr="00F14300">
        <w:rPr>
          <w:rFonts w:cstheme="minorHAnsi"/>
          <w:rtl/>
        </w:rPr>
        <w:t>אכן, בהתאם לכללי המשפט הבי</w:t>
      </w:r>
      <w:r w:rsidR="00732F57" w:rsidRPr="00F14300">
        <w:rPr>
          <w:rFonts w:cstheme="minorHAnsi" w:hint="cs"/>
          <w:rtl/>
        </w:rPr>
        <w:t>נ</w:t>
      </w:r>
      <w:r w:rsidR="00732F57" w:rsidRPr="00F14300">
        <w:rPr>
          <w:rFonts w:cstheme="minorHAnsi"/>
          <w:rtl/>
        </w:rPr>
        <w:t>לאומי הפומבי,</w:t>
      </w:r>
      <w:r w:rsidR="00732F57">
        <w:rPr>
          <w:rFonts w:cstheme="minorHAnsi" w:hint="cs"/>
          <w:rtl/>
        </w:rPr>
        <w:t xml:space="preserve"> </w:t>
      </w:r>
      <w:r w:rsidR="00732F57" w:rsidRPr="00F14300">
        <w:rPr>
          <w:rFonts w:cstheme="minorHAnsi"/>
          <w:rtl/>
        </w:rPr>
        <w:t>חלות בשטחים המוחזקים</w:t>
      </w:r>
      <w:r w:rsidR="00732F57">
        <w:rPr>
          <w:rFonts w:cstheme="minorHAnsi" w:hint="cs"/>
          <w:rtl/>
        </w:rPr>
        <w:t xml:space="preserve"> </w:t>
      </w:r>
      <w:r w:rsidR="00732F57" w:rsidRPr="00F14300">
        <w:rPr>
          <w:rFonts w:cstheme="minorHAnsi"/>
          <w:rtl/>
        </w:rPr>
        <w:t>הוראות הדין הירדני, בבחינת הדין הקודם של האזור.</w:t>
      </w:r>
      <w:r w:rsidR="00732F57">
        <w:rPr>
          <w:rFonts w:cstheme="minorHAnsi" w:hint="cs"/>
          <w:rtl/>
        </w:rPr>
        <w:t xml:space="preserve"> </w:t>
      </w:r>
      <w:r w:rsidR="00732F57" w:rsidRPr="00FB6AE7">
        <w:rPr>
          <w:rFonts w:cstheme="minorHAnsi"/>
          <w:rtl/>
        </w:rPr>
        <w:t>על עוולות המתרחשות בשטח שעליו חל הדין הירדני, כבמ</w:t>
      </w:r>
      <w:r w:rsidR="00732F57">
        <w:rPr>
          <w:rFonts w:cstheme="minorHAnsi"/>
          <w:rtl/>
        </w:rPr>
        <w:t xml:space="preserve">קרה </w:t>
      </w:r>
      <w:r w:rsidR="00732F57">
        <w:rPr>
          <w:rFonts w:cstheme="minorHAnsi" w:hint="cs"/>
          <w:rtl/>
        </w:rPr>
        <w:t>הנדו</w:t>
      </w:r>
      <w:r w:rsidR="00732F57" w:rsidRPr="00FB6AE7">
        <w:rPr>
          <w:rFonts w:cstheme="minorHAnsi"/>
          <w:rtl/>
        </w:rPr>
        <w:t>ן, חל ככלל הדין הירדני, אולם במקרה דנן יש לסטות מהכלל, שכן החריג זועק ליישום. אין מקום להחיל על תאונת עבודה שאירעה בשל התרשלותו של מעביד ישראלי, במפעל בבעלות ישראלית, הממוקם בשטחו של יישוב ישראל</w:t>
      </w:r>
      <w:r w:rsidR="00732F57">
        <w:rPr>
          <w:rFonts w:cstheme="minorHAnsi"/>
          <w:rtl/>
        </w:rPr>
        <w:t>י בגדה המערבית, את הדין הירדני</w:t>
      </w:r>
      <w:r w:rsidR="00732F57">
        <w:rPr>
          <w:rFonts w:cstheme="minorHAnsi" w:hint="cs"/>
          <w:rtl/>
        </w:rPr>
        <w:t>,</w:t>
      </w:r>
      <w:r w:rsidR="00732F57" w:rsidRPr="00FB6AE7">
        <w:rPr>
          <w:rFonts w:cstheme="minorHAnsi"/>
          <w:rtl/>
        </w:rPr>
        <w:t xml:space="preserve"> אף אם הנפגע או הנפגעת ה</w:t>
      </w:r>
      <w:r w:rsidR="00732F57">
        <w:rPr>
          <w:rFonts w:cstheme="minorHAnsi"/>
          <w:rtl/>
        </w:rPr>
        <w:t>ם תושבים פלסטינים</w:t>
      </w:r>
      <w:r w:rsidR="00732F57">
        <w:rPr>
          <w:rFonts w:cstheme="minorHAnsi" w:hint="cs"/>
          <w:rtl/>
        </w:rPr>
        <w:t>,</w:t>
      </w:r>
      <w:r w:rsidR="00732F57" w:rsidRPr="00FB6AE7">
        <w:rPr>
          <w:rFonts w:cstheme="minorHAnsi"/>
          <w:rtl/>
        </w:rPr>
        <w:t xml:space="preserve"> אלא את הדין הישראלי</w:t>
      </w:r>
      <w:r w:rsidR="00732F57">
        <w:rPr>
          <w:rFonts w:cstheme="minorHAnsi" w:hint="cs"/>
          <w:rtl/>
        </w:rPr>
        <w:t xml:space="preserve">. </w:t>
      </w:r>
      <w:r w:rsidR="00732F57" w:rsidRPr="00FB6AE7">
        <w:rPr>
          <w:rFonts w:cstheme="minorHAnsi"/>
          <w:rtl/>
        </w:rPr>
        <w:t>הזיקה של פעולות משפטיות פרטיות המבוצעות באותם יישובים שבשטחים לבין מדינת ירדן היא חסרת נפקות במקרה הזה.</w:t>
      </w:r>
    </w:p>
    <w:p w14:paraId="38B723B5" w14:textId="26B4D974" w:rsidR="00732F57" w:rsidRPr="009835D5" w:rsidRDefault="00732F57" w:rsidP="005A4C93">
      <w:pPr>
        <w:pStyle w:val="a7"/>
        <w:numPr>
          <w:ilvl w:val="0"/>
          <w:numId w:val="5"/>
        </w:numPr>
        <w:ind w:left="424"/>
        <w:jc w:val="both"/>
        <w:rPr>
          <w:rFonts w:cstheme="minorHAnsi"/>
          <w:color w:val="FF0000"/>
        </w:rPr>
      </w:pPr>
      <w:r w:rsidRPr="009835D5">
        <w:rPr>
          <w:rFonts w:cstheme="minorHAnsi" w:hint="cs"/>
          <w:color w:val="FF0000"/>
          <w:rtl/>
        </w:rPr>
        <w:t>הערעור נדחה.</w:t>
      </w:r>
    </w:p>
    <w:p w14:paraId="4169EA54" w14:textId="77777777" w:rsidR="00505A0A" w:rsidRDefault="00505A0A" w:rsidP="00505A0A">
      <w:pPr>
        <w:pStyle w:val="a7"/>
        <w:jc w:val="both"/>
        <w:rPr>
          <w:rFonts w:cstheme="minorHAnsi"/>
          <w:rtl/>
        </w:rPr>
      </w:pPr>
    </w:p>
    <w:p w14:paraId="174F7056" w14:textId="77777777" w:rsidR="00505A0A" w:rsidRDefault="00505A0A" w:rsidP="00505A0A">
      <w:pPr>
        <w:pStyle w:val="a7"/>
        <w:pBdr>
          <w:top w:val="single" w:sz="6" w:space="1" w:color="auto"/>
          <w:bottom w:val="single" w:sz="6" w:space="1" w:color="auto"/>
        </w:pBdr>
        <w:jc w:val="center"/>
        <w:rPr>
          <w:rFonts w:cstheme="minorHAnsi"/>
          <w:b/>
          <w:bCs/>
          <w:rtl/>
        </w:rPr>
      </w:pPr>
      <w:r>
        <w:rPr>
          <w:rFonts w:cstheme="minorHAnsi" w:hint="cs"/>
          <w:b/>
          <w:bCs/>
          <w:rtl/>
        </w:rPr>
        <w:t>דנ"א 4655/09 נטע לי סקאלר נ' רוני יובינר:</w:t>
      </w:r>
    </w:p>
    <w:p w14:paraId="5D954239" w14:textId="77777777" w:rsidR="00505A0A" w:rsidRDefault="00505A0A" w:rsidP="00505A0A">
      <w:pPr>
        <w:pStyle w:val="a7"/>
        <w:jc w:val="both"/>
        <w:rPr>
          <w:rFonts w:cstheme="minorHAnsi"/>
          <w:rtl/>
        </w:rPr>
      </w:pPr>
    </w:p>
    <w:p w14:paraId="0C5337FA" w14:textId="3F74AB36" w:rsidR="00732F57" w:rsidRDefault="00505A0A" w:rsidP="00505A0A">
      <w:pPr>
        <w:pStyle w:val="a7"/>
        <w:numPr>
          <w:ilvl w:val="0"/>
          <w:numId w:val="6"/>
        </w:numPr>
        <w:ind w:left="424"/>
        <w:jc w:val="both"/>
        <w:rPr>
          <w:rFonts w:cstheme="minorHAnsi"/>
        </w:rPr>
      </w:pPr>
      <w:r>
        <w:rPr>
          <w:rFonts w:cstheme="minorHAnsi" w:hint="cs"/>
          <w:rtl/>
        </w:rPr>
        <w:t>בעת שהותם בניו-זילנד במסגרת "טיול שאחר צבא", רכשו המשיבים שהינם אזרחים ישראלים, רכב על מנת שישמש אותם במקום. במהלך נסיעתם צירפו השניים לנסיעתם את העותרת, גם היא אזרחית ישראלית, והשלושה נהגו ברכב לסירוגין. רכבם היה מעורב בתאונת דרכים, בה המשיב נפגע פגיעות גוף קשות. המשיב הגיש תביעה בישראל בגין פגיעותיו כנגד המערערת.</w:t>
      </w:r>
    </w:p>
    <w:p w14:paraId="79D9048A" w14:textId="75FC9521" w:rsidR="00505A0A" w:rsidRDefault="00505A0A" w:rsidP="00505A0A">
      <w:pPr>
        <w:pStyle w:val="a7"/>
        <w:numPr>
          <w:ilvl w:val="0"/>
          <w:numId w:val="6"/>
        </w:numPr>
        <w:ind w:left="424"/>
        <w:jc w:val="both"/>
        <w:rPr>
          <w:rFonts w:cstheme="minorHAnsi"/>
        </w:rPr>
      </w:pPr>
      <w:r>
        <w:rPr>
          <w:rFonts w:cstheme="minorHAnsi" w:hint="cs"/>
          <w:rtl/>
        </w:rPr>
        <w:t>מהו הדין החל בתביעת נזיקין, כאשר מקום ביצוע העוולה הנטענת הוא מחוץ לישראל, אך מקום המושב המשותף של הצדדים הוא בישראל?</w:t>
      </w:r>
    </w:p>
    <w:p w14:paraId="75F1F897" w14:textId="30BA66A5" w:rsidR="00505A0A" w:rsidRDefault="00505A0A" w:rsidP="00505A0A">
      <w:pPr>
        <w:pStyle w:val="a7"/>
        <w:numPr>
          <w:ilvl w:val="0"/>
          <w:numId w:val="6"/>
        </w:numPr>
        <w:ind w:left="424"/>
        <w:jc w:val="both"/>
        <w:rPr>
          <w:rFonts w:cstheme="minorHAnsi"/>
        </w:rPr>
      </w:pPr>
      <w:r>
        <w:rPr>
          <w:rFonts w:cstheme="minorHAnsi" w:hint="cs"/>
          <w:u w:val="single"/>
          <w:rtl/>
        </w:rPr>
        <w:t>המשנה לנשיאה א' ריבלין</w:t>
      </w:r>
      <w:r>
        <w:rPr>
          <w:rFonts w:cstheme="minorHAnsi" w:hint="cs"/>
          <w:rtl/>
        </w:rPr>
        <w:t xml:space="preserve">- </w:t>
      </w:r>
      <w:r w:rsidR="007D3B51" w:rsidRPr="00823FFA">
        <w:rPr>
          <w:rFonts w:cstheme="minorHAnsi" w:hint="cs"/>
          <w:rtl/>
        </w:rPr>
        <w:t>בהלכת ינון נ' קרעאן נקבע, כי כלל ברירת הדין הישראלי בנזיקין הינו דין מקום ביצוע העוולה. שני חריגים אפשריים לכלל מקום ביצוע העוולה הועלו לבחינה בערעור ובדיון הנוסף והם החריג הספציפי של מקום המושב המשותף והחריג הכללי שעניינו "תקנת הציבור החיצונית".</w:t>
      </w:r>
      <w:r w:rsidR="007D3B51">
        <w:rPr>
          <w:rFonts w:cstheme="minorHAnsi" w:hint="cs"/>
          <w:rtl/>
        </w:rPr>
        <w:t xml:space="preserve"> </w:t>
      </w:r>
      <w:r w:rsidR="007D3B51" w:rsidRPr="00823FFA">
        <w:rPr>
          <w:rFonts w:cstheme="minorHAnsi" w:hint="cs"/>
          <w:rtl/>
        </w:rPr>
        <w:t>קביעת דין מקום ביצוע העוולה ככלל הבסיסי שיחול על מעשה הנזיקין שיקפה את ההערכה שלפיה בבחינת השיקולים החלים במסגרת ברירת הדין בנזיקין, באופן אפריורי, הדין המתאים ביותר שישלוט על האירוע יהיה הדין החל במקום שבו אירעה העוולה.</w:t>
      </w:r>
      <w:r w:rsidR="007D3B51" w:rsidRPr="007D3B51">
        <w:rPr>
          <w:rFonts w:cstheme="minorHAnsi" w:hint="cs"/>
          <w:rtl/>
        </w:rPr>
        <w:t xml:space="preserve"> </w:t>
      </w:r>
      <w:r w:rsidR="007D3B51" w:rsidRPr="00823FFA">
        <w:rPr>
          <w:rFonts w:cstheme="minorHAnsi" w:hint="cs"/>
          <w:rtl/>
        </w:rPr>
        <w:t>ההלכה שנקבעה בפרשת ינון מותירה "פתח מילוט" מן הכלל שנקבע שם</w:t>
      </w:r>
      <w:r w:rsidR="007D3B51">
        <w:rPr>
          <w:rFonts w:cstheme="minorHAnsi" w:hint="cs"/>
          <w:rtl/>
        </w:rPr>
        <w:t>-</w:t>
      </w:r>
      <w:r w:rsidR="007D3B51" w:rsidRPr="00823FFA">
        <w:rPr>
          <w:rFonts w:cstheme="minorHAnsi" w:hint="cs"/>
          <w:rtl/>
        </w:rPr>
        <w:t xml:space="preserve"> הוא החריג לפיו במידה ויקבע כי הקשר בין העוולה למקום ביצועה הוא מקרי בלבד אזי ניפנה לדין המדינה אשר לה הקשר ההדוק ביותר לעוולה.</w:t>
      </w:r>
    </w:p>
    <w:p w14:paraId="7A008B86" w14:textId="464E2C40" w:rsidR="007D3B51" w:rsidRPr="005960BE" w:rsidRDefault="007D3B51" w:rsidP="00505A0A">
      <w:pPr>
        <w:pStyle w:val="a7"/>
        <w:numPr>
          <w:ilvl w:val="0"/>
          <w:numId w:val="6"/>
        </w:numPr>
        <w:ind w:left="424"/>
        <w:jc w:val="both"/>
        <w:rPr>
          <w:rFonts w:cstheme="minorHAnsi"/>
          <w:color w:val="00B050"/>
        </w:rPr>
      </w:pPr>
      <w:r w:rsidRPr="005960BE">
        <w:rPr>
          <w:rFonts w:cstheme="minorHAnsi" w:hint="cs"/>
          <w:color w:val="00B050"/>
          <w:rtl/>
        </w:rPr>
        <w:t>העתירה התקבלה.</w:t>
      </w:r>
    </w:p>
    <w:p w14:paraId="4F26C9B9" w14:textId="77777777" w:rsidR="0008158D" w:rsidRDefault="0008158D" w:rsidP="0008158D">
      <w:pPr>
        <w:pStyle w:val="a7"/>
        <w:jc w:val="both"/>
        <w:rPr>
          <w:rFonts w:cstheme="minorHAnsi"/>
          <w:rtl/>
        </w:rPr>
      </w:pPr>
    </w:p>
    <w:p w14:paraId="1E159461" w14:textId="77777777" w:rsidR="0008158D" w:rsidRDefault="0008158D" w:rsidP="0008158D">
      <w:pPr>
        <w:pStyle w:val="a7"/>
        <w:pBdr>
          <w:top w:val="single" w:sz="6" w:space="1" w:color="auto"/>
          <w:bottom w:val="single" w:sz="6" w:space="1" w:color="auto"/>
        </w:pBdr>
        <w:jc w:val="center"/>
        <w:rPr>
          <w:rFonts w:cstheme="minorHAnsi"/>
          <w:b/>
          <w:bCs/>
          <w:rtl/>
        </w:rPr>
      </w:pPr>
      <w:r>
        <w:rPr>
          <w:rFonts w:cstheme="minorHAnsi" w:hint="cs"/>
          <w:b/>
          <w:bCs/>
          <w:rtl/>
        </w:rPr>
        <w:t>בג"צ 5666/03 עמותת קו לעובד נ' בית הדין הארצי לעבודה בירושלים:</w:t>
      </w:r>
    </w:p>
    <w:p w14:paraId="3CE9FC5E" w14:textId="77777777" w:rsidR="0008158D" w:rsidRDefault="0008158D" w:rsidP="0008158D">
      <w:pPr>
        <w:pStyle w:val="a7"/>
        <w:jc w:val="both"/>
        <w:rPr>
          <w:rFonts w:cstheme="minorHAnsi"/>
          <w:rtl/>
        </w:rPr>
      </w:pPr>
    </w:p>
    <w:p w14:paraId="77BC67EB" w14:textId="1237FB91" w:rsidR="007D3B51" w:rsidRDefault="0008158D" w:rsidP="0008158D">
      <w:pPr>
        <w:pStyle w:val="a7"/>
        <w:numPr>
          <w:ilvl w:val="0"/>
          <w:numId w:val="7"/>
        </w:numPr>
        <w:ind w:left="424"/>
        <w:jc w:val="both"/>
        <w:rPr>
          <w:rFonts w:cstheme="minorHAnsi"/>
        </w:rPr>
      </w:pPr>
      <w:r>
        <w:rPr>
          <w:rFonts w:cstheme="minorHAnsi" w:hint="cs"/>
          <w:rtl/>
        </w:rPr>
        <w:t>תושבים פלסטינים מיהודה ושומרון בעתירה כנגד החלטת בית הדין הארצי לעבודה, לפיה הוחל ביחסים ביניהם לבין מעבידיהם הישראליים במובלעות הישראליות ביהודה ושומרון הוחל הדין הירדני על חוזי ההעסקה.</w:t>
      </w:r>
    </w:p>
    <w:p w14:paraId="08BA9656" w14:textId="225E1DA3" w:rsidR="0008158D" w:rsidRDefault="0008158D" w:rsidP="0008158D">
      <w:pPr>
        <w:pStyle w:val="a7"/>
        <w:numPr>
          <w:ilvl w:val="0"/>
          <w:numId w:val="7"/>
        </w:numPr>
        <w:ind w:left="424"/>
        <w:jc w:val="both"/>
        <w:rPr>
          <w:rFonts w:cstheme="minorHAnsi"/>
        </w:rPr>
      </w:pPr>
      <w:r>
        <w:rPr>
          <w:rFonts w:cstheme="minorHAnsi" w:hint="cs"/>
          <w:rtl/>
        </w:rPr>
        <w:t>מהו הדין החל על חוזי ההעסקה בין תושבי יהודה ושומרון לבין מעסיקיהם הישראליים?</w:t>
      </w:r>
    </w:p>
    <w:p w14:paraId="0FA3BD2D" w14:textId="7CF26098" w:rsidR="0008158D" w:rsidRDefault="00766D0B" w:rsidP="0008158D">
      <w:pPr>
        <w:pStyle w:val="a7"/>
        <w:numPr>
          <w:ilvl w:val="0"/>
          <w:numId w:val="7"/>
        </w:numPr>
        <w:ind w:left="424"/>
        <w:jc w:val="both"/>
        <w:rPr>
          <w:rFonts w:cstheme="minorHAnsi"/>
        </w:rPr>
      </w:pPr>
      <w:r>
        <w:rPr>
          <w:rFonts w:cstheme="minorHAnsi" w:hint="cs"/>
          <w:u w:val="single"/>
          <w:rtl/>
        </w:rPr>
        <w:t>המשנה לנשיאה א' ריבלין</w:t>
      </w:r>
      <w:r>
        <w:rPr>
          <w:rFonts w:cstheme="minorHAnsi" w:hint="cs"/>
          <w:rtl/>
        </w:rPr>
        <w:t xml:space="preserve">- המבחן המקובל לברירת הדין בדיני החוזי הוא מבחן הסכמת הצדדים, ובהיעדרה- מבחן "מירב הזיקות". </w:t>
      </w:r>
      <w:r w:rsidR="001F5514">
        <w:rPr>
          <w:rFonts w:cstheme="minorHAnsi" w:hint="cs"/>
          <w:rtl/>
        </w:rPr>
        <w:t>בהפעלתו של המבחן עשויים להשתנות טיבן ומשקלן של הזיקות אשר תיבחנה, וזאת בהתאם לדינים הספציפיים שתחולתם נבחנת ובהתאם לנסיבותיו המיוחדות של חוזה נתון. במקרה הנדון, אין בחוזים שנכרתו כל ביטוי מפורש לכוונת הצדדים באשר לזהות הדין החל ביחסים שביניהם. אין לקבל את עמדתם הכללית של המשיבים, אשר ביקשו להתבסס על הזיקה הטריטוריאלית למקום ביצוע העבודה כזיקה בלעדית ומכרעת. בשים לב לעקרונות דיני העבודה ותוך התחשבות במצב המשפטי המיוחד ב"מובלעות הישראליות", מבסס מבחן "מירב הזיקות" את המסקנה כי יש להחיל על יחסי העבודה הנדונים את דין העבודה הישראלי.</w:t>
      </w:r>
    </w:p>
    <w:p w14:paraId="79709642" w14:textId="219E69F7" w:rsidR="001F5514" w:rsidRPr="0083125D" w:rsidRDefault="001F5514" w:rsidP="0008158D">
      <w:pPr>
        <w:pStyle w:val="a7"/>
        <w:numPr>
          <w:ilvl w:val="0"/>
          <w:numId w:val="7"/>
        </w:numPr>
        <w:ind w:left="424"/>
        <w:jc w:val="both"/>
        <w:rPr>
          <w:rFonts w:cstheme="minorHAnsi"/>
          <w:color w:val="00B050"/>
        </w:rPr>
      </w:pPr>
      <w:r w:rsidRPr="0083125D">
        <w:rPr>
          <w:rFonts w:cstheme="minorHAnsi" w:hint="cs"/>
          <w:color w:val="00B050"/>
          <w:rtl/>
        </w:rPr>
        <w:t>העתירה התקבלה.</w:t>
      </w:r>
    </w:p>
    <w:p w14:paraId="34DF967D" w14:textId="77777777" w:rsidR="004A0BB2" w:rsidRDefault="004A0BB2" w:rsidP="004A0BB2">
      <w:pPr>
        <w:pStyle w:val="a7"/>
        <w:jc w:val="both"/>
        <w:rPr>
          <w:rFonts w:cstheme="minorHAnsi"/>
          <w:rtl/>
        </w:rPr>
      </w:pPr>
    </w:p>
    <w:p w14:paraId="009D143A" w14:textId="77777777" w:rsidR="004A0BB2" w:rsidRDefault="004A0BB2" w:rsidP="004A0BB2">
      <w:pPr>
        <w:pStyle w:val="a7"/>
        <w:pBdr>
          <w:top w:val="single" w:sz="6" w:space="1" w:color="auto"/>
          <w:bottom w:val="single" w:sz="6" w:space="1" w:color="auto"/>
        </w:pBdr>
        <w:jc w:val="center"/>
        <w:rPr>
          <w:rFonts w:cstheme="minorHAnsi"/>
          <w:b/>
          <w:bCs/>
          <w:rtl/>
        </w:rPr>
      </w:pPr>
      <w:r>
        <w:rPr>
          <w:rFonts w:cstheme="minorHAnsi" w:hint="cs"/>
          <w:b/>
          <w:bCs/>
          <w:rtl/>
        </w:rPr>
        <w:t>דנ"א 1558/94 נפיסי נ' נפיסי:</w:t>
      </w:r>
    </w:p>
    <w:p w14:paraId="251DAE3E" w14:textId="77777777" w:rsidR="004A0BB2" w:rsidRDefault="004A0BB2" w:rsidP="004A0BB2">
      <w:pPr>
        <w:pStyle w:val="a7"/>
        <w:jc w:val="both"/>
        <w:rPr>
          <w:rFonts w:cstheme="minorHAnsi"/>
          <w:rtl/>
        </w:rPr>
      </w:pPr>
    </w:p>
    <w:p w14:paraId="530356E0" w14:textId="7393BDC3" w:rsidR="001F5514" w:rsidRDefault="004A0BB2" w:rsidP="004A0BB2">
      <w:pPr>
        <w:pStyle w:val="a7"/>
        <w:numPr>
          <w:ilvl w:val="0"/>
          <w:numId w:val="8"/>
        </w:numPr>
        <w:ind w:left="424"/>
        <w:jc w:val="both"/>
        <w:rPr>
          <w:rFonts w:cstheme="minorHAnsi"/>
        </w:rPr>
      </w:pPr>
      <w:r>
        <w:rPr>
          <w:rFonts w:cstheme="minorHAnsi" w:hint="cs"/>
          <w:rtl/>
        </w:rPr>
        <w:t>המבקשת והמשיב נישאו בפרס וטרם עלייתם ארצה, בעת ביקור, רכש המשיב חנות בתל אביב. לאחר עלייתם ארצה, הפקיד המשיב 320,000 דולרים בחשבונות בנק על שמו. המבקשת עותרת לסעד המצהיר כי החנות והכספים המופקדים הינם בבעלותם המשותפת.</w:t>
      </w:r>
    </w:p>
    <w:p w14:paraId="05E3E186" w14:textId="5A8517E8" w:rsidR="004A0BB2" w:rsidRDefault="004A0BB2" w:rsidP="004A0BB2">
      <w:pPr>
        <w:pStyle w:val="a7"/>
        <w:numPr>
          <w:ilvl w:val="0"/>
          <w:numId w:val="8"/>
        </w:numPr>
        <w:ind w:left="424"/>
        <w:jc w:val="both"/>
        <w:rPr>
          <w:rFonts w:cstheme="minorHAnsi"/>
        </w:rPr>
      </w:pPr>
      <w:r>
        <w:rPr>
          <w:rFonts w:cstheme="minorHAnsi" w:hint="cs"/>
          <w:rtl/>
        </w:rPr>
        <w:t>איזה דין חל על חלוקת הנכסים האמורים בעת הגירושין?</w:t>
      </w:r>
    </w:p>
    <w:p w14:paraId="3EF2F706" w14:textId="1F1AF807" w:rsidR="004A0BB2" w:rsidRDefault="00F83ABC" w:rsidP="004A0BB2">
      <w:pPr>
        <w:pStyle w:val="a7"/>
        <w:numPr>
          <w:ilvl w:val="0"/>
          <w:numId w:val="8"/>
        </w:numPr>
        <w:ind w:left="424"/>
        <w:jc w:val="both"/>
        <w:rPr>
          <w:rFonts w:cstheme="minorHAnsi"/>
        </w:rPr>
      </w:pPr>
      <w:r>
        <w:rPr>
          <w:rFonts w:cstheme="minorHAnsi" w:hint="cs"/>
          <w:u w:val="single"/>
          <w:rtl/>
        </w:rPr>
        <w:t>השופט א' גולדברג</w:t>
      </w:r>
      <w:r>
        <w:rPr>
          <w:rFonts w:cstheme="minorHAnsi" w:hint="cs"/>
          <w:rtl/>
        </w:rPr>
        <w:t xml:space="preserve">- </w:t>
      </w:r>
      <w:r w:rsidR="00AF7096">
        <w:rPr>
          <w:rFonts w:cstheme="minorHAnsi" w:hint="cs"/>
          <w:rtl/>
        </w:rPr>
        <w:t>הילכת שיתוף הנסכים המקובלת בישראל הינה דין שיתוף המבוסס על רעיון ההסכם בין הצדדים.</w:t>
      </w:r>
      <w:r w:rsidR="00AF7096" w:rsidRPr="00AF7096">
        <w:rPr>
          <w:rFonts w:cstheme="minorHAnsi" w:hint="cs"/>
          <w:rtl/>
        </w:rPr>
        <w:t xml:space="preserve"> </w:t>
      </w:r>
      <w:r w:rsidR="00AF7096">
        <w:rPr>
          <w:rFonts w:cstheme="minorHAnsi" w:hint="cs"/>
          <w:rtl/>
        </w:rPr>
        <w:t xml:space="preserve">עם בואם של בני זוג אשר נישאו מחוץ לישראל לפני כניסתו לתוקף של חוק יחסי ממון בין בני זוג ומשמתקיימים בהם </w:t>
      </w:r>
      <w:r w:rsidR="00AF7096">
        <w:rPr>
          <w:rFonts w:cstheme="minorHAnsi" w:hint="cs"/>
          <w:rtl/>
        </w:rPr>
        <w:lastRenderedPageBreak/>
        <w:t>בישראל התנאים לשיתוף בנכסים, רואים אותם כמסכימים לקים ביניהם בישראל משטר של שיתוף נכסים. הסכמה זו דוחה תחולתם של דיני ברירת הדין, והיא הקובעת את המשטר לחלוקת הרכוש ביניהם.</w:t>
      </w:r>
      <w:r w:rsidR="006E2AAD" w:rsidRPr="006E2AAD">
        <w:rPr>
          <w:rFonts w:cstheme="minorHAnsi" w:hint="cs"/>
          <w:rtl/>
        </w:rPr>
        <w:t xml:space="preserve"> </w:t>
      </w:r>
      <w:r w:rsidR="006E2AAD">
        <w:rPr>
          <w:rFonts w:cstheme="minorHAnsi" w:hint="cs"/>
          <w:rtl/>
        </w:rPr>
        <w:t>אם מצביע בעל הדין המבקש לסמוך על הדין הזר על קיומו של בסיס איתן בחומר הראיות בדבר זהות בין הדינים, כגון שהוראות הדין הזר והדין המקומי יונקות את חיותן מאותה מערכת דינים, אזי ניתן להפעיל את חזקת שוויון הדינים.</w:t>
      </w:r>
      <w:r w:rsidR="006E2AAD" w:rsidRPr="006E2AAD">
        <w:rPr>
          <w:rFonts w:cstheme="minorHAnsi" w:hint="cs"/>
          <w:rtl/>
        </w:rPr>
        <w:t xml:space="preserve"> </w:t>
      </w:r>
      <w:r w:rsidR="006E2AAD">
        <w:rPr>
          <w:rFonts w:cstheme="minorHAnsi" w:hint="cs"/>
          <w:rtl/>
        </w:rPr>
        <w:t>לא ניתן להחיל את החזקה כאשר כלל הברירה מנפנה לדיניה של מדינה שאינה נמנית עם מדינות המערב. כיוון שחשבונות הבנק נפתחו לאחר עליית בני הזוג ארצה, ניתן לומר כי זכויות הצדדים בכסף התגבשו בעת פתיחת החשבון, כשכבר חלה עליהם חזקת השיתוף. לא כן לגבי החנות שנרכשה טרם שעלו בני הזוג ארצה. על יסוד כוונה ממשית של בני הזוג לעלות ארצה לפני רכישת נכס המקרקעין, אין מניעה לראות את ישראל כמקום מושבם בשעת רכישת הנכס, ועל כן ההוראות המכירות בכשרות בני הזוג להתנות על יחסי ממון חולשות על תוקפו של הסכם מכללא לשיתוף זכויות בנכס.</w:t>
      </w:r>
    </w:p>
    <w:p w14:paraId="09CF347C" w14:textId="5A8A097A" w:rsidR="006E2AAD" w:rsidRPr="006321A7" w:rsidRDefault="006E2AAD" w:rsidP="006321A7">
      <w:pPr>
        <w:pStyle w:val="a7"/>
        <w:numPr>
          <w:ilvl w:val="0"/>
          <w:numId w:val="8"/>
        </w:numPr>
        <w:ind w:left="424"/>
        <w:jc w:val="both"/>
        <w:rPr>
          <w:rFonts w:cstheme="minorHAnsi"/>
          <w:color w:val="00B050"/>
          <w:rtl/>
        </w:rPr>
      </w:pPr>
      <w:r w:rsidRPr="008D1E6B">
        <w:rPr>
          <w:rFonts w:cstheme="minorHAnsi" w:hint="cs"/>
          <w:color w:val="00B050"/>
          <w:rtl/>
        </w:rPr>
        <w:t>הערעור התקבל.</w:t>
      </w:r>
    </w:p>
    <w:p w14:paraId="57821AF2" w14:textId="77777777" w:rsidR="006321A7" w:rsidRDefault="006321A7" w:rsidP="006321A7">
      <w:pPr>
        <w:pStyle w:val="a7"/>
        <w:jc w:val="both"/>
        <w:rPr>
          <w:rFonts w:cstheme="minorHAnsi"/>
          <w:rtl/>
        </w:rPr>
      </w:pPr>
    </w:p>
    <w:p w14:paraId="3550918D" w14:textId="77777777" w:rsidR="006321A7" w:rsidRDefault="006321A7" w:rsidP="006321A7">
      <w:pPr>
        <w:pStyle w:val="a7"/>
        <w:pBdr>
          <w:top w:val="single" w:sz="6" w:space="1" w:color="auto"/>
          <w:bottom w:val="single" w:sz="6" w:space="1" w:color="auto"/>
        </w:pBdr>
        <w:jc w:val="center"/>
        <w:rPr>
          <w:rFonts w:cstheme="minorHAnsi"/>
          <w:b/>
          <w:bCs/>
          <w:rtl/>
        </w:rPr>
      </w:pPr>
      <w:r>
        <w:rPr>
          <w:rFonts w:cstheme="minorHAnsi" w:hint="cs"/>
          <w:b/>
          <w:bCs/>
          <w:rtl/>
        </w:rPr>
        <w:t>בע"מ 594/04 היועץ המשפטי לממשלה- האפוטרופוס הכללי נ' פלוני:</w:t>
      </w:r>
    </w:p>
    <w:p w14:paraId="6EECADAE" w14:textId="77777777" w:rsidR="006321A7" w:rsidRDefault="006321A7" w:rsidP="006321A7">
      <w:pPr>
        <w:pStyle w:val="a7"/>
        <w:jc w:val="both"/>
        <w:rPr>
          <w:rFonts w:cstheme="minorHAnsi"/>
          <w:rtl/>
        </w:rPr>
      </w:pPr>
    </w:p>
    <w:p w14:paraId="15C005A5" w14:textId="6A6D3464" w:rsidR="006E2AAD" w:rsidRDefault="009916EB" w:rsidP="009916EB">
      <w:pPr>
        <w:pStyle w:val="a7"/>
        <w:numPr>
          <w:ilvl w:val="0"/>
          <w:numId w:val="9"/>
        </w:numPr>
        <w:ind w:left="424"/>
        <w:jc w:val="both"/>
        <w:rPr>
          <w:rFonts w:cstheme="minorHAnsi"/>
        </w:rPr>
      </w:pPr>
      <w:r>
        <w:rPr>
          <w:rFonts w:cstheme="minorHAnsi" w:hint="cs"/>
          <w:rtl/>
        </w:rPr>
        <w:t>אישה שהתגוררה בהולנד, ולה אזרחות ישראלית והולנדית, ערכה כשנה וחצי לפני מותה צוואה בישראל, ובה הורישה את כל רכושה בישראל רק לשתיים משלוש בנותיה, ובהן המשיבה.</w:t>
      </w:r>
      <w:r w:rsidRPr="009916EB">
        <w:rPr>
          <w:rFonts w:cstheme="minorHAnsi" w:hint="cs"/>
          <w:rtl/>
        </w:rPr>
        <w:t xml:space="preserve"> </w:t>
      </w:r>
      <w:r>
        <w:rPr>
          <w:rFonts w:cstheme="minorHAnsi" w:hint="cs"/>
          <w:rtl/>
        </w:rPr>
        <w:t>בית המשפט לענייני משפחה ציווה על המשיבה להוכיח לפניו את הדין ההולנדי, בבחינת הדין החל על הצוואה, עוד בטרם תתברר בקשתה ליתן צו לקיום צוואה וזאת בשל הוראת סעיף 137 לחוק הירושה, שלפיו חל הירושה דין מקום מושבו של המוריש בשעת מותו. בית המשפט המחוזי קיבל את ערעור המשיבה. מכאן הבקשה.</w:t>
      </w:r>
    </w:p>
    <w:p w14:paraId="7A7FCB06" w14:textId="7650B458" w:rsidR="009916EB" w:rsidRDefault="009916EB" w:rsidP="009916EB">
      <w:pPr>
        <w:pStyle w:val="a7"/>
        <w:numPr>
          <w:ilvl w:val="0"/>
          <w:numId w:val="9"/>
        </w:numPr>
        <w:ind w:left="424"/>
        <w:jc w:val="both"/>
        <w:rPr>
          <w:rFonts w:cstheme="minorHAnsi"/>
        </w:rPr>
      </w:pPr>
      <w:r>
        <w:rPr>
          <w:rFonts w:cstheme="minorHAnsi" w:hint="cs"/>
          <w:rtl/>
        </w:rPr>
        <w:t>האם הוראת סעיף 137 לחוק הירושה הינה דיספוזיטיבית או קוגנטית?</w:t>
      </w:r>
    </w:p>
    <w:p w14:paraId="112396F2" w14:textId="38F10220" w:rsidR="009916EB" w:rsidRDefault="009916EB" w:rsidP="009916EB">
      <w:pPr>
        <w:pStyle w:val="a7"/>
        <w:numPr>
          <w:ilvl w:val="0"/>
          <w:numId w:val="9"/>
        </w:numPr>
        <w:ind w:left="424"/>
        <w:jc w:val="both"/>
        <w:rPr>
          <w:rFonts w:cstheme="minorHAnsi"/>
        </w:rPr>
      </w:pPr>
      <w:r>
        <w:rPr>
          <w:rFonts w:cstheme="minorHAnsi" w:hint="cs"/>
          <w:u w:val="single"/>
          <w:rtl/>
        </w:rPr>
        <w:t>השופט א' ריבלין</w:t>
      </w:r>
      <w:r>
        <w:rPr>
          <w:rFonts w:cstheme="minorHAnsi" w:hint="cs"/>
          <w:rtl/>
        </w:rPr>
        <w:t xml:space="preserve">- </w:t>
      </w:r>
      <w:r w:rsidR="000C2306">
        <w:rPr>
          <w:rFonts w:cstheme="minorHAnsi" w:hint="cs"/>
          <w:rtl/>
        </w:rPr>
        <w:t>סעיף זה הינו קוגנטי, ולא יינתן כל משקל לכל זיקה אחרת למעט עניינים שיבואו בגדרו של אחד מהכללים הספציפיים שבסעיפים 138-140 לחוק.</w:t>
      </w:r>
      <w:r w:rsidR="000C2306" w:rsidRPr="000C2306">
        <w:rPr>
          <w:rFonts w:cstheme="minorHAnsi" w:hint="cs"/>
          <w:rtl/>
        </w:rPr>
        <w:t xml:space="preserve"> </w:t>
      </w:r>
      <w:r w:rsidR="000C2306">
        <w:rPr>
          <w:rFonts w:cstheme="minorHAnsi" w:hint="cs"/>
          <w:rtl/>
        </w:rPr>
        <w:t>רק במקרים קיצוניים, שבהם יקבע בית המשפט כי הדין הזר סותר את תקנת הציבור החיצונית שלנו, יבחר בית המשפט שלא להחיל את הדין הזר. במקרה הנדון, דין מדינת הולנד, המשריין את זכותם של כל ילדי המוריש, אינו סותר את תקנת הציבור החיצונית של ישראל.</w:t>
      </w:r>
    </w:p>
    <w:p w14:paraId="10EB617E" w14:textId="25AA0882" w:rsidR="000C2306" w:rsidRPr="00B975C0" w:rsidRDefault="000C2306" w:rsidP="009916EB">
      <w:pPr>
        <w:pStyle w:val="a7"/>
        <w:numPr>
          <w:ilvl w:val="0"/>
          <w:numId w:val="9"/>
        </w:numPr>
        <w:ind w:left="424"/>
        <w:jc w:val="both"/>
        <w:rPr>
          <w:rFonts w:cstheme="minorHAnsi"/>
          <w:color w:val="00B050"/>
        </w:rPr>
      </w:pPr>
      <w:r w:rsidRPr="00B975C0">
        <w:rPr>
          <w:rFonts w:cstheme="minorHAnsi" w:hint="cs"/>
          <w:color w:val="00B050"/>
          <w:rtl/>
        </w:rPr>
        <w:t>הערעור התקבל.</w:t>
      </w:r>
    </w:p>
    <w:p w14:paraId="75D73571" w14:textId="77777777" w:rsidR="00AB0838" w:rsidRDefault="00AB0838" w:rsidP="00AB0838">
      <w:pPr>
        <w:pStyle w:val="a7"/>
        <w:jc w:val="both"/>
        <w:rPr>
          <w:rFonts w:cstheme="minorHAnsi"/>
          <w:rtl/>
        </w:rPr>
      </w:pPr>
    </w:p>
    <w:p w14:paraId="5C2A1CC5" w14:textId="77777777" w:rsidR="00AB0838" w:rsidRDefault="00AB0838" w:rsidP="00AB0838">
      <w:pPr>
        <w:pStyle w:val="a7"/>
        <w:pBdr>
          <w:top w:val="single" w:sz="6" w:space="1" w:color="auto"/>
          <w:bottom w:val="single" w:sz="6" w:space="1" w:color="auto"/>
        </w:pBdr>
        <w:jc w:val="center"/>
        <w:rPr>
          <w:rFonts w:cstheme="minorHAnsi"/>
          <w:b/>
          <w:bCs/>
          <w:rtl/>
        </w:rPr>
      </w:pPr>
      <w:r>
        <w:rPr>
          <w:rFonts w:cstheme="minorHAnsi" w:hint="cs"/>
          <w:b/>
          <w:bCs/>
          <w:rtl/>
        </w:rPr>
        <w:t>ע"א 970/93 היועץ המשפטי לממשלה נ' איריס אגם:</w:t>
      </w:r>
    </w:p>
    <w:p w14:paraId="569EA0FC" w14:textId="77777777" w:rsidR="00AB0838" w:rsidRDefault="00AB0838" w:rsidP="00AB0838">
      <w:pPr>
        <w:pStyle w:val="a7"/>
        <w:jc w:val="both"/>
        <w:rPr>
          <w:rFonts w:cstheme="minorHAnsi"/>
          <w:rtl/>
        </w:rPr>
      </w:pPr>
    </w:p>
    <w:p w14:paraId="6CDCB3D6" w14:textId="068438D4" w:rsidR="000C2306" w:rsidRDefault="00AB0838" w:rsidP="00AB0838">
      <w:pPr>
        <w:pStyle w:val="a7"/>
        <w:numPr>
          <w:ilvl w:val="0"/>
          <w:numId w:val="10"/>
        </w:numPr>
        <w:ind w:left="424"/>
        <w:jc w:val="both"/>
        <w:rPr>
          <w:rFonts w:cstheme="minorHAnsi"/>
        </w:rPr>
      </w:pPr>
      <w:r w:rsidRPr="00B64FB9">
        <w:rPr>
          <w:rFonts w:cstheme="minorHAnsi"/>
          <w:rtl/>
        </w:rPr>
        <w:t>לאחר פטירתו ש</w:t>
      </w:r>
      <w:r>
        <w:rPr>
          <w:rFonts w:cstheme="minorHAnsi"/>
          <w:rtl/>
        </w:rPr>
        <w:t xml:space="preserve">ל המנוח במדינה </w:t>
      </w:r>
      <w:r>
        <w:rPr>
          <w:rFonts w:cstheme="minorHAnsi" w:hint="cs"/>
          <w:rtl/>
        </w:rPr>
        <w:t>נבדה בארצות הברית</w:t>
      </w:r>
      <w:r>
        <w:rPr>
          <w:rFonts w:cstheme="minorHAnsi"/>
          <w:rtl/>
        </w:rPr>
        <w:t>, הוציא שם בית</w:t>
      </w:r>
      <w:r>
        <w:rPr>
          <w:rFonts w:cstheme="minorHAnsi" w:hint="cs"/>
          <w:rtl/>
        </w:rPr>
        <w:t xml:space="preserve"> </w:t>
      </w:r>
      <w:r w:rsidRPr="00B64FB9">
        <w:rPr>
          <w:rFonts w:cstheme="minorHAnsi"/>
          <w:rtl/>
        </w:rPr>
        <w:t xml:space="preserve">משפט צו בעניין עיזבון המנוח, ולפיו מועבר העיזבון למשיבה. בית המשפט המחוזי קיבל את בקשתה של המשיבה לאכוף את פסק החוץ האמור. מכאן הערעור, </w:t>
      </w:r>
      <w:r>
        <w:rPr>
          <w:rFonts w:cstheme="minorHAnsi"/>
          <w:rtl/>
        </w:rPr>
        <w:t>שנסב על השאלה אם ניתן לאכוף פסק</w:t>
      </w:r>
      <w:r>
        <w:rPr>
          <w:rFonts w:cstheme="minorHAnsi" w:hint="cs"/>
          <w:rtl/>
        </w:rPr>
        <w:t xml:space="preserve"> </w:t>
      </w:r>
      <w:r w:rsidRPr="00B64FB9">
        <w:rPr>
          <w:rFonts w:cstheme="minorHAnsi"/>
          <w:rtl/>
        </w:rPr>
        <w:t>חוץ שע</w:t>
      </w:r>
      <w:r>
        <w:rPr>
          <w:rFonts w:cstheme="minorHAnsi"/>
          <w:rtl/>
        </w:rPr>
        <w:t>ניינו צו ירושה, או להכיר בו, על</w:t>
      </w:r>
      <w:r>
        <w:rPr>
          <w:rFonts w:cstheme="minorHAnsi" w:hint="cs"/>
          <w:rtl/>
        </w:rPr>
        <w:t xml:space="preserve"> </w:t>
      </w:r>
      <w:r w:rsidRPr="00B64FB9">
        <w:rPr>
          <w:rFonts w:cstheme="minorHAnsi"/>
          <w:rtl/>
        </w:rPr>
        <w:t xml:space="preserve">פי </w:t>
      </w:r>
      <w:r>
        <w:rPr>
          <w:rFonts w:cstheme="minorHAnsi"/>
          <w:rtl/>
        </w:rPr>
        <w:t>חוק אכיפת פסקי</w:t>
      </w:r>
      <w:r>
        <w:rPr>
          <w:rFonts w:cstheme="minorHAnsi" w:hint="cs"/>
          <w:rtl/>
        </w:rPr>
        <w:t xml:space="preserve"> </w:t>
      </w:r>
      <w:r w:rsidRPr="00B64FB9">
        <w:rPr>
          <w:rFonts w:cstheme="minorHAnsi"/>
          <w:rtl/>
        </w:rPr>
        <w:t>חוץ או שצו ירושה יכול שיינתן אך ורק ביישום חוק הירושה ותקנותיו</w:t>
      </w:r>
      <w:r>
        <w:rPr>
          <w:rFonts w:cstheme="minorHAnsi" w:hint="cs"/>
          <w:rtl/>
        </w:rPr>
        <w:t>.</w:t>
      </w:r>
    </w:p>
    <w:p w14:paraId="1984CDCC" w14:textId="19341A59" w:rsidR="00AB0838" w:rsidRDefault="00AB0838" w:rsidP="00AB0838">
      <w:pPr>
        <w:pStyle w:val="a7"/>
        <w:numPr>
          <w:ilvl w:val="0"/>
          <w:numId w:val="10"/>
        </w:numPr>
        <w:ind w:left="424"/>
        <w:jc w:val="both"/>
        <w:rPr>
          <w:rFonts w:cstheme="minorHAnsi"/>
        </w:rPr>
      </w:pPr>
      <w:r>
        <w:rPr>
          <w:rFonts w:cstheme="minorHAnsi" w:hint="cs"/>
          <w:u w:val="single"/>
          <w:rtl/>
        </w:rPr>
        <w:t>השופט א' גולדברג</w:t>
      </w:r>
      <w:r>
        <w:rPr>
          <w:rFonts w:cstheme="minorHAnsi" w:hint="cs"/>
          <w:rtl/>
        </w:rPr>
        <w:t xml:space="preserve">- </w:t>
      </w:r>
      <w:r w:rsidR="008973C3">
        <w:rPr>
          <w:rFonts w:cstheme="minorHAnsi" w:hint="cs"/>
          <w:rtl/>
        </w:rPr>
        <w:t>לפסק חוץ אין כל כוח משל עצמו בארץ, אף אם כשר הוא מכל הבחינות ובית המשפט שבחו"ל מוסמך היה לתתו. על הפסק הזר לעבור הליך קליטה על ידי בית המשפט בארץ, אם לצורך אכיפתו ואם להכרה בו. בהיעדר הסכם בין ישראל לבין מדינת נבדה (ארצות הברית) בנושא הכרה, כדרישת סעיף 11(א) לחוק אכיפת פסקי חוץ, לא ניתן להכיר בפסק הדין. סמכות ההכרה בפסק חוץ על פי סעיף 11(ב) לחוק קיימת כאשר ההכרה היא אגב דיון בעניין הנמצא בסמכותו של בית המשפט ולצורך אותו עניין. ענייני ירושה וצוואה דינם להתברר בהליך על פי חוק הירושה.</w:t>
      </w:r>
    </w:p>
    <w:p w14:paraId="7EE395C4" w14:textId="60B218EB" w:rsidR="008973C3" w:rsidRPr="00772422" w:rsidRDefault="008973C3" w:rsidP="00AB0838">
      <w:pPr>
        <w:pStyle w:val="a7"/>
        <w:numPr>
          <w:ilvl w:val="0"/>
          <w:numId w:val="10"/>
        </w:numPr>
        <w:ind w:left="424"/>
        <w:jc w:val="both"/>
        <w:rPr>
          <w:rFonts w:cstheme="minorHAnsi"/>
          <w:color w:val="00B050"/>
        </w:rPr>
      </w:pPr>
      <w:r w:rsidRPr="00772422">
        <w:rPr>
          <w:rFonts w:cstheme="minorHAnsi" w:hint="cs"/>
          <w:color w:val="00B050"/>
          <w:rtl/>
        </w:rPr>
        <w:t>הערעור התקבל.</w:t>
      </w:r>
    </w:p>
    <w:p w14:paraId="1F39FD92" w14:textId="77777777" w:rsidR="003C3642" w:rsidRDefault="003C3642" w:rsidP="003C3642">
      <w:pPr>
        <w:pStyle w:val="a7"/>
        <w:jc w:val="both"/>
        <w:rPr>
          <w:rFonts w:cstheme="minorHAnsi"/>
          <w:rtl/>
        </w:rPr>
      </w:pPr>
    </w:p>
    <w:p w14:paraId="0EC17D98" w14:textId="77777777" w:rsidR="003C3642" w:rsidRDefault="003C3642" w:rsidP="003C3642">
      <w:pPr>
        <w:pStyle w:val="a7"/>
        <w:pBdr>
          <w:top w:val="single" w:sz="6" w:space="1" w:color="auto"/>
          <w:bottom w:val="single" w:sz="6" w:space="1" w:color="auto"/>
        </w:pBdr>
        <w:jc w:val="center"/>
        <w:rPr>
          <w:rFonts w:cstheme="minorHAnsi"/>
          <w:b/>
          <w:bCs/>
          <w:rtl/>
        </w:rPr>
      </w:pPr>
      <w:r>
        <w:rPr>
          <w:rFonts w:cstheme="minorHAnsi" w:hint="cs"/>
          <w:b/>
          <w:bCs/>
          <w:rtl/>
        </w:rPr>
        <w:t>ע"א 3081/12 דאבל קיי מוצרי דלק (1996) בע"מ נ' גזפרום טרנסגז אוכטה בע"מ:</w:t>
      </w:r>
    </w:p>
    <w:p w14:paraId="2FFBE27F" w14:textId="77777777" w:rsidR="003C3642" w:rsidRDefault="003C3642" w:rsidP="003C3642">
      <w:pPr>
        <w:pStyle w:val="a7"/>
        <w:jc w:val="both"/>
        <w:rPr>
          <w:rFonts w:cstheme="minorHAnsi"/>
          <w:rtl/>
        </w:rPr>
      </w:pPr>
      <w:r>
        <w:rPr>
          <w:rFonts w:cstheme="minorHAnsi"/>
          <w:rtl/>
        </w:rPr>
        <w:softHyphen/>
      </w:r>
    </w:p>
    <w:p w14:paraId="139AD148" w14:textId="2CD83C9D" w:rsidR="008973C3" w:rsidRDefault="003C3642" w:rsidP="003C3642">
      <w:pPr>
        <w:pStyle w:val="a7"/>
        <w:numPr>
          <w:ilvl w:val="0"/>
          <w:numId w:val="11"/>
        </w:numPr>
        <w:ind w:left="424"/>
        <w:jc w:val="both"/>
        <w:rPr>
          <w:rFonts w:cstheme="minorHAnsi"/>
        </w:rPr>
      </w:pPr>
      <w:r>
        <w:rPr>
          <w:rFonts w:cstheme="minorHAnsi"/>
          <w:rtl/>
        </w:rPr>
        <w:t>בין המערערת</w:t>
      </w:r>
      <w:r>
        <w:rPr>
          <w:rFonts w:cstheme="minorHAnsi" w:hint="cs"/>
          <w:rtl/>
        </w:rPr>
        <w:t xml:space="preserve">, </w:t>
      </w:r>
      <w:r>
        <w:rPr>
          <w:rFonts w:cstheme="minorHAnsi"/>
          <w:rtl/>
        </w:rPr>
        <w:t>חברה ישראלית</w:t>
      </w:r>
      <w:r>
        <w:rPr>
          <w:rFonts w:cstheme="minorHAnsi" w:hint="cs"/>
          <w:rtl/>
        </w:rPr>
        <w:t>,</w:t>
      </w:r>
      <w:r>
        <w:rPr>
          <w:rFonts w:cstheme="minorHAnsi"/>
          <w:rtl/>
        </w:rPr>
        <w:t xml:space="preserve"> למשיבה</w:t>
      </w:r>
      <w:r>
        <w:rPr>
          <w:rFonts w:cstheme="minorHAnsi" w:hint="cs"/>
          <w:rtl/>
        </w:rPr>
        <w:t>, ח</w:t>
      </w:r>
      <w:r>
        <w:rPr>
          <w:rFonts w:cstheme="minorHAnsi"/>
          <w:rtl/>
        </w:rPr>
        <w:t>ברה המאוגדת ברוסיה</w:t>
      </w:r>
      <w:r w:rsidRPr="005537B9">
        <w:rPr>
          <w:rFonts w:cstheme="minorHAnsi"/>
          <w:rtl/>
        </w:rPr>
        <w:t>, התגלע סכסוך. הסכסוך התברר בהליכים משפטיים שהתקיימו</w:t>
      </w:r>
      <w:r>
        <w:rPr>
          <w:rFonts w:cstheme="minorHAnsi"/>
          <w:rtl/>
        </w:rPr>
        <w:t xml:space="preserve"> ברוסיה, ובי</w:t>
      </w:r>
      <w:r>
        <w:rPr>
          <w:rFonts w:cstheme="minorHAnsi" w:hint="cs"/>
          <w:rtl/>
        </w:rPr>
        <w:t>ת המשפט</w:t>
      </w:r>
      <w:r w:rsidRPr="005537B9">
        <w:rPr>
          <w:rFonts w:cstheme="minorHAnsi"/>
          <w:rtl/>
        </w:rPr>
        <w:t xml:space="preserve"> המוסמך במוסקבה נתן פסק דין כספי לטובת המשיבה. ערעורים שהגישה המערערת, נדחו. </w:t>
      </w:r>
      <w:r w:rsidRPr="005537B9">
        <w:rPr>
          <w:rFonts w:cstheme="minorHAnsi" w:hint="eastAsia"/>
          <w:rtl/>
        </w:rPr>
        <w:t>בהמשך</w:t>
      </w:r>
      <w:r w:rsidRPr="005537B9">
        <w:rPr>
          <w:rFonts w:cstheme="minorHAnsi"/>
          <w:rtl/>
        </w:rPr>
        <w:t xml:space="preserve"> </w:t>
      </w:r>
      <w:r w:rsidRPr="005537B9">
        <w:rPr>
          <w:rFonts w:cstheme="minorHAnsi" w:hint="eastAsia"/>
          <w:rtl/>
        </w:rPr>
        <w:t>לכך</w:t>
      </w:r>
      <w:r>
        <w:rPr>
          <w:rFonts w:cstheme="minorHAnsi"/>
          <w:rtl/>
        </w:rPr>
        <w:t xml:space="preserve"> הגישה המשיבה לבי</w:t>
      </w:r>
      <w:r>
        <w:rPr>
          <w:rFonts w:cstheme="minorHAnsi" w:hint="cs"/>
          <w:rtl/>
        </w:rPr>
        <w:t>ת המשפט</w:t>
      </w:r>
      <w:r w:rsidRPr="005537B9">
        <w:rPr>
          <w:rFonts w:cstheme="minorHAnsi"/>
          <w:rtl/>
        </w:rPr>
        <w:t xml:space="preserve"> המחוזי בקשה לאכיפת פסק הדין הרוסי. המערערת התנגדה לבקשה, בעיקר מן הטעם שלגישתה </w:t>
      </w:r>
      <w:r>
        <w:rPr>
          <w:rFonts w:cstheme="minorHAnsi"/>
          <w:rtl/>
        </w:rPr>
        <w:t>לא התקיימה דרישת ההדדיות. בי</w:t>
      </w:r>
      <w:r>
        <w:rPr>
          <w:rFonts w:cstheme="minorHAnsi" w:hint="cs"/>
          <w:rtl/>
        </w:rPr>
        <w:t>ת המשפט</w:t>
      </w:r>
      <w:r w:rsidRPr="005537B9">
        <w:rPr>
          <w:rFonts w:cstheme="minorHAnsi"/>
          <w:rtl/>
        </w:rPr>
        <w:t xml:space="preserve"> המחוזי קיבל את בקשת המשיבה והורה על אכיפת פסק הדין הרוסי. מכאן הערעור</w:t>
      </w:r>
      <w:r>
        <w:rPr>
          <w:rFonts w:cstheme="minorHAnsi" w:hint="cs"/>
          <w:rtl/>
        </w:rPr>
        <w:t>.</w:t>
      </w:r>
    </w:p>
    <w:p w14:paraId="7E9A150B" w14:textId="2B837319" w:rsidR="003C3642" w:rsidRDefault="003C3642" w:rsidP="003C3642">
      <w:pPr>
        <w:pStyle w:val="a7"/>
        <w:numPr>
          <w:ilvl w:val="0"/>
          <w:numId w:val="11"/>
        </w:numPr>
        <w:ind w:left="424"/>
        <w:jc w:val="both"/>
        <w:rPr>
          <w:rFonts w:cstheme="minorHAnsi"/>
        </w:rPr>
      </w:pPr>
      <w:r w:rsidRPr="00C87A5E">
        <w:rPr>
          <w:rFonts w:cstheme="minorHAnsi" w:hint="cs"/>
          <w:rtl/>
        </w:rPr>
        <w:t xml:space="preserve">מהם העקרונות החלים על יישומה של דרישת ההדדיות באכיפת פסקי חוץ המעוגנת בהוראת </w:t>
      </w:r>
      <w:r w:rsidRPr="00C87A5E">
        <w:rPr>
          <w:rFonts w:cstheme="minorHAnsi"/>
          <w:rtl/>
        </w:rPr>
        <w:t>סעיף 4(א)</w:t>
      </w:r>
      <w:r w:rsidRPr="00C87A5E">
        <w:rPr>
          <w:rFonts w:cstheme="minorHAnsi" w:hint="cs"/>
          <w:rtl/>
        </w:rPr>
        <w:t xml:space="preserve"> ל</w:t>
      </w:r>
      <w:r w:rsidRPr="00C87A5E">
        <w:rPr>
          <w:rFonts w:cstheme="minorHAnsi"/>
          <w:rtl/>
        </w:rPr>
        <w:t>חוק אכיפת פסקי חוץ</w:t>
      </w:r>
      <w:r w:rsidRPr="00C87A5E">
        <w:rPr>
          <w:rFonts w:cstheme="minorHAnsi" w:hint="cs"/>
          <w:rtl/>
        </w:rPr>
        <w:t>, ה'תשי"ח-1958?</w:t>
      </w:r>
    </w:p>
    <w:p w14:paraId="6CE355CE" w14:textId="704A5363" w:rsidR="003C3642" w:rsidRDefault="003C3642" w:rsidP="003C3642">
      <w:pPr>
        <w:pStyle w:val="a7"/>
        <w:numPr>
          <w:ilvl w:val="0"/>
          <w:numId w:val="11"/>
        </w:numPr>
        <w:ind w:left="424"/>
        <w:jc w:val="both"/>
        <w:rPr>
          <w:rFonts w:cstheme="minorHAnsi"/>
        </w:rPr>
      </w:pPr>
      <w:r>
        <w:rPr>
          <w:rFonts w:cstheme="minorHAnsi" w:hint="cs"/>
          <w:u w:val="single"/>
          <w:rtl/>
        </w:rPr>
        <w:t>השופטת ד' ברק-ארז</w:t>
      </w:r>
      <w:r>
        <w:rPr>
          <w:rFonts w:cstheme="minorHAnsi" w:hint="cs"/>
          <w:rtl/>
        </w:rPr>
        <w:t xml:space="preserve">- </w:t>
      </w:r>
      <w:r w:rsidR="000E4F1E" w:rsidRPr="00CE5CED">
        <w:rPr>
          <w:rFonts w:cstheme="minorHAnsi"/>
          <w:rtl/>
        </w:rPr>
        <w:t xml:space="preserve">דרישת ההדדיות באכיפת פסקי דין זרים מעוגנת </w:t>
      </w:r>
      <w:hyperlink r:id="rId8" w:history="1">
        <w:r w:rsidR="000E4F1E" w:rsidRPr="00CE5CED">
          <w:rPr>
            <w:rFonts w:cstheme="minorHAnsi"/>
            <w:rtl/>
          </w:rPr>
          <w:t>בסעיף 4(א)</w:t>
        </w:r>
      </w:hyperlink>
      <w:r w:rsidR="000E4F1E" w:rsidRPr="00CE5CED">
        <w:rPr>
          <w:rFonts w:cstheme="minorHAnsi"/>
          <w:rtl/>
        </w:rPr>
        <w:t xml:space="preserve"> ל</w:t>
      </w:r>
      <w:hyperlink r:id="rId9" w:history="1">
        <w:r w:rsidR="000E4F1E" w:rsidRPr="00CE5CED">
          <w:rPr>
            <w:rFonts w:cstheme="minorHAnsi"/>
            <w:rtl/>
          </w:rPr>
          <w:t>חוק אכיפת פסקי חוץ</w:t>
        </w:r>
      </w:hyperlink>
      <w:r w:rsidR="000E4F1E" w:rsidRPr="00CE5CED">
        <w:rPr>
          <w:rFonts w:cstheme="minorHAnsi"/>
          <w:rtl/>
        </w:rPr>
        <w:t>. הספרות המשפטית כבר עמדה על כך שנוסחו של סעיף 4 אינו מבהיר באופן ברור דיו מהי מידת ההדדיות הנדרשת לצורך עמידה בדרישותיו.</w:t>
      </w:r>
      <w:r w:rsidR="000E4F1E" w:rsidRPr="000E4F1E">
        <w:rPr>
          <w:rFonts w:cstheme="minorHAnsi"/>
          <w:rtl/>
        </w:rPr>
        <w:t xml:space="preserve"> </w:t>
      </w:r>
      <w:r w:rsidR="000E4F1E" w:rsidRPr="00CE5CED">
        <w:rPr>
          <w:rFonts w:cstheme="minorHAnsi"/>
          <w:rtl/>
        </w:rPr>
        <w:t>בכל הנוגע לנטל ההוכחה באשר לדרישת ההדדיות, נקבע בפסיקה כי הוא מוטל על המתנגד לאכיפה.</w:t>
      </w:r>
      <w:r w:rsidR="000E4F1E" w:rsidRPr="000E4F1E">
        <w:rPr>
          <w:rFonts w:cstheme="minorHAnsi"/>
          <w:rtl/>
        </w:rPr>
        <w:t xml:space="preserve"> </w:t>
      </w:r>
      <w:r w:rsidR="000E4F1E" w:rsidRPr="00CE5CED">
        <w:rPr>
          <w:rFonts w:cstheme="minorHAnsi"/>
          <w:rtl/>
        </w:rPr>
        <w:t xml:space="preserve">במקרה הנדון, הונח בסיס מספק לקביעה שהפסיקה הרוסית אוכפת פסקי דין זרים אף בלא אמנה דו-צדדית בין מדינת המקור שלהם לרוסיה, כמו גם לטענה שאכיפה זו אינה מלאה </w:t>
      </w:r>
      <w:r w:rsidR="000E4F1E">
        <w:rPr>
          <w:rFonts w:cstheme="minorHAnsi"/>
          <w:rtl/>
        </w:rPr>
        <w:t>או מוסכמת על הכול. בנסיבות אלה</w:t>
      </w:r>
      <w:r w:rsidR="000E4F1E">
        <w:rPr>
          <w:rFonts w:cstheme="minorHAnsi" w:hint="cs"/>
          <w:rtl/>
        </w:rPr>
        <w:t>-</w:t>
      </w:r>
      <w:r w:rsidR="000E4F1E" w:rsidRPr="00CE5CED">
        <w:rPr>
          <w:rFonts w:cstheme="minorHAnsi"/>
          <w:rtl/>
        </w:rPr>
        <w:t xml:space="preserve"> בהן נוצר פוטנציאל לאכיפת פסקי דין ישראליים ברוסיה, אך</w:t>
      </w:r>
      <w:r w:rsidR="000E4F1E">
        <w:rPr>
          <w:rFonts w:cstheme="minorHAnsi"/>
          <w:rtl/>
        </w:rPr>
        <w:t xml:space="preserve"> לא ניתן להצביע על פרקטיקה כזו</w:t>
      </w:r>
      <w:r w:rsidR="000E4F1E">
        <w:rPr>
          <w:rFonts w:cstheme="minorHAnsi" w:hint="cs"/>
          <w:rtl/>
        </w:rPr>
        <w:t>-</w:t>
      </w:r>
      <w:r w:rsidR="000E4F1E" w:rsidRPr="00CE5CED">
        <w:rPr>
          <w:rFonts w:cstheme="minorHAnsi"/>
          <w:rtl/>
        </w:rPr>
        <w:t xml:space="preserve"> די להוכיח קיומו של פוטנציאל סביר לאכיפה כזו, לצורך </w:t>
      </w:r>
      <w:r w:rsidR="000E4F1E" w:rsidRPr="00CE5CED">
        <w:rPr>
          <w:rFonts w:cstheme="minorHAnsi"/>
          <w:rtl/>
        </w:rPr>
        <w:lastRenderedPageBreak/>
        <w:t>עמידה בדרישת ההדדיות.</w:t>
      </w:r>
      <w:r w:rsidR="000E4F1E" w:rsidRPr="000E4F1E">
        <w:rPr>
          <w:rFonts w:cstheme="minorHAnsi"/>
          <w:rtl/>
        </w:rPr>
        <w:t xml:space="preserve"> </w:t>
      </w:r>
      <w:r w:rsidR="000E4F1E" w:rsidRPr="00CE5CED">
        <w:rPr>
          <w:rFonts w:cstheme="minorHAnsi"/>
          <w:rtl/>
        </w:rPr>
        <w:t>אם ישתנה המצב המשפטי ברוסיה או שיתברר בהמשך כי פסקי דין ישראליים אינם</w:t>
      </w:r>
      <w:r w:rsidR="000E4F1E">
        <w:rPr>
          <w:rFonts w:cstheme="minorHAnsi"/>
          <w:rtl/>
        </w:rPr>
        <w:t xml:space="preserve"> נאכפים, על דרך עיקרון, ברוסיה</w:t>
      </w:r>
      <w:r w:rsidR="000E4F1E">
        <w:rPr>
          <w:rFonts w:cstheme="minorHAnsi" w:hint="cs"/>
          <w:rtl/>
        </w:rPr>
        <w:t>-</w:t>
      </w:r>
      <w:r w:rsidR="000E4F1E" w:rsidRPr="00CE5CED">
        <w:rPr>
          <w:rFonts w:cstheme="minorHAnsi"/>
          <w:rtl/>
        </w:rPr>
        <w:t xml:space="preserve"> יוכל לחול שינוי גם בהתייחסות לאכיפת פסקי דין רוסיים בישראל.</w:t>
      </w:r>
    </w:p>
    <w:p w14:paraId="6E6DFAD8" w14:textId="1E17030C" w:rsidR="000E4F1E" w:rsidRPr="00F2366B" w:rsidRDefault="000E4F1E" w:rsidP="003C3642">
      <w:pPr>
        <w:pStyle w:val="a7"/>
        <w:numPr>
          <w:ilvl w:val="0"/>
          <w:numId w:val="11"/>
        </w:numPr>
        <w:ind w:left="424"/>
        <w:jc w:val="both"/>
        <w:rPr>
          <w:rFonts w:cstheme="minorHAnsi"/>
          <w:color w:val="FF0000"/>
        </w:rPr>
      </w:pPr>
      <w:r w:rsidRPr="00F2366B">
        <w:rPr>
          <w:rFonts w:cstheme="minorHAnsi" w:hint="cs"/>
          <w:color w:val="FF0000"/>
          <w:rtl/>
        </w:rPr>
        <w:t>הערעור נדחה.</w:t>
      </w:r>
    </w:p>
    <w:p w14:paraId="73DCB4A7" w14:textId="750B6DF0" w:rsidR="000E4F1E" w:rsidRDefault="000E4F1E" w:rsidP="000E4F1E">
      <w:pPr>
        <w:pStyle w:val="a7"/>
        <w:jc w:val="both"/>
        <w:rPr>
          <w:rFonts w:cstheme="minorHAnsi"/>
          <w:rtl/>
        </w:rPr>
      </w:pPr>
    </w:p>
    <w:p w14:paraId="52859961" w14:textId="77777777" w:rsidR="000E4F1E" w:rsidRPr="00C3311D" w:rsidRDefault="000E4F1E" w:rsidP="000E4F1E">
      <w:pPr>
        <w:pStyle w:val="a7"/>
        <w:jc w:val="both"/>
        <w:rPr>
          <w:rFonts w:cstheme="minorHAnsi"/>
        </w:rPr>
      </w:pPr>
    </w:p>
    <w:sectPr w:rsidR="000E4F1E" w:rsidRPr="00C3311D" w:rsidSect="00E67560">
      <w:headerReference w:type="default" r:id="rId10"/>
      <w:footerReference w:type="default" r:id="rId11"/>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A06E" w14:textId="77777777" w:rsidR="006930DB" w:rsidRDefault="006930DB" w:rsidP="00E67560">
      <w:pPr>
        <w:spacing w:after="0" w:line="240" w:lineRule="auto"/>
      </w:pPr>
      <w:r>
        <w:separator/>
      </w:r>
    </w:p>
  </w:endnote>
  <w:endnote w:type="continuationSeparator" w:id="0">
    <w:p w14:paraId="340E2C4F" w14:textId="77777777" w:rsidR="006930DB" w:rsidRDefault="006930DB" w:rsidP="00E6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20"/>
        <w:szCs w:val="20"/>
        <w:rtl/>
      </w:rPr>
      <w:id w:val="1307965338"/>
      <w:docPartObj>
        <w:docPartGallery w:val="Page Numbers (Bottom of Page)"/>
        <w:docPartUnique/>
      </w:docPartObj>
    </w:sdtPr>
    <w:sdtEndPr/>
    <w:sdtContent>
      <w:p w14:paraId="72B65702" w14:textId="1DEAF4EC" w:rsidR="00E67560" w:rsidRPr="00E67560" w:rsidRDefault="00E67560" w:rsidP="00E67560">
        <w:pPr>
          <w:pStyle w:val="a5"/>
          <w:jc w:val="center"/>
          <w:rPr>
            <w:rFonts w:cstheme="minorHAnsi"/>
            <w:sz w:val="20"/>
            <w:szCs w:val="20"/>
          </w:rPr>
        </w:pPr>
        <w:r w:rsidRPr="00E67560">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FDA6A95" wp14:editId="5C277758">
                  <wp:simplePos x="0" y="0"/>
                  <wp:positionH relativeFrom="leftMargin">
                    <wp:align>center</wp:align>
                  </wp:positionH>
                  <wp:positionV relativeFrom="bottomMargin">
                    <wp:align>center</wp:align>
                  </wp:positionV>
                  <wp:extent cx="512445" cy="441325"/>
                  <wp:effectExtent l="0" t="0" r="1905" b="0"/>
                  <wp:wrapNone/>
                  <wp:docPr id="1" name="תרשים זרימה: תהליך חלופ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937CE3C" w14:textId="77777777" w:rsidR="00E67560" w:rsidRDefault="00E67560">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A6A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z6h5JCICAAD0AwAADgAAAAAAAAAAAAAAAAAuAgAAZHJzL2Uyb0RvYy54bWxQSwEC&#10;LQAUAAYACAAAACEAGuRMndkAAAADAQAADwAAAAAAAAAAAAAAAAB8BAAAZHJzL2Rvd25yZXYueG1s&#10;UEsFBgAAAAAEAAQA8wAAAIIFAAAAAA==&#10;" filled="f" fillcolor="#5c83b4" stroked="f" strokecolor="#737373">
                  <v:textbox>
                    <w:txbxContent>
                      <w:p w14:paraId="7937CE3C" w14:textId="77777777" w:rsidR="00E67560" w:rsidRDefault="00E67560">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sidR="00573EA7">
          <w:rPr>
            <w:rFonts w:cstheme="minorHAnsi" w:hint="cs"/>
            <w:sz w:val="20"/>
            <w:szCs w:val="20"/>
            <w:rtl/>
          </w:rPr>
          <w:t xml:space="preserve">פרופ' </w:t>
        </w:r>
        <w:r w:rsidR="007217F3">
          <w:rPr>
            <w:rFonts w:cstheme="minorHAnsi" w:hint="cs"/>
            <w:sz w:val="20"/>
            <w:szCs w:val="20"/>
            <w:rtl/>
          </w:rPr>
          <w:t>רונה שוז</w:t>
        </w:r>
        <w:r w:rsidR="00573EA7">
          <w:rPr>
            <w:rFonts w:cstheme="minorHAnsi" w:hint="cs"/>
            <w:sz w:val="20"/>
            <w:szCs w:val="20"/>
            <w:rtl/>
          </w:rPr>
          <w:t xml:space="preserve"> </w:t>
        </w:r>
        <w:r w:rsidR="00573EA7">
          <w:rPr>
            <w:rFonts w:cstheme="minorHAnsi"/>
            <w:sz w:val="20"/>
            <w:szCs w:val="20"/>
            <w:rtl/>
          </w:rPr>
          <w:t>–</w:t>
        </w:r>
        <w:r w:rsidR="00573EA7">
          <w:rPr>
            <w:rFonts w:cstheme="minorHAnsi" w:hint="cs"/>
            <w:sz w:val="20"/>
            <w:szCs w:val="20"/>
            <w:rtl/>
          </w:rPr>
          <w:t xml:space="preserve"> סוכם על ידי אביב פייטלמן</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F3B5" w14:textId="77777777" w:rsidR="006930DB" w:rsidRDefault="006930DB" w:rsidP="00E67560">
      <w:pPr>
        <w:spacing w:after="0" w:line="240" w:lineRule="auto"/>
      </w:pPr>
      <w:r>
        <w:separator/>
      </w:r>
    </w:p>
  </w:footnote>
  <w:footnote w:type="continuationSeparator" w:id="0">
    <w:p w14:paraId="73D7D38C" w14:textId="77777777" w:rsidR="006930DB" w:rsidRDefault="006930DB" w:rsidP="00E6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72B4" w14:textId="2ADAB977" w:rsidR="00E67560" w:rsidRPr="00E67560" w:rsidRDefault="00E67560" w:rsidP="00E67560">
    <w:pPr>
      <w:pStyle w:val="a3"/>
      <w:jc w:val="center"/>
      <w:rPr>
        <w:rFonts w:cstheme="minorHAnsi"/>
        <w:sz w:val="20"/>
        <w:szCs w:val="20"/>
      </w:rPr>
    </w:pPr>
    <w:r w:rsidRPr="00E67560">
      <w:rPr>
        <w:rFonts w:cstheme="minorHAnsi" w:hint="cs"/>
        <w:sz w:val="20"/>
        <w:szCs w:val="20"/>
        <w:rtl/>
      </w:rPr>
      <w:t>קורס "</w:t>
    </w:r>
    <w:r w:rsidR="007217F3">
      <w:rPr>
        <w:rFonts w:cstheme="minorHAnsi" w:hint="cs"/>
        <w:sz w:val="20"/>
        <w:szCs w:val="20"/>
        <w:rtl/>
      </w:rPr>
      <w:t>משפט בינלאומי פרטי</w:t>
    </w:r>
    <w:r w:rsidRPr="00E67560">
      <w:rPr>
        <w:rFonts w:cstheme="minorHAnsi" w:hint="cs"/>
        <w:sz w:val="20"/>
        <w:szCs w:val="20"/>
        <w:rtl/>
      </w:rPr>
      <w:t xml:space="preserve">" </w:t>
    </w:r>
    <w:r w:rsidRPr="00E67560">
      <w:rPr>
        <w:rFonts w:cstheme="minorHAnsi"/>
        <w:sz w:val="20"/>
        <w:szCs w:val="20"/>
        <w:rtl/>
      </w:rPr>
      <w:t>–</w:t>
    </w:r>
    <w:r w:rsidRPr="00E67560">
      <w:rPr>
        <w:rFonts w:cstheme="minorHAnsi" w:hint="cs"/>
        <w:sz w:val="20"/>
        <w:szCs w:val="20"/>
        <w:rtl/>
      </w:rPr>
      <w:t xml:space="preserve"> שנה ג' ה'תשפ"א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8B2"/>
    <w:multiLevelType w:val="hybridMultilevel"/>
    <w:tmpl w:val="FA762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2883"/>
    <w:multiLevelType w:val="hybridMultilevel"/>
    <w:tmpl w:val="D1983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CFB"/>
    <w:multiLevelType w:val="hybridMultilevel"/>
    <w:tmpl w:val="EAE88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5045"/>
    <w:multiLevelType w:val="hybridMultilevel"/>
    <w:tmpl w:val="54E67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37629"/>
    <w:multiLevelType w:val="hybridMultilevel"/>
    <w:tmpl w:val="C0040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40F00"/>
    <w:multiLevelType w:val="hybridMultilevel"/>
    <w:tmpl w:val="4BE87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0175C"/>
    <w:multiLevelType w:val="hybridMultilevel"/>
    <w:tmpl w:val="D72AFB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A3F35"/>
    <w:multiLevelType w:val="hybridMultilevel"/>
    <w:tmpl w:val="3E14F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21ABB"/>
    <w:multiLevelType w:val="hybridMultilevel"/>
    <w:tmpl w:val="7FF422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36E21"/>
    <w:multiLevelType w:val="hybridMultilevel"/>
    <w:tmpl w:val="73E45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B7BF3"/>
    <w:multiLevelType w:val="hybridMultilevel"/>
    <w:tmpl w:val="E3283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6"/>
  </w:num>
  <w:num w:numId="6">
    <w:abstractNumId w:val="10"/>
  </w:num>
  <w:num w:numId="7">
    <w:abstractNumId w:val="5"/>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23"/>
    <w:rsid w:val="00015BED"/>
    <w:rsid w:val="0001694A"/>
    <w:rsid w:val="00016BBD"/>
    <w:rsid w:val="0008158D"/>
    <w:rsid w:val="000C2306"/>
    <w:rsid w:val="000E4F1E"/>
    <w:rsid w:val="00175C2A"/>
    <w:rsid w:val="001F5514"/>
    <w:rsid w:val="00260568"/>
    <w:rsid w:val="003776DB"/>
    <w:rsid w:val="003C3642"/>
    <w:rsid w:val="003E2D99"/>
    <w:rsid w:val="00406215"/>
    <w:rsid w:val="004A0BB2"/>
    <w:rsid w:val="004D31CD"/>
    <w:rsid w:val="004F4271"/>
    <w:rsid w:val="00505A0A"/>
    <w:rsid w:val="00532A42"/>
    <w:rsid w:val="00551BB0"/>
    <w:rsid w:val="00573EA7"/>
    <w:rsid w:val="005802AE"/>
    <w:rsid w:val="005960BE"/>
    <w:rsid w:val="005A4C93"/>
    <w:rsid w:val="005A6E23"/>
    <w:rsid w:val="006321A7"/>
    <w:rsid w:val="006930DB"/>
    <w:rsid w:val="006E2AAD"/>
    <w:rsid w:val="00704719"/>
    <w:rsid w:val="0070694F"/>
    <w:rsid w:val="007217F3"/>
    <w:rsid w:val="00732F57"/>
    <w:rsid w:val="0075125A"/>
    <w:rsid w:val="00766D0B"/>
    <w:rsid w:val="00772422"/>
    <w:rsid w:val="007D3B51"/>
    <w:rsid w:val="0083125D"/>
    <w:rsid w:val="008973C3"/>
    <w:rsid w:val="008B2EAB"/>
    <w:rsid w:val="008D1E6B"/>
    <w:rsid w:val="008F7E90"/>
    <w:rsid w:val="00945C3B"/>
    <w:rsid w:val="0096419A"/>
    <w:rsid w:val="009835D5"/>
    <w:rsid w:val="00984490"/>
    <w:rsid w:val="009916EB"/>
    <w:rsid w:val="00A86269"/>
    <w:rsid w:val="00A939E7"/>
    <w:rsid w:val="00AA310D"/>
    <w:rsid w:val="00AB0838"/>
    <w:rsid w:val="00AB30D4"/>
    <w:rsid w:val="00AF7096"/>
    <w:rsid w:val="00B004FD"/>
    <w:rsid w:val="00B42EF2"/>
    <w:rsid w:val="00B975C0"/>
    <w:rsid w:val="00C225FE"/>
    <w:rsid w:val="00C3311D"/>
    <w:rsid w:val="00C6501D"/>
    <w:rsid w:val="00D7381A"/>
    <w:rsid w:val="00D960F6"/>
    <w:rsid w:val="00DC53FD"/>
    <w:rsid w:val="00DE6015"/>
    <w:rsid w:val="00DF2CCF"/>
    <w:rsid w:val="00E141C9"/>
    <w:rsid w:val="00E546F7"/>
    <w:rsid w:val="00E54770"/>
    <w:rsid w:val="00E606CD"/>
    <w:rsid w:val="00E6502F"/>
    <w:rsid w:val="00E67560"/>
    <w:rsid w:val="00EC0D5B"/>
    <w:rsid w:val="00F2366B"/>
    <w:rsid w:val="00F504C2"/>
    <w:rsid w:val="00F83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F595"/>
  <w15:chartTrackingRefBased/>
  <w15:docId w15:val="{8478731E-1B74-44CF-A89C-DA2C8EE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33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560"/>
    <w:pPr>
      <w:tabs>
        <w:tab w:val="center" w:pos="4153"/>
        <w:tab w:val="right" w:pos="8306"/>
      </w:tabs>
      <w:spacing w:after="0" w:line="240" w:lineRule="auto"/>
    </w:pPr>
  </w:style>
  <w:style w:type="character" w:customStyle="1" w:styleId="a4">
    <w:name w:val="כותרת עליונה תו"/>
    <w:basedOn w:val="a0"/>
    <w:link w:val="a3"/>
    <w:uiPriority w:val="99"/>
    <w:rsid w:val="00E67560"/>
  </w:style>
  <w:style w:type="paragraph" w:styleId="a5">
    <w:name w:val="footer"/>
    <w:basedOn w:val="a"/>
    <w:link w:val="a6"/>
    <w:uiPriority w:val="99"/>
    <w:unhideWhenUsed/>
    <w:rsid w:val="00E67560"/>
    <w:pPr>
      <w:tabs>
        <w:tab w:val="center" w:pos="4153"/>
        <w:tab w:val="right" w:pos="8306"/>
      </w:tabs>
      <w:spacing w:after="0" w:line="240" w:lineRule="auto"/>
    </w:pPr>
  </w:style>
  <w:style w:type="character" w:customStyle="1" w:styleId="a6">
    <w:name w:val="כותרת תחתונה תו"/>
    <w:basedOn w:val="a0"/>
    <w:link w:val="a5"/>
    <w:uiPriority w:val="99"/>
    <w:rsid w:val="00E67560"/>
  </w:style>
  <w:style w:type="paragraph" w:styleId="a7">
    <w:name w:val="No Spacing"/>
    <w:uiPriority w:val="1"/>
    <w:qFormat/>
    <w:rsid w:val="00E67560"/>
    <w:pPr>
      <w:bidi/>
      <w:spacing w:after="0" w:line="240" w:lineRule="auto"/>
    </w:pPr>
  </w:style>
  <w:style w:type="character" w:customStyle="1" w:styleId="10">
    <w:name w:val="כותרת 1 תו"/>
    <w:basedOn w:val="a0"/>
    <w:link w:val="1"/>
    <w:uiPriority w:val="9"/>
    <w:rsid w:val="00C3311D"/>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C3311D"/>
    <w:pPr>
      <w:outlineLvl w:val="9"/>
    </w:pPr>
    <w:rPr>
      <w:rtl/>
      <w:cs/>
    </w:rPr>
  </w:style>
  <w:style w:type="paragraph" w:styleId="TOC2">
    <w:name w:val="toc 2"/>
    <w:basedOn w:val="a"/>
    <w:next w:val="a"/>
    <w:autoRedefine/>
    <w:uiPriority w:val="39"/>
    <w:unhideWhenUsed/>
    <w:rsid w:val="00C3311D"/>
    <w:pPr>
      <w:spacing w:after="100"/>
      <w:ind w:left="220"/>
    </w:pPr>
    <w:rPr>
      <w:rFonts w:eastAsiaTheme="minorEastAsia" w:cs="Times New Roman"/>
      <w:rtl/>
      <w:cs/>
    </w:rPr>
  </w:style>
  <w:style w:type="paragraph" w:styleId="TOC1">
    <w:name w:val="toc 1"/>
    <w:basedOn w:val="a"/>
    <w:next w:val="a"/>
    <w:autoRedefine/>
    <w:uiPriority w:val="39"/>
    <w:unhideWhenUsed/>
    <w:rsid w:val="00C3311D"/>
    <w:pPr>
      <w:spacing w:after="100"/>
    </w:pPr>
    <w:rPr>
      <w:rFonts w:eastAsiaTheme="minorEastAsia" w:cs="Times New Roman"/>
      <w:rtl/>
      <w:cs/>
    </w:rPr>
  </w:style>
  <w:style w:type="paragraph" w:styleId="TOC3">
    <w:name w:val="toc 3"/>
    <w:basedOn w:val="a"/>
    <w:next w:val="a"/>
    <w:autoRedefine/>
    <w:uiPriority w:val="39"/>
    <w:unhideWhenUsed/>
    <w:rsid w:val="00C3311D"/>
    <w:pPr>
      <w:spacing w:after="100"/>
      <w:ind w:left="440"/>
    </w:pPr>
    <w:rPr>
      <w:rFonts w:eastAsiaTheme="minorEastAsia" w:cs="Times New Roman"/>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998/4.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o.co.il/law/749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C88D272B-8EDE-46B4-A1AB-E8B89E54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10002</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Aviv Avraham Feitelman</cp:lastModifiedBy>
  <cp:revision>56</cp:revision>
  <dcterms:created xsi:type="dcterms:W3CDTF">2020-09-09T17:20:00Z</dcterms:created>
  <dcterms:modified xsi:type="dcterms:W3CDTF">2021-01-20T15:43:00Z</dcterms:modified>
</cp:coreProperties>
</file>