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7B8E" w14:textId="2962DBAF" w:rsidR="00A724B9" w:rsidRPr="0042741E" w:rsidRDefault="00A724B9" w:rsidP="001052FF">
      <w:pPr>
        <w:spacing w:line="360" w:lineRule="auto"/>
        <w:jc w:val="both"/>
        <w:rPr>
          <w:rFonts w:ascii="David" w:hAnsi="David" w:cs="David"/>
          <w:color w:val="000000" w:themeColor="text1"/>
          <w:sz w:val="24"/>
          <w:szCs w:val="24"/>
          <w:rtl/>
        </w:rPr>
      </w:pPr>
      <w:r w:rsidRPr="000F56C7">
        <w:rPr>
          <w:rFonts w:ascii="David" w:hAnsi="David" w:cs="David"/>
          <w:color w:val="000000" w:themeColor="text1"/>
          <w:sz w:val="24"/>
          <w:szCs w:val="24"/>
          <w:rtl/>
        </w:rPr>
        <w:t xml:space="preserve">בהתאם </w:t>
      </w:r>
      <w:r w:rsidRPr="00A724B9">
        <w:rPr>
          <w:rFonts w:ascii="David" w:hAnsi="David" w:cs="David"/>
          <w:color w:val="000000" w:themeColor="text1"/>
          <w:sz w:val="24"/>
          <w:szCs w:val="24"/>
          <w:u w:val="single"/>
          <w:rtl/>
        </w:rPr>
        <w:t>לס' 1 לחשבד"ר</w:t>
      </w:r>
      <w:r w:rsidRPr="000F56C7">
        <w:rPr>
          <w:rFonts w:ascii="David" w:hAnsi="David" w:cs="David"/>
          <w:color w:val="000000" w:themeColor="text1"/>
          <w:sz w:val="24"/>
          <w:szCs w:val="24"/>
          <w:rtl/>
        </w:rPr>
        <w:t>, לביד"ר</w:t>
      </w:r>
      <w:r w:rsidRPr="0056498C">
        <w:rPr>
          <w:rFonts w:ascii="David" w:hAnsi="David" w:cs="David"/>
          <w:b/>
          <w:bCs/>
          <w:color w:val="000000" w:themeColor="text1"/>
          <w:sz w:val="24"/>
          <w:szCs w:val="24"/>
          <w:rtl/>
        </w:rPr>
        <w:t xml:space="preserve"> סמכות</w:t>
      </w:r>
      <w:r w:rsidRPr="000F56C7">
        <w:rPr>
          <w:rFonts w:ascii="David" w:hAnsi="David" w:cs="David"/>
          <w:color w:val="000000" w:themeColor="text1"/>
          <w:sz w:val="24"/>
          <w:szCs w:val="24"/>
          <w:rtl/>
        </w:rPr>
        <w:t xml:space="preserve"> </w:t>
      </w:r>
      <w:r w:rsidRPr="0056498C">
        <w:rPr>
          <w:rFonts w:ascii="David" w:hAnsi="David" w:cs="David"/>
          <w:b/>
          <w:bCs/>
          <w:color w:val="000000" w:themeColor="text1"/>
          <w:sz w:val="24"/>
          <w:szCs w:val="24"/>
          <w:rtl/>
        </w:rPr>
        <w:t>דיון ייחודית</w:t>
      </w:r>
      <w:r w:rsidRPr="000F56C7">
        <w:rPr>
          <w:rFonts w:ascii="David" w:hAnsi="David" w:cs="David"/>
          <w:color w:val="000000" w:themeColor="text1"/>
          <w:sz w:val="24"/>
          <w:szCs w:val="24"/>
          <w:rtl/>
        </w:rPr>
        <w:t xml:space="preserve"> </w:t>
      </w:r>
      <w:r w:rsidRPr="00A724B9">
        <w:rPr>
          <w:rFonts w:ascii="David" w:hAnsi="David" w:cs="David"/>
          <w:color w:val="000000" w:themeColor="text1"/>
          <w:sz w:val="24"/>
          <w:szCs w:val="24"/>
          <w:rtl/>
        </w:rPr>
        <w:t>בנושא הגירושין</w:t>
      </w:r>
      <w:r w:rsidRPr="000F56C7">
        <w:rPr>
          <w:rFonts w:ascii="David" w:hAnsi="David" w:cs="David"/>
          <w:color w:val="000000" w:themeColor="text1"/>
          <w:sz w:val="24"/>
          <w:szCs w:val="24"/>
          <w:rtl/>
        </w:rPr>
        <w:t xml:space="preserve"> כחלק מהזיקה העניינית</w:t>
      </w:r>
      <w:r>
        <w:rPr>
          <w:rFonts w:ascii="David" w:hAnsi="David" w:cs="David" w:hint="cs"/>
          <w:color w:val="000000" w:themeColor="text1"/>
          <w:sz w:val="24"/>
          <w:szCs w:val="24"/>
          <w:rtl/>
        </w:rPr>
        <w:t>.</w:t>
      </w:r>
      <w:r w:rsidRPr="000F56C7">
        <w:rPr>
          <w:rFonts w:ascii="David" w:hAnsi="David" w:cs="David"/>
          <w:color w:val="000000" w:themeColor="text1"/>
          <w:sz w:val="24"/>
          <w:szCs w:val="24"/>
          <w:rtl/>
        </w:rPr>
        <w:t xml:space="preserve"> מכיוון </w:t>
      </w:r>
      <w:r>
        <w:rPr>
          <w:rFonts w:ascii="David" w:hAnsi="David" w:cs="David" w:hint="cs"/>
          <w:color w:val="000000" w:themeColor="text1"/>
          <w:sz w:val="24"/>
          <w:szCs w:val="24"/>
          <w:rtl/>
        </w:rPr>
        <w:t>שעידית ויוגב</w:t>
      </w:r>
      <w:r w:rsidRPr="000F56C7">
        <w:rPr>
          <w:rFonts w:ascii="David" w:hAnsi="David" w:cs="David"/>
          <w:color w:val="000000" w:themeColor="text1"/>
          <w:sz w:val="24"/>
          <w:szCs w:val="24"/>
          <w:rtl/>
        </w:rPr>
        <w:t xml:space="preserve"> מקיימים את תנאי הסעיף: יהודים- מקיימים את הזיקה הדתית, החיים בישראל- זיקה טריטוריאלית, אזרחי המדינה או תושביה- בעלי זיקה פרסונאלית.</w:t>
      </w:r>
      <w:r w:rsidR="0056498C">
        <w:rPr>
          <w:rFonts w:ascii="David" w:eastAsia="Calibri" w:hAnsi="David" w:cs="David" w:hint="cs"/>
          <w:color w:val="000000" w:themeColor="text1"/>
          <w:sz w:val="24"/>
          <w:szCs w:val="24"/>
          <w:rtl/>
        </w:rPr>
        <w:t xml:space="preserve"> </w:t>
      </w:r>
      <w:r w:rsidR="0056498C">
        <w:rPr>
          <w:rFonts w:ascii="David" w:hAnsi="David" w:cs="David" w:hint="cs"/>
          <w:color w:val="000000" w:themeColor="text1"/>
          <w:sz w:val="24"/>
          <w:szCs w:val="24"/>
          <w:rtl/>
        </w:rPr>
        <w:t xml:space="preserve">באופן עקרוני נקבע </w:t>
      </w:r>
      <w:r w:rsidR="0056498C">
        <w:rPr>
          <w:rFonts w:ascii="David" w:hAnsi="David" w:cs="David" w:hint="cs"/>
          <w:color w:val="000000" w:themeColor="text1"/>
          <w:sz w:val="24"/>
          <w:szCs w:val="24"/>
          <w:rtl/>
        </w:rPr>
        <w:t xml:space="preserve">בפס"ד בני נוח </w:t>
      </w:r>
      <w:r w:rsidR="0056498C">
        <w:rPr>
          <w:rFonts w:ascii="David" w:hAnsi="David" w:cs="David" w:hint="cs"/>
          <w:color w:val="000000" w:themeColor="text1"/>
          <w:sz w:val="24"/>
          <w:szCs w:val="24"/>
          <w:rtl/>
        </w:rPr>
        <w:t>כי יש צורך בפס"ד המורה על סיום הנישואין. אלא שחלק ניכר מבד"ר בכל זאת דורשים גט גם בנישואין אזרחיים.</w:t>
      </w:r>
    </w:p>
    <w:p w14:paraId="28533A47" w14:textId="11072290" w:rsidR="00A724B9" w:rsidRPr="0042741E" w:rsidRDefault="00A724B9" w:rsidP="000A4372">
      <w:pPr>
        <w:pStyle w:val="ListParagraph"/>
        <w:tabs>
          <w:tab w:val="right" w:pos="8306"/>
        </w:tabs>
        <w:spacing w:line="360" w:lineRule="auto"/>
        <w:ind w:left="0"/>
        <w:jc w:val="both"/>
        <w:rPr>
          <w:rFonts w:ascii="David" w:hAnsi="David" w:cs="David"/>
          <w:color w:val="000000" w:themeColor="text1"/>
          <w:sz w:val="24"/>
          <w:szCs w:val="24"/>
          <w:rtl/>
        </w:rPr>
      </w:pPr>
      <w:r w:rsidRPr="00A724B9">
        <w:rPr>
          <w:rFonts w:ascii="David" w:hAnsi="David" w:cs="David" w:hint="cs"/>
          <w:b/>
          <w:bCs/>
          <w:sz w:val="24"/>
          <w:szCs w:val="24"/>
          <w:rtl/>
        </w:rPr>
        <w:t>בג"ץ בני נוח</w:t>
      </w:r>
      <w:r w:rsidRPr="00170EA3">
        <w:rPr>
          <w:rFonts w:ascii="David" w:hAnsi="David" w:cs="David" w:hint="cs"/>
          <w:sz w:val="24"/>
          <w:szCs w:val="24"/>
          <w:rtl/>
        </w:rPr>
        <w:t xml:space="preserve"> מתקבלת העמדה לפיה בבחינת תוקף הנישואין יש לפנות לכללי המשפט הבינ"ל הפרטי האנגליים, שנקלטו </w:t>
      </w:r>
      <w:r w:rsidRPr="000B6132">
        <w:rPr>
          <w:rFonts w:ascii="David" w:hAnsi="David" w:cs="David" w:hint="cs"/>
          <w:sz w:val="24"/>
          <w:szCs w:val="24"/>
          <w:rtl/>
        </w:rPr>
        <w:t xml:space="preserve">במשפט הישראלי דרך </w:t>
      </w:r>
      <w:r w:rsidRPr="00A724B9">
        <w:rPr>
          <w:rFonts w:ascii="David" w:hAnsi="David" w:cs="David" w:hint="cs"/>
          <w:sz w:val="24"/>
          <w:szCs w:val="24"/>
          <w:u w:val="single"/>
          <w:rtl/>
        </w:rPr>
        <w:t>סימן 46 לדברה"מ</w:t>
      </w:r>
      <w:r w:rsidRPr="000B6132">
        <w:rPr>
          <w:rFonts w:ascii="David" w:hAnsi="David" w:cs="David" w:hint="cs"/>
          <w:sz w:val="24"/>
          <w:szCs w:val="24"/>
          <w:rtl/>
        </w:rPr>
        <w:t>. בשאלת כשרות הצדדים להנשא מוחל חוק אזרחותם של בניה"ז בעת עריכת הנישואין- כללי ברירת הדין בישראל. בשאלות של צורת הטקס מוחל חוק מקום עריכת הנישואין.</w:t>
      </w:r>
      <w:r>
        <w:rPr>
          <w:rFonts w:ascii="David" w:eastAsia="Calibri" w:hAnsi="David" w:cs="David" w:hint="cs"/>
          <w:color w:val="000000" w:themeColor="text1"/>
          <w:sz w:val="24"/>
          <w:szCs w:val="24"/>
          <w:rtl/>
        </w:rPr>
        <w:t xml:space="preserve"> </w:t>
      </w:r>
      <w:bookmarkStart w:id="0" w:name="_Hlk44851502"/>
      <w:r w:rsidRPr="00A724B9">
        <w:rPr>
          <w:rFonts w:ascii="David" w:hAnsi="David" w:cs="David"/>
          <w:b/>
          <w:bCs/>
          <w:color w:val="000000" w:themeColor="text1"/>
          <w:sz w:val="24"/>
          <w:szCs w:val="24"/>
          <w:rtl/>
        </w:rPr>
        <w:t>פס"ד פונק שלזינגר ובן-ארי ושומן</w:t>
      </w:r>
      <w:r w:rsidRPr="000F56C7">
        <w:rPr>
          <w:rFonts w:ascii="David" w:hAnsi="David" w:cs="David"/>
          <w:color w:val="000000" w:themeColor="text1"/>
          <w:sz w:val="24"/>
          <w:szCs w:val="24"/>
          <w:rtl/>
        </w:rPr>
        <w:t xml:space="preserve"> </w:t>
      </w:r>
      <w:r>
        <w:rPr>
          <w:rFonts w:ascii="David" w:hAnsi="David" w:cs="David" w:hint="cs"/>
          <w:color w:val="000000" w:themeColor="text1"/>
          <w:sz w:val="24"/>
          <w:szCs w:val="24"/>
          <w:rtl/>
        </w:rPr>
        <w:t xml:space="preserve">הוכרע כי </w:t>
      </w:r>
      <w:r w:rsidRPr="000F56C7">
        <w:rPr>
          <w:rFonts w:ascii="David" w:hAnsi="David" w:cs="David"/>
          <w:color w:val="000000" w:themeColor="text1"/>
          <w:sz w:val="24"/>
          <w:szCs w:val="24"/>
          <w:rtl/>
        </w:rPr>
        <w:t>יש להבחין בין תוקף הנישואין לבין רישומם. אין זה מתפקידו של פקיד הרישום ליתן דעתו על תוקף הנישואין אלא עליו לרושמם אם הובאה לפניו ראיה שנערך טקס נישואין. לעניין רישום הנישואין, במידה ובניה"ז נישאו במדינה המכירה בנישואין אזרחיים קיימת חובה לרושמם- השיטה האמריקאית</w:t>
      </w:r>
      <w:bookmarkEnd w:id="0"/>
      <w:r w:rsidRPr="000F56C7">
        <w:rPr>
          <w:rFonts w:ascii="David" w:hAnsi="David" w:cs="David"/>
          <w:color w:val="000000" w:themeColor="text1"/>
          <w:sz w:val="24"/>
          <w:szCs w:val="24"/>
          <w:rtl/>
        </w:rPr>
        <w:t>. בניה"ז נישאו ב</w:t>
      </w:r>
      <w:r>
        <w:rPr>
          <w:rFonts w:ascii="David" w:hAnsi="David" w:cs="David" w:hint="cs"/>
          <w:color w:val="000000" w:themeColor="text1"/>
          <w:sz w:val="24"/>
          <w:szCs w:val="24"/>
          <w:rtl/>
        </w:rPr>
        <w:t>קפריסין</w:t>
      </w:r>
      <w:r w:rsidRPr="000F56C7">
        <w:rPr>
          <w:rFonts w:ascii="David" w:hAnsi="David" w:cs="David"/>
          <w:color w:val="000000" w:themeColor="text1"/>
          <w:sz w:val="24"/>
          <w:szCs w:val="24"/>
          <w:rtl/>
        </w:rPr>
        <w:t>, מדינה המכי</w:t>
      </w:r>
      <w:r>
        <w:rPr>
          <w:rFonts w:ascii="David" w:hAnsi="David" w:cs="David" w:hint="cs"/>
          <w:color w:val="000000" w:themeColor="text1"/>
          <w:sz w:val="24"/>
          <w:szCs w:val="24"/>
          <w:rtl/>
        </w:rPr>
        <w:t>ר</w:t>
      </w:r>
      <w:r w:rsidRPr="000F56C7">
        <w:rPr>
          <w:rFonts w:ascii="David" w:hAnsi="David" w:cs="David"/>
          <w:color w:val="000000" w:themeColor="text1"/>
          <w:sz w:val="24"/>
          <w:szCs w:val="24"/>
          <w:rtl/>
        </w:rPr>
        <w:t xml:space="preserve">ה בטקס נישואין מסוג זה. לכן, </w:t>
      </w:r>
      <w:r w:rsidRPr="00A724B9">
        <w:rPr>
          <w:rFonts w:ascii="David" w:hAnsi="David" w:cs="David"/>
          <w:color w:val="000000" w:themeColor="text1"/>
          <w:sz w:val="24"/>
          <w:szCs w:val="24"/>
          <w:u w:val="single"/>
          <w:rtl/>
        </w:rPr>
        <w:t>הנישואין תקפים לצורך הרישום</w:t>
      </w:r>
      <w:r w:rsidRPr="000F56C7">
        <w:rPr>
          <w:rFonts w:ascii="David" w:hAnsi="David" w:cs="David"/>
          <w:color w:val="000000" w:themeColor="text1"/>
          <w:sz w:val="24"/>
          <w:szCs w:val="24"/>
          <w:rtl/>
        </w:rPr>
        <w:t>, בניה"ז יציגו בפניו את תעודת הנישואין שלהם, מכאן שברור שהמשך הדיון צריל להתנהל בהתאם להנחה שהנישואין נרשמו.</w:t>
      </w:r>
    </w:p>
    <w:p w14:paraId="4B67A867" w14:textId="48C9F5D8" w:rsidR="002F28C1" w:rsidRDefault="00A724B9" w:rsidP="000A4372">
      <w:pPr>
        <w:spacing w:line="360" w:lineRule="auto"/>
        <w:jc w:val="both"/>
        <w:rPr>
          <w:rFonts w:ascii="David" w:hAnsi="David" w:cs="David"/>
          <w:color w:val="000000" w:themeColor="text1"/>
          <w:sz w:val="24"/>
          <w:szCs w:val="24"/>
          <w:rtl/>
        </w:rPr>
      </w:pPr>
      <w:r w:rsidRPr="000F56C7">
        <w:rPr>
          <w:rFonts w:ascii="David" w:eastAsia="Calibri" w:hAnsi="David" w:cs="David"/>
          <w:color w:val="000000" w:themeColor="text1"/>
          <w:sz w:val="24"/>
          <w:szCs w:val="24"/>
          <w:u w:val="single"/>
          <w:rtl/>
        </w:rPr>
        <w:t>הבקשה ליישוב סכסוך</w:t>
      </w:r>
      <w:r w:rsidRPr="000F56C7">
        <w:rPr>
          <w:rFonts w:ascii="David" w:eastAsia="Calibri" w:hAnsi="David" w:cs="David"/>
          <w:color w:val="000000" w:themeColor="text1"/>
          <w:sz w:val="24"/>
          <w:szCs w:val="24"/>
          <w:rtl/>
        </w:rPr>
        <w:t xml:space="preserve"> ליחידת הסיוע בהתאם לחוק הסדר התדיינות בסכסוכי משפחה (הוראת שעה).</w:t>
      </w:r>
      <w:r w:rsidRPr="000F56C7">
        <w:rPr>
          <w:rFonts w:ascii="David" w:hAnsi="David" w:cs="David" w:hint="cs"/>
          <w:color w:val="000000" w:themeColor="text1"/>
          <w:sz w:val="24"/>
          <w:szCs w:val="24"/>
          <w:rtl/>
        </w:rPr>
        <w:t xml:space="preserve"> </w:t>
      </w:r>
      <w:r w:rsidRPr="000F56C7">
        <w:rPr>
          <w:rFonts w:ascii="David" w:eastAsia="Calibri" w:hAnsi="David" w:cs="David"/>
          <w:color w:val="000000" w:themeColor="text1"/>
          <w:sz w:val="24"/>
          <w:szCs w:val="24"/>
          <w:rtl/>
        </w:rPr>
        <w:t xml:space="preserve">לפי ס' 2 לחוק הוא חל רק במקרה של "תובענה בעניין של סכסוך משפחתי"- </w:t>
      </w:r>
      <w:r w:rsidRPr="002F28C1">
        <w:rPr>
          <w:rFonts w:ascii="David" w:eastAsia="Calibri" w:hAnsi="David" w:cs="David"/>
          <w:color w:val="000000" w:themeColor="text1"/>
          <w:sz w:val="24"/>
          <w:szCs w:val="24"/>
          <w:rtl/>
        </w:rPr>
        <w:t>בעיניינו</w:t>
      </w:r>
      <w:r w:rsidRPr="000F56C7">
        <w:rPr>
          <w:rFonts w:ascii="David" w:eastAsia="Calibri" w:hAnsi="David" w:cs="David"/>
          <w:color w:val="000000" w:themeColor="text1"/>
          <w:sz w:val="24"/>
          <w:szCs w:val="24"/>
          <w:rtl/>
        </w:rPr>
        <w:t xml:space="preserve"> הבקשה </w:t>
      </w:r>
      <w:r w:rsidR="002F28C1">
        <w:rPr>
          <w:rFonts w:ascii="David" w:eastAsia="Calibri" w:hAnsi="David" w:cs="David" w:hint="cs"/>
          <w:color w:val="000000" w:themeColor="text1"/>
          <w:sz w:val="24"/>
          <w:szCs w:val="24"/>
          <w:rtl/>
        </w:rPr>
        <w:t>ל</w:t>
      </w:r>
      <w:r w:rsidRPr="000F56C7">
        <w:rPr>
          <w:rFonts w:ascii="David" w:eastAsia="Calibri" w:hAnsi="David" w:cs="David"/>
          <w:color w:val="000000" w:themeColor="text1"/>
          <w:sz w:val="24"/>
          <w:szCs w:val="24"/>
          <w:rtl/>
        </w:rPr>
        <w:t>גירושי</w:t>
      </w:r>
      <w:r w:rsidR="002F28C1">
        <w:rPr>
          <w:rFonts w:ascii="David" w:eastAsia="Calibri" w:hAnsi="David" w:cs="David" w:hint="cs"/>
          <w:color w:val="000000" w:themeColor="text1"/>
          <w:sz w:val="24"/>
          <w:szCs w:val="24"/>
          <w:rtl/>
        </w:rPr>
        <w:t>ן.</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לא נתון אם הבקשה כללה עובדות ביחס לסכסוך.</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 xml:space="preserve">נערכו ארבע פגישות מהו"ת כנדרש בסעיף 3(ב)[1]-[2] לחוק. בסופן הומלץ על הליך </w:t>
      </w:r>
      <w:r w:rsidR="002F28C1">
        <w:rPr>
          <w:rFonts w:ascii="David" w:hAnsi="David" w:cs="David" w:hint="cs"/>
          <w:color w:val="000000" w:themeColor="text1"/>
          <w:sz w:val="24"/>
          <w:szCs w:val="24"/>
          <w:rtl/>
        </w:rPr>
        <w:t>חלופי</w:t>
      </w:r>
      <w:r w:rsidRPr="000F56C7">
        <w:rPr>
          <w:rFonts w:ascii="David" w:hAnsi="David" w:cs="David"/>
          <w:color w:val="000000" w:themeColor="text1"/>
          <w:sz w:val="24"/>
          <w:szCs w:val="24"/>
          <w:rtl/>
        </w:rPr>
        <w:t xml:space="preserve"> עבור הזוג ולאחר עשרה ימים החליטו שאינם מעוניינים בהליך חלופי, זכותם זו קבועה בסעיף 3(ד) לחוק.</w:t>
      </w:r>
      <w:r w:rsidR="002F28C1">
        <w:rPr>
          <w:rFonts w:ascii="David" w:hAnsi="David" w:cs="David" w:hint="cs"/>
          <w:color w:val="000000" w:themeColor="text1"/>
          <w:sz w:val="24"/>
          <w:szCs w:val="24"/>
          <w:rtl/>
        </w:rPr>
        <w:t xml:space="preserve"> יוגב</w:t>
      </w:r>
      <w:r w:rsidRPr="000F56C7">
        <w:rPr>
          <w:rFonts w:ascii="David" w:hAnsi="David" w:cs="David"/>
          <w:color w:val="000000" w:themeColor="text1"/>
          <w:sz w:val="24"/>
          <w:szCs w:val="24"/>
          <w:rtl/>
        </w:rPr>
        <w:t xml:space="preserve"> חיכה חמישה עשר ימים </w:t>
      </w:r>
      <w:r w:rsidRPr="002F28C1">
        <w:rPr>
          <w:rFonts w:ascii="David" w:hAnsi="David" w:cs="David"/>
          <w:b/>
          <w:bCs/>
          <w:color w:val="000000" w:themeColor="text1"/>
          <w:sz w:val="24"/>
          <w:szCs w:val="24"/>
          <w:rtl/>
        </w:rPr>
        <w:t>כתקופת הצינון</w:t>
      </w:r>
      <w:r w:rsidRPr="000F56C7">
        <w:rPr>
          <w:rFonts w:ascii="David" w:hAnsi="David" w:cs="David"/>
          <w:color w:val="000000" w:themeColor="text1"/>
          <w:sz w:val="24"/>
          <w:szCs w:val="24"/>
          <w:rtl/>
        </w:rPr>
        <w:t xml:space="preserve"> המנויה בסעיף 3(ה). </w:t>
      </w:r>
      <w:r w:rsidR="002F28C1">
        <w:rPr>
          <w:rFonts w:ascii="David" w:hAnsi="David" w:cs="David" w:hint="cs"/>
          <w:color w:val="000000" w:themeColor="text1"/>
          <w:sz w:val="24"/>
          <w:szCs w:val="24"/>
          <w:rtl/>
        </w:rPr>
        <w:t>יוגב</w:t>
      </w:r>
      <w:r w:rsidRPr="000F56C7">
        <w:rPr>
          <w:rFonts w:ascii="David" w:hAnsi="David" w:cs="David"/>
          <w:color w:val="000000" w:themeColor="text1"/>
          <w:sz w:val="24"/>
          <w:szCs w:val="24"/>
          <w:rtl/>
        </w:rPr>
        <w:t xml:space="preserve"> </w:t>
      </w:r>
      <w:r w:rsidR="002F28C1">
        <w:rPr>
          <w:rFonts w:ascii="David" w:hAnsi="David" w:cs="David" w:hint="cs"/>
          <w:color w:val="000000" w:themeColor="text1"/>
          <w:sz w:val="24"/>
          <w:szCs w:val="24"/>
          <w:rtl/>
        </w:rPr>
        <w:t>השתמש</w:t>
      </w:r>
      <w:r w:rsidRPr="000F56C7">
        <w:rPr>
          <w:rFonts w:ascii="David" w:hAnsi="David" w:cs="David"/>
          <w:color w:val="000000" w:themeColor="text1"/>
          <w:sz w:val="24"/>
          <w:szCs w:val="24"/>
          <w:rtl/>
        </w:rPr>
        <w:t xml:space="preserve"> </w:t>
      </w:r>
      <w:r w:rsidRPr="002F28C1">
        <w:rPr>
          <w:rFonts w:ascii="David" w:hAnsi="David" w:cs="David"/>
          <w:b/>
          <w:bCs/>
          <w:color w:val="000000" w:themeColor="text1"/>
          <w:sz w:val="24"/>
          <w:szCs w:val="24"/>
          <w:rtl/>
        </w:rPr>
        <w:t>בזכות הקדימ</w:t>
      </w:r>
      <w:r w:rsidRPr="002F28C1">
        <w:rPr>
          <w:rFonts w:ascii="David" w:hAnsi="David" w:cs="David" w:hint="cs"/>
          <w:b/>
          <w:bCs/>
          <w:color w:val="000000" w:themeColor="text1"/>
          <w:sz w:val="24"/>
          <w:szCs w:val="24"/>
          <w:rtl/>
        </w:rPr>
        <w:t>ה</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שניתנה ל</w:t>
      </w:r>
      <w:r w:rsidR="002F28C1">
        <w:rPr>
          <w:rFonts w:ascii="David" w:hAnsi="David" w:cs="David" w:hint="cs"/>
          <w:color w:val="000000" w:themeColor="text1"/>
          <w:sz w:val="24"/>
          <w:szCs w:val="24"/>
          <w:rtl/>
        </w:rPr>
        <w:t>ו</w:t>
      </w:r>
      <w:r w:rsidRPr="000F56C7">
        <w:rPr>
          <w:rFonts w:ascii="David" w:hAnsi="David" w:cs="David"/>
          <w:color w:val="000000" w:themeColor="text1"/>
          <w:sz w:val="24"/>
          <w:szCs w:val="24"/>
          <w:rtl/>
        </w:rPr>
        <w:t xml:space="preserve"> מכוח סעיף 4</w:t>
      </w:r>
      <w:r w:rsidR="002F28C1">
        <w:rPr>
          <w:rFonts w:ascii="David" w:hAnsi="David" w:cs="David" w:hint="cs"/>
          <w:color w:val="000000" w:themeColor="text1"/>
          <w:sz w:val="24"/>
          <w:szCs w:val="24"/>
          <w:rtl/>
        </w:rPr>
        <w:t>.</w:t>
      </w:r>
    </w:p>
    <w:p w14:paraId="25F4F8A7" w14:textId="77777777" w:rsidR="0042741E" w:rsidRDefault="002F28C1" w:rsidP="000A4372">
      <w:pPr>
        <w:spacing w:line="360" w:lineRule="auto"/>
        <w:jc w:val="both"/>
        <w:rPr>
          <w:rFonts w:ascii="David" w:hAnsi="David" w:cs="David"/>
          <w:color w:val="000000" w:themeColor="text1"/>
          <w:sz w:val="24"/>
          <w:szCs w:val="24"/>
          <w:u w:val="single"/>
          <w:rtl/>
        </w:rPr>
      </w:pPr>
      <w:r w:rsidRPr="009E0F3F">
        <w:rPr>
          <w:rFonts w:ascii="David" w:hAnsi="David" w:cs="David" w:hint="cs"/>
          <w:color w:val="000000" w:themeColor="text1"/>
          <w:sz w:val="24"/>
          <w:szCs w:val="24"/>
          <w:u w:val="single"/>
          <w:rtl/>
        </w:rPr>
        <w:t>תביעת גירושין כנה</w:t>
      </w:r>
      <w:r>
        <w:rPr>
          <w:rFonts w:ascii="David" w:hAnsi="David" w:cs="David" w:hint="cs"/>
          <w:color w:val="000000" w:themeColor="text1"/>
          <w:sz w:val="24"/>
          <w:szCs w:val="24"/>
          <w:rtl/>
        </w:rPr>
        <w:t xml:space="preserve"> </w:t>
      </w:r>
      <w:r>
        <w:rPr>
          <w:rFonts w:ascii="David" w:hAnsi="David" w:cs="David"/>
          <w:sz w:val="24"/>
          <w:szCs w:val="24"/>
          <w:rtl/>
        </w:rPr>
        <w:t>–</w:t>
      </w:r>
      <w:r>
        <w:rPr>
          <w:rFonts w:ascii="David" w:hAnsi="David" w:cs="David" w:hint="cs"/>
          <w:sz w:val="24"/>
          <w:szCs w:val="24"/>
          <w:rtl/>
        </w:rPr>
        <w:t xml:space="preserve"> לפי</w:t>
      </w:r>
      <w:r w:rsidRPr="000F56C7">
        <w:rPr>
          <w:rFonts w:ascii="David" w:hAnsi="David" w:cs="David"/>
          <w:color w:val="000000" w:themeColor="text1"/>
          <w:sz w:val="24"/>
          <w:szCs w:val="24"/>
          <w:rtl/>
        </w:rPr>
        <w:t xml:space="preserve"> </w:t>
      </w:r>
      <w:r w:rsidRPr="009E0F3F">
        <w:rPr>
          <w:rFonts w:ascii="David" w:hAnsi="David" w:cs="David"/>
          <w:b/>
          <w:bCs/>
          <w:color w:val="000000" w:themeColor="text1"/>
          <w:sz w:val="24"/>
          <w:szCs w:val="24"/>
          <w:rtl/>
        </w:rPr>
        <w:t>פס"ד תורגמן</w:t>
      </w:r>
      <w:r w:rsidRPr="009E0F3F">
        <w:rPr>
          <w:rFonts w:ascii="David" w:hAnsi="David" w:cs="David" w:hint="cs"/>
          <w:color w:val="000000" w:themeColor="text1"/>
          <w:sz w:val="24"/>
          <w:szCs w:val="24"/>
          <w:rtl/>
        </w:rPr>
        <w:t xml:space="preserve"> יש צורך בעילת גירושין הלכתית</w:t>
      </w:r>
      <w:r w:rsidR="009E0F3F" w:rsidRPr="009E0F3F">
        <w:rPr>
          <w:rFonts w:ascii="David" w:hAnsi="David" w:cs="David" w:hint="cs"/>
          <w:color w:val="000000" w:themeColor="text1"/>
          <w:sz w:val="24"/>
          <w:szCs w:val="24"/>
          <w:rtl/>
        </w:rPr>
        <w:t>,</w:t>
      </w:r>
      <w:r w:rsidRPr="009E0F3F">
        <w:rPr>
          <w:rFonts w:ascii="David" w:hAnsi="David" w:cs="David" w:hint="cs"/>
          <w:color w:val="000000" w:themeColor="text1"/>
          <w:sz w:val="24"/>
          <w:szCs w:val="24"/>
          <w:rtl/>
        </w:rPr>
        <w:t xml:space="preserve"> </w:t>
      </w:r>
      <w:r w:rsidR="009E0F3F" w:rsidRPr="009E0F3F">
        <w:rPr>
          <w:rFonts w:ascii="David" w:hAnsi="David" w:cs="David" w:hint="cs"/>
          <w:sz w:val="24"/>
          <w:szCs w:val="24"/>
          <w:rtl/>
        </w:rPr>
        <w:t>ריבים רבים</w:t>
      </w:r>
      <w:r w:rsidR="009E0F3F" w:rsidRPr="009E0F3F">
        <w:rPr>
          <w:rFonts w:ascii="David" w:hAnsi="David" w:cs="David"/>
          <w:sz w:val="24"/>
          <w:szCs w:val="24"/>
          <w:rtl/>
        </w:rPr>
        <w:t xml:space="preserve"> וחוסר עזרה במטלות הבית לא מהווים עילת גירושין</w:t>
      </w:r>
      <w:r w:rsidR="009E0F3F" w:rsidRPr="009E0F3F">
        <w:rPr>
          <w:rFonts w:ascii="David" w:hAnsi="David" w:cs="David" w:hint="cs"/>
          <w:sz w:val="24"/>
          <w:szCs w:val="24"/>
          <w:rtl/>
        </w:rPr>
        <w:t>.</w:t>
      </w:r>
      <w:r w:rsidR="009E0F3F">
        <w:rPr>
          <w:rFonts w:ascii="David" w:hAnsi="David" w:cs="David" w:hint="cs"/>
          <w:color w:val="000000" w:themeColor="text1"/>
          <w:sz w:val="24"/>
          <w:szCs w:val="24"/>
          <w:rtl/>
        </w:rPr>
        <w:t xml:space="preserve"> אך, </w:t>
      </w:r>
      <w:r>
        <w:rPr>
          <w:rFonts w:ascii="David" w:hAnsi="David" w:cs="David" w:hint="cs"/>
          <w:color w:val="000000" w:themeColor="text1"/>
          <w:sz w:val="24"/>
          <w:szCs w:val="24"/>
          <w:rtl/>
        </w:rPr>
        <w:t xml:space="preserve">ניתן לטעון כי מדובר בנישואין אזרחיים ולכן אין צורך בעילת גירושין הלכתית אלא די </w:t>
      </w:r>
      <w:r w:rsidRPr="009E0F3F">
        <w:rPr>
          <w:rFonts w:ascii="David" w:hAnsi="David" w:cs="David" w:hint="cs"/>
          <w:b/>
          <w:bCs/>
          <w:color w:val="000000" w:themeColor="text1"/>
          <w:sz w:val="24"/>
          <w:szCs w:val="24"/>
          <w:rtl/>
        </w:rPr>
        <w:t>בקרע שאינו ניתן</w:t>
      </w:r>
      <w:r>
        <w:rPr>
          <w:rFonts w:ascii="David" w:hAnsi="David" w:cs="David" w:hint="cs"/>
          <w:color w:val="000000" w:themeColor="text1"/>
          <w:sz w:val="24"/>
          <w:szCs w:val="24"/>
          <w:rtl/>
        </w:rPr>
        <w:t xml:space="preserve"> לאיחוי בהתאם לפס"ד בני בנוח.</w:t>
      </w:r>
      <w:r w:rsidR="0056498C">
        <w:rPr>
          <w:rFonts w:ascii="David" w:hAnsi="David" w:cs="David" w:hint="cs"/>
          <w:color w:val="000000" w:themeColor="text1"/>
          <w:sz w:val="24"/>
          <w:szCs w:val="24"/>
          <w:rtl/>
        </w:rPr>
        <w:t xml:space="preserve"> </w:t>
      </w:r>
      <w:r w:rsidR="001752A9" w:rsidRPr="000400C6">
        <w:rPr>
          <w:rFonts w:ascii="David" w:hAnsi="David" w:cs="David" w:hint="cs"/>
          <w:sz w:val="24"/>
          <w:szCs w:val="24"/>
          <w:rtl/>
        </w:rPr>
        <w:t xml:space="preserve">תביעת הגירושין אינה כנה כלל כיוון שיוגב אינו רוצה להתגרש הוא מעוניין לסחוט כספים על הילדים בלבד. </w:t>
      </w:r>
      <w:r w:rsidR="001752A9" w:rsidRPr="001752A9">
        <w:rPr>
          <w:rFonts w:ascii="David" w:hAnsi="David" w:cs="David"/>
          <w:color w:val="000000" w:themeColor="text1"/>
          <w:sz w:val="24"/>
          <w:szCs w:val="24"/>
          <w:rtl/>
        </w:rPr>
        <w:t xml:space="preserve">אם יקבע כי התביעה אינה כנה אזי נפל כל הכרוך ופתוחה הדרך בפני </w:t>
      </w:r>
      <w:r w:rsidR="001752A9" w:rsidRPr="001752A9">
        <w:rPr>
          <w:rFonts w:ascii="David" w:hAnsi="David" w:cs="David" w:hint="cs"/>
          <w:color w:val="000000" w:themeColor="text1"/>
          <w:sz w:val="24"/>
          <w:szCs w:val="24"/>
          <w:rtl/>
        </w:rPr>
        <w:t>עידית</w:t>
      </w:r>
      <w:r w:rsidR="001752A9" w:rsidRPr="001752A9">
        <w:rPr>
          <w:rFonts w:ascii="David" w:hAnsi="David" w:cs="David"/>
          <w:color w:val="000000" w:themeColor="text1"/>
          <w:sz w:val="24"/>
          <w:szCs w:val="24"/>
          <w:rtl/>
        </w:rPr>
        <w:t xml:space="preserve"> לפנות לביהמ"ש לענייני משפחה</w:t>
      </w:r>
      <w:r w:rsidR="001752A9" w:rsidRPr="001752A9">
        <w:rPr>
          <w:rFonts w:ascii="David" w:hAnsi="David" w:cs="David" w:hint="cs"/>
          <w:color w:val="000000" w:themeColor="text1"/>
          <w:sz w:val="24"/>
          <w:szCs w:val="24"/>
          <w:rtl/>
        </w:rPr>
        <w:t>.</w:t>
      </w:r>
      <w:r w:rsidR="0056498C">
        <w:rPr>
          <w:rFonts w:ascii="David" w:hAnsi="David" w:cs="David" w:hint="cs"/>
          <w:color w:val="000000" w:themeColor="text1"/>
          <w:sz w:val="24"/>
          <w:szCs w:val="24"/>
          <w:rtl/>
        </w:rPr>
        <w:t xml:space="preserve"> </w:t>
      </w:r>
      <w:r w:rsidR="0042741E">
        <w:rPr>
          <w:rFonts w:ascii="David" w:hAnsi="David" w:cs="David" w:hint="cs"/>
          <w:color w:val="000000" w:themeColor="text1"/>
          <w:sz w:val="24"/>
          <w:szCs w:val="24"/>
          <w:u w:val="single"/>
          <w:rtl/>
        </w:rPr>
        <w:t>כ</w:t>
      </w:r>
      <w:r w:rsidR="0056498C" w:rsidRPr="0056498C">
        <w:rPr>
          <w:rFonts w:ascii="David" w:hAnsi="David" w:cs="David" w:hint="cs"/>
          <w:color w:val="000000" w:themeColor="text1"/>
          <w:sz w:val="24"/>
          <w:szCs w:val="24"/>
          <w:u w:val="single"/>
          <w:rtl/>
        </w:rPr>
        <w:t>ריכה כנה</w:t>
      </w:r>
      <w:r w:rsidR="0056498C">
        <w:rPr>
          <w:rFonts w:ascii="David" w:hAnsi="David" w:cs="David" w:hint="cs"/>
          <w:color w:val="000000" w:themeColor="text1"/>
          <w:sz w:val="24"/>
          <w:szCs w:val="24"/>
          <w:rtl/>
        </w:rPr>
        <w:t xml:space="preserve"> </w:t>
      </w:r>
      <w:r w:rsidR="0056498C">
        <w:rPr>
          <w:rFonts w:ascii="David" w:hAnsi="David" w:cs="David"/>
          <w:color w:val="000000" w:themeColor="text1"/>
          <w:sz w:val="24"/>
          <w:szCs w:val="24"/>
          <w:rtl/>
        </w:rPr>
        <w:t>–</w:t>
      </w:r>
      <w:r w:rsidR="0056498C">
        <w:rPr>
          <w:rFonts w:ascii="David" w:hAnsi="David" w:cs="David" w:hint="cs"/>
          <w:color w:val="000000" w:themeColor="text1"/>
          <w:sz w:val="24"/>
          <w:szCs w:val="24"/>
          <w:rtl/>
        </w:rPr>
        <w:t xml:space="preserve"> בג"ץ 5747/03 יש שאלת כנות ותו"ל כיוון והרכוש לא פורט בתביעה. מנגד, פס"ד האנלפבית בג"ץ 2826/14 גם אם יש טעויות פרוצדורליות זה לא נופל לגדר חוסר כנות.</w:t>
      </w:r>
      <w:r w:rsidR="0056498C">
        <w:rPr>
          <w:rFonts w:ascii="David" w:hAnsi="David" w:cs="David" w:hint="cs"/>
          <w:color w:val="000000" w:themeColor="text1"/>
          <w:sz w:val="24"/>
          <w:szCs w:val="24"/>
          <w:rtl/>
        </w:rPr>
        <w:t xml:space="preserve"> </w:t>
      </w:r>
      <w:r w:rsidRPr="0056498C">
        <w:rPr>
          <w:rFonts w:ascii="David" w:hAnsi="David" w:cs="David" w:hint="cs"/>
          <w:color w:val="000000" w:themeColor="text1"/>
          <w:sz w:val="24"/>
          <w:szCs w:val="24"/>
          <w:u w:val="single"/>
          <w:rtl/>
        </w:rPr>
        <w:t>כריכה התבצעה כדין</w:t>
      </w:r>
      <w:r>
        <w:rPr>
          <w:rFonts w:ascii="David" w:hAnsi="David" w:cs="David" w:hint="cs"/>
          <w:color w:val="000000" w:themeColor="text1"/>
          <w:sz w:val="24"/>
          <w:szCs w:val="24"/>
          <w:rtl/>
        </w:rPr>
        <w:t xml:space="preserve"> </w:t>
      </w:r>
      <w:r>
        <w:rPr>
          <w:rFonts w:ascii="David" w:hAnsi="David" w:cs="David"/>
          <w:color w:val="000000" w:themeColor="text1"/>
          <w:sz w:val="24"/>
          <w:szCs w:val="24"/>
          <w:rtl/>
        </w:rPr>
        <w:t>–</w:t>
      </w:r>
      <w:r w:rsidR="0056498C">
        <w:rPr>
          <w:rFonts w:ascii="David" w:hAnsi="David" w:cs="David" w:hint="cs"/>
          <w:color w:val="000000" w:themeColor="text1"/>
          <w:sz w:val="24"/>
          <w:szCs w:val="24"/>
          <w:rtl/>
        </w:rPr>
        <w:t xml:space="preserve"> האוביטר של ברק</w:t>
      </w:r>
      <w:r>
        <w:rPr>
          <w:rFonts w:ascii="David" w:hAnsi="David" w:cs="David" w:hint="cs"/>
          <w:color w:val="000000" w:themeColor="text1"/>
          <w:sz w:val="24"/>
          <w:szCs w:val="24"/>
          <w:rtl/>
        </w:rPr>
        <w:t xml:space="preserve"> בפס"ד בני נוח לא ניתן לכרוך דבר לתביעת הגירושין כשמדובר בנישואין אזרחיים. מנגד, </w:t>
      </w:r>
      <w:r w:rsidRPr="0056498C">
        <w:rPr>
          <w:rFonts w:ascii="David" w:hAnsi="David" w:cs="David" w:hint="cs"/>
          <w:color w:val="000000" w:themeColor="text1"/>
          <w:sz w:val="24"/>
          <w:szCs w:val="24"/>
          <w:rtl/>
        </w:rPr>
        <w:t xml:space="preserve">גישת ביד"ר </w:t>
      </w:r>
      <w:r w:rsidRPr="0056498C">
        <w:rPr>
          <w:rFonts w:ascii="David" w:hAnsi="David" w:cs="David" w:hint="cs"/>
          <w:b/>
          <w:bCs/>
          <w:color w:val="000000" w:themeColor="text1"/>
          <w:sz w:val="24"/>
          <w:szCs w:val="24"/>
          <w:rtl/>
        </w:rPr>
        <w:t>בפס"ד נתניה</w:t>
      </w:r>
      <w:r w:rsidR="0056498C">
        <w:rPr>
          <w:rFonts w:ascii="David" w:hAnsi="David" w:cs="David" w:hint="cs"/>
          <w:b/>
          <w:bCs/>
          <w:color w:val="000000" w:themeColor="text1"/>
          <w:sz w:val="24"/>
          <w:szCs w:val="24"/>
          <w:rtl/>
        </w:rPr>
        <w:t xml:space="preserve"> </w:t>
      </w:r>
      <w:r w:rsidR="0056498C" w:rsidRPr="0056498C">
        <w:rPr>
          <w:rFonts w:ascii="David" w:hAnsi="David" w:cs="David" w:hint="cs"/>
          <w:color w:val="000000" w:themeColor="text1"/>
          <w:sz w:val="24"/>
          <w:szCs w:val="24"/>
          <w:rtl/>
        </w:rPr>
        <w:t>שכורך מכוח מנהג המדינה</w:t>
      </w:r>
      <w:r>
        <w:rPr>
          <w:rFonts w:ascii="David" w:hAnsi="David" w:cs="David" w:hint="cs"/>
          <w:color w:val="000000" w:themeColor="text1"/>
          <w:sz w:val="24"/>
          <w:szCs w:val="24"/>
          <w:rtl/>
        </w:rPr>
        <w:t xml:space="preserve"> </w:t>
      </w:r>
      <w:r w:rsidR="001752A9">
        <w:rPr>
          <w:rFonts w:ascii="David" w:hAnsi="David" w:cs="David" w:hint="cs"/>
          <w:color w:val="000000" w:themeColor="text1"/>
          <w:sz w:val="24"/>
          <w:szCs w:val="24"/>
          <w:rtl/>
        </w:rPr>
        <w:t xml:space="preserve">(אבחן כל נושא בנפרד בהמשך). </w:t>
      </w:r>
    </w:p>
    <w:p w14:paraId="7242DB98" w14:textId="6927E674" w:rsidR="00DE4C77" w:rsidRPr="0042741E" w:rsidRDefault="002F28C1" w:rsidP="000A4372">
      <w:pPr>
        <w:spacing w:after="0" w:line="360" w:lineRule="auto"/>
        <w:jc w:val="both"/>
        <w:rPr>
          <w:rFonts w:ascii="David" w:hAnsi="David" w:cs="David"/>
          <w:color w:val="000000" w:themeColor="text1"/>
          <w:sz w:val="24"/>
          <w:szCs w:val="24"/>
          <w:u w:val="single"/>
          <w:rtl/>
        </w:rPr>
      </w:pPr>
      <w:r w:rsidRPr="0024692B">
        <w:rPr>
          <w:rFonts w:ascii="David" w:hAnsi="David" w:cs="David" w:hint="cs"/>
          <w:color w:val="000000" w:themeColor="text1"/>
          <w:sz w:val="24"/>
          <w:szCs w:val="24"/>
          <w:u w:val="single"/>
          <w:rtl/>
        </w:rPr>
        <w:t>מירוץ סמכויות</w:t>
      </w:r>
      <w:r>
        <w:rPr>
          <w:rFonts w:ascii="David" w:hAnsi="David" w:cs="David" w:hint="cs"/>
          <w:color w:val="000000" w:themeColor="text1"/>
          <w:sz w:val="24"/>
          <w:szCs w:val="24"/>
          <w:rtl/>
        </w:rPr>
        <w:t xml:space="preserve"> בג"ץ פייג פלדמן כל עוד לא הכריעה אף ערכאה בשאלת הכריכה. תוכל כל ערכאה, לפי שק"ד לעכב את הדיון בתביעה שהוגשה בפניה, עד שהערכאה המקבילה תחליט בשאלת תוקף הכריכה. אם אחת הערכאות כבר הכריעה בשאלת הכריכה, על הערכאה המקבילה להימנע מלדון בכך, לאור עקרון הכיבוד ההדדי. כבר נקבע כי עקרון הכיבוד ההדדי אינו בבחינת עראון נימוסי ותו לא, אלא הינו חיוני לצורך מערת שיפוט תקינה. במקרה דנן</w:t>
      </w:r>
      <w:r w:rsidR="001752A9">
        <w:rPr>
          <w:rFonts w:ascii="David" w:hAnsi="David" w:cs="David" w:hint="cs"/>
          <w:color w:val="000000" w:themeColor="text1"/>
          <w:sz w:val="24"/>
          <w:szCs w:val="24"/>
          <w:rtl/>
        </w:rPr>
        <w:t>,</w:t>
      </w:r>
      <w:r>
        <w:rPr>
          <w:rFonts w:ascii="David" w:hAnsi="David" w:cs="David" w:hint="cs"/>
          <w:color w:val="000000" w:themeColor="text1"/>
          <w:sz w:val="24"/>
          <w:szCs w:val="24"/>
          <w:rtl/>
        </w:rPr>
        <w:t xml:space="preserve"> התקיים </w:t>
      </w:r>
      <w:r w:rsidRPr="0024692B">
        <w:rPr>
          <w:rFonts w:ascii="David" w:hAnsi="David" w:cs="David" w:hint="cs"/>
          <w:color w:val="000000" w:themeColor="text1"/>
          <w:sz w:val="24"/>
          <w:szCs w:val="24"/>
          <w:u w:val="single"/>
          <w:rtl/>
        </w:rPr>
        <w:t>טעם מיוחד</w:t>
      </w:r>
      <w:r>
        <w:rPr>
          <w:rFonts w:ascii="David" w:hAnsi="David" w:cs="David" w:hint="cs"/>
          <w:color w:val="000000" w:themeColor="text1"/>
          <w:sz w:val="24"/>
          <w:szCs w:val="24"/>
          <w:rtl/>
        </w:rPr>
        <w:t xml:space="preserve"> שמצדיק חריגה מעקרון הכיבוד ההדדי.</w:t>
      </w:r>
      <w:r w:rsidR="001752A9">
        <w:rPr>
          <w:rFonts w:ascii="David" w:hAnsi="David" w:cs="David" w:hint="cs"/>
          <w:color w:val="000000" w:themeColor="text1"/>
          <w:sz w:val="24"/>
          <w:szCs w:val="24"/>
          <w:rtl/>
        </w:rPr>
        <w:t xml:space="preserve"> </w:t>
      </w:r>
      <w:r w:rsidRPr="001752A9">
        <w:rPr>
          <w:rFonts w:ascii="David" w:hAnsi="David" w:cs="David"/>
          <w:b/>
          <w:bCs/>
          <w:sz w:val="24"/>
          <w:szCs w:val="24"/>
          <w:rtl/>
        </w:rPr>
        <w:t>חוסר חוקיות או פגם חמור אחר היורד לשורש הסמכות</w:t>
      </w:r>
      <w:r w:rsidRPr="001752A9">
        <w:rPr>
          <w:rFonts w:ascii="David" w:hAnsi="David" w:cs="David" w:hint="cs"/>
          <w:sz w:val="24"/>
          <w:szCs w:val="24"/>
          <w:rtl/>
        </w:rPr>
        <w:t xml:space="preserve"> </w:t>
      </w:r>
      <w:r w:rsidRPr="001752A9">
        <w:rPr>
          <w:rFonts w:ascii="David" w:hAnsi="David" w:cs="David"/>
          <w:sz w:val="24"/>
          <w:szCs w:val="24"/>
          <w:rtl/>
        </w:rPr>
        <w:t>–</w:t>
      </w:r>
      <w:r w:rsidR="001752A9">
        <w:rPr>
          <w:rFonts w:ascii="David" w:hAnsi="David" w:cs="David" w:hint="cs"/>
          <w:sz w:val="24"/>
          <w:szCs w:val="24"/>
          <w:rtl/>
        </w:rPr>
        <w:t xml:space="preserve"> לא התקיימו</w:t>
      </w:r>
      <w:r w:rsidRPr="001752A9">
        <w:rPr>
          <w:rFonts w:ascii="David" w:hAnsi="David" w:cs="David" w:hint="cs"/>
          <w:sz w:val="24"/>
          <w:szCs w:val="24"/>
          <w:rtl/>
        </w:rPr>
        <w:t xml:space="preserve"> </w:t>
      </w:r>
      <w:r w:rsidRPr="001752A9">
        <w:rPr>
          <w:rFonts w:ascii="David" w:hAnsi="David" w:cs="David"/>
          <w:sz w:val="24"/>
          <w:szCs w:val="24"/>
          <w:rtl/>
        </w:rPr>
        <w:t>דיונים מקדימים</w:t>
      </w:r>
      <w:r w:rsidRPr="001752A9">
        <w:rPr>
          <w:rFonts w:ascii="David" w:hAnsi="David" w:cs="David" w:hint="cs"/>
          <w:sz w:val="24"/>
          <w:szCs w:val="24"/>
          <w:rtl/>
        </w:rPr>
        <w:t xml:space="preserve"> ונפרד</w:t>
      </w:r>
      <w:r w:rsidRPr="001752A9">
        <w:rPr>
          <w:rFonts w:ascii="David" w:hAnsi="David" w:cs="David"/>
          <w:sz w:val="24"/>
          <w:szCs w:val="24"/>
          <w:rtl/>
        </w:rPr>
        <w:t xml:space="preserve"> על הכריכה</w:t>
      </w:r>
      <w:r w:rsidRPr="001752A9">
        <w:rPr>
          <w:rFonts w:ascii="David" w:hAnsi="David" w:cs="David" w:hint="cs"/>
          <w:sz w:val="24"/>
          <w:szCs w:val="24"/>
          <w:rtl/>
        </w:rPr>
        <w:t xml:space="preserve">, החלטה לא מנומקת - </w:t>
      </w:r>
      <w:r w:rsidRPr="001752A9">
        <w:rPr>
          <w:rFonts w:ascii="David" w:hAnsi="David" w:cs="David"/>
          <w:sz w:val="24"/>
          <w:szCs w:val="24"/>
          <w:rtl/>
        </w:rPr>
        <w:t xml:space="preserve">2862/14 פלונית </w:t>
      </w:r>
      <w:r w:rsidRPr="001752A9">
        <w:rPr>
          <w:rFonts w:ascii="David" w:hAnsi="David" w:cs="David" w:hint="cs"/>
          <w:sz w:val="24"/>
          <w:szCs w:val="24"/>
          <w:rtl/>
        </w:rPr>
        <w:t xml:space="preserve">- </w:t>
      </w:r>
      <w:r w:rsidRPr="001752A9">
        <w:rPr>
          <w:rFonts w:ascii="David" w:hAnsi="David" w:cs="David"/>
          <w:sz w:val="24"/>
          <w:szCs w:val="24"/>
          <w:rtl/>
        </w:rPr>
        <w:t>החלטת ביד"ר האזורי</w:t>
      </w:r>
      <w:r w:rsidRPr="001752A9">
        <w:rPr>
          <w:rFonts w:ascii="David" w:hAnsi="David" w:cs="David" w:hint="cs"/>
          <w:sz w:val="24"/>
          <w:szCs w:val="24"/>
          <w:rtl/>
        </w:rPr>
        <w:t xml:space="preserve"> </w:t>
      </w:r>
      <w:r w:rsidR="001752A9">
        <w:rPr>
          <w:rFonts w:ascii="David" w:hAnsi="David" w:cs="David" w:hint="cs"/>
          <w:sz w:val="24"/>
          <w:szCs w:val="24"/>
          <w:rtl/>
        </w:rPr>
        <w:t>נ</w:t>
      </w:r>
      <w:r w:rsidRPr="001752A9">
        <w:rPr>
          <w:rFonts w:ascii="David" w:hAnsi="David" w:cs="David" w:hint="cs"/>
          <w:sz w:val="24"/>
          <w:szCs w:val="24"/>
          <w:rtl/>
        </w:rPr>
        <w:t>ית</w:t>
      </w:r>
      <w:r w:rsidR="001752A9">
        <w:rPr>
          <w:rFonts w:ascii="David" w:hAnsi="David" w:cs="David" w:hint="cs"/>
          <w:sz w:val="24"/>
          <w:szCs w:val="24"/>
          <w:rtl/>
        </w:rPr>
        <w:t>נ</w:t>
      </w:r>
      <w:r w:rsidRPr="001752A9">
        <w:rPr>
          <w:rFonts w:ascii="David" w:hAnsi="David" w:cs="David" w:hint="cs"/>
          <w:sz w:val="24"/>
          <w:szCs w:val="24"/>
          <w:rtl/>
        </w:rPr>
        <w:t>ה ללא נימוק ובהמ"ש פסק שפסולה.</w:t>
      </w:r>
      <w:r w:rsidRPr="001752A9">
        <w:rPr>
          <w:rFonts w:ascii="David" w:hAnsi="David" w:cs="David" w:hint="cs"/>
          <w:b/>
          <w:bCs/>
          <w:sz w:val="24"/>
          <w:szCs w:val="24"/>
          <w:rtl/>
        </w:rPr>
        <w:t xml:space="preserve"> </w:t>
      </w:r>
      <w:r w:rsidRPr="001752A9">
        <w:rPr>
          <w:rFonts w:ascii="David" w:hAnsi="David" w:cs="David" w:hint="cs"/>
          <w:sz w:val="24"/>
          <w:szCs w:val="24"/>
          <w:rtl/>
        </w:rPr>
        <w:t>דיון ב</w:t>
      </w:r>
      <w:r w:rsidR="001752A9">
        <w:rPr>
          <w:rFonts w:ascii="David" w:hAnsi="David" w:cs="David" w:hint="cs"/>
          <w:sz w:val="24"/>
          <w:szCs w:val="24"/>
          <w:rtl/>
        </w:rPr>
        <w:t>משמורת רוחנית</w:t>
      </w:r>
      <w:r w:rsidRPr="001752A9">
        <w:rPr>
          <w:rFonts w:ascii="David" w:hAnsi="David" w:cs="David" w:hint="cs"/>
          <w:sz w:val="24"/>
          <w:szCs w:val="24"/>
          <w:rtl/>
        </w:rPr>
        <w:t xml:space="preserve"> מבלי נכרכ</w:t>
      </w:r>
      <w:r w:rsidR="001752A9">
        <w:rPr>
          <w:rFonts w:ascii="David" w:hAnsi="David" w:cs="David" w:hint="cs"/>
          <w:sz w:val="24"/>
          <w:szCs w:val="24"/>
          <w:rtl/>
        </w:rPr>
        <w:t>ה באופן מפורש (דיון בהמשך)</w:t>
      </w:r>
      <w:r w:rsidRPr="001752A9">
        <w:rPr>
          <w:rFonts w:ascii="David" w:hAnsi="David" w:cs="David" w:hint="cs"/>
          <w:sz w:val="24"/>
          <w:szCs w:val="24"/>
          <w:rtl/>
        </w:rPr>
        <w:t>.</w:t>
      </w:r>
      <w:r w:rsidR="001752A9">
        <w:rPr>
          <w:rFonts w:ascii="David" w:hAnsi="David" w:cs="David" w:hint="cs"/>
          <w:b/>
          <w:bCs/>
          <w:sz w:val="24"/>
          <w:szCs w:val="24"/>
          <w:rtl/>
        </w:rPr>
        <w:t xml:space="preserve"> </w:t>
      </w:r>
      <w:r w:rsidR="001752A9" w:rsidRPr="001752A9">
        <w:rPr>
          <w:rFonts w:ascii="David" w:hAnsi="David" w:cs="David"/>
          <w:b/>
          <w:bCs/>
          <w:sz w:val="24"/>
          <w:szCs w:val="24"/>
          <w:rtl/>
        </w:rPr>
        <w:t>סוגיה שאינה ניתנת לכריכה</w:t>
      </w:r>
      <w:r w:rsidR="001752A9" w:rsidRPr="001752A9">
        <w:rPr>
          <w:rFonts w:ascii="David" w:hAnsi="David" w:cs="David" w:hint="cs"/>
          <w:b/>
          <w:bCs/>
          <w:sz w:val="24"/>
          <w:szCs w:val="24"/>
          <w:rtl/>
        </w:rPr>
        <w:t xml:space="preserve"> </w:t>
      </w:r>
      <w:r w:rsidR="001752A9" w:rsidRPr="001752A9">
        <w:rPr>
          <w:rFonts w:ascii="David" w:hAnsi="David" w:cs="David"/>
          <w:sz w:val="24"/>
          <w:szCs w:val="24"/>
          <w:rtl/>
        </w:rPr>
        <w:t>–</w:t>
      </w:r>
      <w:r w:rsidR="001752A9" w:rsidRPr="001752A9">
        <w:rPr>
          <w:rFonts w:ascii="David" w:hAnsi="David" w:cs="David" w:hint="cs"/>
          <w:sz w:val="24"/>
          <w:szCs w:val="24"/>
          <w:rtl/>
        </w:rPr>
        <w:t>מזונות ילדים</w:t>
      </w:r>
      <w:r w:rsidR="0033052D">
        <w:rPr>
          <w:rFonts w:ascii="David" w:hAnsi="David" w:cs="David" w:hint="cs"/>
          <w:sz w:val="24"/>
          <w:szCs w:val="24"/>
          <w:rtl/>
        </w:rPr>
        <w:t xml:space="preserve"> (בהמשך)</w:t>
      </w:r>
      <w:r w:rsidR="001752A9" w:rsidRPr="001752A9">
        <w:rPr>
          <w:rFonts w:ascii="David" w:hAnsi="David" w:cs="David" w:hint="cs"/>
          <w:sz w:val="24"/>
          <w:szCs w:val="24"/>
          <w:rtl/>
        </w:rPr>
        <w:t>.</w:t>
      </w:r>
      <w:r w:rsidR="001752A9">
        <w:rPr>
          <w:rFonts w:ascii="David" w:hAnsi="David" w:cs="David" w:hint="cs"/>
          <w:b/>
          <w:bCs/>
          <w:sz w:val="24"/>
          <w:szCs w:val="24"/>
          <w:rtl/>
        </w:rPr>
        <w:t xml:space="preserve"> </w:t>
      </w:r>
      <w:r w:rsidRPr="001752A9">
        <w:rPr>
          <w:rFonts w:ascii="David" w:hAnsi="David" w:cs="David"/>
          <w:b/>
          <w:bCs/>
          <w:sz w:val="24"/>
          <w:szCs w:val="24"/>
          <w:rtl/>
        </w:rPr>
        <w:lastRenderedPageBreak/>
        <w:t>חריגה ברורה מכללי הצדק הטבעי</w:t>
      </w:r>
      <w:r w:rsidRPr="001752A9">
        <w:rPr>
          <w:rFonts w:ascii="David" w:hAnsi="David" w:cs="David" w:hint="cs"/>
          <w:b/>
          <w:bCs/>
          <w:sz w:val="24"/>
          <w:szCs w:val="24"/>
          <w:rtl/>
        </w:rPr>
        <w:t xml:space="preserve"> </w:t>
      </w:r>
      <w:r w:rsidRPr="001752A9">
        <w:rPr>
          <w:rFonts w:ascii="David" w:hAnsi="David" w:cs="David"/>
          <w:sz w:val="24"/>
          <w:szCs w:val="24"/>
          <w:rtl/>
        </w:rPr>
        <w:t xml:space="preserve">– </w:t>
      </w:r>
      <w:r w:rsidR="001752A9">
        <w:rPr>
          <w:rFonts w:ascii="David" w:hAnsi="David" w:cs="David" w:hint="cs"/>
          <w:sz w:val="24"/>
          <w:szCs w:val="24"/>
          <w:rtl/>
        </w:rPr>
        <w:t>הדיון היה קצר ולכן קיימת אפשרות להניח כי לא ניתן לעידית לטעון את כל טענותיה</w:t>
      </w:r>
      <w:r w:rsidR="0033052D">
        <w:rPr>
          <w:rFonts w:ascii="David" w:hAnsi="David" w:cs="David" w:hint="cs"/>
          <w:sz w:val="24"/>
          <w:szCs w:val="24"/>
          <w:rtl/>
        </w:rPr>
        <w:t xml:space="preserve"> (טענת חוסר סמכות בהמשך)</w:t>
      </w:r>
      <w:r w:rsidR="001752A9">
        <w:rPr>
          <w:rFonts w:ascii="David" w:hAnsi="David" w:cs="David" w:hint="cs"/>
          <w:sz w:val="24"/>
          <w:szCs w:val="24"/>
          <w:rtl/>
        </w:rPr>
        <w:t>.</w:t>
      </w:r>
      <w:r w:rsidR="00DE4C77">
        <w:rPr>
          <w:rFonts w:ascii="David" w:hAnsi="David" w:cs="David" w:hint="cs"/>
          <w:color w:val="000000" w:themeColor="text1"/>
          <w:sz w:val="24"/>
          <w:szCs w:val="24"/>
          <w:rtl/>
        </w:rPr>
        <w:t xml:space="preserve"> </w:t>
      </w:r>
    </w:p>
    <w:p w14:paraId="46A3D788" w14:textId="7B0360BE" w:rsidR="00D45C7F" w:rsidRPr="0042741E" w:rsidRDefault="00DE4C77" w:rsidP="000A4372">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בד"</w:t>
      </w:r>
      <w:r w:rsidRPr="0033052D">
        <w:rPr>
          <w:rFonts w:ascii="David" w:hAnsi="David" w:cs="David"/>
          <w:color w:val="000000" w:themeColor="text1"/>
          <w:sz w:val="24"/>
          <w:szCs w:val="24"/>
          <w:rtl/>
        </w:rPr>
        <w:t>ר הגדול חרג באופן ברור מסמכותו וכי סמכותו של בג"צ לדון בעניין נובעת מס'</w:t>
      </w:r>
      <w:r w:rsidRPr="0033052D">
        <w:rPr>
          <w:rFonts w:ascii="David" w:hAnsi="David" w:cs="David" w:hint="cs"/>
          <w:color w:val="000000" w:themeColor="text1"/>
          <w:sz w:val="24"/>
          <w:szCs w:val="24"/>
          <w:rtl/>
        </w:rPr>
        <w:t xml:space="preserve"> </w:t>
      </w:r>
      <w:r w:rsidRPr="0033052D">
        <w:rPr>
          <w:rFonts w:ascii="David" w:hAnsi="David" w:cs="David"/>
          <w:color w:val="000000" w:themeColor="text1"/>
          <w:sz w:val="24"/>
          <w:szCs w:val="24"/>
          <w:rtl/>
        </w:rPr>
        <w:t>15(ד)(4) לחו"י השפיטה</w:t>
      </w:r>
      <w:r w:rsidRPr="0033052D">
        <w:rPr>
          <w:rFonts w:ascii="David" w:hAnsi="David" w:cs="David" w:hint="cs"/>
          <w:color w:val="000000" w:themeColor="text1"/>
          <w:sz w:val="24"/>
          <w:szCs w:val="24"/>
          <w:rtl/>
        </w:rPr>
        <w:t xml:space="preserve">, </w:t>
      </w:r>
      <w:r>
        <w:rPr>
          <w:rFonts w:ascii="David" w:hAnsi="David" w:cs="David" w:hint="cs"/>
          <w:color w:val="000000" w:themeColor="text1"/>
          <w:sz w:val="24"/>
          <w:szCs w:val="24"/>
          <w:rtl/>
        </w:rPr>
        <w:t>יש להבהיר כי עידית</w:t>
      </w:r>
      <w:r w:rsidRPr="0033052D">
        <w:rPr>
          <w:rFonts w:ascii="David" w:hAnsi="David" w:cs="David" w:hint="cs"/>
          <w:color w:val="000000" w:themeColor="text1"/>
          <w:sz w:val="24"/>
          <w:szCs w:val="24"/>
          <w:rtl/>
        </w:rPr>
        <w:t xml:space="preserve"> התנגדה </w:t>
      </w:r>
      <w:r>
        <w:rPr>
          <w:rFonts w:ascii="David" w:hAnsi="David" w:cs="David" w:hint="cs"/>
          <w:color w:val="000000" w:themeColor="text1"/>
          <w:sz w:val="24"/>
          <w:szCs w:val="24"/>
          <w:rtl/>
        </w:rPr>
        <w:t xml:space="preserve">לסמכות בד"ר </w:t>
      </w:r>
      <w:r w:rsidRPr="0033052D">
        <w:rPr>
          <w:rFonts w:ascii="David" w:hAnsi="David" w:cs="David" w:hint="cs"/>
          <w:b/>
          <w:bCs/>
          <w:color w:val="000000" w:themeColor="text1"/>
          <w:sz w:val="24"/>
          <w:szCs w:val="24"/>
          <w:rtl/>
        </w:rPr>
        <w:t>בהזדמנות הראשונה</w:t>
      </w:r>
      <w:r>
        <w:rPr>
          <w:rFonts w:ascii="David" w:hAnsi="David" w:cs="David" w:hint="cs"/>
          <w:color w:val="000000" w:themeColor="text1"/>
          <w:sz w:val="24"/>
          <w:szCs w:val="24"/>
          <w:rtl/>
        </w:rPr>
        <w:t>.</w:t>
      </w:r>
    </w:p>
    <w:p w14:paraId="5E723839" w14:textId="358E817E" w:rsidR="001752A9" w:rsidRDefault="001752A9" w:rsidP="000A4372">
      <w:pPr>
        <w:spacing w:after="0" w:line="360" w:lineRule="auto"/>
        <w:jc w:val="both"/>
        <w:rPr>
          <w:rFonts w:ascii="David" w:hAnsi="David" w:cs="David"/>
          <w:color w:val="000000" w:themeColor="text1"/>
          <w:sz w:val="24"/>
          <w:szCs w:val="24"/>
          <w:rtl/>
        </w:rPr>
      </w:pPr>
      <w:r w:rsidRPr="000F56C7">
        <w:rPr>
          <w:rFonts w:ascii="David" w:hAnsi="David" w:cs="David" w:hint="cs"/>
          <w:color w:val="000000" w:themeColor="text1"/>
          <w:sz w:val="24"/>
          <w:szCs w:val="24"/>
          <w:rtl/>
        </w:rPr>
        <w:t xml:space="preserve">הסמכות בענייני </w:t>
      </w:r>
      <w:r w:rsidRPr="00DE4C77">
        <w:rPr>
          <w:rFonts w:ascii="David" w:hAnsi="David" w:cs="David" w:hint="cs"/>
          <w:color w:val="000000" w:themeColor="text1"/>
          <w:sz w:val="24"/>
          <w:szCs w:val="24"/>
          <w:u w:val="double"/>
          <w:rtl/>
        </w:rPr>
        <w:t xml:space="preserve">רכוש </w:t>
      </w:r>
      <w:r w:rsidRPr="000F56C7">
        <w:rPr>
          <w:rFonts w:ascii="David" w:hAnsi="David" w:cs="David" w:hint="cs"/>
          <w:color w:val="000000" w:themeColor="text1"/>
          <w:sz w:val="24"/>
          <w:szCs w:val="24"/>
          <w:rtl/>
        </w:rPr>
        <w:t>מקבילה לשתי הערכאות, ויש לדון בנושא על פי החוק האזרחי</w:t>
      </w:r>
      <w:r w:rsidRPr="00D45C7F">
        <w:rPr>
          <w:rFonts w:ascii="David" w:hAnsi="David" w:cs="David" w:hint="cs"/>
          <w:color w:val="000000" w:themeColor="text1"/>
          <w:sz w:val="24"/>
          <w:szCs w:val="24"/>
          <w:u w:val="single"/>
          <w:rtl/>
        </w:rPr>
        <w:t xml:space="preserve"> חי"מ </w:t>
      </w:r>
      <w:r w:rsidRPr="000F56C7">
        <w:rPr>
          <w:rFonts w:ascii="David" w:hAnsi="David" w:cs="David" w:hint="cs"/>
          <w:color w:val="000000" w:themeColor="text1"/>
          <w:sz w:val="24"/>
          <w:szCs w:val="24"/>
          <w:rtl/>
        </w:rPr>
        <w:t xml:space="preserve">בהתאם להלכת בבלי. </w:t>
      </w:r>
      <w:r w:rsidR="00D45C7F">
        <w:rPr>
          <w:rFonts w:ascii="David" w:hAnsi="David" w:cs="David" w:hint="cs"/>
          <w:color w:val="000000" w:themeColor="text1"/>
          <w:sz w:val="24"/>
          <w:szCs w:val="24"/>
          <w:rtl/>
        </w:rPr>
        <w:t>עידית ויוגב</w:t>
      </w:r>
      <w:r w:rsidRPr="000F56C7">
        <w:rPr>
          <w:rFonts w:ascii="David" w:hAnsi="David" w:cs="David"/>
          <w:color w:val="000000" w:themeColor="text1"/>
          <w:sz w:val="24"/>
          <w:szCs w:val="24"/>
          <w:rtl/>
        </w:rPr>
        <w:t xml:space="preserve"> נישא ונרשמו </w:t>
      </w:r>
      <w:r w:rsidRPr="0033052D">
        <w:rPr>
          <w:rFonts w:ascii="David" w:hAnsi="David" w:cs="David"/>
          <w:color w:val="000000" w:themeColor="text1"/>
          <w:sz w:val="24"/>
          <w:szCs w:val="24"/>
          <w:u w:val="single"/>
          <w:rtl/>
        </w:rPr>
        <w:t>ב2010</w:t>
      </w:r>
      <w:r w:rsidRPr="000F56C7">
        <w:rPr>
          <w:rFonts w:ascii="David" w:hAnsi="David" w:cs="David"/>
          <w:color w:val="000000" w:themeColor="text1"/>
          <w:sz w:val="24"/>
          <w:szCs w:val="24"/>
          <w:rtl/>
        </w:rPr>
        <w:t>, לא נתון שהתנו את יחסיהם בהסכם כשלהו בכתב שאושר</w:t>
      </w:r>
      <w:r w:rsidR="005C57C2">
        <w:rPr>
          <w:rFonts w:ascii="David" w:hAnsi="David" w:cs="David" w:hint="cs"/>
          <w:color w:val="000000" w:themeColor="text1"/>
          <w:sz w:val="24"/>
          <w:szCs w:val="24"/>
          <w:rtl/>
        </w:rPr>
        <w:t>, ו</w:t>
      </w:r>
      <w:r>
        <w:rPr>
          <w:rFonts w:ascii="David" w:hAnsi="David" w:cs="David" w:hint="cs"/>
          <w:color w:val="000000" w:themeColor="text1"/>
          <w:sz w:val="24"/>
          <w:szCs w:val="24"/>
          <w:rtl/>
        </w:rPr>
        <w:t>ניתן לטעון שברגע שיש רישום ונדרש גט חי"מ חל.</w:t>
      </w:r>
      <w:r w:rsidRPr="000F56C7">
        <w:rPr>
          <w:rFonts w:ascii="David" w:hAnsi="David" w:cs="David" w:hint="cs"/>
          <w:color w:val="000000" w:themeColor="text1"/>
          <w:sz w:val="24"/>
          <w:szCs w:val="24"/>
          <w:rtl/>
        </w:rPr>
        <w:t xml:space="preserve"> </w:t>
      </w:r>
      <w:r w:rsidR="005C57C2">
        <w:rPr>
          <w:rFonts w:ascii="David" w:hAnsi="David" w:cs="David" w:hint="cs"/>
          <w:color w:val="000000" w:themeColor="text1"/>
          <w:sz w:val="24"/>
          <w:szCs w:val="24"/>
          <w:rtl/>
        </w:rPr>
        <w:t>חי"מ</w:t>
      </w:r>
      <w:r w:rsidRPr="000F56C7">
        <w:rPr>
          <w:rFonts w:ascii="David" w:hAnsi="David" w:cs="David"/>
          <w:color w:val="000000" w:themeColor="text1"/>
          <w:sz w:val="24"/>
          <w:szCs w:val="24"/>
          <w:rtl/>
        </w:rPr>
        <w:t xml:space="preserve"> מחלק את הרכוש שנרכש </w:t>
      </w:r>
      <w:r w:rsidRPr="000F56C7">
        <w:rPr>
          <w:rFonts w:ascii="David" w:hAnsi="David" w:cs="David"/>
          <w:color w:val="000000" w:themeColor="text1"/>
          <w:sz w:val="24"/>
          <w:szCs w:val="24"/>
          <w:u w:val="single"/>
          <w:rtl/>
        </w:rPr>
        <w:t>במהלך</w:t>
      </w:r>
      <w:r w:rsidRPr="000F56C7">
        <w:rPr>
          <w:rFonts w:ascii="David" w:hAnsi="David" w:cs="David"/>
          <w:color w:val="000000" w:themeColor="text1"/>
          <w:sz w:val="24"/>
          <w:szCs w:val="24"/>
          <w:rtl/>
        </w:rPr>
        <w:t xml:space="preserve"> הנישואים</w:t>
      </w:r>
      <w:r w:rsidR="00D108B5">
        <w:rPr>
          <w:rFonts w:ascii="David" w:hAnsi="David" w:cs="David" w:hint="cs"/>
          <w:color w:val="000000" w:themeColor="text1"/>
          <w:sz w:val="24"/>
          <w:szCs w:val="24"/>
          <w:rtl/>
        </w:rPr>
        <w:t xml:space="preserve"> כדוגמאת </w:t>
      </w:r>
      <w:r w:rsidR="00D108B5" w:rsidRPr="00D108B5">
        <w:rPr>
          <w:rFonts w:ascii="David" w:hAnsi="David" w:cs="David" w:hint="cs"/>
          <w:b/>
          <w:bCs/>
          <w:color w:val="000000" w:themeColor="text1"/>
          <w:sz w:val="24"/>
          <w:szCs w:val="24"/>
          <w:rtl/>
        </w:rPr>
        <w:t>הדירה ברמת גן</w:t>
      </w:r>
      <w:r w:rsidR="00D108B5">
        <w:rPr>
          <w:rFonts w:ascii="David" w:hAnsi="David" w:cs="David" w:hint="cs"/>
          <w:b/>
          <w:bCs/>
          <w:color w:val="000000" w:themeColor="text1"/>
          <w:sz w:val="24"/>
          <w:szCs w:val="24"/>
          <w:rtl/>
        </w:rPr>
        <w:t xml:space="preserve"> וחשבון הבנק המשותף</w:t>
      </w:r>
      <w:r w:rsidRPr="000F56C7">
        <w:rPr>
          <w:rFonts w:ascii="David" w:hAnsi="David" w:cs="David"/>
          <w:color w:val="000000" w:themeColor="text1"/>
          <w:sz w:val="24"/>
          <w:szCs w:val="24"/>
          <w:rtl/>
        </w:rPr>
        <w:t>. החוק מעניק זכות אובליגטורית דחויה לתום הנישואין.</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סעיף 5 לחי"מ מגדיר את איזון המשאבים כהליך בו זכאי כל אחד מהצדדים למחצית שווי כלל נכסיס בן הזוג בעת פקיעת הנישואין או מוות של א</w:t>
      </w:r>
      <w:r w:rsidRPr="000F56C7">
        <w:rPr>
          <w:rFonts w:ascii="David" w:hAnsi="David" w:cs="David" w:hint="cs"/>
          <w:color w:val="000000" w:themeColor="text1"/>
          <w:sz w:val="24"/>
          <w:szCs w:val="24"/>
          <w:rtl/>
        </w:rPr>
        <w:t>חד</w:t>
      </w:r>
      <w:r w:rsidRPr="000F56C7">
        <w:rPr>
          <w:rFonts w:ascii="David" w:hAnsi="David" w:cs="David"/>
          <w:color w:val="000000" w:themeColor="text1"/>
          <w:sz w:val="24"/>
          <w:szCs w:val="24"/>
          <w:rtl/>
        </w:rPr>
        <w:t xml:space="preserve"> מבני הזוג. תיקון מספר 4 לחי"מ מאפשר להקדים את מועד האיזון</w:t>
      </w:r>
      <w:r w:rsidR="00D108B5">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כבר לא תלוי בגירושין או מוות של אחד הצדדים. סעיף 5(א)</w:t>
      </w:r>
      <w:r w:rsidRPr="000F56C7">
        <w:rPr>
          <w:rFonts w:ascii="David" w:hAnsi="David" w:cs="David"/>
          <w:color w:val="000000" w:themeColor="text1"/>
          <w:sz w:val="24"/>
          <w:szCs w:val="24"/>
        </w:rPr>
        <w:t xml:space="preserve"> </w:t>
      </w:r>
      <w:r w:rsidRPr="000F56C7">
        <w:rPr>
          <w:rFonts w:ascii="David" w:hAnsi="David" w:cs="David"/>
          <w:color w:val="000000" w:themeColor="text1"/>
          <w:sz w:val="24"/>
          <w:szCs w:val="24"/>
          <w:rtl/>
        </w:rPr>
        <w:t>מחריג נכסים מאיזון. יכול ביהמ"ש על פי שיקול דעתו של ביהמ"ש או ביד"ר לשנות את מאזן המשאבים מכוח סעיף 8 לחי"מ.</w:t>
      </w:r>
      <w:bookmarkStart w:id="1" w:name="_Hlk44847806"/>
      <w:r w:rsidR="00D45C7F">
        <w:rPr>
          <w:rFonts w:ascii="David" w:hAnsi="David" w:cs="David" w:hint="cs"/>
          <w:color w:val="000000" w:themeColor="text1"/>
          <w:sz w:val="24"/>
          <w:szCs w:val="24"/>
          <w:rtl/>
        </w:rPr>
        <w:t xml:space="preserve"> </w:t>
      </w:r>
      <w:r w:rsidRPr="000F56C7">
        <w:rPr>
          <w:rFonts w:ascii="David" w:hAnsi="David" w:cs="David" w:hint="cs"/>
          <w:color w:val="000000" w:themeColor="text1"/>
          <w:sz w:val="24"/>
          <w:szCs w:val="24"/>
          <w:u w:val="double"/>
          <w:rtl/>
        </w:rPr>
        <w:t>נכס חיצוני</w:t>
      </w:r>
      <w:r w:rsidRPr="000F56C7">
        <w:rPr>
          <w:rFonts w:ascii="David" w:hAnsi="David" w:cs="David"/>
          <w:color w:val="000000" w:themeColor="text1"/>
          <w:sz w:val="24"/>
          <w:szCs w:val="24"/>
          <w:rtl/>
        </w:rPr>
        <w:t xml:space="preserve"> </w:t>
      </w:r>
      <w:r w:rsidRPr="000F56C7">
        <w:rPr>
          <w:rFonts w:ascii="David" w:hAnsi="David" w:cs="David" w:hint="cs"/>
          <w:color w:val="000000" w:themeColor="text1"/>
          <w:sz w:val="24"/>
          <w:szCs w:val="24"/>
          <w:rtl/>
        </w:rPr>
        <w:t xml:space="preserve">על פי עקרון הסימולטניות </w:t>
      </w:r>
      <w:r w:rsidRPr="000F56C7">
        <w:rPr>
          <w:rFonts w:ascii="David" w:hAnsi="David" w:cs="David"/>
          <w:color w:val="000000" w:themeColor="text1"/>
          <w:sz w:val="24"/>
          <w:szCs w:val="24"/>
          <w:rtl/>
        </w:rPr>
        <w:t>אין בהוראותיו של סעיף</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5 לחי"מ כדי למנוע יצירת שיתוף בנכס ספציפי לפי הדין הכללי החל</w:t>
      </w:r>
      <w:r w:rsidRPr="000F56C7">
        <w:rPr>
          <w:rFonts w:ascii="David" w:hAnsi="David" w:cs="David" w:hint="cs"/>
          <w:color w:val="000000" w:themeColor="text1"/>
          <w:sz w:val="24"/>
          <w:szCs w:val="24"/>
          <w:rtl/>
        </w:rPr>
        <w:t xml:space="preserve">. </w:t>
      </w:r>
      <w:r w:rsidR="00D108B5" w:rsidRPr="00D108B5">
        <w:rPr>
          <w:rFonts w:ascii="David" w:hAnsi="David" w:cs="David" w:hint="cs"/>
          <w:b/>
          <w:bCs/>
          <w:color w:val="000000" w:themeColor="text1"/>
          <w:sz w:val="24"/>
          <w:szCs w:val="24"/>
          <w:rtl/>
        </w:rPr>
        <w:t xml:space="preserve">השטח החקלאי </w:t>
      </w:r>
      <w:r w:rsidR="00D108B5">
        <w:rPr>
          <w:rFonts w:ascii="David" w:hAnsi="David" w:cs="David" w:hint="cs"/>
          <w:color w:val="000000" w:themeColor="text1"/>
          <w:sz w:val="24"/>
          <w:szCs w:val="24"/>
          <w:rtl/>
        </w:rPr>
        <w:t xml:space="preserve">של יוגב שרכש טרם הנישואין </w:t>
      </w:r>
      <w:r w:rsidR="00D108B5" w:rsidRPr="00D108B5">
        <w:rPr>
          <w:rFonts w:ascii="David" w:hAnsi="David" w:cs="David" w:hint="cs"/>
          <w:b/>
          <w:bCs/>
          <w:color w:val="000000" w:themeColor="text1"/>
          <w:sz w:val="24"/>
          <w:szCs w:val="24"/>
          <w:rtl/>
        </w:rPr>
        <w:t>ו</w:t>
      </w:r>
      <w:r w:rsidRPr="00D108B5">
        <w:rPr>
          <w:rFonts w:ascii="David" w:hAnsi="David" w:cs="David"/>
          <w:b/>
          <w:bCs/>
          <w:color w:val="000000" w:themeColor="text1"/>
          <w:sz w:val="24"/>
          <w:szCs w:val="24"/>
          <w:rtl/>
        </w:rPr>
        <w:t>הדירה שבה בניה"ז מתגוררים</w:t>
      </w:r>
      <w:r w:rsidRPr="000F56C7">
        <w:rPr>
          <w:rFonts w:ascii="David" w:hAnsi="David" w:cs="David"/>
          <w:color w:val="000000" w:themeColor="text1"/>
          <w:sz w:val="24"/>
          <w:szCs w:val="24"/>
          <w:rtl/>
        </w:rPr>
        <w:t xml:space="preserve"> </w:t>
      </w:r>
      <w:bookmarkStart w:id="2" w:name="_Hlk48646418"/>
      <w:r w:rsidR="00D108B5">
        <w:rPr>
          <w:rFonts w:ascii="David" w:hAnsi="David" w:cs="David" w:hint="cs"/>
          <w:color w:val="000000" w:themeColor="text1"/>
          <w:sz w:val="24"/>
          <w:szCs w:val="24"/>
          <w:rtl/>
        </w:rPr>
        <w:t>ש</w:t>
      </w:r>
      <w:r w:rsidR="005C57C2">
        <w:rPr>
          <w:rFonts w:ascii="David" w:hAnsi="David" w:cs="David" w:hint="cs"/>
          <w:color w:val="000000" w:themeColor="text1"/>
          <w:sz w:val="24"/>
          <w:szCs w:val="24"/>
          <w:rtl/>
        </w:rPr>
        <w:t>הועברה בירושה</w:t>
      </w:r>
      <w:r w:rsidRPr="000F56C7">
        <w:rPr>
          <w:rFonts w:ascii="David" w:hAnsi="David" w:cs="David"/>
          <w:color w:val="000000" w:themeColor="text1"/>
          <w:sz w:val="24"/>
          <w:szCs w:val="24"/>
          <w:rtl/>
        </w:rPr>
        <w:t xml:space="preserve"> ונרשמה על שם </w:t>
      </w:r>
      <w:r w:rsidR="005C57C2">
        <w:rPr>
          <w:rFonts w:ascii="David" w:hAnsi="David" w:cs="David" w:hint="cs"/>
          <w:color w:val="000000" w:themeColor="text1"/>
          <w:sz w:val="24"/>
          <w:szCs w:val="24"/>
          <w:rtl/>
        </w:rPr>
        <w:t>עידית</w:t>
      </w:r>
      <w:r w:rsidR="00D108B5">
        <w:rPr>
          <w:rFonts w:ascii="David" w:hAnsi="David" w:cs="David" w:hint="cs"/>
          <w:color w:val="000000" w:themeColor="text1"/>
          <w:sz w:val="24"/>
          <w:szCs w:val="24"/>
          <w:rtl/>
        </w:rPr>
        <w:t xml:space="preserve"> מוחרגים מהחלוקה בין בניה"ז </w:t>
      </w:r>
      <w:r w:rsidRPr="000F56C7">
        <w:rPr>
          <w:rFonts w:ascii="David" w:hAnsi="David" w:cs="David" w:hint="cs"/>
          <w:color w:val="000000" w:themeColor="text1"/>
          <w:sz w:val="24"/>
          <w:szCs w:val="24"/>
          <w:rtl/>
        </w:rPr>
        <w:t>מכוח ס'5(א)(1)</w:t>
      </w:r>
      <w:r w:rsidR="00D108B5">
        <w:rPr>
          <w:rFonts w:ascii="David" w:hAnsi="David" w:cs="David" w:hint="cs"/>
          <w:color w:val="000000" w:themeColor="text1"/>
          <w:sz w:val="24"/>
          <w:szCs w:val="24"/>
          <w:rtl/>
        </w:rPr>
        <w:t xml:space="preserve"> לחי"מ</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אך</w:t>
      </w:r>
      <w:r w:rsidRPr="000F56C7">
        <w:rPr>
          <w:rFonts w:ascii="David" w:hAnsi="David" w:cs="David" w:hint="cs"/>
          <w:color w:val="000000" w:themeColor="text1"/>
          <w:sz w:val="24"/>
          <w:szCs w:val="24"/>
          <w:rtl/>
        </w:rPr>
        <w:t>,</w:t>
      </w:r>
      <w:r w:rsidRPr="000F56C7">
        <w:rPr>
          <w:rFonts w:ascii="David" w:hAnsi="David" w:cs="David"/>
          <w:color w:val="000000" w:themeColor="text1"/>
          <w:sz w:val="24"/>
          <w:szCs w:val="24"/>
          <w:rtl/>
        </w:rPr>
        <w:t xml:space="preserve"> ניתן ע"פ הפסיקה לקבוע את הלכת השיתוף הספציפית בדומה לפס"ד אבו רומי ופס"ד הבוגדת, זאת משיקולי צדק, הגינות וכוונת הצדדים לחלוק את הנכס במשך 10 שנים, לגדל ולטפח שם משפחה.</w:t>
      </w:r>
      <w:r w:rsidR="00D45C7F">
        <w:rPr>
          <w:rFonts w:ascii="David" w:hAnsi="David" w:cs="David" w:hint="cs"/>
          <w:color w:val="000000" w:themeColor="text1"/>
          <w:sz w:val="24"/>
          <w:szCs w:val="24"/>
          <w:rtl/>
        </w:rPr>
        <w:t xml:space="preserve"> </w:t>
      </w:r>
      <w:bookmarkEnd w:id="2"/>
      <w:r w:rsidRPr="000F56C7">
        <w:rPr>
          <w:rFonts w:ascii="David" w:hAnsi="David" w:cs="David" w:hint="cs"/>
          <w:color w:val="000000" w:themeColor="text1"/>
          <w:sz w:val="24"/>
          <w:szCs w:val="24"/>
          <w:rtl/>
        </w:rPr>
        <w:t xml:space="preserve">בע"מ 1398/11 יש להוכיח מעבר לקיומם של חיי נישואין משותפים, אף אם ממושכים </w:t>
      </w:r>
      <w:r w:rsidRPr="000F56C7">
        <w:rPr>
          <w:rFonts w:ascii="David" w:hAnsi="David" w:cs="David"/>
          <w:color w:val="000000" w:themeColor="text1"/>
          <w:sz w:val="24"/>
          <w:szCs w:val="24"/>
          <w:rtl/>
        </w:rPr>
        <w:t>–</w:t>
      </w:r>
      <w:r w:rsidRPr="000F56C7">
        <w:rPr>
          <w:rFonts w:ascii="David" w:hAnsi="David" w:cs="David" w:hint="cs"/>
          <w:color w:val="000000" w:themeColor="text1"/>
          <w:sz w:val="24"/>
          <w:szCs w:val="24"/>
          <w:rtl/>
        </w:rPr>
        <w:t xml:space="preserve"> קיומו של "דבר מה נוסף"</w:t>
      </w:r>
      <w:r w:rsidR="00D45C7F">
        <w:rPr>
          <w:rFonts w:ascii="David" w:hAnsi="David" w:cs="David" w:hint="cs"/>
          <w:color w:val="000000" w:themeColor="text1"/>
          <w:sz w:val="24"/>
          <w:szCs w:val="24"/>
          <w:rtl/>
        </w:rPr>
        <w:t xml:space="preserve">, </w:t>
      </w:r>
      <w:r w:rsidR="00D45C7F">
        <w:rPr>
          <w:rFonts w:ascii="David" w:hAnsi="David" w:cs="David" w:hint="cs"/>
          <w:color w:val="000000" w:themeColor="text1"/>
          <w:sz w:val="24"/>
          <w:szCs w:val="24"/>
          <w:rtl/>
        </w:rPr>
        <w:t>ניתן לעמוד על כך שיוגב השקיע 100,000 ₪ בשיפוץ הנכס מה שמצביע על כוונה לשיתוף</w:t>
      </w:r>
      <w:r w:rsidR="00D45C7F">
        <w:rPr>
          <w:rFonts w:ascii="David" w:hAnsi="David" w:cs="David" w:hint="cs"/>
          <w:color w:val="000000" w:themeColor="text1"/>
          <w:sz w:val="24"/>
          <w:szCs w:val="24"/>
          <w:rtl/>
        </w:rPr>
        <w:t xml:space="preserve"> </w:t>
      </w:r>
      <w:r w:rsidR="00D45C7F" w:rsidRPr="000F56C7">
        <w:rPr>
          <w:rFonts w:ascii="David" w:hAnsi="David" w:cs="David" w:hint="cs"/>
          <w:color w:val="000000" w:themeColor="text1"/>
          <w:sz w:val="24"/>
          <w:szCs w:val="24"/>
          <w:rtl/>
        </w:rPr>
        <w:t xml:space="preserve">בנכס הספציפי. </w:t>
      </w:r>
      <w:r w:rsidRPr="000F56C7">
        <w:rPr>
          <w:rFonts w:ascii="David" w:hAnsi="David" w:cs="David" w:hint="cs"/>
          <w:color w:val="000000" w:themeColor="text1"/>
          <w:sz w:val="24"/>
          <w:szCs w:val="24"/>
          <w:rtl/>
        </w:rPr>
        <w:t>בג"ץ 2533/11 אושר פס"ד של ביד"ר ששלל שיתוף ספציפי, בין היתר מכיוון של בני הזוג הייתה דירה נוספת</w:t>
      </w:r>
      <w:r w:rsidR="00D45C7F">
        <w:rPr>
          <w:rFonts w:ascii="David" w:hAnsi="David" w:cs="David" w:hint="cs"/>
          <w:color w:val="000000" w:themeColor="text1"/>
          <w:sz w:val="24"/>
          <w:szCs w:val="24"/>
          <w:rtl/>
        </w:rPr>
        <w:t>, בדומה למקרה זה</w:t>
      </w:r>
      <w:r w:rsidRPr="000F56C7">
        <w:rPr>
          <w:rFonts w:ascii="David" w:hAnsi="David" w:cs="David" w:hint="cs"/>
          <w:color w:val="000000" w:themeColor="text1"/>
          <w:sz w:val="24"/>
          <w:szCs w:val="24"/>
          <w:rtl/>
        </w:rPr>
        <w:t>.</w:t>
      </w:r>
      <w:r>
        <w:rPr>
          <w:rFonts w:ascii="David" w:hAnsi="David" w:cs="David" w:hint="cs"/>
          <w:color w:val="000000" w:themeColor="text1"/>
          <w:sz w:val="24"/>
          <w:szCs w:val="24"/>
          <w:rtl/>
        </w:rPr>
        <w:t xml:space="preserve"> </w:t>
      </w:r>
      <w:r w:rsidR="00D108B5">
        <w:rPr>
          <w:rFonts w:ascii="David" w:hAnsi="David" w:cs="David" w:hint="cs"/>
          <w:color w:val="000000" w:themeColor="text1"/>
          <w:sz w:val="24"/>
          <w:szCs w:val="24"/>
          <w:rtl/>
        </w:rPr>
        <w:t xml:space="preserve">פסקי הדין שעוסקים בהחלת הלכת השיתוף הספציפית מדברים על דירת מגורים, ניתן לבצע היקש על </w:t>
      </w:r>
      <w:r w:rsidR="00D108B5">
        <w:rPr>
          <w:rFonts w:ascii="David" w:hAnsi="David" w:cs="David" w:hint="cs"/>
          <w:color w:val="000000" w:themeColor="text1"/>
          <w:sz w:val="24"/>
          <w:szCs w:val="24"/>
          <w:rtl/>
        </w:rPr>
        <w:t>השטח החקלאי</w:t>
      </w:r>
      <w:r w:rsidR="00D108B5">
        <w:rPr>
          <w:rFonts w:ascii="David" w:hAnsi="David" w:cs="David" w:hint="cs"/>
          <w:color w:val="000000" w:themeColor="text1"/>
          <w:sz w:val="24"/>
          <w:szCs w:val="24"/>
          <w:rtl/>
        </w:rPr>
        <w:t xml:space="preserve"> בהתאם לרציונל של ההלכה</w:t>
      </w:r>
      <w:r w:rsidR="00D108B5">
        <w:rPr>
          <w:rFonts w:ascii="David" w:hAnsi="David" w:cs="David" w:hint="cs"/>
          <w:color w:val="000000" w:themeColor="text1"/>
          <w:sz w:val="24"/>
          <w:szCs w:val="24"/>
          <w:rtl/>
        </w:rPr>
        <w:t>, אך לא נראה כי הם מתקיימים בעניינו.</w:t>
      </w:r>
      <w:bookmarkEnd w:id="1"/>
      <w:r w:rsidR="006618E2">
        <w:rPr>
          <w:rFonts w:ascii="David" w:hAnsi="David" w:cs="David" w:hint="cs"/>
          <w:color w:val="000000" w:themeColor="text1"/>
          <w:sz w:val="24"/>
          <w:szCs w:val="24"/>
          <w:rtl/>
        </w:rPr>
        <w:t xml:space="preserve"> </w:t>
      </w:r>
      <w:r w:rsidRPr="000F56C7">
        <w:rPr>
          <w:rFonts w:ascii="David" w:hAnsi="David" w:cs="David"/>
          <w:color w:val="000000" w:themeColor="text1"/>
          <w:sz w:val="24"/>
          <w:szCs w:val="24"/>
          <w:u w:val="double"/>
          <w:rtl/>
        </w:rPr>
        <w:t>הון אנושי</w:t>
      </w:r>
      <w:r w:rsidRPr="000F56C7">
        <w:rPr>
          <w:rFonts w:ascii="David" w:hAnsi="David" w:cs="David" w:hint="cs"/>
          <w:color w:val="000000" w:themeColor="text1"/>
          <w:sz w:val="24"/>
          <w:szCs w:val="24"/>
          <w:u w:val="double"/>
          <w:rtl/>
        </w:rPr>
        <w:t>- נכסי קריירה</w:t>
      </w:r>
      <w:r w:rsidRPr="000F56C7">
        <w:rPr>
          <w:rFonts w:ascii="David" w:hAnsi="David" w:cs="David" w:hint="cs"/>
          <w:color w:val="000000" w:themeColor="text1"/>
          <w:sz w:val="24"/>
          <w:szCs w:val="24"/>
          <w:rtl/>
        </w:rPr>
        <w:t xml:space="preserve">  </w:t>
      </w:r>
      <w:bookmarkStart w:id="3" w:name="_Hlk44848797"/>
      <w:r w:rsidRPr="000F56C7">
        <w:rPr>
          <w:rFonts w:ascii="David" w:hAnsi="David" w:cs="David" w:hint="cs"/>
          <w:color w:val="000000" w:themeColor="text1"/>
          <w:sz w:val="24"/>
          <w:szCs w:val="24"/>
          <w:rtl/>
        </w:rPr>
        <w:t xml:space="preserve">הם </w:t>
      </w:r>
      <w:r w:rsidRPr="000F56C7">
        <w:rPr>
          <w:rFonts w:ascii="David" w:hAnsi="David" w:cs="David"/>
          <w:color w:val="000000" w:themeColor="text1"/>
          <w:sz w:val="24"/>
          <w:szCs w:val="24"/>
          <w:rtl/>
        </w:rPr>
        <w:t>כושר השתכרות, מוניטין אישי, פנסיה, פיצויי פיטורין. מחשבים מה מתוך ההון האנושי ניתן לייחס לחיים המשותפים וממנו גוזרים חצי</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 xml:space="preserve">לגישתה של פרופ' הלפרין-קדרי לא ניתן להחיל את ההון האנושי של ריבלין </w:t>
      </w:r>
      <w:r w:rsidRPr="000F56C7">
        <w:rPr>
          <w:rFonts w:ascii="David" w:hAnsi="David" w:cs="David" w:hint="cs"/>
          <w:color w:val="000000" w:themeColor="text1"/>
          <w:sz w:val="24"/>
          <w:szCs w:val="24"/>
          <w:rtl/>
        </w:rPr>
        <w:t>דרך</w:t>
      </w:r>
      <w:r>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 xml:space="preserve">חי"מ, </w:t>
      </w:r>
      <w:r>
        <w:rPr>
          <w:rFonts w:ascii="David" w:hAnsi="David" w:cs="David" w:hint="cs"/>
          <w:color w:val="000000" w:themeColor="text1"/>
          <w:sz w:val="24"/>
          <w:szCs w:val="24"/>
          <w:rtl/>
        </w:rPr>
        <w:t>אך, ס</w:t>
      </w:r>
      <w:r w:rsidRPr="000F56C7">
        <w:rPr>
          <w:rFonts w:ascii="David" w:hAnsi="David" w:cs="David"/>
          <w:color w:val="000000" w:themeColor="text1"/>
          <w:sz w:val="24"/>
          <w:szCs w:val="24"/>
          <w:rtl/>
        </w:rPr>
        <w:t>עיף 8(2)</w:t>
      </w:r>
      <w:r w:rsidRPr="000F56C7">
        <w:rPr>
          <w:rFonts w:ascii="David" w:hAnsi="David" w:cs="David"/>
          <w:color w:val="000000" w:themeColor="text1"/>
          <w:sz w:val="24"/>
          <w:szCs w:val="24"/>
        </w:rPr>
        <w:t xml:space="preserve"> </w:t>
      </w:r>
      <w:r w:rsidRPr="000F56C7">
        <w:rPr>
          <w:rFonts w:ascii="David" w:hAnsi="David" w:cs="David"/>
          <w:color w:val="000000" w:themeColor="text1"/>
          <w:sz w:val="24"/>
          <w:szCs w:val="24"/>
          <w:rtl/>
        </w:rPr>
        <w:t>מעניק שיקול דעת לביהמ"ש באיזון הנכסים.</w:t>
      </w:r>
      <w:r w:rsidRPr="000F56C7">
        <w:rPr>
          <w:rFonts w:ascii="David" w:hAnsi="David" w:cs="David" w:hint="cs"/>
          <w:color w:val="000000" w:themeColor="text1"/>
          <w:sz w:val="24"/>
          <w:szCs w:val="24"/>
          <w:rtl/>
        </w:rPr>
        <w:t xml:space="preserve"> ריבלין בע"מ</w:t>
      </w:r>
      <w:r w:rsidRPr="000F56C7">
        <w:rPr>
          <w:rFonts w:ascii="David" w:hAnsi="David" w:cs="David"/>
          <w:color w:val="000000" w:themeColor="text1"/>
          <w:sz w:val="24"/>
          <w:szCs w:val="24"/>
          <w:rtl/>
        </w:rPr>
        <w:t xml:space="preserve"> 4623/04</w:t>
      </w:r>
      <w:r w:rsidRPr="000F56C7">
        <w:rPr>
          <w:rFonts w:ascii="David" w:hAnsi="David" w:cs="David" w:hint="cs"/>
          <w:color w:val="000000" w:themeColor="text1"/>
          <w:sz w:val="24"/>
          <w:szCs w:val="24"/>
          <w:rtl/>
        </w:rPr>
        <w:t xml:space="preserve"> "נכסי קריירה הינם פרי השילוב בין מקורות שונים, שתמיכתו של קשר הנישואין הוא אחד מהם, חלק זה ראוי להביא בחשבון המשאבים העומדים לרשות בניה"ז בעת פירוק הקשר".  </w:t>
      </w:r>
      <w:r w:rsidR="00D108B5">
        <w:rPr>
          <w:rFonts w:ascii="David" w:hAnsi="David" w:cs="David" w:hint="cs"/>
          <w:color w:val="000000" w:themeColor="text1"/>
          <w:sz w:val="24"/>
          <w:szCs w:val="24"/>
          <w:rtl/>
        </w:rPr>
        <w:t>לדעתי אין</w:t>
      </w:r>
      <w:r w:rsidRPr="000F56C7">
        <w:rPr>
          <w:rFonts w:ascii="David" w:hAnsi="David" w:cs="David" w:hint="cs"/>
          <w:color w:val="000000" w:themeColor="text1"/>
          <w:sz w:val="24"/>
          <w:szCs w:val="24"/>
          <w:rtl/>
        </w:rPr>
        <w:t xml:space="preserve"> מקום לבחון חלוקה</w:t>
      </w:r>
      <w:r w:rsidRPr="000F56C7">
        <w:rPr>
          <w:rFonts w:ascii="David" w:hAnsi="David" w:cs="David"/>
          <w:color w:val="000000" w:themeColor="text1"/>
          <w:sz w:val="24"/>
          <w:szCs w:val="24"/>
          <w:rtl/>
        </w:rPr>
        <w:t xml:space="preserve"> </w:t>
      </w:r>
      <w:r w:rsidRPr="000F56C7">
        <w:rPr>
          <w:rFonts w:ascii="David" w:hAnsi="David" w:cs="David" w:hint="cs"/>
          <w:color w:val="000000" w:themeColor="text1"/>
          <w:sz w:val="24"/>
          <w:szCs w:val="24"/>
          <w:rtl/>
        </w:rPr>
        <w:t xml:space="preserve">שונה, שאינה חצי-חצי, בהתאם לסעיף 8(2) לחי"מ </w:t>
      </w:r>
      <w:r w:rsidRPr="000F56C7">
        <w:rPr>
          <w:rFonts w:ascii="David" w:hAnsi="David" w:cs="David"/>
          <w:color w:val="000000" w:themeColor="text1"/>
          <w:sz w:val="24"/>
          <w:szCs w:val="24"/>
          <w:rtl/>
        </w:rPr>
        <w:t xml:space="preserve">כיוון </w:t>
      </w:r>
      <w:r w:rsidR="00D108B5">
        <w:rPr>
          <w:rFonts w:ascii="David" w:hAnsi="David" w:cs="David" w:hint="cs"/>
          <w:color w:val="000000" w:themeColor="text1"/>
          <w:sz w:val="24"/>
          <w:szCs w:val="24"/>
          <w:rtl/>
        </w:rPr>
        <w:t xml:space="preserve">ששני בני הזוג השקיעו בקריירה ובבית באותה המידה. </w:t>
      </w:r>
      <w:r w:rsidRPr="000F56C7">
        <w:rPr>
          <w:rFonts w:ascii="David" w:hAnsi="David" w:cs="David"/>
          <w:color w:val="000000" w:themeColor="text1"/>
          <w:sz w:val="24"/>
          <w:szCs w:val="24"/>
          <w:u w:val="double"/>
          <w:rtl/>
        </w:rPr>
        <w:t>נכסי עתודה</w:t>
      </w:r>
      <w:r w:rsidRPr="000F56C7">
        <w:rPr>
          <w:rFonts w:ascii="David" w:hAnsi="David" w:cs="David" w:hint="cs"/>
          <w:color w:val="000000" w:themeColor="text1"/>
          <w:sz w:val="24"/>
          <w:szCs w:val="24"/>
          <w:rtl/>
        </w:rPr>
        <w:t xml:space="preserve"> הם חסכונות וקופות גמל,</w:t>
      </w:r>
      <w:r w:rsidRPr="000F56C7">
        <w:rPr>
          <w:rFonts w:ascii="David" w:hAnsi="David" w:cs="David"/>
          <w:color w:val="000000" w:themeColor="text1"/>
          <w:sz w:val="24"/>
          <w:szCs w:val="24"/>
          <w:rtl/>
        </w:rPr>
        <w:t xml:space="preserve"> ניתנים לחלוקה מכוח סעיף 5(ג)</w:t>
      </w:r>
      <w:r w:rsidRPr="000F56C7">
        <w:rPr>
          <w:rFonts w:ascii="David" w:hAnsi="David" w:cs="David"/>
          <w:color w:val="000000" w:themeColor="text1"/>
          <w:sz w:val="24"/>
          <w:szCs w:val="24"/>
        </w:rPr>
        <w:t xml:space="preserve"> </w:t>
      </w:r>
      <w:r w:rsidRPr="000F56C7">
        <w:rPr>
          <w:rFonts w:ascii="David" w:hAnsi="David" w:cs="David"/>
          <w:color w:val="000000" w:themeColor="text1"/>
          <w:sz w:val="24"/>
          <w:szCs w:val="24"/>
          <w:rtl/>
        </w:rPr>
        <w:t>לחי"מ</w:t>
      </w:r>
      <w:bookmarkEnd w:id="3"/>
      <w:r w:rsidR="00D108B5">
        <w:rPr>
          <w:rFonts w:ascii="David" w:hAnsi="David" w:cs="David" w:hint="cs"/>
          <w:color w:val="000000" w:themeColor="text1"/>
          <w:sz w:val="24"/>
          <w:szCs w:val="24"/>
          <w:rtl/>
        </w:rPr>
        <w:t xml:space="preserve">. </w:t>
      </w:r>
      <w:r w:rsidRPr="009952BA">
        <w:rPr>
          <w:rFonts w:ascii="David" w:hAnsi="David" w:cs="David" w:hint="cs"/>
          <w:color w:val="000000" w:themeColor="text1"/>
          <w:sz w:val="24"/>
          <w:szCs w:val="24"/>
          <w:u w:val="double"/>
          <w:rtl/>
        </w:rPr>
        <w:t>נכסים עסקי</w:t>
      </w:r>
      <w:r w:rsidR="00D108B5">
        <w:rPr>
          <w:rFonts w:ascii="David" w:hAnsi="David" w:cs="David" w:hint="cs"/>
          <w:color w:val="000000" w:themeColor="text1"/>
          <w:sz w:val="24"/>
          <w:szCs w:val="24"/>
          <w:u w:val="double"/>
          <w:rtl/>
        </w:rPr>
        <w:t>י</w:t>
      </w:r>
      <w:r w:rsidRPr="009952BA">
        <w:rPr>
          <w:rFonts w:ascii="David" w:hAnsi="David" w:cs="David" w:hint="cs"/>
          <w:color w:val="000000" w:themeColor="text1"/>
          <w:sz w:val="24"/>
          <w:szCs w:val="24"/>
          <w:u w:val="double"/>
          <w:rtl/>
        </w:rPr>
        <w:t>ם</w:t>
      </w:r>
      <w:r w:rsidRPr="00D108B5">
        <w:rPr>
          <w:rFonts w:ascii="David" w:hAnsi="David" w:cs="David" w:hint="cs"/>
          <w:color w:val="000000" w:themeColor="text1"/>
          <w:sz w:val="24"/>
          <w:szCs w:val="24"/>
          <w:rtl/>
        </w:rPr>
        <w:t xml:space="preserve"> </w:t>
      </w:r>
      <w:r w:rsidRPr="00C17328">
        <w:rPr>
          <w:rFonts w:ascii="David" w:hAnsi="David" w:cs="David" w:hint="cs"/>
          <w:color w:val="000000" w:themeColor="text1"/>
          <w:sz w:val="24"/>
          <w:szCs w:val="24"/>
          <w:rtl/>
        </w:rPr>
        <w:t>לפי סעיף 6(א)</w:t>
      </w:r>
      <w:r w:rsidRPr="00C17328">
        <w:rPr>
          <w:rFonts w:ascii="David" w:hAnsi="David" w:cs="David" w:hint="cs"/>
          <w:color w:val="000000" w:themeColor="text1"/>
          <w:sz w:val="24"/>
          <w:szCs w:val="24"/>
        </w:rPr>
        <w:t xml:space="preserve"> </w:t>
      </w:r>
      <w:r w:rsidRPr="00C17328">
        <w:rPr>
          <w:rFonts w:ascii="David" w:hAnsi="David" w:cs="David" w:hint="cs"/>
          <w:color w:val="000000" w:themeColor="text1"/>
          <w:sz w:val="24"/>
          <w:szCs w:val="24"/>
          <w:rtl/>
        </w:rPr>
        <w:t xml:space="preserve">לחי"מ קיים </w:t>
      </w:r>
      <w:r w:rsidR="00D108B5">
        <w:rPr>
          <w:rFonts w:ascii="David" w:hAnsi="David" w:cs="David" w:hint="cs"/>
          <w:color w:val="000000" w:themeColor="text1"/>
          <w:sz w:val="24"/>
          <w:szCs w:val="24"/>
          <w:rtl/>
        </w:rPr>
        <w:t>איזון</w:t>
      </w:r>
      <w:r w:rsidRPr="00C17328">
        <w:rPr>
          <w:rFonts w:ascii="David" w:hAnsi="David" w:cs="David" w:hint="cs"/>
          <w:color w:val="000000" w:themeColor="text1"/>
          <w:sz w:val="24"/>
          <w:szCs w:val="24"/>
          <w:rtl/>
        </w:rPr>
        <w:t xml:space="preserve"> גם בחובות</w:t>
      </w:r>
      <w:r w:rsidR="006618E2">
        <w:rPr>
          <w:rFonts w:ascii="David" w:hAnsi="David" w:cs="David" w:hint="cs"/>
          <w:color w:val="000000" w:themeColor="text1"/>
          <w:sz w:val="24"/>
          <w:szCs w:val="24"/>
          <w:rtl/>
        </w:rPr>
        <w:t xml:space="preserve"> של יוגב</w:t>
      </w:r>
      <w:r>
        <w:rPr>
          <w:rFonts w:ascii="David" w:hAnsi="David" w:cs="David" w:hint="cs"/>
          <w:color w:val="000000" w:themeColor="text1"/>
          <w:sz w:val="24"/>
          <w:szCs w:val="24"/>
          <w:rtl/>
        </w:rPr>
        <w:t>.</w:t>
      </w:r>
    </w:p>
    <w:p w14:paraId="370A8967" w14:textId="38804581" w:rsidR="00755C9B" w:rsidRPr="00D108B5" w:rsidRDefault="00755C9B" w:rsidP="000A4372">
      <w:pPr>
        <w:spacing w:after="0" w:line="360" w:lineRule="auto"/>
        <w:jc w:val="both"/>
        <w:rPr>
          <w:rFonts w:ascii="David" w:hAnsi="David" w:cs="David"/>
          <w:color w:val="000000" w:themeColor="text1"/>
          <w:sz w:val="24"/>
          <w:szCs w:val="24"/>
          <w:rtl/>
        </w:rPr>
      </w:pPr>
      <w:bookmarkStart w:id="4" w:name="_Hlk44845862"/>
      <w:r w:rsidRPr="000F56C7">
        <w:rPr>
          <w:rFonts w:ascii="David" w:hAnsi="David" w:cs="David" w:hint="cs"/>
          <w:color w:val="000000" w:themeColor="text1"/>
          <w:sz w:val="24"/>
          <w:szCs w:val="24"/>
          <w:rtl/>
        </w:rPr>
        <w:t>ב</w:t>
      </w:r>
      <w:r w:rsidRPr="000F56C7">
        <w:rPr>
          <w:rFonts w:ascii="David" w:hAnsi="David" w:cs="David"/>
          <w:color w:val="000000" w:themeColor="text1"/>
          <w:sz w:val="24"/>
          <w:szCs w:val="24"/>
          <w:rtl/>
        </w:rPr>
        <w:t xml:space="preserve">פס"ד שרעבי </w:t>
      </w:r>
      <w:r w:rsidRPr="000F56C7">
        <w:rPr>
          <w:rFonts w:ascii="David" w:hAnsi="David" w:cs="David" w:hint="cs"/>
          <w:color w:val="000000" w:themeColor="text1"/>
          <w:sz w:val="24"/>
          <w:szCs w:val="24"/>
          <w:rtl/>
        </w:rPr>
        <w:t>נקבע כי</w:t>
      </w:r>
      <w:r w:rsidRPr="000F56C7">
        <w:rPr>
          <w:rFonts w:ascii="David" w:hAnsi="David" w:cs="David"/>
          <w:color w:val="000000" w:themeColor="text1"/>
          <w:sz w:val="24"/>
          <w:szCs w:val="24"/>
          <w:rtl/>
        </w:rPr>
        <w:t xml:space="preserve"> </w:t>
      </w:r>
      <w:r w:rsidRPr="000F56C7">
        <w:rPr>
          <w:rFonts w:ascii="David" w:hAnsi="David" w:cs="David"/>
          <w:color w:val="000000" w:themeColor="text1"/>
          <w:sz w:val="24"/>
          <w:szCs w:val="24"/>
          <w:u w:val="double"/>
          <w:rtl/>
        </w:rPr>
        <w:t>משמורת ילדים</w:t>
      </w:r>
      <w:r w:rsidRPr="000F56C7">
        <w:rPr>
          <w:rFonts w:ascii="David" w:hAnsi="David" w:cs="David"/>
          <w:color w:val="000000" w:themeColor="text1"/>
          <w:sz w:val="24"/>
          <w:szCs w:val="24"/>
          <w:rtl/>
        </w:rPr>
        <w:t xml:space="preserve"> כרוך </w:t>
      </w:r>
      <w:r w:rsidRPr="005945A5">
        <w:rPr>
          <w:rFonts w:ascii="David" w:hAnsi="David" w:cs="David"/>
          <w:b/>
          <w:bCs/>
          <w:color w:val="000000" w:themeColor="text1"/>
          <w:sz w:val="24"/>
          <w:szCs w:val="24"/>
          <w:rtl/>
        </w:rPr>
        <w:t>מעצם טיבו וטבעו</w:t>
      </w:r>
      <w:r w:rsidRPr="000F56C7">
        <w:rPr>
          <w:rFonts w:ascii="David" w:hAnsi="David" w:cs="David"/>
          <w:color w:val="000000" w:themeColor="text1"/>
          <w:sz w:val="24"/>
          <w:szCs w:val="24"/>
          <w:rtl/>
        </w:rPr>
        <w:t xml:space="preserve"> בתביעת הגירושין ביד"ר. אם </w:t>
      </w:r>
      <w:r>
        <w:rPr>
          <w:rFonts w:ascii="David" w:hAnsi="David" w:cs="David" w:hint="cs"/>
          <w:color w:val="000000" w:themeColor="text1"/>
          <w:sz w:val="24"/>
          <w:szCs w:val="24"/>
          <w:rtl/>
        </w:rPr>
        <w:t xml:space="preserve">עידית </w:t>
      </w:r>
      <w:r w:rsidRPr="000F56C7">
        <w:rPr>
          <w:rFonts w:ascii="David" w:hAnsi="David" w:cs="David"/>
          <w:color w:val="000000" w:themeColor="text1"/>
          <w:sz w:val="24"/>
          <w:szCs w:val="24"/>
          <w:rtl/>
        </w:rPr>
        <w:t xml:space="preserve">מעוניינת לדון </w:t>
      </w:r>
      <w:r>
        <w:rPr>
          <w:rFonts w:ascii="David" w:hAnsi="David" w:cs="David" w:hint="cs"/>
          <w:color w:val="000000" w:themeColor="text1"/>
          <w:sz w:val="24"/>
          <w:szCs w:val="24"/>
          <w:rtl/>
        </w:rPr>
        <w:t>במשמורת פיזית</w:t>
      </w:r>
      <w:r w:rsidRPr="000F56C7">
        <w:rPr>
          <w:rFonts w:ascii="David" w:hAnsi="David" w:cs="David"/>
          <w:color w:val="000000" w:themeColor="text1"/>
          <w:sz w:val="24"/>
          <w:szCs w:val="24"/>
          <w:rtl/>
        </w:rPr>
        <w:t xml:space="preserve"> בביהמ"ש </w:t>
      </w:r>
      <w:r>
        <w:rPr>
          <w:rFonts w:ascii="David" w:hAnsi="David" w:cs="David" w:hint="cs"/>
          <w:color w:val="000000" w:themeColor="text1"/>
          <w:sz w:val="24"/>
          <w:szCs w:val="24"/>
          <w:rtl/>
        </w:rPr>
        <w:t>היה עליה להגישה</w:t>
      </w:r>
      <w:r w:rsidRPr="000F56C7">
        <w:rPr>
          <w:rFonts w:ascii="David" w:hAnsi="David" w:cs="David"/>
          <w:color w:val="000000" w:themeColor="text1"/>
          <w:sz w:val="24"/>
          <w:szCs w:val="24"/>
          <w:rtl/>
        </w:rPr>
        <w:t xml:space="preserve"> </w:t>
      </w:r>
      <w:r w:rsidRPr="000F56C7">
        <w:rPr>
          <w:rFonts w:ascii="David" w:hAnsi="David" w:cs="David"/>
          <w:color w:val="000000" w:themeColor="text1"/>
          <w:sz w:val="24"/>
          <w:szCs w:val="24"/>
          <w:u w:val="single"/>
          <w:rtl/>
        </w:rPr>
        <w:t>לפני</w:t>
      </w:r>
      <w:r w:rsidRPr="000F56C7">
        <w:rPr>
          <w:rFonts w:ascii="David" w:hAnsi="David" w:cs="David"/>
          <w:color w:val="000000" w:themeColor="text1"/>
          <w:sz w:val="24"/>
          <w:szCs w:val="24"/>
          <w:rtl/>
        </w:rPr>
        <w:t xml:space="preserve"> הגשת תביעת הגירושין לביד"ר. </w:t>
      </w:r>
      <w:bookmarkEnd w:id="4"/>
      <w:r w:rsidRPr="000F56C7">
        <w:rPr>
          <w:rFonts w:ascii="David" w:eastAsia="Calibri" w:hAnsi="David" w:cs="David"/>
          <w:color w:val="000000" w:themeColor="text1"/>
          <w:sz w:val="24"/>
          <w:szCs w:val="24"/>
          <w:rtl/>
        </w:rPr>
        <w:t>הדין החל במשמורת</w:t>
      </w:r>
      <w:r w:rsidRPr="000F56C7">
        <w:rPr>
          <w:rFonts w:ascii="David" w:eastAsia="Calibri" w:hAnsi="David" w:cs="David" w:hint="cs"/>
          <w:color w:val="000000" w:themeColor="text1"/>
          <w:sz w:val="24"/>
          <w:szCs w:val="24"/>
          <w:rtl/>
        </w:rPr>
        <w:t xml:space="preserve"> הוא הדין</w:t>
      </w:r>
      <w:r w:rsidRPr="000F56C7">
        <w:rPr>
          <w:rFonts w:ascii="David" w:eastAsia="Calibri" w:hAnsi="David" w:cs="David"/>
          <w:color w:val="000000" w:themeColor="text1"/>
          <w:sz w:val="24"/>
          <w:szCs w:val="24"/>
          <w:rtl/>
        </w:rPr>
        <w:t xml:space="preserve"> </w:t>
      </w:r>
      <w:r w:rsidRPr="000F56C7">
        <w:rPr>
          <w:rFonts w:ascii="David" w:eastAsia="Calibri" w:hAnsi="David" w:cs="David" w:hint="cs"/>
          <w:color w:val="000000" w:themeColor="text1"/>
          <w:sz w:val="24"/>
          <w:szCs w:val="24"/>
          <w:rtl/>
        </w:rPr>
        <w:t>ה</w:t>
      </w:r>
      <w:r w:rsidRPr="000F56C7">
        <w:rPr>
          <w:rFonts w:ascii="David" w:eastAsia="Calibri" w:hAnsi="David" w:cs="David"/>
          <w:color w:val="000000" w:themeColor="text1"/>
          <w:sz w:val="24"/>
          <w:szCs w:val="24"/>
          <w:rtl/>
        </w:rPr>
        <w:t>אזרחי</w:t>
      </w:r>
      <w:r w:rsidRPr="000F56C7">
        <w:rPr>
          <w:rFonts w:ascii="David" w:eastAsia="Calibri" w:hAnsi="David" w:cs="David" w:hint="cs"/>
          <w:color w:val="000000" w:themeColor="text1"/>
          <w:sz w:val="24"/>
          <w:szCs w:val="24"/>
          <w:rtl/>
        </w:rPr>
        <w:t xml:space="preserve">, </w:t>
      </w:r>
      <w:r w:rsidRPr="000F56C7">
        <w:rPr>
          <w:rFonts w:ascii="David" w:eastAsia="Calibri" w:hAnsi="David" w:cs="David"/>
          <w:color w:val="000000" w:themeColor="text1"/>
          <w:sz w:val="24"/>
          <w:szCs w:val="24"/>
          <w:rtl/>
        </w:rPr>
        <w:t>חוק הכשרות והאפוטרופסות</w:t>
      </w:r>
      <w:r w:rsidRPr="000F56C7">
        <w:rPr>
          <w:rFonts w:ascii="David" w:eastAsia="Calibri" w:hAnsi="David" w:cs="David" w:hint="cs"/>
          <w:color w:val="000000" w:themeColor="text1"/>
          <w:sz w:val="24"/>
          <w:szCs w:val="24"/>
          <w:rtl/>
        </w:rPr>
        <w:t>, על פי עקרון</w:t>
      </w:r>
      <w:r w:rsidRPr="000F56C7">
        <w:rPr>
          <w:rFonts w:ascii="David" w:eastAsia="Calibri" w:hAnsi="David" w:cs="David"/>
          <w:color w:val="000000" w:themeColor="text1"/>
          <w:sz w:val="24"/>
          <w:szCs w:val="24"/>
          <w:rtl/>
        </w:rPr>
        <w:t xml:space="preserve"> טובת הילד</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ביהמ"ש נוטה לפסיקות שוויוניות יותר מביד"ר ונוטה פחות לחזקת הגיל הרך- ילד עד גיל 6 יהיה במשמורת אימו</w:t>
      </w:r>
      <w:r w:rsidRPr="000F56C7">
        <w:rPr>
          <w:rFonts w:ascii="David" w:hAnsi="David" w:cs="David" w:hint="cs"/>
          <w:color w:val="000000" w:themeColor="text1"/>
          <w:sz w:val="24"/>
          <w:szCs w:val="24"/>
          <w:rtl/>
        </w:rPr>
        <w:t>.</w:t>
      </w:r>
      <w:r>
        <w:rPr>
          <w:rFonts w:ascii="David" w:hAnsi="David" w:cs="David" w:hint="cs"/>
          <w:color w:val="000000" w:themeColor="text1"/>
          <w:sz w:val="24"/>
          <w:szCs w:val="24"/>
          <w:rtl/>
        </w:rPr>
        <w:t xml:space="preserve"> </w:t>
      </w:r>
      <w:r w:rsidRPr="00755C9B">
        <w:rPr>
          <w:rFonts w:ascii="David" w:hAnsi="David" w:cs="David" w:hint="cs"/>
          <w:b/>
          <w:bCs/>
          <w:color w:val="000000" w:themeColor="text1"/>
          <w:sz w:val="24"/>
          <w:szCs w:val="24"/>
          <w:rtl/>
        </w:rPr>
        <w:t>ב</w:t>
      </w:r>
      <w:r w:rsidRPr="00755C9B">
        <w:rPr>
          <w:rFonts w:ascii="David" w:hAnsi="David" w:cs="David"/>
          <w:b/>
          <w:bCs/>
          <w:color w:val="000000" w:themeColor="text1"/>
          <w:sz w:val="24"/>
          <w:szCs w:val="24"/>
          <w:rtl/>
        </w:rPr>
        <w:t>הלכת פלורסהיים</w:t>
      </w:r>
      <w:r w:rsidRPr="000F56C7">
        <w:rPr>
          <w:rFonts w:ascii="David" w:hAnsi="David" w:cs="David" w:hint="cs"/>
          <w:color w:val="000000" w:themeColor="text1"/>
          <w:sz w:val="24"/>
          <w:szCs w:val="24"/>
          <w:rtl/>
        </w:rPr>
        <w:t xml:space="preserve"> נקבע</w:t>
      </w:r>
      <w:r w:rsidRPr="000F56C7">
        <w:rPr>
          <w:rFonts w:ascii="David" w:hAnsi="David" w:cs="David"/>
          <w:color w:val="000000" w:themeColor="text1"/>
          <w:sz w:val="24"/>
          <w:szCs w:val="24"/>
          <w:rtl/>
        </w:rPr>
        <w:t xml:space="preserve"> </w:t>
      </w:r>
      <w:r w:rsidRPr="000F56C7">
        <w:rPr>
          <w:rFonts w:ascii="David" w:hAnsi="David" w:cs="David" w:hint="cs"/>
          <w:color w:val="000000" w:themeColor="text1"/>
          <w:sz w:val="24"/>
          <w:szCs w:val="24"/>
          <w:rtl/>
        </w:rPr>
        <w:t xml:space="preserve">שאם התביעה נדונה </w:t>
      </w:r>
      <w:r w:rsidRPr="000F56C7">
        <w:rPr>
          <w:rFonts w:ascii="David" w:hAnsi="David" w:cs="David"/>
          <w:color w:val="000000" w:themeColor="text1"/>
          <w:sz w:val="24"/>
          <w:szCs w:val="24"/>
          <w:rtl/>
        </w:rPr>
        <w:t xml:space="preserve">בביד"ר </w:t>
      </w:r>
      <w:r w:rsidRPr="000F56C7">
        <w:rPr>
          <w:rFonts w:ascii="David" w:hAnsi="David" w:cs="David" w:hint="cs"/>
          <w:color w:val="000000" w:themeColor="text1"/>
          <w:sz w:val="24"/>
          <w:szCs w:val="24"/>
          <w:rtl/>
        </w:rPr>
        <w:t>היא</w:t>
      </w:r>
      <w:r w:rsidRPr="000F56C7">
        <w:rPr>
          <w:rFonts w:ascii="David" w:hAnsi="David" w:cs="David"/>
          <w:color w:val="000000" w:themeColor="text1"/>
          <w:sz w:val="24"/>
          <w:szCs w:val="24"/>
          <w:rtl/>
        </w:rPr>
        <w:t xml:space="preserve"> לא כוללת את </w:t>
      </w:r>
      <w:r w:rsidRPr="000F56C7">
        <w:rPr>
          <w:rFonts w:ascii="David" w:hAnsi="David" w:cs="David"/>
          <w:color w:val="000000" w:themeColor="text1"/>
          <w:sz w:val="24"/>
          <w:szCs w:val="24"/>
          <w:u w:val="double"/>
          <w:rtl/>
        </w:rPr>
        <w:t>המשמורת הרוחנית</w:t>
      </w:r>
      <w:r w:rsidRPr="000F56C7">
        <w:rPr>
          <w:rFonts w:ascii="David" w:hAnsi="David" w:cs="David" w:hint="cs"/>
          <w:color w:val="000000" w:themeColor="text1"/>
          <w:sz w:val="24"/>
          <w:szCs w:val="24"/>
          <w:rtl/>
        </w:rPr>
        <w:t xml:space="preserve"> (חינוך)</w:t>
      </w:r>
      <w:r w:rsidRPr="000F56C7">
        <w:rPr>
          <w:rFonts w:ascii="David" w:hAnsi="David" w:cs="David"/>
          <w:color w:val="000000" w:themeColor="text1"/>
          <w:sz w:val="24"/>
          <w:szCs w:val="24"/>
          <w:rtl/>
        </w:rPr>
        <w:t xml:space="preserve">, </w:t>
      </w:r>
      <w:r w:rsidRPr="009C0B3C">
        <w:rPr>
          <w:rFonts w:ascii="David" w:hAnsi="David" w:cs="David"/>
          <w:color w:val="000000" w:themeColor="text1"/>
          <w:sz w:val="24"/>
          <w:szCs w:val="24"/>
          <w:u w:val="single"/>
          <w:rtl/>
        </w:rPr>
        <w:t xml:space="preserve">ההכרעה </w:t>
      </w:r>
      <w:r w:rsidRPr="009C0B3C">
        <w:rPr>
          <w:rFonts w:ascii="David" w:hAnsi="David" w:cs="David" w:hint="cs"/>
          <w:color w:val="000000" w:themeColor="text1"/>
          <w:sz w:val="24"/>
          <w:szCs w:val="24"/>
          <w:u w:val="single"/>
          <w:rtl/>
        </w:rPr>
        <w:t xml:space="preserve">בנושא תהא </w:t>
      </w:r>
      <w:r w:rsidRPr="009C0B3C">
        <w:rPr>
          <w:rFonts w:ascii="David" w:hAnsi="David" w:cs="David"/>
          <w:color w:val="000000" w:themeColor="text1"/>
          <w:sz w:val="24"/>
          <w:szCs w:val="24"/>
          <w:u w:val="single"/>
          <w:rtl/>
        </w:rPr>
        <w:t>נתונה לביהמ"ש</w:t>
      </w:r>
      <w:r w:rsidRPr="000F56C7">
        <w:rPr>
          <w:rFonts w:ascii="David" w:hAnsi="David" w:cs="David"/>
          <w:color w:val="000000" w:themeColor="text1"/>
          <w:sz w:val="24"/>
          <w:szCs w:val="24"/>
          <w:rtl/>
        </w:rPr>
        <w:t>.</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 xml:space="preserve">ההלכה כיום היא </w:t>
      </w:r>
      <w:r w:rsidRPr="000F56C7">
        <w:rPr>
          <w:rFonts w:ascii="David" w:hAnsi="David" w:cs="David" w:hint="cs"/>
          <w:color w:val="000000" w:themeColor="text1"/>
          <w:sz w:val="24"/>
          <w:szCs w:val="24"/>
          <w:rtl/>
        </w:rPr>
        <w:t xml:space="preserve">לפי </w:t>
      </w:r>
      <w:r w:rsidRPr="00755C9B">
        <w:rPr>
          <w:rFonts w:ascii="David" w:hAnsi="David" w:cs="David"/>
          <w:b/>
          <w:bCs/>
          <w:color w:val="000000" w:themeColor="text1"/>
          <w:sz w:val="24"/>
          <w:szCs w:val="24"/>
          <w:rtl/>
        </w:rPr>
        <w:t>פס"ד עליזה אמיר</w:t>
      </w:r>
      <w:r w:rsidRPr="00755C9B">
        <w:rPr>
          <w:rFonts w:ascii="David" w:hAnsi="David" w:cs="David" w:hint="cs"/>
          <w:b/>
          <w:bCs/>
          <w:color w:val="000000" w:themeColor="text1"/>
          <w:sz w:val="24"/>
          <w:szCs w:val="24"/>
          <w:rtl/>
        </w:rPr>
        <w:t xml:space="preserve"> </w:t>
      </w:r>
      <w:r w:rsidRPr="000F56C7">
        <w:rPr>
          <w:rFonts w:ascii="David" w:hAnsi="David" w:cs="David" w:hint="cs"/>
          <w:color w:val="000000" w:themeColor="text1"/>
          <w:sz w:val="24"/>
          <w:szCs w:val="24"/>
          <w:rtl/>
        </w:rPr>
        <w:t>אם תביעת המשמורת נדונה</w:t>
      </w:r>
      <w:r w:rsidRPr="000F56C7">
        <w:rPr>
          <w:rFonts w:ascii="David" w:hAnsi="David" w:cs="David"/>
          <w:color w:val="000000" w:themeColor="text1"/>
          <w:sz w:val="24"/>
          <w:szCs w:val="24"/>
          <w:rtl/>
        </w:rPr>
        <w:t xml:space="preserve"> בביהמ"ש</w:t>
      </w:r>
      <w:r w:rsidRPr="000F56C7">
        <w:rPr>
          <w:rFonts w:ascii="David" w:hAnsi="David" w:cs="David" w:hint="cs"/>
          <w:color w:val="000000" w:themeColor="text1"/>
          <w:sz w:val="24"/>
          <w:szCs w:val="24"/>
          <w:rtl/>
        </w:rPr>
        <w:t xml:space="preserve"> היא</w:t>
      </w:r>
      <w:r w:rsidRPr="000F56C7">
        <w:rPr>
          <w:rFonts w:ascii="David" w:hAnsi="David" w:cs="David"/>
          <w:color w:val="000000" w:themeColor="text1"/>
          <w:sz w:val="24"/>
          <w:szCs w:val="24"/>
          <w:rtl/>
        </w:rPr>
        <w:t xml:space="preserve"> כוללת את המשמורת הרוחנית גם ללא ציון מפורש,</w:t>
      </w:r>
      <w:r w:rsidRPr="000F56C7">
        <w:rPr>
          <w:rFonts w:ascii="David" w:hAnsi="David" w:cs="David" w:hint="cs"/>
          <w:color w:val="000000" w:themeColor="text1"/>
          <w:sz w:val="24"/>
          <w:szCs w:val="24"/>
          <w:rtl/>
        </w:rPr>
        <w:t xml:space="preserve"> אך,</w:t>
      </w:r>
      <w:r w:rsidRPr="000F56C7">
        <w:rPr>
          <w:rFonts w:ascii="David" w:hAnsi="David" w:cs="David"/>
          <w:color w:val="000000" w:themeColor="text1"/>
          <w:sz w:val="24"/>
          <w:szCs w:val="24"/>
          <w:rtl/>
        </w:rPr>
        <w:t xml:space="preserve"> בביד"ר יש</w:t>
      </w:r>
      <w:r w:rsidRPr="000F56C7">
        <w:rPr>
          <w:rFonts w:ascii="David" w:hAnsi="David" w:cs="David" w:hint="cs"/>
          <w:color w:val="000000" w:themeColor="text1"/>
          <w:sz w:val="24"/>
          <w:szCs w:val="24"/>
          <w:rtl/>
        </w:rPr>
        <w:t xml:space="preserve"> צורך</w:t>
      </w:r>
      <w:r w:rsidRPr="000F56C7">
        <w:rPr>
          <w:rFonts w:ascii="David" w:hAnsi="David" w:cs="David"/>
          <w:color w:val="000000" w:themeColor="text1"/>
          <w:sz w:val="24"/>
          <w:szCs w:val="24"/>
          <w:rtl/>
        </w:rPr>
        <w:t xml:space="preserve"> לכרוך במפורש.</w:t>
      </w:r>
    </w:p>
    <w:p w14:paraId="5D60B94F" w14:textId="1E90CDD7" w:rsidR="006618E2" w:rsidRPr="000F56C7" w:rsidRDefault="006618E2" w:rsidP="000A4372">
      <w:pPr>
        <w:spacing w:after="0" w:line="360" w:lineRule="auto"/>
        <w:jc w:val="both"/>
        <w:rPr>
          <w:rFonts w:ascii="David" w:hAnsi="David" w:cs="David"/>
          <w:color w:val="000000" w:themeColor="text1"/>
          <w:sz w:val="24"/>
          <w:szCs w:val="24"/>
          <w:rtl/>
        </w:rPr>
      </w:pPr>
      <w:r w:rsidRPr="000F56C7">
        <w:rPr>
          <w:rFonts w:ascii="David" w:eastAsia="Calibri" w:hAnsi="David" w:cs="David"/>
          <w:color w:val="000000" w:themeColor="text1"/>
          <w:sz w:val="24"/>
          <w:szCs w:val="24"/>
          <w:rtl/>
        </w:rPr>
        <w:t xml:space="preserve">ע"פ הלכת שרגאי </w:t>
      </w:r>
      <w:r w:rsidRPr="000F56C7">
        <w:rPr>
          <w:rFonts w:ascii="David" w:eastAsia="Calibri" w:hAnsi="David" w:cs="David" w:hint="cs"/>
          <w:color w:val="000000" w:themeColor="text1"/>
          <w:sz w:val="24"/>
          <w:szCs w:val="24"/>
          <w:u w:val="double"/>
          <w:rtl/>
        </w:rPr>
        <w:t>מזונות ילדים</w:t>
      </w:r>
      <w:r w:rsidRPr="000F56C7">
        <w:rPr>
          <w:rFonts w:ascii="David" w:eastAsia="Calibri" w:hAnsi="David" w:cs="David" w:hint="cs"/>
          <w:color w:val="000000" w:themeColor="text1"/>
          <w:sz w:val="24"/>
          <w:szCs w:val="24"/>
          <w:rtl/>
        </w:rPr>
        <w:t xml:space="preserve"> </w:t>
      </w:r>
      <w:r w:rsidRPr="000F56C7">
        <w:rPr>
          <w:rFonts w:ascii="David" w:eastAsia="Calibri" w:hAnsi="David" w:cs="David"/>
          <w:color w:val="000000" w:themeColor="text1"/>
          <w:sz w:val="24"/>
          <w:szCs w:val="24"/>
          <w:rtl/>
        </w:rPr>
        <w:t>לא יכולים לדון בביד"ר, אלא בהסכמת הצדדים בהתאם לס' 9 לחשבד"ר. עם זאת בה</w:t>
      </w:r>
      <w:r w:rsidRPr="000F56C7">
        <w:rPr>
          <w:rFonts w:ascii="David" w:eastAsia="Calibri" w:hAnsi="David" w:cs="David" w:hint="cs"/>
          <w:color w:val="000000" w:themeColor="text1"/>
          <w:sz w:val="24"/>
          <w:szCs w:val="24"/>
          <w:rtl/>
        </w:rPr>
        <w:t>ת</w:t>
      </w:r>
      <w:r w:rsidRPr="000F56C7">
        <w:rPr>
          <w:rFonts w:ascii="David" w:eastAsia="Calibri" w:hAnsi="David" w:cs="David"/>
          <w:color w:val="000000" w:themeColor="text1"/>
          <w:sz w:val="24"/>
          <w:szCs w:val="24"/>
          <w:rtl/>
        </w:rPr>
        <w:t xml:space="preserve">אם לבג"ץ 5933/14 של הנדל, מזונות קטינים הוא עניין הניתן לכריכה (עתירה לד"נ על ההחלטה </w:t>
      </w:r>
      <w:r w:rsidRPr="000F56C7">
        <w:rPr>
          <w:rFonts w:ascii="David" w:eastAsia="Calibri" w:hAnsi="David" w:cs="David"/>
          <w:color w:val="000000" w:themeColor="text1"/>
          <w:sz w:val="24"/>
          <w:szCs w:val="24"/>
          <w:rtl/>
        </w:rPr>
        <w:lastRenderedPageBreak/>
        <w:t>נדחתה בדנג"צ 6454/14 ע"י גרוניס) ב2017 מזוז קבע כי הלכת שרגאי שרירה וקיימת – מה שאומר שלא משנה לאיפה התביעה תוגש כל עוד אין הסכמה ברורה של הצדדים שנושא זה ידון בביד"ר הוא ידון בביהמ"ש</w:t>
      </w:r>
      <w:r w:rsidRPr="000F56C7">
        <w:rPr>
          <w:rFonts w:ascii="David" w:eastAsia="Calibri" w:hAnsi="David" w:cs="David" w:hint="cs"/>
          <w:color w:val="000000" w:themeColor="text1"/>
          <w:sz w:val="24"/>
          <w:szCs w:val="24"/>
          <w:rtl/>
        </w:rPr>
        <w:t>, הנדל בדעת מיעוט עמד על דעתו</w:t>
      </w:r>
      <w:r w:rsidRPr="000F56C7">
        <w:rPr>
          <w:rFonts w:ascii="David" w:eastAsia="Calibri" w:hAnsi="David" w:cs="David"/>
          <w:color w:val="000000" w:themeColor="text1"/>
          <w:sz w:val="24"/>
          <w:szCs w:val="24"/>
          <w:rtl/>
        </w:rPr>
        <w:t>.</w:t>
      </w:r>
      <w:r>
        <w:rPr>
          <w:rFonts w:ascii="David" w:hAnsi="David" w:cs="David" w:hint="cs"/>
          <w:color w:val="000000" w:themeColor="text1"/>
          <w:sz w:val="24"/>
          <w:szCs w:val="24"/>
          <w:rtl/>
        </w:rPr>
        <w:t xml:space="preserve"> </w:t>
      </w:r>
      <w:r w:rsidRPr="001A1A99">
        <w:rPr>
          <w:rFonts w:ascii="David" w:hAnsi="David" w:cs="David" w:hint="cs"/>
          <w:sz w:val="24"/>
          <w:szCs w:val="24"/>
          <w:rtl/>
        </w:rPr>
        <w:t xml:space="preserve">הדין החל </w:t>
      </w:r>
      <w:r>
        <w:rPr>
          <w:rFonts w:ascii="David" w:hAnsi="David" w:cs="David" w:hint="cs"/>
          <w:color w:val="000000" w:themeColor="text1"/>
          <w:sz w:val="24"/>
          <w:szCs w:val="24"/>
          <w:rtl/>
        </w:rPr>
        <w:t>הוא הדין הדתי אך עם פרשנות מעט יותר שוויונית ש</w:t>
      </w:r>
      <w:r>
        <w:rPr>
          <w:rFonts w:ascii="David" w:hAnsi="David" w:cs="David" w:hint="cs"/>
          <w:sz w:val="24"/>
          <w:szCs w:val="24"/>
          <w:rtl/>
        </w:rPr>
        <w:t>נקבעה בבע"מ 919/15</w:t>
      </w:r>
      <w:r w:rsidR="00755C9B">
        <w:rPr>
          <w:rFonts w:ascii="David" w:hAnsi="David" w:cs="David" w:hint="cs"/>
          <w:sz w:val="24"/>
          <w:szCs w:val="24"/>
          <w:rtl/>
        </w:rPr>
        <w:t>.</w:t>
      </w:r>
    </w:p>
    <w:p w14:paraId="7ECE63AE" w14:textId="31629A8D" w:rsidR="00755C9B" w:rsidRPr="000F56C7" w:rsidRDefault="00755C9B" w:rsidP="000A4372">
      <w:pPr>
        <w:spacing w:after="0" w:line="360" w:lineRule="auto"/>
        <w:jc w:val="both"/>
        <w:rPr>
          <w:rFonts w:ascii="David" w:hAnsi="David" w:cs="David"/>
          <w:color w:val="000000" w:themeColor="text1"/>
          <w:sz w:val="24"/>
          <w:szCs w:val="24"/>
          <w:u w:val="double"/>
          <w:rtl/>
        </w:rPr>
      </w:pPr>
      <w:bookmarkStart w:id="5" w:name="_Hlk44847010"/>
      <w:r w:rsidRPr="000F56C7">
        <w:rPr>
          <w:rFonts w:ascii="David" w:eastAsia="Calibri" w:hAnsi="David" w:cs="David"/>
          <w:color w:val="000000" w:themeColor="text1"/>
          <w:sz w:val="24"/>
          <w:szCs w:val="24"/>
          <w:u w:val="double"/>
          <w:rtl/>
        </w:rPr>
        <w:t>מזונות אישה דתים</w:t>
      </w:r>
      <w:r w:rsidRPr="000F56C7">
        <w:rPr>
          <w:rFonts w:ascii="David" w:eastAsia="Calibri" w:hAnsi="David" w:cs="David" w:hint="cs"/>
          <w:color w:val="000000" w:themeColor="text1"/>
          <w:sz w:val="24"/>
          <w:szCs w:val="24"/>
          <w:rtl/>
        </w:rPr>
        <w:t xml:space="preserve"> </w:t>
      </w:r>
      <w:r w:rsidRPr="000F56C7">
        <w:rPr>
          <w:rFonts w:ascii="David" w:hAnsi="David" w:cs="David"/>
          <w:color w:val="000000" w:themeColor="text1"/>
          <w:sz w:val="24"/>
          <w:szCs w:val="24"/>
          <w:rtl/>
        </w:rPr>
        <w:t>כיוון שהזוג מתגרש בביד"ר ושניהם יהודים על פי דין המעמד האישי מגיע לאישה מזונות דתים</w:t>
      </w:r>
      <w:r w:rsidR="00473595">
        <w:rPr>
          <w:rFonts w:ascii="David" w:hAnsi="David" w:cs="David" w:hint="cs"/>
          <w:color w:val="000000" w:themeColor="text1"/>
          <w:sz w:val="24"/>
          <w:szCs w:val="24"/>
          <w:rtl/>
        </w:rPr>
        <w:t>,</w:t>
      </w:r>
      <w:r w:rsidR="00473595" w:rsidRPr="00473595">
        <w:rPr>
          <w:rFonts w:ascii="David" w:eastAsia="Calibri" w:hAnsi="David" w:cs="David" w:hint="cs"/>
          <w:color w:val="000000" w:themeColor="text1"/>
          <w:sz w:val="24"/>
          <w:szCs w:val="24"/>
          <w:rtl/>
        </w:rPr>
        <w:t xml:space="preserve"> </w:t>
      </w:r>
      <w:r w:rsidR="00473595" w:rsidRPr="000F56C7">
        <w:rPr>
          <w:rFonts w:ascii="David" w:eastAsia="Calibri" w:hAnsi="David" w:cs="David" w:hint="cs"/>
          <w:color w:val="000000" w:themeColor="text1"/>
          <w:sz w:val="24"/>
          <w:szCs w:val="24"/>
          <w:rtl/>
        </w:rPr>
        <w:t>הבעל מחוייב במזונות אשתו עד לגט</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מנגד, שרשבסקי טוען שלא מגיע לאישה זכויות ממוניות בקידושי ספק</w:t>
      </w:r>
      <w:r w:rsidR="00473595">
        <w:rPr>
          <w:rFonts w:ascii="David" w:hAnsi="David" w:cs="David" w:hint="cs"/>
          <w:color w:val="000000" w:themeColor="text1"/>
          <w:sz w:val="24"/>
          <w:szCs w:val="24"/>
          <w:rtl/>
        </w:rPr>
        <w:t xml:space="preserve"> וכהיקש גם</w:t>
      </w:r>
      <w:r>
        <w:rPr>
          <w:rFonts w:ascii="David" w:hAnsi="David" w:cs="David" w:hint="cs"/>
          <w:color w:val="000000" w:themeColor="text1"/>
          <w:sz w:val="24"/>
          <w:szCs w:val="24"/>
          <w:rtl/>
        </w:rPr>
        <w:t xml:space="preserve"> בנישואין אזרחיים</w:t>
      </w:r>
      <w:r w:rsidRPr="000F56C7">
        <w:rPr>
          <w:rFonts w:ascii="David" w:eastAsia="Calibri" w:hAnsi="David" w:cs="David" w:hint="cs"/>
          <w:color w:val="000000" w:themeColor="text1"/>
          <w:sz w:val="24"/>
          <w:szCs w:val="24"/>
          <w:rtl/>
        </w:rPr>
        <w:t>.</w:t>
      </w:r>
      <w:r w:rsidRPr="000F56C7">
        <w:rPr>
          <w:rFonts w:ascii="David" w:eastAsia="Calibri" w:hAnsi="David" w:cs="David"/>
          <w:color w:val="000000" w:themeColor="text1"/>
          <w:sz w:val="24"/>
          <w:szCs w:val="24"/>
          <w:rtl/>
        </w:rPr>
        <w:t xml:space="preserve"> ס' 2(א) לחוק דיני משפחה ביהמ"ש מחוייב ל</w:t>
      </w:r>
      <w:r w:rsidRPr="000F56C7">
        <w:rPr>
          <w:rFonts w:ascii="David" w:eastAsia="Calibri" w:hAnsi="David" w:cs="David" w:hint="cs"/>
          <w:color w:val="000000" w:themeColor="text1"/>
          <w:sz w:val="24"/>
          <w:szCs w:val="24"/>
          <w:rtl/>
        </w:rPr>
        <w:t>דון בנושא לפי ה</w:t>
      </w:r>
      <w:r w:rsidRPr="000F56C7">
        <w:rPr>
          <w:rFonts w:ascii="David" w:eastAsia="Calibri" w:hAnsi="David" w:cs="David"/>
          <w:color w:val="000000" w:themeColor="text1"/>
          <w:sz w:val="24"/>
          <w:szCs w:val="24"/>
          <w:rtl/>
        </w:rPr>
        <w:t>דין הדתי</w:t>
      </w:r>
      <w:r w:rsidRPr="000F56C7">
        <w:rPr>
          <w:rFonts w:ascii="David" w:eastAsia="Calibri" w:hAnsi="David" w:cs="David" w:hint="cs"/>
          <w:color w:val="000000" w:themeColor="text1"/>
          <w:sz w:val="24"/>
          <w:szCs w:val="24"/>
          <w:rtl/>
        </w:rPr>
        <w:t>. "עולה עמו ולא יורדת" -</w:t>
      </w:r>
      <w:r w:rsidRPr="000F56C7">
        <w:rPr>
          <w:rFonts w:cs="David" w:hint="cs"/>
          <w:color w:val="000000" w:themeColor="text1"/>
          <w:sz w:val="24"/>
          <w:szCs w:val="24"/>
          <w:rtl/>
        </w:rPr>
        <w:t xml:space="preserve"> מזונות צריכים לשמור על אותה רמת חיים שהייתה במהלך הנישואין, ואם רמת החיים לפני הנישואין הייתה גבוהה יותר ישמור על זאת.</w:t>
      </w:r>
      <w:r w:rsidRPr="000F56C7">
        <w:rPr>
          <w:rFonts w:ascii="David" w:hAnsi="David" w:cs="David" w:hint="cs"/>
          <w:color w:val="000000" w:themeColor="text1"/>
          <w:sz w:val="24"/>
          <w:szCs w:val="24"/>
          <w:rtl/>
        </w:rPr>
        <w:t xml:space="preserve"> </w:t>
      </w:r>
      <w:r w:rsidRPr="000F56C7">
        <w:rPr>
          <w:rFonts w:ascii="David" w:eastAsia="Calibri" w:hAnsi="David" w:cs="David" w:hint="cs"/>
          <w:color w:val="000000" w:themeColor="text1"/>
          <w:sz w:val="24"/>
          <w:szCs w:val="24"/>
          <w:rtl/>
        </w:rPr>
        <w:t>הזכות למזונות תלויה באופן הדוק בהתנהגות האישה, על בסיס הסטנדרט הכפול של קוד ההתנהגות המינית הנדרש ממנה.</w:t>
      </w:r>
    </w:p>
    <w:p w14:paraId="676A59B0" w14:textId="79EAE56E" w:rsidR="000A4372" w:rsidRPr="00BC4819" w:rsidRDefault="00755C9B" w:rsidP="004A1850">
      <w:pPr>
        <w:spacing w:line="360" w:lineRule="auto"/>
        <w:jc w:val="both"/>
        <w:rPr>
          <w:rFonts w:ascii="David" w:hAnsi="David" w:cs="David"/>
          <w:color w:val="000000" w:themeColor="text1"/>
          <w:sz w:val="24"/>
          <w:szCs w:val="24"/>
          <w:u w:val="single"/>
          <w:rtl/>
        </w:rPr>
      </w:pPr>
      <w:r w:rsidRPr="000F56C7">
        <w:rPr>
          <w:rFonts w:ascii="David" w:hAnsi="David" w:cs="David"/>
          <w:color w:val="000000" w:themeColor="text1"/>
          <w:sz w:val="24"/>
          <w:szCs w:val="24"/>
          <w:u w:val="double"/>
          <w:rtl/>
        </w:rPr>
        <w:t>מזונות אזרחיים</w:t>
      </w:r>
      <w:r w:rsidRPr="000F56C7">
        <w:rPr>
          <w:rFonts w:ascii="David" w:hAnsi="David" w:cs="David"/>
          <w:color w:val="000000" w:themeColor="text1"/>
          <w:sz w:val="24"/>
          <w:szCs w:val="24"/>
          <w:rtl/>
        </w:rPr>
        <w:t xml:space="preserve"> </w:t>
      </w:r>
      <w:r w:rsidR="00BE6897" w:rsidRPr="000F56C7">
        <w:rPr>
          <w:rFonts w:ascii="David" w:hAnsi="David" w:cs="David"/>
          <w:color w:val="000000" w:themeColor="text1"/>
          <w:sz w:val="24"/>
          <w:szCs w:val="24"/>
          <w:rtl/>
        </w:rPr>
        <w:t>פס"ד 8256/99 המזונות האזרחיים ברק אומר במפורש שההלכה חלה רק על נישואין אזרחיים מחוץ לישראל של יהודים או בני דתות אחרות ועל ידועים בציבור</w:t>
      </w:r>
      <w:r w:rsidR="00BE6897">
        <w:rPr>
          <w:rFonts w:ascii="David" w:hAnsi="David" w:cs="David" w:hint="cs"/>
          <w:color w:val="000000" w:themeColor="text1"/>
          <w:sz w:val="24"/>
          <w:szCs w:val="24"/>
          <w:rtl/>
        </w:rPr>
        <w:t>.</w:t>
      </w:r>
      <w:r w:rsidR="005945A5">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 xml:space="preserve">יצירת המזונות </w:t>
      </w:r>
      <w:r w:rsidRPr="000F56C7">
        <w:rPr>
          <w:rFonts w:ascii="David" w:hAnsi="David" w:cs="David" w:hint="cs"/>
          <w:color w:val="000000" w:themeColor="text1"/>
          <w:sz w:val="24"/>
          <w:szCs w:val="24"/>
          <w:rtl/>
        </w:rPr>
        <w:t xml:space="preserve">האזרחיים התחילה </w:t>
      </w:r>
      <w:r w:rsidRPr="000F56C7">
        <w:rPr>
          <w:rFonts w:ascii="David" w:hAnsi="David" w:cs="David"/>
          <w:color w:val="000000" w:themeColor="text1"/>
          <w:sz w:val="24"/>
          <w:szCs w:val="24"/>
          <w:rtl/>
        </w:rPr>
        <w:t xml:space="preserve">מכוח חו"י כבוד האדם </w:t>
      </w:r>
      <w:r w:rsidRPr="000F56C7">
        <w:rPr>
          <w:rFonts w:ascii="David" w:hAnsi="David" w:cs="David" w:hint="cs"/>
          <w:color w:val="000000" w:themeColor="text1"/>
          <w:sz w:val="24"/>
          <w:szCs w:val="24"/>
          <w:rtl/>
        </w:rPr>
        <w:t>ב</w:t>
      </w:r>
      <w:r w:rsidRPr="000F56C7">
        <w:rPr>
          <w:rFonts w:ascii="David" w:hAnsi="David" w:cs="David"/>
          <w:color w:val="000000" w:themeColor="text1"/>
          <w:sz w:val="24"/>
          <w:szCs w:val="24"/>
          <w:rtl/>
        </w:rPr>
        <w:t>אוביטר של השופט שמגר בפס"ד סלומון</w:t>
      </w:r>
      <w:r w:rsidRPr="000F56C7">
        <w:rPr>
          <w:rFonts w:ascii="David" w:hAnsi="David" w:cs="David" w:hint="cs"/>
          <w:color w:val="000000" w:themeColor="text1"/>
          <w:sz w:val="24"/>
          <w:szCs w:val="24"/>
          <w:rtl/>
        </w:rPr>
        <w:t>.</w:t>
      </w:r>
      <w:r w:rsidRPr="000F56C7">
        <w:rPr>
          <w:rFonts w:ascii="David" w:hAnsi="David" w:cs="David"/>
          <w:color w:val="000000" w:themeColor="text1"/>
          <w:sz w:val="24"/>
          <w:szCs w:val="24"/>
          <w:rtl/>
        </w:rPr>
        <w:t xml:space="preserve"> אש</w:t>
      </w:r>
      <w:r w:rsidRPr="000F56C7">
        <w:rPr>
          <w:rFonts w:ascii="David" w:hAnsi="David" w:cs="David" w:hint="cs"/>
          <w:color w:val="000000" w:themeColor="text1"/>
          <w:sz w:val="24"/>
          <w:szCs w:val="24"/>
          <w:rtl/>
        </w:rPr>
        <w:t>ר מאוחר יותר</w:t>
      </w:r>
      <w:r w:rsidRPr="000F56C7">
        <w:rPr>
          <w:rFonts w:ascii="David" w:hAnsi="David" w:cs="David"/>
          <w:color w:val="000000" w:themeColor="text1"/>
          <w:sz w:val="24"/>
          <w:szCs w:val="24"/>
          <w:rtl/>
        </w:rPr>
        <w:t xml:space="preserve"> </w:t>
      </w:r>
      <w:r w:rsidRPr="000F56C7">
        <w:rPr>
          <w:rFonts w:ascii="David" w:hAnsi="David" w:cs="David" w:hint="cs"/>
          <w:color w:val="000000" w:themeColor="text1"/>
          <w:sz w:val="24"/>
          <w:szCs w:val="24"/>
          <w:rtl/>
        </w:rPr>
        <w:t>המזונות האזרחיים קיבלו</w:t>
      </w:r>
      <w:r w:rsidRPr="000F56C7">
        <w:rPr>
          <w:rFonts w:ascii="David" w:hAnsi="David" w:cs="David"/>
          <w:color w:val="000000" w:themeColor="text1"/>
          <w:sz w:val="24"/>
          <w:szCs w:val="24"/>
          <w:rtl/>
        </w:rPr>
        <w:t xml:space="preserve"> משמעות חזקה יותר כשמוסיפים אותם למזונות מכוח תום הלב</w:t>
      </w:r>
      <w:r w:rsidRPr="000F56C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המזונות האזרחיים של השופט ברק.</w:t>
      </w:r>
      <w:r w:rsidR="00BE6897">
        <w:rPr>
          <w:rFonts w:ascii="David" w:hAnsi="David" w:cs="David" w:hint="cs"/>
          <w:color w:val="000000" w:themeColor="text1"/>
          <w:sz w:val="24"/>
          <w:szCs w:val="24"/>
          <w:rtl/>
        </w:rPr>
        <w:t xml:space="preserve"> </w:t>
      </w:r>
      <w:r w:rsidRPr="000F56C7">
        <w:rPr>
          <w:rFonts w:ascii="David" w:hAnsi="David" w:cs="David"/>
          <w:color w:val="000000" w:themeColor="text1"/>
          <w:sz w:val="24"/>
          <w:szCs w:val="24"/>
          <w:rtl/>
        </w:rPr>
        <w:t xml:space="preserve">הצדקות למזונות אזרחיים </w:t>
      </w:r>
      <w:r w:rsidRPr="000F56C7">
        <w:rPr>
          <w:rFonts w:ascii="David" w:hAnsi="David" w:cs="David" w:hint="cs"/>
          <w:color w:val="000000" w:themeColor="text1"/>
          <w:sz w:val="24"/>
          <w:szCs w:val="24"/>
          <w:rtl/>
        </w:rPr>
        <w:t>הם ב</w:t>
      </w:r>
      <w:r w:rsidRPr="000F56C7">
        <w:rPr>
          <w:rFonts w:ascii="David" w:hAnsi="David" w:cs="David"/>
          <w:color w:val="000000" w:themeColor="text1"/>
          <w:sz w:val="24"/>
          <w:szCs w:val="24"/>
          <w:rtl/>
        </w:rPr>
        <w:t>מצב של אי שוויון, תלות עקב חלוקת תפקידים שיש לה רציונאל כלכלי או פסיכולוגי או אפילו מתוך רצון משותף של הצדדים. בפס"ד פרגוואי ברק מבחין בין שאלת הסטטוס לשאלה הסכמה מכללא בהסכם חוזי לחיים משותפים,</w:t>
      </w:r>
      <w:r w:rsidR="00473595">
        <w:rPr>
          <w:rFonts w:ascii="David" w:hAnsi="David" w:cs="David" w:hint="cs"/>
          <w:color w:val="000000" w:themeColor="text1"/>
          <w:sz w:val="24"/>
          <w:szCs w:val="24"/>
          <w:rtl/>
        </w:rPr>
        <w:t xml:space="preserve"> ו</w:t>
      </w:r>
      <w:r w:rsidRPr="000F56C7">
        <w:rPr>
          <w:rFonts w:ascii="David" w:hAnsi="David" w:cs="David"/>
          <w:color w:val="000000" w:themeColor="text1"/>
          <w:sz w:val="24"/>
          <w:szCs w:val="24"/>
          <w:rtl/>
        </w:rPr>
        <w:t>פוסק על בסיס מזונות חוזיים משקמים</w:t>
      </w:r>
      <w:r w:rsidR="00473595">
        <w:rPr>
          <w:rFonts w:ascii="David" w:hAnsi="David" w:cs="David" w:hint="cs"/>
          <w:color w:val="000000" w:themeColor="text1"/>
          <w:sz w:val="24"/>
          <w:szCs w:val="24"/>
          <w:rtl/>
        </w:rPr>
        <w:t>.</w:t>
      </w:r>
      <w:r w:rsidRPr="000F56C7">
        <w:rPr>
          <w:rFonts w:ascii="David" w:hAnsi="David" w:cs="David"/>
          <w:color w:val="000000" w:themeColor="text1"/>
          <w:sz w:val="24"/>
          <w:szCs w:val="24"/>
          <w:rtl/>
        </w:rPr>
        <w:t xml:space="preserve"> ע"פ פס"ד סלומון ניתן לפסוק מזונות עפ"י חו"י כבוה"א אם יהיה לכלנית נזק כספי משמועתי. הפקרת בן זוג למחסור ורעב הם בגדר פגיעה בכבוה"א, כל זאת לאור עקרון תו"ל, דרישה הגינות ויושר בין הצדדים.</w:t>
      </w:r>
      <w:r w:rsidR="00473595">
        <w:rPr>
          <w:rFonts w:ascii="David" w:eastAsia="Calibri" w:hAnsi="David" w:cs="David" w:hint="cs"/>
          <w:color w:val="000000" w:themeColor="text1"/>
          <w:sz w:val="24"/>
          <w:szCs w:val="24"/>
          <w:rtl/>
        </w:rPr>
        <w:t xml:space="preserve"> </w:t>
      </w:r>
      <w:r w:rsidR="00473595" w:rsidRPr="00473595">
        <w:rPr>
          <w:rFonts w:ascii="David" w:hAnsi="David" w:cs="David"/>
          <w:color w:val="000000" w:themeColor="text1"/>
          <w:sz w:val="24"/>
          <w:szCs w:val="24"/>
          <w:rtl/>
        </w:rPr>
        <w:t>בעיניינו</w:t>
      </w:r>
      <w:r w:rsidR="00473595" w:rsidRPr="000F56C7">
        <w:rPr>
          <w:rFonts w:ascii="David" w:hAnsi="David" w:cs="David"/>
          <w:color w:val="000000" w:themeColor="text1"/>
          <w:sz w:val="24"/>
          <w:szCs w:val="24"/>
          <w:rtl/>
        </w:rPr>
        <w:t>,</w:t>
      </w:r>
      <w:bookmarkEnd w:id="5"/>
      <w:r w:rsidR="00BE6897">
        <w:rPr>
          <w:rFonts w:ascii="David" w:hAnsi="David" w:cs="David" w:hint="cs"/>
          <w:color w:val="000000" w:themeColor="text1"/>
          <w:sz w:val="24"/>
          <w:szCs w:val="24"/>
          <w:rtl/>
        </w:rPr>
        <w:t xml:space="preserve"> </w:t>
      </w:r>
      <w:r w:rsidRPr="00E6339F">
        <w:rPr>
          <w:rFonts w:ascii="David" w:hAnsi="David" w:cs="David" w:hint="cs"/>
          <w:color w:val="000000" w:themeColor="text1"/>
          <w:sz w:val="24"/>
          <w:szCs w:val="24"/>
          <w:rtl/>
        </w:rPr>
        <w:t>אין מקום ל</w:t>
      </w:r>
      <w:r w:rsidR="00BE6897">
        <w:rPr>
          <w:rFonts w:ascii="David" w:hAnsi="David" w:cs="David" w:hint="cs"/>
          <w:color w:val="000000" w:themeColor="text1"/>
          <w:sz w:val="24"/>
          <w:szCs w:val="24"/>
          <w:rtl/>
        </w:rPr>
        <w:t xml:space="preserve">מתן מזונות אזרחים או </w:t>
      </w:r>
      <w:r w:rsidRPr="00E6339F">
        <w:rPr>
          <w:rFonts w:ascii="David" w:hAnsi="David" w:cs="David" w:hint="cs"/>
          <w:color w:val="000000" w:themeColor="text1"/>
          <w:sz w:val="24"/>
          <w:szCs w:val="24"/>
          <w:rtl/>
        </w:rPr>
        <w:t>סטיה מחלוקה שווה של הרכוש</w:t>
      </w:r>
      <w:r w:rsidR="00BE6897">
        <w:rPr>
          <w:rFonts w:ascii="David" w:hAnsi="David" w:cs="David" w:hint="cs"/>
          <w:color w:val="000000" w:themeColor="text1"/>
          <w:sz w:val="24"/>
          <w:szCs w:val="24"/>
          <w:rtl/>
        </w:rPr>
        <w:t>.</w:t>
      </w:r>
      <w:r w:rsidRPr="00E6339F">
        <w:rPr>
          <w:rFonts w:ascii="David" w:hAnsi="David" w:cs="David" w:hint="cs"/>
          <w:color w:val="000000" w:themeColor="text1"/>
          <w:sz w:val="24"/>
          <w:szCs w:val="24"/>
          <w:rtl/>
        </w:rPr>
        <w:t xml:space="preserve"> שהרי מזונות לאחר הגירושין, החלוקה לא שיוויונית, הון אנושי ומוניטין אישי </w:t>
      </w:r>
      <w:r w:rsidRPr="00E6339F">
        <w:rPr>
          <w:rFonts w:ascii="David" w:hAnsi="David" w:cs="David"/>
          <w:color w:val="000000" w:themeColor="text1"/>
          <w:sz w:val="24"/>
          <w:szCs w:val="24"/>
          <w:rtl/>
        </w:rPr>
        <w:t>–</w:t>
      </w:r>
      <w:r w:rsidRPr="00E6339F">
        <w:rPr>
          <w:rFonts w:ascii="David" w:hAnsi="David" w:cs="David" w:hint="cs"/>
          <w:color w:val="000000" w:themeColor="text1"/>
          <w:sz w:val="24"/>
          <w:szCs w:val="24"/>
          <w:rtl/>
        </w:rPr>
        <w:t xml:space="preserve"> כולם למעשה פנים שונות של אותו פער בין הצדדים ויש להסתפק בסעד אחד מביניהם.</w:t>
      </w:r>
      <w:r w:rsidR="00BE6897" w:rsidRPr="00BE6897">
        <w:rPr>
          <w:rFonts w:ascii="David" w:hAnsi="David" w:cs="David" w:hint="cs"/>
          <w:color w:val="000000" w:themeColor="text1"/>
          <w:sz w:val="24"/>
          <w:szCs w:val="24"/>
          <w:rtl/>
        </w:rPr>
        <w:t xml:space="preserve"> </w:t>
      </w:r>
      <w:r w:rsidR="00BE6897">
        <w:rPr>
          <w:rFonts w:ascii="David" w:hAnsi="David" w:cs="David" w:hint="cs"/>
          <w:color w:val="000000" w:themeColor="text1"/>
          <w:sz w:val="24"/>
          <w:szCs w:val="24"/>
          <w:rtl/>
        </w:rPr>
        <w:t>לא נראה כי קמות הצדקות אלו, עידית היא אישה עצמאית ומצליחה</w:t>
      </w:r>
      <w:r w:rsidR="00BE6897">
        <w:rPr>
          <w:rFonts w:ascii="David" w:hAnsi="David" w:cs="David" w:hint="cs"/>
          <w:color w:val="000000" w:themeColor="text1"/>
          <w:sz w:val="24"/>
          <w:szCs w:val="24"/>
          <w:rtl/>
        </w:rPr>
        <w:t>.</w:t>
      </w:r>
    </w:p>
    <w:p w14:paraId="694F78B4" w14:textId="14A0C7E0" w:rsidR="004C7F10" w:rsidRDefault="00BC4819" w:rsidP="004A1850">
      <w:pPr>
        <w:spacing w:after="0" w:line="360" w:lineRule="auto"/>
        <w:jc w:val="both"/>
        <w:rPr>
          <w:rFonts w:ascii="David" w:hAnsi="David" w:cs="David"/>
          <w:color w:val="000000" w:themeColor="text1"/>
          <w:sz w:val="24"/>
          <w:szCs w:val="24"/>
          <w:rtl/>
        </w:rPr>
      </w:pPr>
      <w:r w:rsidRPr="000A4372">
        <w:rPr>
          <w:rFonts w:ascii="David" w:hAnsi="David" w:cs="David" w:hint="cs"/>
          <w:b/>
          <w:bCs/>
          <w:color w:val="000000" w:themeColor="text1"/>
          <w:sz w:val="24"/>
          <w:szCs w:val="24"/>
          <w:u w:val="single"/>
          <w:rtl/>
        </w:rPr>
        <w:t>שאלה 2</w:t>
      </w:r>
      <w:r w:rsidR="000A4372" w:rsidRPr="000A4372">
        <w:rPr>
          <w:rFonts w:ascii="David" w:hAnsi="David" w:cs="David" w:hint="cs"/>
          <w:b/>
          <w:bCs/>
          <w:color w:val="000000" w:themeColor="text1"/>
          <w:sz w:val="24"/>
          <w:szCs w:val="24"/>
          <w:u w:val="single"/>
          <w:rtl/>
        </w:rPr>
        <w:t>-</w:t>
      </w:r>
      <w:r>
        <w:rPr>
          <w:rFonts w:ascii="David" w:hAnsi="David" w:cs="David" w:hint="cs"/>
          <w:color w:val="000000" w:themeColor="text1"/>
          <w:sz w:val="24"/>
          <w:szCs w:val="24"/>
          <w:rtl/>
        </w:rPr>
        <w:t xml:space="preserve"> </w:t>
      </w:r>
      <w:r w:rsidR="004C7F10">
        <w:rPr>
          <w:rFonts w:ascii="David" w:hAnsi="David" w:cs="David" w:hint="cs"/>
          <w:color w:val="000000" w:themeColor="text1"/>
          <w:sz w:val="24"/>
          <w:szCs w:val="24"/>
          <w:rtl/>
        </w:rPr>
        <w:t xml:space="preserve">כיום ביהמ"ש יכול לכפות על איש לתת גט פיטורין, </w:t>
      </w:r>
      <w:r w:rsidR="004C7F10">
        <w:rPr>
          <w:rFonts w:ascii="David" w:hAnsi="David" w:cs="David" w:hint="cs"/>
          <w:color w:val="000000" w:themeColor="text1"/>
          <w:sz w:val="24"/>
          <w:szCs w:val="24"/>
          <w:rtl/>
        </w:rPr>
        <w:t>בסנקציה של מאסר</w:t>
      </w:r>
      <w:r w:rsidR="004C7F10">
        <w:rPr>
          <w:rFonts w:ascii="David" w:hAnsi="David" w:cs="David" w:hint="cs"/>
          <w:color w:val="000000" w:themeColor="text1"/>
          <w:sz w:val="24"/>
          <w:szCs w:val="24"/>
          <w:rtl/>
        </w:rPr>
        <w:t xml:space="preserve"> לפי בקשת היועץ המשפטי לממשלה, אם לא נתן לה את הגט לאחר 60 ימים מהפסיקה. הצעת החוק מרחיבה את סמכויות ביהמ"ש</w:t>
      </w:r>
      <w:r w:rsidR="000A4372">
        <w:rPr>
          <w:rFonts w:ascii="David" w:hAnsi="David" w:cs="David" w:hint="cs"/>
          <w:color w:val="000000" w:themeColor="text1"/>
          <w:sz w:val="24"/>
          <w:szCs w:val="24"/>
          <w:rtl/>
        </w:rPr>
        <w:t>.</w:t>
      </w:r>
      <w:r w:rsidR="004C7F10">
        <w:rPr>
          <w:rFonts w:ascii="David" w:hAnsi="David" w:cs="David" w:hint="cs"/>
          <w:color w:val="000000" w:themeColor="text1"/>
          <w:sz w:val="24"/>
          <w:szCs w:val="24"/>
          <w:rtl/>
        </w:rPr>
        <w:t xml:space="preserve"> לאחר 60 ימים מצטברים במאסר</w:t>
      </w:r>
      <w:r w:rsidR="000A4372">
        <w:rPr>
          <w:rFonts w:ascii="David" w:hAnsi="David" w:cs="David" w:hint="cs"/>
          <w:color w:val="000000" w:themeColor="text1"/>
          <w:sz w:val="24"/>
          <w:szCs w:val="24"/>
          <w:rtl/>
        </w:rPr>
        <w:t xml:space="preserve"> </w:t>
      </w:r>
      <w:r w:rsidR="004A1850">
        <w:rPr>
          <w:rFonts w:ascii="David" w:hAnsi="David" w:cs="David" w:hint="cs"/>
          <w:color w:val="000000" w:themeColor="text1"/>
          <w:sz w:val="24"/>
          <w:szCs w:val="24"/>
          <w:rtl/>
        </w:rPr>
        <w:t xml:space="preserve">ביהמ"ש </w:t>
      </w:r>
      <w:r w:rsidR="000A4372">
        <w:rPr>
          <w:rFonts w:ascii="David" w:hAnsi="David" w:cs="David" w:hint="cs"/>
          <w:color w:val="000000" w:themeColor="text1"/>
          <w:sz w:val="24"/>
          <w:szCs w:val="24"/>
          <w:rtl/>
        </w:rPr>
        <w:t>רשאי להכריז כי</w:t>
      </w:r>
      <w:r w:rsidR="004C7F10">
        <w:rPr>
          <w:rFonts w:ascii="David" w:hAnsi="David" w:cs="David" w:hint="cs"/>
          <w:color w:val="000000" w:themeColor="text1"/>
          <w:sz w:val="24"/>
          <w:szCs w:val="24"/>
          <w:rtl/>
        </w:rPr>
        <w:t xml:space="preserve"> </w:t>
      </w:r>
      <w:r w:rsidR="000A4372" w:rsidRPr="00BC4819">
        <w:rPr>
          <w:rFonts w:ascii="David" w:hAnsi="David" w:cs="David"/>
          <w:color w:val="000000" w:themeColor="text1"/>
          <w:sz w:val="24"/>
          <w:szCs w:val="24"/>
          <w:rtl/>
        </w:rPr>
        <w:t>יראו א</w:t>
      </w:r>
      <w:r w:rsidR="000A4372">
        <w:rPr>
          <w:rFonts w:ascii="David" w:hAnsi="David" w:cs="David" w:hint="cs"/>
          <w:color w:val="000000" w:themeColor="text1"/>
          <w:sz w:val="24"/>
          <w:szCs w:val="24"/>
          <w:rtl/>
        </w:rPr>
        <w:t>ת הזוג גרושים,</w:t>
      </w:r>
      <w:r w:rsidR="000A4372" w:rsidRPr="00BC4819">
        <w:rPr>
          <w:rFonts w:ascii="David" w:hAnsi="David" w:cs="David"/>
          <w:color w:val="000000" w:themeColor="text1"/>
          <w:sz w:val="24"/>
          <w:szCs w:val="24"/>
          <w:rtl/>
        </w:rPr>
        <w:t xml:space="preserve"> כאי</w:t>
      </w:r>
      <w:r w:rsidR="004A1850">
        <w:rPr>
          <w:rFonts w:ascii="David" w:hAnsi="David" w:cs="David" w:hint="cs"/>
          <w:color w:val="000000" w:themeColor="text1"/>
          <w:sz w:val="24"/>
          <w:szCs w:val="24"/>
          <w:rtl/>
        </w:rPr>
        <w:t xml:space="preserve">לו </w:t>
      </w:r>
      <w:r w:rsidR="000A4372" w:rsidRPr="00BC4819">
        <w:rPr>
          <w:rFonts w:ascii="David" w:hAnsi="David" w:cs="David"/>
          <w:color w:val="000000" w:themeColor="text1"/>
          <w:sz w:val="24"/>
          <w:szCs w:val="24"/>
          <w:rtl/>
        </w:rPr>
        <w:t>ניתן גט פיטורין</w:t>
      </w:r>
      <w:r w:rsidR="000A4372">
        <w:rPr>
          <w:rFonts w:ascii="David" w:hAnsi="David" w:cs="David" w:hint="cs"/>
          <w:color w:val="000000" w:themeColor="text1"/>
          <w:sz w:val="24"/>
          <w:szCs w:val="24"/>
          <w:rtl/>
        </w:rPr>
        <w:t>.</w:t>
      </w:r>
    </w:p>
    <w:p w14:paraId="4FC50897" w14:textId="50930AEA" w:rsidR="009A0A7A" w:rsidRPr="000A4372" w:rsidRDefault="009A0A7A" w:rsidP="000A4372">
      <w:pPr>
        <w:spacing w:after="0" w:line="360" w:lineRule="auto"/>
        <w:jc w:val="both"/>
        <w:rPr>
          <w:rFonts w:ascii="David" w:hAnsi="David" w:cs="David"/>
          <w:sz w:val="24"/>
          <w:szCs w:val="24"/>
          <w:u w:val="single"/>
          <w:rtl/>
        </w:rPr>
      </w:pPr>
      <w:r w:rsidRPr="000A4372">
        <w:rPr>
          <w:rFonts w:ascii="David" w:hAnsi="David" w:cs="David"/>
          <w:sz w:val="24"/>
          <w:szCs w:val="24"/>
          <w:u w:val="single"/>
          <w:rtl/>
        </w:rPr>
        <w:t>הרקע להצעת החוק</w:t>
      </w:r>
      <w:r w:rsidR="000A4372" w:rsidRPr="000A4372">
        <w:rPr>
          <w:rFonts w:ascii="David" w:hAnsi="David" w:cs="David" w:hint="cs"/>
          <w:sz w:val="24"/>
          <w:szCs w:val="24"/>
          <w:u w:val="single"/>
          <w:rtl/>
        </w:rPr>
        <w:t xml:space="preserve">, </w:t>
      </w:r>
      <w:r w:rsidRPr="000A4372">
        <w:rPr>
          <w:rFonts w:ascii="David" w:hAnsi="David" w:cs="David"/>
          <w:sz w:val="24"/>
          <w:szCs w:val="24"/>
          <w:u w:val="single"/>
          <w:rtl/>
        </w:rPr>
        <w:t>הבעיה שההצעה באה לתת לה מענה</w:t>
      </w:r>
      <w:r w:rsidR="000A4372" w:rsidRPr="000A4372">
        <w:rPr>
          <w:rFonts w:ascii="David" w:hAnsi="David" w:cs="David" w:hint="cs"/>
          <w:sz w:val="24"/>
          <w:szCs w:val="24"/>
          <w:u w:val="single"/>
          <w:rtl/>
        </w:rPr>
        <w:t xml:space="preserve"> וההשפעה הפוטנציאלית</w:t>
      </w:r>
    </w:p>
    <w:p w14:paraId="74A41DB3" w14:textId="77777777" w:rsidR="008E011F" w:rsidRDefault="00BC4819" w:rsidP="001052FF">
      <w:pPr>
        <w:spacing w:after="0" w:line="360" w:lineRule="auto"/>
        <w:jc w:val="both"/>
        <w:rPr>
          <w:rFonts w:ascii="David" w:hAnsi="David" w:cs="David"/>
          <w:b/>
          <w:bCs/>
          <w:sz w:val="24"/>
          <w:szCs w:val="24"/>
          <w:rtl/>
        </w:rPr>
      </w:pPr>
      <w:r>
        <w:rPr>
          <w:rFonts w:ascii="David" w:hAnsi="David" w:cs="David" w:hint="cs"/>
          <w:sz w:val="24"/>
          <w:szCs w:val="24"/>
          <w:rtl/>
        </w:rPr>
        <w:t>המפתח לגירושין הוא הסכמה, אולם כאן מתגלה  הא-סימטריה:</w:t>
      </w:r>
      <w:r w:rsidR="008E011F">
        <w:rPr>
          <w:rFonts w:ascii="David" w:hAnsi="David" w:cs="David" w:hint="cs"/>
          <w:sz w:val="24"/>
          <w:szCs w:val="24"/>
          <w:rtl/>
        </w:rPr>
        <w:t xml:space="preserve"> </w:t>
      </w:r>
      <w:r>
        <w:rPr>
          <w:rFonts w:ascii="David" w:hAnsi="David" w:cs="David" w:hint="cs"/>
          <w:sz w:val="24"/>
          <w:szCs w:val="24"/>
          <w:rtl/>
        </w:rPr>
        <w:t>רצונו החופשי</w:t>
      </w:r>
      <w:r w:rsidR="008E011F">
        <w:rPr>
          <w:rFonts w:ascii="David" w:hAnsi="David" w:cs="David" w:hint="cs"/>
          <w:sz w:val="24"/>
          <w:szCs w:val="24"/>
          <w:rtl/>
        </w:rPr>
        <w:t xml:space="preserve"> </w:t>
      </w:r>
      <w:r>
        <w:rPr>
          <w:rFonts w:ascii="David" w:hAnsi="David" w:cs="David" w:hint="cs"/>
          <w:sz w:val="24"/>
          <w:szCs w:val="24"/>
          <w:rtl/>
        </w:rPr>
        <w:t>של הבעל נדרשת מדאורייתא, ולכן מהווה דין אבסולוטי ובלתי משתנה. רצון האישה, לעומת זאת, נדרש רק מדרבנן</w:t>
      </w:r>
      <w:r>
        <w:rPr>
          <w:rFonts w:ascii="David" w:hAnsi="David" w:cs="David" w:hint="cs"/>
          <w:sz w:val="24"/>
          <w:szCs w:val="24"/>
          <w:rtl/>
        </w:rPr>
        <w:t xml:space="preserve">, </w:t>
      </w:r>
      <w:r>
        <w:rPr>
          <w:rFonts w:ascii="David" w:hAnsi="David" w:cs="David" w:hint="cs"/>
          <w:sz w:val="24"/>
          <w:szCs w:val="24"/>
          <w:rtl/>
        </w:rPr>
        <w:t xml:space="preserve">חרם דרבנו גרשום. כלומר, </w:t>
      </w:r>
      <w:r w:rsidRPr="003911CC">
        <w:rPr>
          <w:rFonts w:ascii="David" w:hAnsi="David" w:cs="David" w:hint="cs"/>
          <w:b/>
          <w:bCs/>
          <w:sz w:val="24"/>
          <w:szCs w:val="24"/>
          <w:rtl/>
        </w:rPr>
        <w:t>ניתן לוותר על רצון האישה אבל לא על רצון האיש.</w:t>
      </w:r>
      <w:r>
        <w:rPr>
          <w:rFonts w:ascii="David" w:hAnsi="David" w:cs="David" w:hint="cs"/>
          <w:sz w:val="24"/>
          <w:szCs w:val="24"/>
          <w:rtl/>
        </w:rPr>
        <w:t xml:space="preserve"> </w:t>
      </w:r>
      <w:r w:rsidR="008E011F" w:rsidRPr="008E011F">
        <w:rPr>
          <w:rFonts w:ascii="David" w:hAnsi="David" w:cs="David" w:hint="cs"/>
          <w:sz w:val="24"/>
          <w:szCs w:val="24"/>
          <w:rtl/>
        </w:rPr>
        <w:t xml:space="preserve">ההכרח ברצון הבעל מדאורייתא גורם </w:t>
      </w:r>
      <w:r w:rsidR="008E011F" w:rsidRPr="008E011F">
        <w:rPr>
          <w:rFonts w:ascii="David" w:hAnsi="David" w:cs="David" w:hint="cs"/>
          <w:b/>
          <w:bCs/>
          <w:sz w:val="24"/>
          <w:szCs w:val="24"/>
          <w:rtl/>
        </w:rPr>
        <w:t>לחשש מחיובו לגט,</w:t>
      </w:r>
      <w:r w:rsidR="008E011F" w:rsidRPr="008E011F">
        <w:rPr>
          <w:rFonts w:ascii="David" w:hAnsi="David" w:cs="David" w:hint="cs"/>
          <w:sz w:val="24"/>
          <w:szCs w:val="24"/>
          <w:rtl/>
        </w:rPr>
        <w:t xml:space="preserve"> בעת שאת רצון האישה ניתן לעקוף דרך חיוב בגט ביתר קלות ודרך מתן היתר 100 רבנים. רצון האישה אינו גורם קריטי בכשרות הגט. </w:t>
      </w:r>
      <w:r w:rsidR="008E011F" w:rsidRPr="008E011F">
        <w:rPr>
          <w:rFonts w:ascii="David" w:hAnsi="David" w:cs="David" w:hint="cs"/>
          <w:b/>
          <w:bCs/>
          <w:sz w:val="24"/>
          <w:szCs w:val="24"/>
          <w:rtl/>
        </w:rPr>
        <w:t>כוח המיקוח של הגבר, לעומת זאת, הינו בלתי מוגבל</w:t>
      </w:r>
      <w:r w:rsidR="008E011F">
        <w:rPr>
          <w:rFonts w:ascii="David" w:hAnsi="David" w:cs="David" w:hint="cs"/>
          <w:sz w:val="24"/>
          <w:szCs w:val="24"/>
          <w:rtl/>
        </w:rPr>
        <w:t xml:space="preserve">, </w:t>
      </w:r>
      <w:r w:rsidR="008E011F" w:rsidRPr="008E011F">
        <w:rPr>
          <w:rFonts w:ascii="David" w:hAnsi="David" w:cs="David" w:hint="cs"/>
          <w:sz w:val="24"/>
          <w:szCs w:val="24"/>
          <w:rtl/>
        </w:rPr>
        <w:t>אם הוא מוכן ללכת לכלא</w:t>
      </w:r>
      <w:r w:rsidR="008E011F">
        <w:rPr>
          <w:rFonts w:ascii="David" w:hAnsi="David" w:cs="David" w:hint="cs"/>
          <w:sz w:val="24"/>
          <w:szCs w:val="24"/>
          <w:rtl/>
        </w:rPr>
        <w:t xml:space="preserve"> לפי סעיף 6(א) לחשבד"ר</w:t>
      </w:r>
      <w:r w:rsidR="008E011F" w:rsidRPr="008E011F">
        <w:rPr>
          <w:rFonts w:ascii="David" w:hAnsi="David" w:cs="David" w:hint="cs"/>
          <w:sz w:val="24"/>
          <w:szCs w:val="24"/>
          <w:rtl/>
        </w:rPr>
        <w:t xml:space="preserve">. </w:t>
      </w:r>
    </w:p>
    <w:p w14:paraId="54E775CD" w14:textId="04DE3909" w:rsidR="009A0A7A" w:rsidRPr="000A4372" w:rsidRDefault="00BC4819" w:rsidP="001052FF">
      <w:pPr>
        <w:spacing w:after="0" w:line="360" w:lineRule="auto"/>
        <w:jc w:val="both"/>
        <w:rPr>
          <w:rFonts w:ascii="David" w:hAnsi="David" w:cs="David"/>
          <w:sz w:val="24"/>
          <w:szCs w:val="24"/>
          <w:rtl/>
        </w:rPr>
      </w:pPr>
      <w:r>
        <w:rPr>
          <w:rFonts w:ascii="David" w:hAnsi="David" w:cs="David" w:hint="cs"/>
          <w:sz w:val="24"/>
          <w:szCs w:val="24"/>
          <w:rtl/>
        </w:rPr>
        <w:t xml:space="preserve">זה בעייתי במיוחד נוכח קיומם של </w:t>
      </w:r>
      <w:r w:rsidRPr="003911CC">
        <w:rPr>
          <w:rFonts w:ascii="David" w:hAnsi="David" w:cs="David" w:hint="cs"/>
          <w:b/>
          <w:bCs/>
          <w:sz w:val="24"/>
          <w:szCs w:val="24"/>
          <w:rtl/>
        </w:rPr>
        <w:t>הבדלים קוטביים בנחיצות הגט עבור האישה לעומת האיש,</w:t>
      </w:r>
      <w:r>
        <w:rPr>
          <w:rFonts w:ascii="David" w:hAnsi="David" w:cs="David" w:hint="cs"/>
          <w:sz w:val="24"/>
          <w:szCs w:val="24"/>
          <w:rtl/>
        </w:rPr>
        <w:t xml:space="preserve"> היות שאשת איש היא בגדר איסור עריות מדאורייתא</w:t>
      </w:r>
      <w:r>
        <w:rPr>
          <w:rFonts w:ascii="David" w:hAnsi="David" w:cs="David" w:hint="cs"/>
          <w:sz w:val="24"/>
          <w:szCs w:val="24"/>
          <w:rtl/>
        </w:rPr>
        <w:t xml:space="preserve">, </w:t>
      </w:r>
      <w:r>
        <w:rPr>
          <w:rFonts w:ascii="David" w:hAnsi="David" w:cs="David" w:hint="cs"/>
          <w:sz w:val="24"/>
          <w:szCs w:val="24"/>
          <w:rtl/>
        </w:rPr>
        <w:t>אישה שיוצרת קשר אינטימי עם גבר אחר שאיננו בעלה עוברת על האיסור החמור ביותר מדאורייתא</w:t>
      </w:r>
      <w:r>
        <w:rPr>
          <w:rFonts w:ascii="David" w:hAnsi="David" w:cs="David" w:hint="cs"/>
          <w:sz w:val="24"/>
          <w:szCs w:val="24"/>
          <w:rtl/>
        </w:rPr>
        <w:t xml:space="preserve">. </w:t>
      </w:r>
      <w:r>
        <w:rPr>
          <w:rFonts w:ascii="David" w:hAnsi="David" w:cs="David" w:hint="cs"/>
          <w:sz w:val="24"/>
          <w:szCs w:val="24"/>
          <w:rtl/>
        </w:rPr>
        <w:t>בעוד שאין איסור מקביל על אדם נשוי שמקיים קשר עם אישה פנויה. גורם הבעלות</w:t>
      </w:r>
      <w:r w:rsidR="008E011F">
        <w:rPr>
          <w:rFonts w:ascii="David" w:hAnsi="David" w:cs="David" w:hint="cs"/>
          <w:sz w:val="24"/>
          <w:szCs w:val="24"/>
          <w:rtl/>
        </w:rPr>
        <w:t xml:space="preserve"> או </w:t>
      </w:r>
      <w:r>
        <w:rPr>
          <w:rFonts w:ascii="David" w:hAnsi="David" w:cs="David" w:hint="cs"/>
          <w:sz w:val="24"/>
          <w:szCs w:val="24"/>
          <w:rtl/>
        </w:rPr>
        <w:t>הקניין לא קיים עבור נשים ביחס לגברים.</w:t>
      </w:r>
      <w:r w:rsidR="008E011F">
        <w:rPr>
          <w:rFonts w:ascii="David" w:hAnsi="David" w:cs="David" w:hint="cs"/>
          <w:sz w:val="24"/>
          <w:szCs w:val="24"/>
          <w:rtl/>
        </w:rPr>
        <w:t xml:space="preserve"> </w:t>
      </w:r>
      <w:r w:rsidR="008E011F" w:rsidRPr="008E011F">
        <w:rPr>
          <w:rFonts w:ascii="David" w:hAnsi="David" w:cs="David" w:hint="cs"/>
          <w:b/>
          <w:bCs/>
          <w:sz w:val="24"/>
          <w:szCs w:val="24"/>
          <w:rtl/>
        </w:rPr>
        <w:t>הבעל רוכש גישה אקסקלוסיבית לאישה,</w:t>
      </w:r>
      <w:r w:rsidR="008E011F" w:rsidRPr="008E011F">
        <w:rPr>
          <w:rFonts w:ascii="David" w:hAnsi="David" w:cs="David" w:hint="cs"/>
          <w:sz w:val="24"/>
          <w:szCs w:val="24"/>
          <w:rtl/>
        </w:rPr>
        <w:t xml:space="preserve"> שמיוחדת לו באופן בלעדי</w:t>
      </w:r>
      <w:r w:rsidR="008E011F">
        <w:rPr>
          <w:rFonts w:ascii="David" w:hAnsi="David" w:cs="David" w:hint="cs"/>
          <w:sz w:val="24"/>
          <w:szCs w:val="24"/>
          <w:rtl/>
        </w:rPr>
        <w:t xml:space="preserve">, </w:t>
      </w:r>
      <w:r w:rsidR="008E011F" w:rsidRPr="008E011F">
        <w:rPr>
          <w:rFonts w:ascii="David" w:hAnsi="David" w:cs="David" w:hint="cs"/>
          <w:sz w:val="24"/>
          <w:szCs w:val="24"/>
          <w:rtl/>
        </w:rPr>
        <w:t>סממן של קניין. אישה שקנויה לאיש אחד לא יכולה להיקנות ע"י אחר- אך הגבר לא מקודש לה באותו אופן.</w:t>
      </w:r>
      <w:r w:rsidR="008E011F">
        <w:rPr>
          <w:rFonts w:ascii="David" w:hAnsi="David" w:cs="David" w:hint="cs"/>
          <w:sz w:val="24"/>
          <w:szCs w:val="24"/>
          <w:rtl/>
        </w:rPr>
        <w:t xml:space="preserve"> </w:t>
      </w:r>
      <w:r w:rsidR="008E011F" w:rsidRPr="008E011F">
        <w:rPr>
          <w:rFonts w:ascii="David" w:hAnsi="David" w:cs="David" w:hint="cs"/>
          <w:sz w:val="24"/>
          <w:szCs w:val="24"/>
          <w:rtl/>
        </w:rPr>
        <w:t>אישה נשואה הקושרת קשר אינטימי עם גבר אחר מסתכנת בלידת ממזרים.</w:t>
      </w:r>
      <w:r w:rsidR="008E011F">
        <w:rPr>
          <w:rFonts w:ascii="David" w:hAnsi="David" w:cs="David" w:hint="cs"/>
          <w:sz w:val="24"/>
          <w:szCs w:val="24"/>
          <w:rtl/>
        </w:rPr>
        <w:t xml:space="preserve"> </w:t>
      </w:r>
      <w:r w:rsidR="008E011F" w:rsidRPr="008E011F">
        <w:rPr>
          <w:rFonts w:ascii="David" w:hAnsi="David" w:cs="David" w:hint="cs"/>
          <w:sz w:val="24"/>
          <w:szCs w:val="24"/>
          <w:rtl/>
        </w:rPr>
        <w:t>סחטנות בחסות החוק האזרחי:</w:t>
      </w:r>
      <w:r w:rsidR="008E011F" w:rsidRPr="008E011F">
        <w:rPr>
          <w:rFonts w:ascii="David" w:hAnsi="David" w:cs="David" w:hint="cs"/>
          <w:b/>
          <w:bCs/>
          <w:sz w:val="24"/>
          <w:szCs w:val="24"/>
          <w:rtl/>
        </w:rPr>
        <w:t xml:space="preserve"> התליית איזון המשאבים בגירושין. </w:t>
      </w:r>
      <w:r w:rsidR="008E011F" w:rsidRPr="008E011F">
        <w:rPr>
          <w:rFonts w:ascii="David" w:hAnsi="David" w:cs="David" w:hint="cs"/>
          <w:sz w:val="24"/>
          <w:szCs w:val="24"/>
          <w:rtl/>
        </w:rPr>
        <w:t xml:space="preserve">מאז שנחקק חוק יח"מ (35 שנה) היו </w:t>
      </w:r>
      <w:r w:rsidR="008E011F" w:rsidRPr="008E011F">
        <w:rPr>
          <w:rFonts w:ascii="David" w:hAnsi="David" w:cs="David" w:hint="cs"/>
          <w:sz w:val="24"/>
          <w:szCs w:val="24"/>
          <w:rtl/>
        </w:rPr>
        <w:lastRenderedPageBreak/>
        <w:t>מצבים שנשים נאלצו לחכות כדי לקבל את חלקן ברכוש המשפחתי כל עוד לא ויתרו כדי לקבל את הגט, משום שהחוק מאפשר לבצע את חלוקת הרכוש רק לאחר הגירושין.</w:t>
      </w:r>
      <w:r w:rsidR="008E011F">
        <w:rPr>
          <w:rFonts w:ascii="David" w:hAnsi="David" w:cs="David" w:hint="cs"/>
          <w:sz w:val="24"/>
          <w:szCs w:val="24"/>
          <w:rtl/>
        </w:rPr>
        <w:t xml:space="preserve"> </w:t>
      </w:r>
      <w:r w:rsidR="008E011F" w:rsidRPr="00310476">
        <w:rPr>
          <w:rFonts w:ascii="David" w:hAnsi="David" w:cs="David" w:hint="cs"/>
          <w:b/>
          <w:bCs/>
          <w:sz w:val="24"/>
          <w:szCs w:val="24"/>
          <w:rtl/>
        </w:rPr>
        <w:t>פס"ד 3151/14:</w:t>
      </w:r>
      <w:r w:rsidR="008E011F" w:rsidRPr="00310476">
        <w:rPr>
          <w:rFonts w:ascii="David" w:hAnsi="David" w:cs="David" w:hint="cs"/>
          <w:sz w:val="24"/>
          <w:szCs w:val="24"/>
          <w:rtl/>
        </w:rPr>
        <w:t xml:space="preserve"> </w:t>
      </w:r>
      <w:r w:rsidR="008E011F">
        <w:rPr>
          <w:rFonts w:ascii="David" w:hAnsi="David" w:cs="David" w:hint="cs"/>
          <w:sz w:val="24"/>
          <w:szCs w:val="24"/>
          <w:rtl/>
        </w:rPr>
        <w:t>"סרבנית גט". בעל ר</w:t>
      </w:r>
      <w:r w:rsidR="008E011F" w:rsidRPr="00310476">
        <w:rPr>
          <w:rFonts w:ascii="David" w:hAnsi="David" w:cs="David" w:hint="cs"/>
          <w:sz w:val="24"/>
          <w:szCs w:val="24"/>
          <w:rtl/>
        </w:rPr>
        <w:t>צה לעזוב את אשתו זה 30 שנה, אולם היא לא עבדה מעולם ו</w:t>
      </w:r>
      <w:r w:rsidR="008E011F">
        <w:rPr>
          <w:rFonts w:ascii="David" w:hAnsi="David" w:cs="David" w:hint="cs"/>
          <w:sz w:val="24"/>
          <w:szCs w:val="24"/>
          <w:rtl/>
        </w:rPr>
        <w:t xml:space="preserve">הייתה </w:t>
      </w:r>
      <w:r w:rsidR="008E011F" w:rsidRPr="00310476">
        <w:rPr>
          <w:rFonts w:ascii="David" w:hAnsi="David" w:cs="David" w:hint="cs"/>
          <w:sz w:val="24"/>
          <w:szCs w:val="24"/>
          <w:rtl/>
        </w:rPr>
        <w:t>נטולת יכולת קיום עצמאית. ביה"ד לא יחייב אותה בגט בעל כורחה.</w:t>
      </w:r>
    </w:p>
    <w:p w14:paraId="4E9F175B" w14:textId="6DBC68A1" w:rsidR="009A0A7A" w:rsidRPr="000A4372" w:rsidRDefault="008E011F" w:rsidP="000A4372">
      <w:pPr>
        <w:spacing w:after="0" w:line="360" w:lineRule="auto"/>
        <w:jc w:val="both"/>
        <w:rPr>
          <w:rFonts w:ascii="David" w:hAnsi="David" w:cs="David"/>
          <w:b/>
          <w:bCs/>
          <w:sz w:val="24"/>
          <w:szCs w:val="24"/>
          <w:rtl/>
        </w:rPr>
      </w:pPr>
      <w:r w:rsidRPr="0073770D">
        <w:rPr>
          <w:rFonts w:ascii="David" w:hAnsi="David" w:cs="David" w:hint="cs"/>
          <w:sz w:val="24"/>
          <w:szCs w:val="24"/>
          <w:rtl/>
        </w:rPr>
        <w:t xml:space="preserve">החוק יכול </w:t>
      </w:r>
      <w:r w:rsidRPr="004C7F10">
        <w:rPr>
          <w:rFonts w:ascii="David" w:hAnsi="David" w:cs="David" w:hint="cs"/>
          <w:b/>
          <w:bCs/>
          <w:sz w:val="24"/>
          <w:szCs w:val="24"/>
          <w:rtl/>
        </w:rPr>
        <w:t>לה</w:t>
      </w:r>
      <w:r w:rsidR="004C7F10" w:rsidRPr="004C7F10">
        <w:rPr>
          <w:rFonts w:ascii="David" w:hAnsi="David" w:cs="David" w:hint="cs"/>
          <w:b/>
          <w:bCs/>
          <w:sz w:val="24"/>
          <w:szCs w:val="24"/>
          <w:rtl/>
        </w:rPr>
        <w:t>פחית</w:t>
      </w:r>
      <w:r w:rsidRPr="004C7F10">
        <w:rPr>
          <w:rFonts w:ascii="David" w:hAnsi="David" w:cs="David" w:hint="cs"/>
          <w:b/>
          <w:bCs/>
          <w:sz w:val="24"/>
          <w:szCs w:val="24"/>
          <w:rtl/>
        </w:rPr>
        <w:t xml:space="preserve"> משמעותית את </w:t>
      </w:r>
      <w:r w:rsidR="0073770D" w:rsidRPr="004C7F10">
        <w:rPr>
          <w:rFonts w:ascii="David" w:hAnsi="David" w:cs="David" w:hint="cs"/>
          <w:b/>
          <w:bCs/>
          <w:sz w:val="24"/>
          <w:szCs w:val="24"/>
          <w:rtl/>
        </w:rPr>
        <w:t>כמות העגונות</w:t>
      </w:r>
      <w:r w:rsidR="0073770D" w:rsidRPr="0073770D">
        <w:rPr>
          <w:rFonts w:ascii="David" w:hAnsi="David" w:cs="David" w:hint="cs"/>
          <w:sz w:val="24"/>
          <w:szCs w:val="24"/>
          <w:rtl/>
        </w:rPr>
        <w:t xml:space="preserve"> שיש בישראל אך החשש הגדול ביותר הוא</w:t>
      </w:r>
      <w:r w:rsidR="0073770D" w:rsidRPr="0073770D">
        <w:rPr>
          <w:rFonts w:ascii="David" w:hAnsi="David" w:cs="David" w:hint="cs"/>
          <w:b/>
          <w:bCs/>
          <w:sz w:val="24"/>
          <w:szCs w:val="24"/>
          <w:rtl/>
        </w:rPr>
        <w:t xml:space="preserve"> </w:t>
      </w:r>
      <w:r w:rsidR="0073770D" w:rsidRPr="00954D21">
        <w:rPr>
          <w:rFonts w:ascii="David" w:hAnsi="David" w:cs="David" w:hint="cs"/>
          <w:b/>
          <w:bCs/>
          <w:sz w:val="24"/>
          <w:szCs w:val="24"/>
          <w:u w:val="single"/>
          <w:rtl/>
        </w:rPr>
        <w:t>גט מעושה</w:t>
      </w:r>
      <w:r w:rsidR="0073770D" w:rsidRPr="0073770D">
        <w:rPr>
          <w:rFonts w:ascii="David" w:hAnsi="David" w:cs="David" w:hint="cs"/>
          <w:b/>
          <w:bCs/>
          <w:sz w:val="24"/>
          <w:szCs w:val="24"/>
          <w:rtl/>
        </w:rPr>
        <w:t xml:space="preserve">. </w:t>
      </w:r>
      <w:r w:rsidRPr="0073770D">
        <w:rPr>
          <w:rFonts w:ascii="David" w:hAnsi="David" w:cs="David" w:hint="cs"/>
          <w:sz w:val="24"/>
          <w:szCs w:val="24"/>
          <w:rtl/>
        </w:rPr>
        <w:t>הרחבת המנגנון של</w:t>
      </w:r>
      <w:r w:rsidRPr="0073770D">
        <w:rPr>
          <w:rFonts w:ascii="David" w:hAnsi="David" w:cs="David" w:hint="cs"/>
          <w:b/>
          <w:bCs/>
          <w:sz w:val="24"/>
          <w:szCs w:val="24"/>
          <w:rtl/>
        </w:rPr>
        <w:t xml:space="preserve"> "כפייה עקיפה"</w:t>
      </w:r>
      <w:r w:rsidR="0073770D">
        <w:rPr>
          <w:rFonts w:ascii="David" w:hAnsi="David" w:cs="David" w:hint="cs"/>
          <w:b/>
          <w:bCs/>
          <w:sz w:val="24"/>
          <w:szCs w:val="24"/>
          <w:rtl/>
        </w:rPr>
        <w:t>/</w:t>
      </w:r>
      <w:r w:rsidRPr="0073770D">
        <w:rPr>
          <w:rFonts w:ascii="David" w:hAnsi="David" w:cs="David" w:hint="cs"/>
          <w:b/>
          <w:bCs/>
          <w:sz w:val="24"/>
          <w:szCs w:val="24"/>
          <w:rtl/>
        </w:rPr>
        <w:t xml:space="preserve">"כפייה בדרך ברירה" </w:t>
      </w:r>
      <w:r w:rsidRPr="0073770D">
        <w:rPr>
          <w:rFonts w:ascii="David" w:hAnsi="David" w:cs="David" w:hint="cs"/>
          <w:sz w:val="24"/>
          <w:szCs w:val="24"/>
          <w:rtl/>
        </w:rPr>
        <w:t xml:space="preserve">שימוש באמצעי לחץ שמזרזים את מתן הגט, </w:t>
      </w:r>
      <w:r w:rsidRPr="008E011F">
        <w:rPr>
          <w:rFonts w:ascii="David" w:hAnsi="David" w:cs="David" w:hint="cs"/>
          <w:sz w:val="24"/>
          <w:szCs w:val="24"/>
          <w:rtl/>
        </w:rPr>
        <w:t xml:space="preserve">אך אינם נחשבים לאמצעי כפייה ממש, מותרים רק כאשר ישנה עילת כפייה. דרכים אלו מכונות </w:t>
      </w:r>
      <w:r w:rsidRPr="008E011F">
        <w:rPr>
          <w:rFonts w:ascii="David" w:hAnsi="David" w:cs="David" w:hint="cs"/>
          <w:b/>
          <w:bCs/>
          <w:sz w:val="24"/>
          <w:szCs w:val="24"/>
          <w:rtl/>
        </w:rPr>
        <w:t>"</w:t>
      </w:r>
      <w:r w:rsidRPr="008E011F">
        <w:rPr>
          <w:rFonts w:ascii="David" w:hAnsi="David" w:cs="David" w:hint="cs"/>
          <w:sz w:val="24"/>
          <w:szCs w:val="24"/>
          <w:rtl/>
        </w:rPr>
        <w:t>הרחקות רבינו תם</w:t>
      </w:r>
      <w:r w:rsidRPr="008E011F">
        <w:rPr>
          <w:rFonts w:ascii="David" w:hAnsi="David" w:cs="David" w:hint="cs"/>
          <w:b/>
          <w:bCs/>
          <w:sz w:val="24"/>
          <w:szCs w:val="24"/>
          <w:rtl/>
        </w:rPr>
        <w:t>".</w:t>
      </w:r>
      <w:r w:rsidRPr="008E011F">
        <w:rPr>
          <w:rFonts w:ascii="David" w:hAnsi="David" w:cs="David" w:hint="cs"/>
          <w:sz w:val="24"/>
          <w:szCs w:val="24"/>
          <w:rtl/>
        </w:rPr>
        <w:t xml:space="preserve"> אלו הם אותם אמצעים שעמדו לרשות קהילה יהודית בעבר - סנקציות חברתיות עוצמתיות ואפקטיביות כמו איסור להעלות את הסרבן לתורה, איסור על מסחר עימו וכו' (חרם). הלכידות החברתית אפשרה להשתמש באמצעים שלא דורשים הפעלת כוח של ממש. כלומר, לא מאפשרים למורדת לצאת בקלות מקשר הנישואין (אין הפעלת אמצעי כפייה מתוך חשש לגט מעושה), אבל נותנים לבעל לבחור: להיות מוחרם ולהמשיך להחזיקה בשבי הנישואין, או לתת גט. גם כיום, ניתן להפעיל סנקציות חברתיות. </w:t>
      </w:r>
      <w:r w:rsidRPr="008E011F">
        <w:rPr>
          <w:rFonts w:ascii="David" w:hAnsi="David" w:cs="David" w:hint="cs"/>
          <w:b/>
          <w:bCs/>
          <w:sz w:val="24"/>
          <w:szCs w:val="24"/>
          <w:rtl/>
        </w:rPr>
        <w:t>בג"ץ השיימינג</w:t>
      </w:r>
      <w:r w:rsidRPr="008E011F">
        <w:rPr>
          <w:rFonts w:ascii="David" w:hAnsi="David" w:cs="David" w:hint="cs"/>
          <w:sz w:val="24"/>
          <w:szCs w:val="24"/>
          <w:rtl/>
        </w:rPr>
        <w:t xml:space="preserve"> הוא דוגמה מובהקת לכך שמאלצים אדם לבחור האם לספוג את ההתנכרות כלפיו או לתת את הגט. </w:t>
      </w:r>
      <w:r>
        <w:rPr>
          <w:rFonts w:ascii="David" w:hAnsi="David" w:cs="David" w:hint="cs"/>
          <w:sz w:val="24"/>
          <w:szCs w:val="24"/>
          <w:rtl/>
        </w:rPr>
        <w:t>הרמב"ם ה</w:t>
      </w:r>
      <w:r w:rsidRPr="00DF683C">
        <w:rPr>
          <w:rFonts w:ascii="David" w:hAnsi="David" w:cs="David" w:hint="cs"/>
          <w:sz w:val="24"/>
          <w:szCs w:val="24"/>
          <w:rtl/>
        </w:rPr>
        <w:t>סביר ש</w:t>
      </w:r>
      <w:r>
        <w:rPr>
          <w:rFonts w:ascii="David" w:hAnsi="David" w:cs="David" w:hint="cs"/>
          <w:sz w:val="24"/>
          <w:szCs w:val="24"/>
          <w:rtl/>
        </w:rPr>
        <w:t>כלים אלו מאפשרים</w:t>
      </w:r>
      <w:r w:rsidRPr="00DF683C">
        <w:rPr>
          <w:rFonts w:ascii="David" w:hAnsi="David" w:cs="David" w:hint="cs"/>
          <w:sz w:val="24"/>
          <w:szCs w:val="24"/>
          <w:rtl/>
        </w:rPr>
        <w:t xml:space="preserve"> לאדם להתגבר על היצר הרע </w:t>
      </w:r>
      <w:r>
        <w:rPr>
          <w:rFonts w:ascii="David" w:hAnsi="David" w:cs="David" w:hint="cs"/>
          <w:sz w:val="24"/>
          <w:szCs w:val="24"/>
          <w:rtl/>
        </w:rPr>
        <w:t>ו</w:t>
      </w:r>
      <w:r w:rsidRPr="00DF683C">
        <w:rPr>
          <w:rFonts w:ascii="David" w:hAnsi="David" w:cs="David" w:hint="cs"/>
          <w:sz w:val="24"/>
          <w:szCs w:val="24"/>
          <w:rtl/>
        </w:rPr>
        <w:t>לשחרר את רצונו האמיתי</w:t>
      </w:r>
      <w:r>
        <w:rPr>
          <w:rFonts w:ascii="David" w:hAnsi="David" w:cs="David" w:hint="cs"/>
          <w:sz w:val="24"/>
          <w:szCs w:val="24"/>
          <w:rtl/>
        </w:rPr>
        <w:t xml:space="preserve"> ולכן זה לא יוצר גט מעושה</w:t>
      </w:r>
      <w:r w:rsidRPr="00DF683C">
        <w:rPr>
          <w:rFonts w:ascii="David" w:hAnsi="David" w:cs="David" w:hint="cs"/>
          <w:sz w:val="24"/>
          <w:szCs w:val="24"/>
          <w:rtl/>
        </w:rPr>
        <w:t>.</w:t>
      </w:r>
      <w:r w:rsidR="0073770D">
        <w:rPr>
          <w:rFonts w:ascii="David" w:hAnsi="David" w:cs="David" w:hint="cs"/>
          <w:b/>
          <w:bCs/>
          <w:sz w:val="24"/>
          <w:szCs w:val="24"/>
          <w:rtl/>
        </w:rPr>
        <w:t xml:space="preserve"> </w:t>
      </w:r>
    </w:p>
    <w:p w14:paraId="5DBBA7BE" w14:textId="6F50075D" w:rsidR="00BC4819" w:rsidRPr="00954D21" w:rsidRDefault="00BC4819" w:rsidP="004A1850">
      <w:pPr>
        <w:spacing w:after="0" w:line="360" w:lineRule="auto"/>
        <w:jc w:val="both"/>
        <w:rPr>
          <w:rFonts w:ascii="David" w:hAnsi="David" w:cs="David"/>
          <w:sz w:val="24"/>
          <w:szCs w:val="24"/>
          <w:u w:val="single"/>
        </w:rPr>
      </w:pPr>
      <w:r w:rsidRPr="000A4372">
        <w:rPr>
          <w:rFonts w:ascii="David" w:hAnsi="David" w:cs="David" w:hint="cs"/>
          <w:sz w:val="24"/>
          <w:szCs w:val="24"/>
          <w:u w:val="single"/>
          <w:rtl/>
        </w:rPr>
        <w:t xml:space="preserve">יתרונות </w:t>
      </w:r>
      <w:r w:rsidR="00954D21">
        <w:rPr>
          <w:rFonts w:ascii="David" w:hAnsi="David" w:cs="David" w:hint="cs"/>
          <w:sz w:val="24"/>
          <w:szCs w:val="24"/>
          <w:u w:val="single"/>
          <w:rtl/>
        </w:rPr>
        <w:t>נוספים:</w:t>
      </w:r>
    </w:p>
    <w:p w14:paraId="031F055C" w14:textId="7028C34B" w:rsidR="00BC4819" w:rsidRPr="000A4372" w:rsidRDefault="009C7D8D" w:rsidP="004A1850">
      <w:pPr>
        <w:pStyle w:val="ListParagraph"/>
        <w:numPr>
          <w:ilvl w:val="0"/>
          <w:numId w:val="5"/>
        </w:numPr>
        <w:spacing w:after="0" w:line="360" w:lineRule="auto"/>
        <w:jc w:val="both"/>
        <w:rPr>
          <w:rFonts w:ascii="David" w:hAnsi="David" w:cs="David"/>
          <w:sz w:val="24"/>
          <w:szCs w:val="24"/>
        </w:rPr>
      </w:pPr>
      <w:r w:rsidRPr="000A4372">
        <w:rPr>
          <w:rFonts w:ascii="David" w:hAnsi="David" w:cs="David" w:hint="cs"/>
          <w:sz w:val="24"/>
          <w:szCs w:val="24"/>
          <w:rtl/>
        </w:rPr>
        <w:t>הגבלת כוח הסרבן</w:t>
      </w:r>
      <w:r>
        <w:rPr>
          <w:rFonts w:ascii="David" w:hAnsi="David" w:cs="David" w:hint="cs"/>
          <w:sz w:val="24"/>
          <w:szCs w:val="24"/>
          <w:rtl/>
        </w:rPr>
        <w:t xml:space="preserve">, </w:t>
      </w:r>
      <w:r w:rsidR="00BC4819" w:rsidRPr="000A4372">
        <w:rPr>
          <w:rFonts w:ascii="David" w:hAnsi="David" w:cs="David" w:hint="cs"/>
          <w:sz w:val="24"/>
          <w:szCs w:val="24"/>
          <w:rtl/>
        </w:rPr>
        <w:t>הגבלת זמנים של ההליך</w:t>
      </w:r>
      <w:r w:rsidR="00954D21">
        <w:rPr>
          <w:rFonts w:ascii="David" w:hAnsi="David" w:cs="David" w:hint="cs"/>
          <w:sz w:val="24"/>
          <w:szCs w:val="24"/>
          <w:rtl/>
        </w:rPr>
        <w:t xml:space="preserve"> </w:t>
      </w:r>
      <w:r w:rsidR="000A4372">
        <w:rPr>
          <w:rFonts w:ascii="David" w:hAnsi="David" w:cs="David"/>
          <w:sz w:val="24"/>
          <w:szCs w:val="24"/>
          <w:rtl/>
        </w:rPr>
        <w:t>–</w:t>
      </w:r>
      <w:r>
        <w:rPr>
          <w:rFonts w:ascii="David" w:hAnsi="David" w:cs="David" w:hint="cs"/>
          <w:sz w:val="24"/>
          <w:szCs w:val="24"/>
          <w:rtl/>
        </w:rPr>
        <w:t xml:space="preserve"> לסרבנות גט אין תאריך תפוגה. הצעת החוק שמה סוף ליכולת של הגבר לעגן.</w:t>
      </w:r>
    </w:p>
    <w:p w14:paraId="1BDEDFC0" w14:textId="7436AA1B" w:rsidR="000A4372" w:rsidRDefault="00BC4819" w:rsidP="004A1850">
      <w:pPr>
        <w:pStyle w:val="ListParagraph"/>
        <w:numPr>
          <w:ilvl w:val="0"/>
          <w:numId w:val="5"/>
        </w:numPr>
        <w:spacing w:after="0" w:line="360" w:lineRule="auto"/>
        <w:jc w:val="both"/>
        <w:rPr>
          <w:rFonts w:ascii="David" w:hAnsi="David" w:cs="David"/>
          <w:sz w:val="24"/>
          <w:szCs w:val="24"/>
        </w:rPr>
      </w:pPr>
      <w:r w:rsidRPr="000A4372">
        <w:rPr>
          <w:rFonts w:ascii="David" w:hAnsi="David" w:cs="David" w:hint="cs"/>
          <w:sz w:val="24"/>
          <w:szCs w:val="24"/>
          <w:rtl/>
        </w:rPr>
        <w:t xml:space="preserve">מנגנון ריסון </w:t>
      </w:r>
      <w:r w:rsidR="004C7F10" w:rsidRPr="000A4372">
        <w:rPr>
          <w:rFonts w:ascii="David" w:hAnsi="David" w:cs="David" w:hint="cs"/>
          <w:sz w:val="24"/>
          <w:szCs w:val="24"/>
          <w:rtl/>
        </w:rPr>
        <w:t>וביקורת ע</w:t>
      </w:r>
      <w:r w:rsidR="004C7F10" w:rsidRPr="000A4372">
        <w:rPr>
          <w:rFonts w:ascii="David" w:hAnsi="David" w:cs="David" w:hint="cs"/>
          <w:sz w:val="24"/>
          <w:szCs w:val="24"/>
          <w:rtl/>
        </w:rPr>
        <w:t>ל ב</w:t>
      </w:r>
      <w:r w:rsidR="009C7D8D">
        <w:rPr>
          <w:rFonts w:ascii="David" w:hAnsi="David" w:cs="David" w:hint="cs"/>
          <w:sz w:val="24"/>
          <w:szCs w:val="24"/>
          <w:rtl/>
        </w:rPr>
        <w:t>ד"ר</w:t>
      </w:r>
      <w:r w:rsidR="00954D21">
        <w:rPr>
          <w:rFonts w:ascii="David" w:hAnsi="David" w:cs="David" w:hint="cs"/>
          <w:sz w:val="24"/>
          <w:szCs w:val="24"/>
          <w:rtl/>
        </w:rPr>
        <w:t xml:space="preserve"> </w:t>
      </w:r>
      <w:r w:rsidR="000A4372">
        <w:rPr>
          <w:rFonts w:ascii="David" w:hAnsi="David" w:cs="David"/>
          <w:sz w:val="24"/>
          <w:szCs w:val="24"/>
          <w:rtl/>
        </w:rPr>
        <w:t>–</w:t>
      </w:r>
      <w:r w:rsidR="009C7D8D">
        <w:rPr>
          <w:rFonts w:ascii="David" w:hAnsi="David" w:cs="David" w:hint="cs"/>
          <w:sz w:val="24"/>
          <w:szCs w:val="24"/>
          <w:rtl/>
        </w:rPr>
        <w:t xml:space="preserve"> </w:t>
      </w:r>
      <w:r w:rsidR="00954D21">
        <w:rPr>
          <w:rFonts w:ascii="David" w:hAnsi="David" w:cs="David" w:hint="cs"/>
          <w:sz w:val="24"/>
          <w:szCs w:val="24"/>
          <w:rtl/>
        </w:rPr>
        <w:t>כשיש בכוחם של שתי הערכאות אפשרות לפסוק גט פיטורין, ביד"ר יהיה חייב לפעול בצורה יותר מוקפדת ודקדקנית על מנת שביהמ"ש לא יפסוק במקומו.</w:t>
      </w:r>
    </w:p>
    <w:p w14:paraId="48C9BF58" w14:textId="72858B08" w:rsidR="009C7D8D" w:rsidRPr="009C7D8D" w:rsidRDefault="009C7D8D" w:rsidP="004A1850">
      <w:pPr>
        <w:pStyle w:val="ListParagraph"/>
        <w:numPr>
          <w:ilvl w:val="0"/>
          <w:numId w:val="5"/>
        </w:numPr>
        <w:spacing w:after="0" w:line="360" w:lineRule="auto"/>
        <w:jc w:val="both"/>
        <w:rPr>
          <w:rFonts w:ascii="David" w:hAnsi="David" w:cs="David"/>
          <w:sz w:val="24"/>
          <w:szCs w:val="24"/>
        </w:rPr>
      </w:pPr>
      <w:r>
        <w:rPr>
          <w:rFonts w:ascii="David" w:hAnsi="David" w:cs="David" w:hint="cs"/>
          <w:sz w:val="24"/>
          <w:szCs w:val="24"/>
          <w:rtl/>
        </w:rPr>
        <w:t xml:space="preserve">חיזוק מוסד הנישואים כדמו"י </w:t>
      </w:r>
      <w:r>
        <w:rPr>
          <w:rFonts w:ascii="David" w:hAnsi="David" w:cs="David"/>
          <w:sz w:val="24"/>
          <w:szCs w:val="24"/>
          <w:rtl/>
        </w:rPr>
        <w:t>–</w:t>
      </w:r>
      <w:r w:rsidR="00954D21">
        <w:rPr>
          <w:rFonts w:ascii="David" w:hAnsi="David" w:cs="David" w:hint="cs"/>
          <w:sz w:val="24"/>
          <w:szCs w:val="24"/>
          <w:rtl/>
        </w:rPr>
        <w:t xml:space="preserve"> </w:t>
      </w:r>
      <w:r>
        <w:rPr>
          <w:rFonts w:ascii="David" w:hAnsi="David" w:cs="David" w:hint="cs"/>
          <w:sz w:val="24"/>
          <w:szCs w:val="24"/>
          <w:rtl/>
        </w:rPr>
        <w:t>האלטרנטיבות לנישואין כדמו"י נוצרו בין היתר מהפחד לאפשרות העגינות</w:t>
      </w:r>
      <w:r w:rsidR="00954D21">
        <w:rPr>
          <w:rFonts w:ascii="David" w:hAnsi="David" w:cs="David" w:hint="cs"/>
          <w:sz w:val="24"/>
          <w:szCs w:val="24"/>
          <w:rtl/>
        </w:rPr>
        <w:t xml:space="preserve"> ונסיון להתחמק ממצב זה</w:t>
      </w:r>
      <w:r>
        <w:rPr>
          <w:rFonts w:ascii="David" w:hAnsi="David" w:cs="David" w:hint="cs"/>
          <w:sz w:val="24"/>
          <w:szCs w:val="24"/>
          <w:rtl/>
        </w:rPr>
        <w:t>. בהינתן מערכת מדינית שמגנה על הפרט במצב כזה פחות זוגות יבחרו בדרכים אחרות ויקרוב כמו להתחתן בחו"ל.</w:t>
      </w:r>
    </w:p>
    <w:p w14:paraId="7F134431" w14:textId="74794F80" w:rsidR="00BC4819" w:rsidRPr="000A4372" w:rsidRDefault="000A4372" w:rsidP="004A1850">
      <w:pPr>
        <w:pStyle w:val="ListParagraph"/>
        <w:numPr>
          <w:ilvl w:val="0"/>
          <w:numId w:val="5"/>
        </w:numPr>
        <w:spacing w:after="0" w:line="360" w:lineRule="auto"/>
        <w:jc w:val="both"/>
        <w:rPr>
          <w:rFonts w:ascii="David" w:hAnsi="David" w:cs="David"/>
          <w:sz w:val="24"/>
          <w:szCs w:val="24"/>
          <w:rtl/>
        </w:rPr>
      </w:pPr>
      <w:r>
        <w:rPr>
          <w:rFonts w:ascii="David" w:hAnsi="David" w:cs="David" w:hint="cs"/>
          <w:sz w:val="24"/>
          <w:szCs w:val="24"/>
          <w:rtl/>
        </w:rPr>
        <w:t>התאמה להלך הרוח בחברה</w:t>
      </w:r>
      <w:r w:rsidR="00954D21">
        <w:rPr>
          <w:rFonts w:ascii="David" w:hAnsi="David" w:cs="David" w:hint="cs"/>
          <w:sz w:val="24"/>
          <w:szCs w:val="24"/>
          <w:rtl/>
        </w:rPr>
        <w:t xml:space="preserve"> </w:t>
      </w:r>
      <w:r w:rsidR="00954D21">
        <w:rPr>
          <w:rFonts w:ascii="David" w:hAnsi="David" w:cs="David"/>
          <w:sz w:val="24"/>
          <w:szCs w:val="24"/>
          <w:rtl/>
        </w:rPr>
        <w:t>–</w:t>
      </w:r>
      <w:r>
        <w:rPr>
          <w:rFonts w:ascii="David" w:hAnsi="David" w:cs="David" w:hint="cs"/>
          <w:sz w:val="24"/>
          <w:szCs w:val="24"/>
          <w:rtl/>
        </w:rPr>
        <w:t xml:space="preserve"> השינוי של החוק </w:t>
      </w:r>
      <w:r w:rsidR="00BD16A0">
        <w:rPr>
          <w:rFonts w:ascii="David" w:hAnsi="David" w:cs="David" w:hint="cs"/>
          <w:sz w:val="24"/>
          <w:szCs w:val="24"/>
          <w:rtl/>
        </w:rPr>
        <w:t>מוביל אותנו צעד אחד נוסף לכיוון חברה שוויונית יותר וכך אולי תהיה לנו אפשרות להצטרף</w:t>
      </w:r>
      <w:r>
        <w:rPr>
          <w:rFonts w:ascii="David" w:hAnsi="David" w:cs="David" w:hint="cs"/>
          <w:sz w:val="24"/>
          <w:szCs w:val="24"/>
          <w:rtl/>
        </w:rPr>
        <w:t xml:space="preserve"> </w:t>
      </w:r>
      <w:r w:rsidR="00BD16A0">
        <w:rPr>
          <w:rFonts w:ascii="David" w:hAnsi="David" w:cs="David" w:hint="cs"/>
          <w:sz w:val="24"/>
          <w:szCs w:val="24"/>
          <w:rtl/>
        </w:rPr>
        <w:t>ל</w:t>
      </w:r>
      <w:r>
        <w:rPr>
          <w:rFonts w:ascii="David" w:hAnsi="David" w:cs="David" w:hint="cs"/>
          <w:sz w:val="24"/>
          <w:szCs w:val="24"/>
          <w:rtl/>
        </w:rPr>
        <w:t>האמנה לביעור כל צורה של אפליה נגד נשים</w:t>
      </w:r>
      <w:r w:rsidR="00BD16A0">
        <w:rPr>
          <w:rFonts w:ascii="David" w:hAnsi="David" w:cs="David" w:hint="cs"/>
          <w:sz w:val="24"/>
          <w:szCs w:val="24"/>
          <w:rtl/>
        </w:rPr>
        <w:t xml:space="preserve">. </w:t>
      </w:r>
      <w:r>
        <w:rPr>
          <w:rFonts w:ascii="David" w:hAnsi="David" w:cs="David" w:hint="cs"/>
          <w:sz w:val="24"/>
          <w:szCs w:val="24"/>
          <w:rtl/>
        </w:rPr>
        <w:t xml:space="preserve">ראינו שינוים בהתייחסות להחלת הדין הדתי </w:t>
      </w:r>
      <w:r w:rsidRPr="000A4372">
        <w:rPr>
          <w:rFonts w:ascii="David" w:hAnsi="David" w:cs="David" w:hint="cs"/>
          <w:color w:val="000000" w:themeColor="text1"/>
          <w:sz w:val="24"/>
          <w:szCs w:val="24"/>
          <w:rtl/>
        </w:rPr>
        <w:t>עם פרשנות מעט יותר שוויונית</w:t>
      </w:r>
      <w:r w:rsidR="00BD16A0">
        <w:rPr>
          <w:rFonts w:ascii="David" w:hAnsi="David" w:cs="David" w:hint="cs"/>
          <w:color w:val="000000" w:themeColor="text1"/>
          <w:sz w:val="24"/>
          <w:szCs w:val="24"/>
          <w:rtl/>
        </w:rPr>
        <w:t xml:space="preserve"> לדוגמה</w:t>
      </w:r>
      <w:r>
        <w:rPr>
          <w:rFonts w:ascii="David" w:hAnsi="David" w:cs="David" w:hint="cs"/>
          <w:color w:val="000000" w:themeColor="text1"/>
          <w:sz w:val="24"/>
          <w:szCs w:val="24"/>
          <w:rtl/>
        </w:rPr>
        <w:t xml:space="preserve"> בהלכת בבלי, בהלכת לב ו</w:t>
      </w:r>
      <w:r w:rsidR="00BD16A0">
        <w:rPr>
          <w:rFonts w:ascii="David" w:hAnsi="David" w:cs="David" w:hint="cs"/>
          <w:color w:val="000000" w:themeColor="text1"/>
          <w:sz w:val="24"/>
          <w:szCs w:val="24"/>
          <w:rtl/>
        </w:rPr>
        <w:t xml:space="preserve">בהלכה 919 </w:t>
      </w:r>
      <w:r>
        <w:rPr>
          <w:rFonts w:ascii="David" w:hAnsi="David" w:cs="David" w:hint="cs"/>
          <w:color w:val="000000" w:themeColor="text1"/>
          <w:sz w:val="24"/>
          <w:szCs w:val="24"/>
          <w:rtl/>
        </w:rPr>
        <w:t xml:space="preserve">מזונות ילדים. </w:t>
      </w:r>
    </w:p>
    <w:p w14:paraId="212C1466" w14:textId="52F8620D" w:rsidR="00BC4819" w:rsidRPr="000A4372" w:rsidRDefault="00BC4819" w:rsidP="004A1850">
      <w:pPr>
        <w:spacing w:after="0" w:line="360" w:lineRule="auto"/>
        <w:jc w:val="both"/>
        <w:rPr>
          <w:rFonts w:ascii="David" w:hAnsi="David" w:cs="David"/>
          <w:sz w:val="24"/>
          <w:szCs w:val="24"/>
          <w:u w:val="single"/>
        </w:rPr>
      </w:pPr>
      <w:r w:rsidRPr="000A4372">
        <w:rPr>
          <w:rFonts w:ascii="David" w:hAnsi="David" w:cs="David" w:hint="cs"/>
          <w:sz w:val="24"/>
          <w:szCs w:val="24"/>
          <w:u w:val="single"/>
          <w:rtl/>
        </w:rPr>
        <w:t xml:space="preserve">חסרונות </w:t>
      </w:r>
      <w:r w:rsidR="00954D21">
        <w:rPr>
          <w:rFonts w:ascii="David" w:hAnsi="David" w:cs="David" w:hint="cs"/>
          <w:sz w:val="24"/>
          <w:szCs w:val="24"/>
          <w:u w:val="single"/>
          <w:rtl/>
        </w:rPr>
        <w:t>נוספים:</w:t>
      </w:r>
    </w:p>
    <w:p w14:paraId="331745A0" w14:textId="7DAB35D8" w:rsidR="00BC4819" w:rsidRPr="000A4372" w:rsidRDefault="00BC4819" w:rsidP="004A1850">
      <w:pPr>
        <w:pStyle w:val="ListParagraph"/>
        <w:numPr>
          <w:ilvl w:val="0"/>
          <w:numId w:val="6"/>
        </w:numPr>
        <w:spacing w:after="0" w:line="360" w:lineRule="auto"/>
        <w:jc w:val="both"/>
        <w:rPr>
          <w:rFonts w:ascii="David" w:hAnsi="David" w:cs="David"/>
          <w:sz w:val="24"/>
          <w:szCs w:val="24"/>
        </w:rPr>
      </w:pPr>
      <w:r w:rsidRPr="000A4372">
        <w:rPr>
          <w:rFonts w:ascii="David" w:hAnsi="David" w:cs="David" w:hint="cs"/>
          <w:sz w:val="24"/>
          <w:szCs w:val="24"/>
          <w:rtl/>
        </w:rPr>
        <w:t>פוגע בחירות של סרבן הגט ובכבוד האדם שלו</w:t>
      </w:r>
      <w:r w:rsidR="00954D21">
        <w:rPr>
          <w:rFonts w:ascii="David" w:hAnsi="David" w:cs="David" w:hint="cs"/>
          <w:sz w:val="24"/>
          <w:szCs w:val="24"/>
          <w:rtl/>
        </w:rPr>
        <w:t xml:space="preserve"> </w:t>
      </w:r>
      <w:r w:rsidR="000A4372">
        <w:rPr>
          <w:rFonts w:ascii="David" w:hAnsi="David" w:cs="David"/>
          <w:sz w:val="24"/>
          <w:szCs w:val="24"/>
          <w:rtl/>
        </w:rPr>
        <w:t>–</w:t>
      </w:r>
      <w:r w:rsidR="00954D21">
        <w:rPr>
          <w:rFonts w:ascii="David" w:hAnsi="David" w:cs="David" w:hint="cs"/>
          <w:sz w:val="24"/>
          <w:szCs w:val="24"/>
          <w:rtl/>
        </w:rPr>
        <w:t xml:space="preserve"> מדובר על סנקציה מאוד קשה של חיוב גט, סנקציה ששמורה למקרים חריגים מאוד ושוללת לחלוטין את רצון הסרבן (פרדוקסלי).</w:t>
      </w:r>
    </w:p>
    <w:p w14:paraId="1ED6EA49" w14:textId="1ED5E874" w:rsidR="00BC4819" w:rsidRPr="004A1850" w:rsidRDefault="00954D21" w:rsidP="004A1850">
      <w:pPr>
        <w:pStyle w:val="ListParagraph"/>
        <w:numPr>
          <w:ilvl w:val="0"/>
          <w:numId w:val="6"/>
        </w:numPr>
        <w:spacing w:after="0" w:line="360" w:lineRule="auto"/>
        <w:jc w:val="both"/>
        <w:rPr>
          <w:rFonts w:ascii="David" w:hAnsi="David" w:cs="David"/>
          <w:sz w:val="24"/>
          <w:szCs w:val="24"/>
        </w:rPr>
      </w:pPr>
      <w:r>
        <w:rPr>
          <w:rFonts w:ascii="David" w:hAnsi="David" w:cs="David" w:hint="cs"/>
          <w:sz w:val="24"/>
          <w:szCs w:val="24"/>
          <w:rtl/>
        </w:rPr>
        <w:t>הוספת</w:t>
      </w:r>
      <w:r w:rsidRPr="000A4372">
        <w:rPr>
          <w:rFonts w:ascii="David" w:hAnsi="David" w:cs="David" w:hint="cs"/>
          <w:sz w:val="24"/>
          <w:szCs w:val="24"/>
          <w:rtl/>
        </w:rPr>
        <w:t xml:space="preserve"> סמכויות לביהמ"ש</w:t>
      </w:r>
      <w:r>
        <w:rPr>
          <w:rFonts w:ascii="David" w:hAnsi="David" w:cs="David" w:hint="cs"/>
          <w:sz w:val="24"/>
          <w:szCs w:val="24"/>
          <w:rtl/>
        </w:rPr>
        <w:t xml:space="preserve">, </w:t>
      </w:r>
      <w:r w:rsidR="000A4372">
        <w:rPr>
          <w:rFonts w:ascii="David" w:hAnsi="David" w:cs="David" w:hint="cs"/>
          <w:sz w:val="24"/>
          <w:szCs w:val="24"/>
          <w:rtl/>
        </w:rPr>
        <w:t>טשטוש גבולות הפיקוח השיפוטי</w:t>
      </w:r>
      <w:r>
        <w:rPr>
          <w:rFonts w:ascii="David" w:hAnsi="David" w:cs="David" w:hint="cs"/>
          <w:sz w:val="24"/>
          <w:szCs w:val="24"/>
          <w:rtl/>
        </w:rPr>
        <w:t xml:space="preserve"> </w:t>
      </w:r>
      <w:r w:rsidR="000A4372">
        <w:rPr>
          <w:rFonts w:ascii="David" w:hAnsi="David" w:cs="David"/>
          <w:sz w:val="24"/>
          <w:szCs w:val="24"/>
          <w:rtl/>
        </w:rPr>
        <w:t>–</w:t>
      </w:r>
      <w:r>
        <w:rPr>
          <w:rFonts w:ascii="David" w:hAnsi="David" w:cs="David" w:hint="cs"/>
          <w:sz w:val="24"/>
          <w:szCs w:val="24"/>
          <w:rtl/>
        </w:rPr>
        <w:t xml:space="preserve"> </w:t>
      </w:r>
      <w:r w:rsidR="000A4372" w:rsidRPr="000A4372">
        <w:rPr>
          <w:rFonts w:ascii="David" w:hAnsi="David" w:cs="David" w:hint="cs"/>
          <w:b/>
          <w:bCs/>
          <w:sz w:val="24"/>
          <w:szCs w:val="24"/>
          <w:rtl/>
        </w:rPr>
        <w:t>בפס"ד רפאלי</w:t>
      </w:r>
      <w:r w:rsidR="000A4372">
        <w:rPr>
          <w:rFonts w:ascii="David" w:hAnsi="David" w:cs="David" w:hint="cs"/>
          <w:sz w:val="24"/>
          <w:szCs w:val="24"/>
          <w:rtl/>
        </w:rPr>
        <w:t xml:space="preserve"> חשין רמז שהיה מבקר את הדין הדתי אבל כבר הסברנו שזה לא אפשרי עקב גבולות הפיקוח השיפוטי.</w:t>
      </w:r>
      <w:r w:rsidR="00BD16A0">
        <w:rPr>
          <w:rFonts w:ascii="David" w:hAnsi="David" w:cs="David" w:hint="cs"/>
          <w:sz w:val="24"/>
          <w:szCs w:val="24"/>
          <w:rtl/>
        </w:rPr>
        <w:t xml:space="preserve"> </w:t>
      </w:r>
      <w:r w:rsidR="00BD16A0" w:rsidRPr="00BD16A0">
        <w:rPr>
          <w:rFonts w:ascii="David" w:hAnsi="David" w:cs="David" w:hint="cs"/>
          <w:b/>
          <w:bCs/>
          <w:sz w:val="24"/>
          <w:szCs w:val="24"/>
          <w:rtl/>
        </w:rPr>
        <w:t>פס"ד אברהם</w:t>
      </w:r>
      <w:r w:rsidR="00BD16A0">
        <w:rPr>
          <w:rFonts w:ascii="David" w:hAnsi="David" w:cs="David" w:hint="cs"/>
          <w:sz w:val="24"/>
          <w:szCs w:val="24"/>
          <w:rtl/>
        </w:rPr>
        <w:t xml:space="preserve"> </w:t>
      </w:r>
      <w:r w:rsidR="00BD16A0">
        <w:rPr>
          <w:rFonts w:ascii="David" w:hAnsi="David" w:cs="David" w:hint="cs"/>
          <w:sz w:val="24"/>
          <w:szCs w:val="24"/>
          <w:rtl/>
        </w:rPr>
        <w:t>האישה פנתה לבג"ץ</w:t>
      </w:r>
      <w:r w:rsidR="00BD16A0">
        <w:rPr>
          <w:rFonts w:ascii="David" w:hAnsi="David" w:cs="David" w:hint="cs"/>
          <w:sz w:val="24"/>
          <w:szCs w:val="24"/>
          <w:rtl/>
        </w:rPr>
        <w:t xml:space="preserve"> בבקשה לביטול גט שכבר סודר</w:t>
      </w:r>
      <w:r w:rsidR="00BD16A0">
        <w:rPr>
          <w:rFonts w:ascii="David" w:hAnsi="David" w:cs="David" w:hint="cs"/>
          <w:sz w:val="24"/>
          <w:szCs w:val="24"/>
          <w:rtl/>
        </w:rPr>
        <w:t xml:space="preserve">, </w:t>
      </w:r>
      <w:r w:rsidR="00BD16A0">
        <w:rPr>
          <w:rFonts w:ascii="David" w:hAnsi="David" w:cs="David" w:hint="cs"/>
          <w:sz w:val="24"/>
          <w:szCs w:val="24"/>
          <w:rtl/>
        </w:rPr>
        <w:t xml:space="preserve">בג"ץ </w:t>
      </w:r>
      <w:r w:rsidR="00BD16A0">
        <w:rPr>
          <w:rFonts w:ascii="David" w:hAnsi="David" w:cs="David" w:hint="cs"/>
          <w:sz w:val="24"/>
          <w:szCs w:val="24"/>
          <w:rtl/>
        </w:rPr>
        <w:t xml:space="preserve">דחה את עתירתה כי מדובר </w:t>
      </w:r>
      <w:r w:rsidR="00BD16A0" w:rsidRPr="00BD16A0">
        <w:rPr>
          <w:rFonts w:ascii="David" w:hAnsi="David" w:cs="David" w:hint="cs"/>
          <w:sz w:val="24"/>
          <w:szCs w:val="24"/>
          <w:u w:val="single"/>
          <w:rtl/>
        </w:rPr>
        <w:t>בליבת סמכות הגירושין</w:t>
      </w:r>
      <w:r w:rsidR="00BD16A0">
        <w:rPr>
          <w:rFonts w:ascii="David" w:hAnsi="David" w:cs="David" w:hint="cs"/>
          <w:sz w:val="24"/>
          <w:szCs w:val="24"/>
          <w:rtl/>
        </w:rPr>
        <w:t>.</w:t>
      </w:r>
      <w:r w:rsidR="004A1850">
        <w:rPr>
          <w:rFonts w:ascii="David" w:hAnsi="David" w:cs="David" w:hint="cs"/>
          <w:sz w:val="24"/>
          <w:szCs w:val="24"/>
          <w:rtl/>
        </w:rPr>
        <w:t xml:space="preserve"> </w:t>
      </w:r>
      <w:r w:rsidR="004A1850">
        <w:rPr>
          <w:rFonts w:ascii="David" w:hAnsi="David" w:cs="David" w:hint="cs"/>
          <w:sz w:val="24"/>
          <w:szCs w:val="24"/>
          <w:rtl/>
        </w:rPr>
        <w:t>סעיף החוק לא מגביל את השיקולים שבהימ"ש יכול לשקול.</w:t>
      </w:r>
    </w:p>
    <w:p w14:paraId="70A8F7AE" w14:textId="7532C8E7" w:rsidR="00954D21" w:rsidRDefault="00954D21" w:rsidP="004A1850">
      <w:pPr>
        <w:pStyle w:val="ListParagraph"/>
        <w:numPr>
          <w:ilvl w:val="0"/>
          <w:numId w:val="6"/>
        </w:numPr>
        <w:spacing w:after="0" w:line="360" w:lineRule="auto"/>
        <w:jc w:val="both"/>
        <w:rPr>
          <w:rFonts w:ascii="David" w:hAnsi="David" w:cs="David"/>
          <w:sz w:val="24"/>
          <w:szCs w:val="24"/>
        </w:rPr>
      </w:pPr>
      <w:r>
        <w:rPr>
          <w:rFonts w:ascii="David" w:hAnsi="David" w:cs="David" w:hint="cs"/>
          <w:sz w:val="24"/>
          <w:szCs w:val="24"/>
          <w:rtl/>
        </w:rPr>
        <w:t xml:space="preserve"> גט מעושה </w:t>
      </w:r>
      <w:r>
        <w:rPr>
          <w:rFonts w:ascii="David" w:hAnsi="David" w:cs="David"/>
          <w:sz w:val="24"/>
          <w:szCs w:val="24"/>
          <w:rtl/>
        </w:rPr>
        <w:t>–</w:t>
      </w:r>
      <w:r>
        <w:rPr>
          <w:rFonts w:ascii="David" w:hAnsi="David" w:cs="David" w:hint="cs"/>
          <w:sz w:val="24"/>
          <w:szCs w:val="24"/>
          <w:rtl/>
        </w:rPr>
        <w:t xml:space="preserve"> יווצר מצב שיהיו 2 קבוצות ממזרים (כאלו שהוריהם גורשו לפי ביהמ"ש) וילדים כשרים. לפי ההלכה יהיו בעיות לחתן את הקבוצה הראשונה עם השניה. </w:t>
      </w:r>
    </w:p>
    <w:p w14:paraId="38523C4E" w14:textId="7A3D4EAC" w:rsidR="004A1850" w:rsidRDefault="004A1850" w:rsidP="004A1850">
      <w:pPr>
        <w:pStyle w:val="ListParagraph"/>
        <w:numPr>
          <w:ilvl w:val="0"/>
          <w:numId w:val="6"/>
        </w:numPr>
        <w:spacing w:after="0" w:line="360" w:lineRule="auto"/>
        <w:jc w:val="both"/>
        <w:rPr>
          <w:rFonts w:ascii="David" w:hAnsi="David" w:cs="David"/>
          <w:sz w:val="24"/>
          <w:szCs w:val="24"/>
        </w:rPr>
      </w:pPr>
      <w:r>
        <w:rPr>
          <w:rFonts w:ascii="David" w:hAnsi="David" w:cs="David" w:hint="cs"/>
          <w:sz w:val="24"/>
          <w:szCs w:val="24"/>
          <w:rtl/>
        </w:rPr>
        <w:t>חשש לפגיעה ברגשות הדתיים</w:t>
      </w:r>
      <w:r w:rsidR="009D3E9B">
        <w:rPr>
          <w:rFonts w:ascii="David" w:hAnsi="David" w:cs="David" w:hint="cs"/>
          <w:sz w:val="24"/>
          <w:szCs w:val="24"/>
          <w:rtl/>
        </w:rPr>
        <w:t xml:space="preserve"> </w:t>
      </w:r>
      <w:r w:rsidR="009D3E9B">
        <w:rPr>
          <w:rFonts w:ascii="David" w:hAnsi="David" w:cs="David"/>
          <w:sz w:val="24"/>
          <w:szCs w:val="24"/>
          <w:rtl/>
        </w:rPr>
        <w:t>–</w:t>
      </w:r>
      <w:r w:rsidR="009D3E9B">
        <w:rPr>
          <w:rFonts w:ascii="David" w:hAnsi="David" w:cs="David" w:hint="cs"/>
          <w:sz w:val="24"/>
          <w:szCs w:val="24"/>
          <w:rtl/>
        </w:rPr>
        <w:t xml:space="preserve"> ביחוד בתקופה הנוכחית של משבר כלכלי,</w:t>
      </w:r>
      <w:r>
        <w:rPr>
          <w:rFonts w:ascii="David" w:hAnsi="David" w:cs="David" w:hint="cs"/>
          <w:sz w:val="24"/>
          <w:szCs w:val="24"/>
          <w:rtl/>
        </w:rPr>
        <w:t xml:space="preserve"> הסתכנות שהם יצאו מהקואליציה ויהיו בחירות רביעיות.</w:t>
      </w:r>
      <w:bookmarkStart w:id="6" w:name="_GoBack"/>
      <w:bookmarkEnd w:id="6"/>
    </w:p>
    <w:sectPr w:rsidR="004A1850" w:rsidSect="003B1E72">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B71A" w14:textId="77777777" w:rsidR="0035654A" w:rsidRDefault="0035654A" w:rsidP="003B1E72">
      <w:pPr>
        <w:spacing w:after="0" w:line="240" w:lineRule="auto"/>
      </w:pPr>
      <w:r>
        <w:separator/>
      </w:r>
    </w:p>
  </w:endnote>
  <w:endnote w:type="continuationSeparator" w:id="0">
    <w:p w14:paraId="4BC94B74" w14:textId="77777777" w:rsidR="0035654A" w:rsidRDefault="0035654A" w:rsidP="003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D001" w14:textId="77777777" w:rsidR="0035654A" w:rsidRDefault="0035654A" w:rsidP="003B1E72">
      <w:pPr>
        <w:spacing w:after="0" w:line="240" w:lineRule="auto"/>
      </w:pPr>
      <w:r>
        <w:separator/>
      </w:r>
    </w:p>
  </w:footnote>
  <w:footnote w:type="continuationSeparator" w:id="0">
    <w:p w14:paraId="1825247E" w14:textId="77777777" w:rsidR="0035654A" w:rsidRDefault="0035654A" w:rsidP="003B1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BB2B" w14:textId="03E66D0D" w:rsidR="003B1E72" w:rsidRPr="003B1E72" w:rsidRDefault="003B1E72" w:rsidP="003B1E72">
    <w:pPr>
      <w:pStyle w:val="Header"/>
      <w:jc w:val="center"/>
      <w:rPr>
        <w:rFonts w:ascii="David" w:hAnsi="David" w:cs="David"/>
      </w:rPr>
    </w:pPr>
    <w:r w:rsidRPr="003B1E72">
      <w:rPr>
        <w:rFonts w:ascii="David" w:hAnsi="David" w:cs="David"/>
        <w:rtl/>
      </w:rPr>
      <w:t>אני מתחייב</w:t>
    </w:r>
    <w:r w:rsidRPr="003B1E72">
      <w:rPr>
        <w:rFonts w:ascii="David" w:hAnsi="David" w:cs="David" w:hint="cs"/>
        <w:rtl/>
      </w:rPr>
      <w:t>ת</w:t>
    </w:r>
    <w:r w:rsidRPr="003B1E72">
      <w:rPr>
        <w:rFonts w:ascii="David" w:hAnsi="David" w:cs="David"/>
        <w:rtl/>
      </w:rPr>
      <w:t xml:space="preserve"> לשמור על טוהר הבחינה ומצהיר</w:t>
    </w:r>
    <w:r w:rsidRPr="003B1E72">
      <w:rPr>
        <w:rFonts w:ascii="David" w:hAnsi="David" w:cs="David" w:hint="cs"/>
        <w:rtl/>
      </w:rPr>
      <w:t>ה</w:t>
    </w:r>
    <w:r w:rsidRPr="003B1E72">
      <w:rPr>
        <w:rFonts w:ascii="David" w:hAnsi="David" w:cs="David"/>
        <w:rtl/>
      </w:rPr>
      <w:t xml:space="preserve"> שלא אשתמש בכל חומר האסור בשימוש לצורך פתרונה.</w:t>
    </w:r>
  </w:p>
  <w:p w14:paraId="0EB146FF" w14:textId="77777777" w:rsidR="003B1E72" w:rsidRPr="003B1E72" w:rsidRDefault="003B1E72" w:rsidP="003B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A34"/>
    <w:multiLevelType w:val="hybridMultilevel"/>
    <w:tmpl w:val="F842A85E"/>
    <w:lvl w:ilvl="0" w:tplc="8B12D04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5061"/>
    <w:multiLevelType w:val="hybridMultilevel"/>
    <w:tmpl w:val="AA00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4717B2"/>
    <w:multiLevelType w:val="hybridMultilevel"/>
    <w:tmpl w:val="8196D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9F07E3"/>
    <w:multiLevelType w:val="hybridMultilevel"/>
    <w:tmpl w:val="CB7624B6"/>
    <w:lvl w:ilvl="0" w:tplc="DBAAA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404F2B"/>
    <w:multiLevelType w:val="hybridMultilevel"/>
    <w:tmpl w:val="C342532E"/>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E01286"/>
    <w:multiLevelType w:val="hybridMultilevel"/>
    <w:tmpl w:val="B20ABA04"/>
    <w:lvl w:ilvl="0" w:tplc="84B8123E">
      <w:start w:val="1"/>
      <w:numFmt w:val="decimal"/>
      <w:lvlText w:val="(%1)"/>
      <w:lvlJc w:val="left"/>
      <w:pPr>
        <w:ind w:left="360" w:hanging="360"/>
      </w:pPr>
      <w:rPr>
        <w:rFonts w:hint="default"/>
      </w:rPr>
    </w:lvl>
    <w:lvl w:ilvl="1" w:tplc="5274B2D2">
      <w:start w:val="1"/>
      <w:numFmt w:val="hebrew1"/>
      <w:lvlText w:val="%2."/>
      <w:lvlJc w:val="left"/>
      <w:pPr>
        <w:ind w:left="1080" w:hanging="360"/>
      </w:pPr>
      <w:rPr>
        <w:rFonts w:hint="default"/>
      </w:rPr>
    </w:lvl>
    <w:lvl w:ilvl="2" w:tplc="C732443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72"/>
    <w:rsid w:val="000400C6"/>
    <w:rsid w:val="000A4372"/>
    <w:rsid w:val="001052FF"/>
    <w:rsid w:val="001141A9"/>
    <w:rsid w:val="001752A9"/>
    <w:rsid w:val="002A7612"/>
    <w:rsid w:val="002F28C1"/>
    <w:rsid w:val="0033052D"/>
    <w:rsid w:val="0035654A"/>
    <w:rsid w:val="003B1E72"/>
    <w:rsid w:val="0042741E"/>
    <w:rsid w:val="00473595"/>
    <w:rsid w:val="004A1850"/>
    <w:rsid w:val="004C7F10"/>
    <w:rsid w:val="0056498C"/>
    <w:rsid w:val="005945A5"/>
    <w:rsid w:val="005C57C2"/>
    <w:rsid w:val="006618E2"/>
    <w:rsid w:val="0073770D"/>
    <w:rsid w:val="00755C9B"/>
    <w:rsid w:val="008E011F"/>
    <w:rsid w:val="00954D21"/>
    <w:rsid w:val="009A0A7A"/>
    <w:rsid w:val="009C0B3C"/>
    <w:rsid w:val="009C7D8D"/>
    <w:rsid w:val="009D3E9B"/>
    <w:rsid w:val="009E0F3F"/>
    <w:rsid w:val="00A724B9"/>
    <w:rsid w:val="00BC4819"/>
    <w:rsid w:val="00BD16A0"/>
    <w:rsid w:val="00BE6897"/>
    <w:rsid w:val="00D108B5"/>
    <w:rsid w:val="00D45C7F"/>
    <w:rsid w:val="00DE4C77"/>
    <w:rsid w:val="00E32251"/>
    <w:rsid w:val="00F663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4FBF"/>
  <w15:chartTrackingRefBased/>
  <w15:docId w15:val="{F84E55C5-FF6F-45FF-BA27-0E42D619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E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E72"/>
  </w:style>
  <w:style w:type="paragraph" w:styleId="Footer">
    <w:name w:val="footer"/>
    <w:basedOn w:val="Normal"/>
    <w:link w:val="FooterChar"/>
    <w:uiPriority w:val="99"/>
    <w:unhideWhenUsed/>
    <w:rsid w:val="003B1E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E72"/>
  </w:style>
  <w:style w:type="paragraph" w:styleId="ListParagraph">
    <w:name w:val="List Paragraph"/>
    <w:basedOn w:val="Normal"/>
    <w:uiPriority w:val="34"/>
    <w:qFormat/>
    <w:rsid w:val="00A724B9"/>
    <w:pPr>
      <w:spacing w:after="200" w:line="276" w:lineRule="auto"/>
      <w:ind w:left="720"/>
      <w:contextualSpacing/>
    </w:pPr>
  </w:style>
  <w:style w:type="paragraph" w:styleId="NoSpacing">
    <w:name w:val="No Spacing"/>
    <w:uiPriority w:val="1"/>
    <w:qFormat/>
    <w:rsid w:val="00BC481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2110</Words>
  <Characters>10553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ירדן אור</dc:creator>
  <cp:keywords/>
  <dc:description/>
  <cp:lastModifiedBy>ירדן אור</cp:lastModifiedBy>
  <cp:revision>20</cp:revision>
  <dcterms:created xsi:type="dcterms:W3CDTF">2020-08-23T07:50:00Z</dcterms:created>
  <dcterms:modified xsi:type="dcterms:W3CDTF">2020-08-23T12:24:00Z</dcterms:modified>
</cp:coreProperties>
</file>