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4CA4" w14:textId="782EBACB" w:rsidR="006B62F0" w:rsidRPr="000274DC" w:rsidRDefault="008873EB" w:rsidP="000274DC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0274DC">
        <w:rPr>
          <w:rFonts w:ascii="David" w:hAnsi="David" w:cs="David" w:hint="cs"/>
          <w:b/>
          <w:bCs/>
          <w:sz w:val="24"/>
          <w:szCs w:val="24"/>
          <w:u w:val="single"/>
          <w:rtl/>
        </w:rPr>
        <w:t>מילון מושגים:</w:t>
      </w:r>
    </w:p>
    <w:p w14:paraId="7C1B120A" w14:textId="207C2177" w:rsidR="008873EB" w:rsidRDefault="008873EB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מדרש יוצר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צורה ספרותית, בה המדרש יוצר את ההלכה והוא המקור.</w:t>
      </w:r>
    </w:p>
    <w:p w14:paraId="551C90A5" w14:textId="4606096B" w:rsidR="008873EB" w:rsidRDefault="008873EB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מדרש מקיים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המדרש משתמש </w:t>
      </w:r>
      <w:r w:rsidR="00D53421">
        <w:rPr>
          <w:rFonts w:ascii="David" w:hAnsi="David" w:cs="David" w:hint="cs"/>
          <w:sz w:val="24"/>
          <w:szCs w:val="24"/>
          <w:rtl/>
        </w:rPr>
        <w:t>ב</w:t>
      </w:r>
      <w:r>
        <w:rPr>
          <w:rFonts w:ascii="David" w:hAnsi="David" w:cs="David" w:hint="cs"/>
          <w:sz w:val="24"/>
          <w:szCs w:val="24"/>
          <w:rtl/>
        </w:rPr>
        <w:t>פסוק מהתורה בשביל מקור ומשלב בו את ההלכה.</w:t>
      </w:r>
    </w:p>
    <w:p w14:paraId="35C72BBD" w14:textId="52B77529" w:rsidR="00024CC8" w:rsidRDefault="00024CC8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proofErr w:type="spellStart"/>
      <w:r>
        <w:rPr>
          <w:rFonts w:ascii="David" w:hAnsi="David" w:cs="David" w:hint="cs"/>
          <w:sz w:val="24"/>
          <w:szCs w:val="24"/>
          <w:rtl/>
        </w:rPr>
        <w:t>פאפירוסים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(גם, "מסמכי </w:t>
      </w:r>
      <w:proofErr w:type="spellStart"/>
      <w:r>
        <w:rPr>
          <w:rFonts w:ascii="David" w:hAnsi="David" w:cs="David" w:hint="cs"/>
          <w:sz w:val="24"/>
          <w:szCs w:val="24"/>
          <w:rtl/>
        </w:rPr>
        <w:t>יב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")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מסמכי ספרות משפטית כללית מימי בית שני.</w:t>
      </w:r>
    </w:p>
    <w:p w14:paraId="6316959C" w14:textId="1681E764" w:rsidR="00024CC8" w:rsidRDefault="00024CC8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תרגום שבעים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שמו של תר</w:t>
      </w:r>
      <w:r w:rsidR="009079CA">
        <w:rPr>
          <w:rFonts w:ascii="David" w:hAnsi="David" w:cs="David" w:hint="cs"/>
          <w:sz w:val="24"/>
          <w:szCs w:val="24"/>
          <w:rtl/>
        </w:rPr>
        <w:t>ג</w:t>
      </w:r>
      <w:r>
        <w:rPr>
          <w:rFonts w:ascii="David" w:hAnsi="David" w:cs="David" w:hint="cs"/>
          <w:sz w:val="24"/>
          <w:szCs w:val="24"/>
          <w:rtl/>
        </w:rPr>
        <w:t>ום התורה ליוונית.</w:t>
      </w:r>
    </w:p>
    <w:p w14:paraId="056FD7FE" w14:textId="52B48286" w:rsidR="006133AF" w:rsidRDefault="006133AF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קודיפיקציה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כינוס ואיסוף חוקים.</w:t>
      </w:r>
    </w:p>
    <w:p w14:paraId="72002179" w14:textId="7FC04E9C" w:rsidR="006133AF" w:rsidRDefault="006133AF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proofErr w:type="spellStart"/>
      <w:r>
        <w:rPr>
          <w:rFonts w:ascii="David" w:hAnsi="David" w:cs="David" w:hint="cs"/>
          <w:sz w:val="24"/>
          <w:szCs w:val="24"/>
          <w:rtl/>
        </w:rPr>
        <w:t>קזואיסטי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שיטה של בחינת כל מקרה לגופו. </w:t>
      </w:r>
      <w:r w:rsidRPr="004A5120">
        <w:rPr>
          <w:rFonts w:ascii="David" w:hAnsi="David" w:cs="David" w:hint="cs"/>
          <w:sz w:val="24"/>
          <w:szCs w:val="24"/>
          <w:rtl/>
        </w:rPr>
        <w:t>הדין מובא בצורת קייס, פירוט עובדתי וקונקרטי שבעקבותיו נקבעה הלכה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239932F7" w14:textId="13A12BC6" w:rsidR="006133AF" w:rsidRDefault="006133AF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E8136B">
        <w:rPr>
          <w:rFonts w:ascii="David" w:hAnsi="David" w:cs="David" w:hint="cs"/>
          <w:sz w:val="24"/>
          <w:szCs w:val="24"/>
          <w:rtl/>
        </w:rPr>
        <w:t xml:space="preserve">נורמטיבי </w:t>
      </w:r>
      <w:r w:rsidRPr="00E8136B">
        <w:rPr>
          <w:rFonts w:ascii="David" w:hAnsi="David" w:cs="David"/>
          <w:sz w:val="24"/>
          <w:szCs w:val="24"/>
          <w:rtl/>
        </w:rPr>
        <w:t>–</w:t>
      </w:r>
      <w:r w:rsidRPr="00E8136B">
        <w:rPr>
          <w:rFonts w:ascii="David" w:hAnsi="David" w:cs="David" w:hint="cs"/>
          <w:sz w:val="24"/>
          <w:szCs w:val="24"/>
          <w:rtl/>
        </w:rPr>
        <w:t xml:space="preserve"> עקרון משפטי כללי, מתומצת וחד. מובעת הנורמה, הכלל המופשט של רעיון משפטי מסוים, ללא המחשה.</w:t>
      </w:r>
    </w:p>
    <w:p w14:paraId="2919059A" w14:textId="3B34ED96" w:rsidR="00FB7298" w:rsidRDefault="00FB7298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קודקס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ספר חוקים.</w:t>
      </w:r>
    </w:p>
    <w:p w14:paraId="788B7828" w14:textId="1096AC57" w:rsidR="00A532D2" w:rsidRDefault="00A532D2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הלכה סתמית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קביעת הלכה מבלי להציג את הדיון שקדם לה ו\או את החכם שלפיו פסקו.</w:t>
      </w:r>
    </w:p>
    <w:p w14:paraId="7F5E443E" w14:textId="1A18650F" w:rsidR="009079CA" w:rsidRDefault="009079CA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תלמוד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בפירוש כפי שאנו מבינים אותו היום, מדובר בספר שמשלב את המשנה + דיוני האמוראים על המשנה (גמרא)</w:t>
      </w:r>
      <w:r>
        <w:rPr>
          <w:rFonts w:ascii="David" w:hAnsi="David" w:cs="David" w:hint="cs"/>
          <w:sz w:val="24"/>
          <w:szCs w:val="24"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+ פירוש רש"י על הגמרא + פירוש בעלי התוספות על הגמרא.</w:t>
      </w:r>
    </w:p>
    <w:p w14:paraId="291FE742" w14:textId="77777777" w:rsidR="006851C1" w:rsidRDefault="006851C1" w:rsidP="000274D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2C31D360" w14:textId="77777777" w:rsidR="006851C1" w:rsidRPr="000274DC" w:rsidRDefault="006851C1" w:rsidP="000274DC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0274DC">
        <w:rPr>
          <w:rFonts w:ascii="David" w:hAnsi="David" w:cs="David" w:hint="cs"/>
          <w:b/>
          <w:bCs/>
          <w:sz w:val="24"/>
          <w:szCs w:val="24"/>
          <w:u w:val="single"/>
          <w:rtl/>
        </w:rPr>
        <w:t>רשימת החכמים:</w:t>
      </w:r>
    </w:p>
    <w:p w14:paraId="0E86DE40" w14:textId="77777777" w:rsidR="006851C1" w:rsidRDefault="006851C1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תנאים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משנה.</w:t>
      </w:r>
    </w:p>
    <w:p w14:paraId="6708F598" w14:textId="77777777" w:rsidR="006851C1" w:rsidRDefault="006851C1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אמוראים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גמרא, התחילו את כתיבת התלמוד.</w:t>
      </w:r>
    </w:p>
    <w:p w14:paraId="5DC2B8D6" w14:textId="77777777" w:rsidR="006851C1" w:rsidRDefault="006851C1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סבוראים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הכניסו פירושים שונים לתלמוד, תרומה מהותית.</w:t>
      </w:r>
    </w:p>
    <w:p w14:paraId="1239C3CF" w14:textId="77777777" w:rsidR="006851C1" w:rsidRDefault="006851C1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גאונים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הכניסו שינויים טכניים קלים, בעיקר פירושים מארמית, כך נחתם.</w:t>
      </w:r>
    </w:p>
    <w:p w14:paraId="4D199C6A" w14:textId="77777777" w:rsidR="006851C1" w:rsidRDefault="006851C1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ראשונים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אחרי ירידת בבל מגדולתה, מרכז תורני לכל קהילה, בעיקר נותנים מענה יום יומי.</w:t>
      </w:r>
    </w:p>
    <w:p w14:paraId="6A925B88" w14:textId="5E3AEA21" w:rsidR="006851C1" w:rsidRPr="00E8136B" w:rsidRDefault="006851C1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אחרונים</w:t>
      </w:r>
      <w:r w:rsidR="0071359B">
        <w:rPr>
          <w:rFonts w:ascii="David" w:hAnsi="David" w:cs="David" w:hint="cs"/>
          <w:sz w:val="24"/>
          <w:szCs w:val="24"/>
          <w:rtl/>
        </w:rPr>
        <w:t xml:space="preserve"> </w:t>
      </w:r>
      <w:r w:rsidR="0071359B">
        <w:rPr>
          <w:rFonts w:ascii="David" w:hAnsi="David" w:cs="David"/>
          <w:sz w:val="24"/>
          <w:szCs w:val="24"/>
          <w:rtl/>
        </w:rPr>
        <w:t>–</w:t>
      </w:r>
      <w:r w:rsidR="0071359B">
        <w:rPr>
          <w:rFonts w:ascii="David" w:hAnsi="David" w:cs="David" w:hint="cs"/>
          <w:sz w:val="24"/>
          <w:szCs w:val="24"/>
          <w:rtl/>
        </w:rPr>
        <w:t xml:space="preserve"> חידשו על דברי הראשונים, בעיקר התפלפלות.</w:t>
      </w:r>
    </w:p>
    <w:p w14:paraId="021CF6B9" w14:textId="77777777" w:rsidR="006851C1" w:rsidRDefault="006851C1" w:rsidP="000274D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507729FD" w14:textId="47F7A25F" w:rsidR="00866F12" w:rsidRPr="000274DC" w:rsidRDefault="00866F12" w:rsidP="000274DC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0274DC">
        <w:rPr>
          <w:rFonts w:ascii="David" w:hAnsi="David" w:cs="David" w:hint="cs"/>
          <w:b/>
          <w:bCs/>
          <w:sz w:val="24"/>
          <w:szCs w:val="24"/>
          <w:u w:val="single"/>
          <w:rtl/>
        </w:rPr>
        <w:t>ספר</w:t>
      </w:r>
      <w:r w:rsidR="006851C1" w:rsidRPr="000274DC">
        <w:rPr>
          <w:rFonts w:ascii="David" w:hAnsi="David" w:cs="David" w:hint="cs"/>
          <w:b/>
          <w:bCs/>
          <w:sz w:val="24"/>
          <w:szCs w:val="24"/>
          <w:u w:val="single"/>
          <w:rtl/>
        </w:rPr>
        <w:t>ות:</w:t>
      </w:r>
    </w:p>
    <w:p w14:paraId="2AD57791" w14:textId="77777777" w:rsidR="00866F12" w:rsidRDefault="00866F12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משנה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נכתבה ע"י רבי יהודה הנשיא, פירוש למקרא וספר חוקים. החכמים שכתבו אותה נקראו תנאים. לימוד דרך הלכה ולא מדרש, הלכות בנפרד מפסוקי התורה.</w:t>
      </w:r>
    </w:p>
    <w:p w14:paraId="5A58CF24" w14:textId="19F03B40" w:rsidR="00866F12" w:rsidRDefault="00866F12" w:rsidP="000274DC">
      <w:pPr>
        <w:pStyle w:val="a3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שישה סדרים</w:t>
      </w:r>
      <w:r w:rsidR="000D0B70">
        <w:rPr>
          <w:rFonts w:ascii="David" w:hAnsi="David" w:cs="David" w:hint="cs"/>
          <w:sz w:val="24"/>
          <w:szCs w:val="24"/>
          <w:rtl/>
        </w:rPr>
        <w:t xml:space="preserve"> </w:t>
      </w:r>
      <w:r w:rsidR="000D0B70">
        <w:rPr>
          <w:rFonts w:ascii="David" w:hAnsi="David" w:cs="David"/>
          <w:sz w:val="24"/>
          <w:szCs w:val="24"/>
          <w:rtl/>
        </w:rPr>
        <w:t>–</w:t>
      </w:r>
      <w:r w:rsidR="000D0B70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0D0B70">
        <w:rPr>
          <w:rFonts w:ascii="David" w:hAnsi="David" w:cs="David" w:hint="cs"/>
          <w:sz w:val="24"/>
          <w:szCs w:val="24"/>
          <w:rtl/>
        </w:rPr>
        <w:t>זמ"ן</w:t>
      </w:r>
      <w:proofErr w:type="spellEnd"/>
      <w:r w:rsidR="000D0B70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0D0B70">
        <w:rPr>
          <w:rFonts w:ascii="David" w:hAnsi="David" w:cs="David" w:hint="cs"/>
          <w:sz w:val="24"/>
          <w:szCs w:val="24"/>
          <w:rtl/>
        </w:rPr>
        <w:t>נק</w:t>
      </w:r>
      <w:r w:rsidR="00016E05">
        <w:rPr>
          <w:rFonts w:ascii="David" w:hAnsi="David" w:cs="David" w:hint="cs"/>
          <w:sz w:val="24"/>
          <w:szCs w:val="24"/>
          <w:rtl/>
        </w:rPr>
        <w:t>"ט</w:t>
      </w:r>
      <w:proofErr w:type="spellEnd"/>
      <w:r>
        <w:rPr>
          <w:rFonts w:ascii="David" w:hAnsi="David" w:cs="David" w:hint="cs"/>
          <w:sz w:val="24"/>
          <w:szCs w:val="24"/>
          <w:rtl/>
        </w:rPr>
        <w:t>:</w:t>
      </w:r>
    </w:p>
    <w:p w14:paraId="1C0F8447" w14:textId="77777777" w:rsidR="00866F12" w:rsidRDefault="00866F12" w:rsidP="000274DC">
      <w:pPr>
        <w:pStyle w:val="a3"/>
        <w:numPr>
          <w:ilvl w:val="0"/>
          <w:numId w:val="3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זרעים</w:t>
      </w:r>
    </w:p>
    <w:p w14:paraId="1A52565C" w14:textId="77777777" w:rsidR="00866F12" w:rsidRDefault="00866F12" w:rsidP="000274DC">
      <w:pPr>
        <w:pStyle w:val="a3"/>
        <w:numPr>
          <w:ilvl w:val="0"/>
          <w:numId w:val="3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מועד</w:t>
      </w:r>
    </w:p>
    <w:p w14:paraId="63C7D499" w14:textId="77777777" w:rsidR="00866F12" w:rsidRDefault="00866F12" w:rsidP="000274DC">
      <w:pPr>
        <w:pStyle w:val="a3"/>
        <w:numPr>
          <w:ilvl w:val="0"/>
          <w:numId w:val="3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נשים</w:t>
      </w:r>
    </w:p>
    <w:p w14:paraId="0433CEDF" w14:textId="77777777" w:rsidR="00866F12" w:rsidRDefault="00866F12" w:rsidP="000274DC">
      <w:pPr>
        <w:pStyle w:val="a3"/>
        <w:numPr>
          <w:ilvl w:val="0"/>
          <w:numId w:val="3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נזיקין</w:t>
      </w:r>
    </w:p>
    <w:p w14:paraId="5293F9F5" w14:textId="77777777" w:rsidR="00866F12" w:rsidRDefault="00866F12" w:rsidP="000274DC">
      <w:pPr>
        <w:pStyle w:val="a3"/>
        <w:numPr>
          <w:ilvl w:val="0"/>
          <w:numId w:val="3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קדושים</w:t>
      </w:r>
    </w:p>
    <w:p w14:paraId="11E907A5" w14:textId="77777777" w:rsidR="00866F12" w:rsidRDefault="00866F12" w:rsidP="000274DC">
      <w:pPr>
        <w:pStyle w:val="a3"/>
        <w:numPr>
          <w:ilvl w:val="0"/>
          <w:numId w:val="3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>טהרות</w:t>
      </w:r>
    </w:p>
    <w:p w14:paraId="33D6FE0A" w14:textId="77777777" w:rsidR="00866F12" w:rsidRDefault="00866F12" w:rsidP="000274DC">
      <w:pPr>
        <w:spacing w:line="360" w:lineRule="auto"/>
        <w:ind w:left="7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מנוסחת הן בדרך קוזאיסטית והן בדרך הנורמטיבית.</w:t>
      </w:r>
    </w:p>
    <w:p w14:paraId="59DC88D8" w14:textId="77777777" w:rsidR="00866F12" w:rsidRDefault="00866F12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התלמוד הירושלמי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סביב משנת רבי, א"י, 5 דורות. סגנון קצר ותמציתי, מקיף 39 מסכתות ועדיין יותר קצר מהבבלי. במחלוקת מול הבבלי, יד הבבלי על העליונה. ארמית א"י. </w:t>
      </w:r>
    </w:p>
    <w:p w14:paraId="7C7A9DAF" w14:textId="41B4772B" w:rsidR="00866F12" w:rsidRDefault="00866F12" w:rsidP="000274DC">
      <w:pPr>
        <w:pStyle w:val="a3"/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הסדרים שנכנסו: זר</w:t>
      </w:r>
      <w:r w:rsidR="00F22EBE">
        <w:rPr>
          <w:rFonts w:ascii="David" w:hAnsi="David" w:cs="David" w:hint="cs"/>
          <w:sz w:val="24"/>
          <w:szCs w:val="24"/>
          <w:rtl/>
        </w:rPr>
        <w:t>ע</w:t>
      </w:r>
      <w:r>
        <w:rPr>
          <w:rFonts w:ascii="David" w:hAnsi="David" w:cs="David" w:hint="cs"/>
          <w:sz w:val="24"/>
          <w:szCs w:val="24"/>
          <w:rtl/>
        </w:rPr>
        <w:t>ים, מועד, נשים, נזיקין וקצת נידה.</w:t>
      </w:r>
    </w:p>
    <w:p w14:paraId="07002CE7" w14:textId="77777777" w:rsidR="00866F12" w:rsidRDefault="00866F12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התלמוד הבבלי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סביב משנת רבי, בבל, 7 דורות. סגנון ארוך יותר, מקיף 36 מסכתות. ארמית בבלית.</w:t>
      </w:r>
    </w:p>
    <w:p w14:paraId="2CC743CE" w14:textId="77777777" w:rsidR="00866F12" w:rsidRDefault="00866F12" w:rsidP="000274DC">
      <w:pPr>
        <w:pStyle w:val="a3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הסדרים שנכנסו: מועד, נשים, נזיקין, זרעים (רק ברכות), טהרות (רק נידה), קדושים (רק חלק). בעיקרון, מתמקד בהלכות ופסיקות שקשורות למציאות, לכן זרעים לא רלוונטי, היות ומדובר בדינים </w:t>
      </w:r>
      <w:proofErr w:type="spellStart"/>
      <w:r>
        <w:rPr>
          <w:rFonts w:ascii="David" w:hAnsi="David" w:cs="David" w:hint="cs"/>
          <w:sz w:val="24"/>
          <w:szCs w:val="24"/>
          <w:rtl/>
        </w:rPr>
        <w:t>שרלוונטים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לאדמת א"י.</w:t>
      </w:r>
    </w:p>
    <w:p w14:paraId="7380FDEA" w14:textId="77777777" w:rsidR="00866F12" w:rsidRPr="007524A8" w:rsidRDefault="00866F12" w:rsidP="000274DC">
      <w:pPr>
        <w:pStyle w:val="a3"/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ההלכה לפי התלמוד הבבלי.</w:t>
      </w:r>
    </w:p>
    <w:p w14:paraId="60072A8D" w14:textId="77777777" w:rsidR="006851C1" w:rsidRDefault="006851C1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כתבי פילון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האלכסנדרוני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פילוסוף יהודי שחי במצרים, פירש את התורה ויצר הרבה ספרות משפטית.</w:t>
      </w:r>
    </w:p>
    <w:p w14:paraId="0DF84B4D" w14:textId="77777777" w:rsidR="006851C1" w:rsidRDefault="006851C1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כתבי יוסף בן מתתיהו (</w:t>
      </w:r>
      <w:proofErr w:type="spellStart"/>
      <w:r>
        <w:rPr>
          <w:rFonts w:ascii="David" w:hAnsi="David" w:cs="David" w:hint="cs"/>
          <w:sz w:val="24"/>
          <w:szCs w:val="24"/>
          <w:rtl/>
        </w:rPr>
        <w:t>יוספוס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)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מעיד על עצמו כנשאר נאמן לתורה, כשבפועל הרבה מהפסיקות שלו מושפעות ממקורות שאינם התורה.</w:t>
      </w:r>
    </w:p>
    <w:p w14:paraId="096D87EB" w14:textId="77777777" w:rsidR="006851C1" w:rsidRDefault="006851C1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הספרים החיצוניים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יצירות שהחכמים לא הכירו בהן, לכן נגנזו.</w:t>
      </w:r>
    </w:p>
    <w:p w14:paraId="4A03E5A9" w14:textId="1AACBFE8" w:rsidR="006851C1" w:rsidRDefault="006851C1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קובץ מדרשי הלכה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קובץ שמאגד את כל הדיונים בהלכה.</w:t>
      </w:r>
    </w:p>
    <w:p w14:paraId="06FA12A2" w14:textId="77777777" w:rsidR="006851C1" w:rsidRDefault="006851C1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התוספתא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מקור הלכה נוסף מתקופת תנאים, תוספת למשנה ובעל אותו מעמד הלכתי מחייב.</w:t>
      </w:r>
    </w:p>
    <w:p w14:paraId="42A997A9" w14:textId="77777777" w:rsidR="006851C1" w:rsidRDefault="006851C1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החידושים האשכנזים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בעלי התוספות: פירושים נוספים לגמרא, מודפסים לצד הגמרא.</w:t>
      </w:r>
    </w:p>
    <w:p w14:paraId="7F2BFAD1" w14:textId="77777777" w:rsidR="006851C1" w:rsidRDefault="006851C1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פסקים ושו"ת רבים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ספרות נוספת שנכתבה לפרש, לתת תשובה ולפסוק מהגמרא.</w:t>
      </w:r>
    </w:p>
    <w:p w14:paraId="55422E9E" w14:textId="77777777" w:rsidR="006851C1" w:rsidRDefault="006851C1" w:rsidP="000274DC">
      <w:pPr>
        <w:pStyle w:val="a3"/>
        <w:numPr>
          <w:ilvl w:val="0"/>
          <w:numId w:val="6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ספרות הפירושים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דנה בנושאים הלכתיים בצורה עיונית, להלכה ולא למעשה.</w:t>
      </w:r>
    </w:p>
    <w:p w14:paraId="670345A1" w14:textId="77777777" w:rsidR="006851C1" w:rsidRDefault="006851C1" w:rsidP="000274DC">
      <w:pPr>
        <w:pStyle w:val="a3"/>
        <w:numPr>
          <w:ilvl w:val="0"/>
          <w:numId w:val="6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ספרות השו"ת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מתמקדת בהכרעה, בהלכה בפועל.</w:t>
      </w:r>
    </w:p>
    <w:p w14:paraId="0393105A" w14:textId="77777777" w:rsidR="006851C1" w:rsidRDefault="006851C1" w:rsidP="000274DC">
      <w:pPr>
        <w:pStyle w:val="a3"/>
        <w:numPr>
          <w:ilvl w:val="0"/>
          <w:numId w:val="6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ספרות הפירושים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מעיינים בחומר רב ומגיעים לכדי הכרעה.</w:t>
      </w:r>
    </w:p>
    <w:p w14:paraId="3BE6FE86" w14:textId="77777777" w:rsidR="006851C1" w:rsidRDefault="006851C1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החידושים הספרדים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פירוט למטה באישים.</w:t>
      </w:r>
    </w:p>
    <w:p w14:paraId="27BF2C81" w14:textId="77777777" w:rsidR="006851C1" w:rsidRDefault="006851C1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"חידושי הלכות"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של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המרש"א</w:t>
      </w:r>
      <w:proofErr w:type="spellEnd"/>
      <w:r>
        <w:rPr>
          <w:rFonts w:ascii="David" w:hAnsi="David" w:cs="David" w:hint="cs"/>
          <w:sz w:val="24"/>
          <w:szCs w:val="24"/>
          <w:rtl/>
        </w:rPr>
        <w:t>: מסביר את דברי רש"י והתוספות, רק מפרש.</w:t>
      </w:r>
    </w:p>
    <w:p w14:paraId="6C1B11D3" w14:textId="77777777" w:rsidR="006851C1" w:rsidRDefault="006851C1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הפני יהושע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ר' יעקב יהושע: לא רק מפרש, גם מקיש מסוגיה לסוגיה, מתוך כל התלמוד.</w:t>
      </w:r>
    </w:p>
    <w:p w14:paraId="6587B7FF" w14:textId="77777777" w:rsidR="006851C1" w:rsidRDefault="006851C1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ספר השאילתות לרב אחא </w:t>
      </w:r>
      <w:proofErr w:type="spellStart"/>
      <w:r>
        <w:rPr>
          <w:rFonts w:ascii="David" w:hAnsi="David" w:cs="David" w:hint="cs"/>
          <w:sz w:val="24"/>
          <w:szCs w:val="24"/>
          <w:rtl/>
        </w:rPr>
        <w:t>משבחא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נכתב אחרי חתימת התלמוד, בעיקר לקט דרשות כמו בתלמוד, </w:t>
      </w:r>
      <w:r>
        <w:rPr>
          <w:rFonts w:ascii="David" w:hAnsi="David" w:cs="David" w:hint="cs"/>
          <w:b/>
          <w:bCs/>
          <w:sz w:val="24"/>
          <w:szCs w:val="24"/>
          <w:rtl/>
        </w:rPr>
        <w:t>מגמה פסקנית</w:t>
      </w:r>
      <w:r>
        <w:rPr>
          <w:rFonts w:ascii="David" w:hAnsi="David" w:cs="David" w:hint="cs"/>
          <w:sz w:val="24"/>
          <w:szCs w:val="24"/>
          <w:rtl/>
        </w:rPr>
        <w:t>, מסודר לפי סדר הפרשות בתורה. בכל שאילתא דן בנושא מסוים תוך השלכתו לפרשה דומה בתורה, לעתים אף לא משתמש במקור ההלכתי בתורה. מבנה ייחודי של ארבעה חלקים: מבוא כללי, בעיה הלכתית, דרשה (חסרה היום), פסיקה.</w:t>
      </w:r>
    </w:p>
    <w:p w14:paraId="22AAA4A7" w14:textId="77777777" w:rsidR="006851C1" w:rsidRDefault="006851C1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הלכות פסוקות לרב </w:t>
      </w:r>
      <w:proofErr w:type="spellStart"/>
      <w:r>
        <w:rPr>
          <w:rFonts w:ascii="David" w:hAnsi="David" w:cs="David" w:hint="cs"/>
          <w:sz w:val="24"/>
          <w:szCs w:val="24"/>
          <w:rtl/>
        </w:rPr>
        <w:t>יהודאי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גאון: בסמוך לספר השאילתות, תשובות קצרות, מסודר לפי נושאים ומקיף הלכות רלוונטיות </w:t>
      </w:r>
      <w:r>
        <w:rPr>
          <w:rFonts w:ascii="David" w:hAnsi="David" w:cs="David" w:hint="cs"/>
          <w:b/>
          <w:bCs/>
          <w:sz w:val="24"/>
          <w:szCs w:val="24"/>
          <w:rtl/>
        </w:rPr>
        <w:t>במקום וזמן.</w:t>
      </w:r>
      <w:r>
        <w:rPr>
          <w:rFonts w:ascii="David" w:hAnsi="David" w:cs="David" w:hint="cs"/>
          <w:sz w:val="24"/>
          <w:szCs w:val="24"/>
          <w:rtl/>
        </w:rPr>
        <w:t xml:space="preserve"> יעיל ופשוט למצוא את ההלכה.</w:t>
      </w:r>
    </w:p>
    <w:p w14:paraId="077B6D8B" w14:textId="77777777" w:rsidR="006851C1" w:rsidRDefault="006851C1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"הלכות גדולות"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דומה להלכות פסוקות, אך מרכב נושאים מגובשים ולעתים קובע נושאים חדשים, כולל מצוות שלא נהוגות בזמן הזה. הייחוד בהקדמה שלו (פירוט בסיכום).</w:t>
      </w:r>
    </w:p>
    <w:p w14:paraId="25261CED" w14:textId="77777777" w:rsidR="006851C1" w:rsidRDefault="006851C1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"ספר ההלכות", </w:t>
      </w:r>
      <w:proofErr w:type="spellStart"/>
      <w:r>
        <w:rPr>
          <w:rFonts w:ascii="David" w:hAnsi="David" w:cs="David" w:hint="cs"/>
          <w:sz w:val="24"/>
          <w:szCs w:val="24"/>
          <w:rtl/>
        </w:rPr>
        <w:t>לר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' יצחק אלפסי,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הרי"ף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סוף תקופת הגאונית, מסודר לפי סדר המסכתות, דיון תמציתי בסוגיה לפני סיכום ההלכה ופסיקת דין. הלכות רלוונטיות במקום וזמן, מכריע.</w:t>
      </w:r>
    </w:p>
    <w:p w14:paraId="4230891D" w14:textId="77777777" w:rsidR="006851C1" w:rsidRDefault="006851C1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"משנה תורה", הרמב"ם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קודקס שמטרתו להקיף את כל ההלכות הרלוונטיות, כולל 14 ספרים לכן נקרא גם הי"ד החזקה, מחולק לפי נושאים. סידור שיטתי וענייני, לשון פשוטה וברורה, קביעת הלכה סתמית, ניסוח עובדתי-</w:t>
      </w:r>
      <w:proofErr w:type="spellStart"/>
      <w:r>
        <w:rPr>
          <w:rFonts w:ascii="David" w:hAnsi="David" w:cs="David" w:hint="cs"/>
          <w:sz w:val="24"/>
          <w:szCs w:val="24"/>
          <w:rtl/>
        </w:rPr>
        <w:t>קזואיסטי</w:t>
      </w:r>
      <w:proofErr w:type="spellEnd"/>
      <w:r>
        <w:rPr>
          <w:rFonts w:ascii="David" w:hAnsi="David" w:cs="David" w:hint="cs"/>
          <w:sz w:val="24"/>
          <w:szCs w:val="24"/>
          <w:rtl/>
        </w:rPr>
        <w:t>.</w:t>
      </w:r>
    </w:p>
    <w:p w14:paraId="5B08EF48" w14:textId="77777777" w:rsidR="006851C1" w:rsidRDefault="006851C1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ספר המרדכי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לר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' מרדכי בר' הלל הזקן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מחובר ע"פ סדר ההלכות של הריף, תוספת חכמי אשכנז. היום קיים אצלנו מקוטע ומשובש, לכן יש לקחת אותו בערבון מוגבל. בעיקר מציג את המקורות כפי שהם, זו מול זו, </w:t>
      </w:r>
      <w:proofErr w:type="spellStart"/>
      <w:r>
        <w:rPr>
          <w:rFonts w:ascii="David" w:hAnsi="David" w:cs="David" w:hint="cs"/>
          <w:sz w:val="24"/>
          <w:szCs w:val="24"/>
          <w:rtl/>
        </w:rPr>
        <w:t>כשלעתים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מעדיף דעה אחת על פני אחרת.</w:t>
      </w:r>
    </w:p>
    <w:p w14:paraId="00D07D85" w14:textId="77777777" w:rsidR="006851C1" w:rsidRDefault="006851C1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פסקי הרא"ש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סדר המסכתות, תמצות המו"מ ההלכתי טרם הכרעה, לשון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הרי"ף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במלואה.</w:t>
      </w:r>
    </w:p>
    <w:p w14:paraId="596BFB0E" w14:textId="77777777" w:rsidR="006851C1" w:rsidRDefault="006851C1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ספר הלכות לפי סדר מניין המצוות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נכתבו מספר ספרים כאלה:</w:t>
      </w:r>
    </w:p>
    <w:p w14:paraId="1E8B3A94" w14:textId="77777777" w:rsidR="006851C1" w:rsidRDefault="006851C1" w:rsidP="000274DC">
      <w:pPr>
        <w:pStyle w:val="a3"/>
        <w:numPr>
          <w:ilvl w:val="0"/>
          <w:numId w:val="6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יראים: ספר הלכה, מציג המון מידע, המיון של המצוות קשה ומבלבל.</w:t>
      </w:r>
    </w:p>
    <w:p w14:paraId="5E5313AF" w14:textId="77777777" w:rsidR="006851C1" w:rsidRDefault="006851C1" w:rsidP="000274DC">
      <w:pPr>
        <w:pStyle w:val="a3"/>
        <w:numPr>
          <w:ilvl w:val="0"/>
          <w:numId w:val="6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ספר מצוות גדול: חלק מבעלי התוספות, מביא מקורות לפני פסיקה, מסודר לפי סדר העניינים בתורה. יצר מפתח המסייע במציאת הדין, פוסק בד"כ לפי חכמי אשכנז, התפשט במהרה.</w:t>
      </w:r>
    </w:p>
    <w:p w14:paraId="34270B33" w14:textId="77777777" w:rsidR="006851C1" w:rsidRDefault="006851C1" w:rsidP="000274DC">
      <w:pPr>
        <w:pStyle w:val="a3"/>
        <w:numPr>
          <w:ilvl w:val="0"/>
          <w:numId w:val="6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ספר "עמודי גולה": הלכה וקצת מדעות החכמים, קצר ופשוט, שבעה חלקים לכל יום בשבוע, לא נוח ולא מחולק לפי נושאים. נועד לפשוטי העם, לא להורות הלכה מתוכו.</w:t>
      </w:r>
    </w:p>
    <w:p w14:paraId="58E56936" w14:textId="77777777" w:rsidR="006851C1" w:rsidRDefault="006851C1" w:rsidP="000274DC">
      <w:pPr>
        <w:pStyle w:val="a3"/>
        <w:numPr>
          <w:ilvl w:val="0"/>
          <w:numId w:val="6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ספר החינוך: הלכה </w:t>
      </w:r>
      <w:proofErr w:type="spellStart"/>
      <w:r>
        <w:rPr>
          <w:rFonts w:ascii="David" w:hAnsi="David" w:cs="David" w:hint="cs"/>
          <w:sz w:val="24"/>
          <w:szCs w:val="24"/>
          <w:rtl/>
        </w:rPr>
        <w:t>כבתראי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בעיקר, נכתב בשביל הפשוטים, לא מכריע.</w:t>
      </w:r>
    </w:p>
    <w:p w14:paraId="7402139B" w14:textId="77777777" w:rsidR="006851C1" w:rsidRDefault="006851C1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"תורת הבית הארוך" ו"תורת הבית הקצר" של הרשב"א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שני ספרים, אחד מלא בדעות ודיונים, השני הלכה פסוקה בצורה חד משמעית לפי הראשון. ניסיון ליצור שני ספרים שיצרו קודקס אחד מושלם.</w:t>
      </w:r>
    </w:p>
    <w:p w14:paraId="0EB71D18" w14:textId="77777777" w:rsidR="006851C1" w:rsidRDefault="006851C1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"בדק הבית"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ביקורת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הר"אה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על הרשב"א. "משמרת הבית"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תשובתו של הרשב"א </w:t>
      </w:r>
      <w:proofErr w:type="spellStart"/>
      <w:r>
        <w:rPr>
          <w:rFonts w:ascii="David" w:hAnsi="David" w:cs="David" w:hint="cs"/>
          <w:sz w:val="24"/>
          <w:szCs w:val="24"/>
          <w:rtl/>
        </w:rPr>
        <w:t>לרא"ה</w:t>
      </w:r>
      <w:proofErr w:type="spellEnd"/>
      <w:r>
        <w:rPr>
          <w:rFonts w:ascii="David" w:hAnsi="David" w:cs="David" w:hint="cs"/>
          <w:sz w:val="24"/>
          <w:szCs w:val="24"/>
          <w:rtl/>
        </w:rPr>
        <w:t>.</w:t>
      </w:r>
    </w:p>
    <w:p w14:paraId="21E3D7E5" w14:textId="77777777" w:rsidR="006851C1" w:rsidRDefault="006851C1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ספר הטורים: הלכה קצרה וסתמית, העקרון ההלכתי מופיע בלשון המקור בתלמוד, מציג דעות ומכריע ביניהן את הדין. מזכיר את כתיבה המשנה. ארבעת הטורים:</w:t>
      </w:r>
    </w:p>
    <w:p w14:paraId="3CDE2C2E" w14:textId="77777777" w:rsidR="006851C1" w:rsidRPr="004A5120" w:rsidRDefault="006851C1" w:rsidP="000274DC">
      <w:pPr>
        <w:pStyle w:val="a3"/>
        <w:numPr>
          <w:ilvl w:val="0"/>
          <w:numId w:val="8"/>
        </w:numPr>
        <w:tabs>
          <w:tab w:val="left" w:pos="7041"/>
        </w:tabs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4A5120">
        <w:rPr>
          <w:rFonts w:ascii="David" w:hAnsi="David" w:cs="David" w:hint="cs"/>
          <w:sz w:val="24"/>
          <w:szCs w:val="24"/>
          <w:rtl/>
        </w:rPr>
        <w:t xml:space="preserve">אורח חיים </w:t>
      </w:r>
      <w:r w:rsidRPr="004A5120">
        <w:rPr>
          <w:rFonts w:ascii="David" w:hAnsi="David" w:cs="David"/>
          <w:sz w:val="24"/>
          <w:szCs w:val="24"/>
          <w:rtl/>
        </w:rPr>
        <w:t>–</w:t>
      </w:r>
      <w:r w:rsidRPr="004A5120">
        <w:rPr>
          <w:rFonts w:ascii="David" w:hAnsi="David" w:cs="David" w:hint="cs"/>
          <w:sz w:val="24"/>
          <w:szCs w:val="24"/>
          <w:rtl/>
        </w:rPr>
        <w:t xml:space="preserve"> הנהגות אדם בחיי היום יום.</w:t>
      </w:r>
    </w:p>
    <w:p w14:paraId="3251BF32" w14:textId="77777777" w:rsidR="006851C1" w:rsidRPr="004A5120" w:rsidRDefault="006851C1" w:rsidP="000274DC">
      <w:pPr>
        <w:pStyle w:val="a3"/>
        <w:numPr>
          <w:ilvl w:val="0"/>
          <w:numId w:val="8"/>
        </w:numPr>
        <w:tabs>
          <w:tab w:val="left" w:pos="7041"/>
        </w:tabs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4A5120">
        <w:rPr>
          <w:rFonts w:ascii="David" w:hAnsi="David" w:cs="David" w:hint="cs"/>
          <w:sz w:val="24"/>
          <w:szCs w:val="24"/>
          <w:rtl/>
        </w:rPr>
        <w:t xml:space="preserve">יורה דעה </w:t>
      </w:r>
      <w:r w:rsidRPr="004A5120">
        <w:rPr>
          <w:rFonts w:ascii="David" w:hAnsi="David" w:cs="David"/>
          <w:sz w:val="24"/>
          <w:szCs w:val="24"/>
          <w:rtl/>
        </w:rPr>
        <w:t>–</w:t>
      </w:r>
      <w:r w:rsidRPr="004A5120">
        <w:rPr>
          <w:rFonts w:ascii="David" w:hAnsi="David" w:cs="David" w:hint="cs"/>
          <w:sz w:val="24"/>
          <w:szCs w:val="24"/>
          <w:rtl/>
        </w:rPr>
        <w:t xml:space="preserve"> דיני איסור והיתר.</w:t>
      </w:r>
    </w:p>
    <w:p w14:paraId="0520BCE1" w14:textId="77777777" w:rsidR="006851C1" w:rsidRPr="004A5120" w:rsidRDefault="006851C1" w:rsidP="000274DC">
      <w:pPr>
        <w:pStyle w:val="a3"/>
        <w:numPr>
          <w:ilvl w:val="0"/>
          <w:numId w:val="8"/>
        </w:numPr>
        <w:tabs>
          <w:tab w:val="left" w:pos="7041"/>
        </w:tabs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4A5120">
        <w:rPr>
          <w:rFonts w:ascii="David" w:hAnsi="David" w:cs="David" w:hint="cs"/>
          <w:sz w:val="24"/>
          <w:szCs w:val="24"/>
          <w:rtl/>
        </w:rPr>
        <w:t xml:space="preserve">אבן העזר </w:t>
      </w:r>
      <w:r w:rsidRPr="004A5120">
        <w:rPr>
          <w:rFonts w:ascii="David" w:hAnsi="David" w:cs="David"/>
          <w:sz w:val="24"/>
          <w:szCs w:val="24"/>
          <w:rtl/>
        </w:rPr>
        <w:t>–</w:t>
      </w:r>
      <w:r w:rsidRPr="004A5120">
        <w:rPr>
          <w:rFonts w:ascii="David" w:hAnsi="David" w:cs="David" w:hint="cs"/>
          <w:sz w:val="24"/>
          <w:szCs w:val="24"/>
          <w:rtl/>
        </w:rPr>
        <w:t xml:space="preserve"> דיני משפחה (חלוקה כרונולוגית, נישואין-קידושין-מקרים מיוחדים)</w:t>
      </w:r>
    </w:p>
    <w:p w14:paraId="53FAC3CD" w14:textId="77777777" w:rsidR="006851C1" w:rsidRDefault="006851C1" w:rsidP="000274DC">
      <w:pPr>
        <w:pStyle w:val="a3"/>
        <w:numPr>
          <w:ilvl w:val="0"/>
          <w:numId w:val="8"/>
        </w:numPr>
        <w:tabs>
          <w:tab w:val="left" w:pos="7041"/>
        </w:tabs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4A5120">
        <w:rPr>
          <w:rFonts w:ascii="David" w:hAnsi="David" w:cs="David" w:hint="cs"/>
          <w:sz w:val="24"/>
          <w:szCs w:val="24"/>
          <w:rtl/>
        </w:rPr>
        <w:t xml:space="preserve">חושן משפט </w:t>
      </w:r>
      <w:r w:rsidRPr="004A5120">
        <w:rPr>
          <w:rFonts w:ascii="David" w:hAnsi="David" w:cs="David"/>
          <w:sz w:val="24"/>
          <w:szCs w:val="24"/>
          <w:rtl/>
        </w:rPr>
        <w:t>–</w:t>
      </w:r>
      <w:r w:rsidRPr="004A5120">
        <w:rPr>
          <w:rFonts w:ascii="David" w:hAnsi="David" w:cs="David" w:hint="cs"/>
          <w:sz w:val="24"/>
          <w:szCs w:val="24"/>
          <w:rtl/>
        </w:rPr>
        <w:t xml:space="preserve"> המשפט האזרחי. (מתחיל מהרכב מוסדות השיפוט, נזיקין וכו').</w:t>
      </w:r>
    </w:p>
    <w:p w14:paraId="563674ED" w14:textId="77777777" w:rsidR="006851C1" w:rsidRDefault="006851C1" w:rsidP="000274DC">
      <w:pPr>
        <w:pStyle w:val="a3"/>
        <w:numPr>
          <w:ilvl w:val="0"/>
          <w:numId w:val="1"/>
        </w:numPr>
        <w:tabs>
          <w:tab w:val="left" w:pos="7041"/>
        </w:tabs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"בית יוסף"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ספר הדיון של קארו. "שולחן ערוך"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ספר החוקים של קארו. בנויים  על ספר הטורים, חלוקה פנימית קצת שונה. </w:t>
      </w:r>
    </w:p>
    <w:p w14:paraId="02307FB1" w14:textId="77777777" w:rsidR="006851C1" w:rsidRDefault="006851C1" w:rsidP="000274DC">
      <w:pPr>
        <w:pStyle w:val="a3"/>
        <w:numPr>
          <w:ilvl w:val="0"/>
          <w:numId w:val="1"/>
        </w:numPr>
        <w:tabs>
          <w:tab w:val="left" w:pos="7041"/>
        </w:tabs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"דרכי משה"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ספר הדיון של הרמ"א, השלמה ל"בית יוסף". "המפה לשולחן ערוך"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ספר החוקים של הרמ"א, השלמה לשולחן ערוך. לפי שלושת עמודי ההוראה (הריף,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הרמבם</w:t>
      </w:r>
      <w:proofErr w:type="spellEnd"/>
      <w:r>
        <w:rPr>
          <w:rFonts w:ascii="David" w:hAnsi="David" w:cs="David" w:hint="cs"/>
          <w:sz w:val="24"/>
          <w:szCs w:val="24"/>
          <w:rtl/>
        </w:rPr>
        <w:t>, הראש). התקבל כקודקס של ההלכה.</w:t>
      </w:r>
    </w:p>
    <w:p w14:paraId="704AEF0F" w14:textId="5561AA54" w:rsidR="006851C1" w:rsidRPr="006851C1" w:rsidRDefault="006851C1" w:rsidP="000274DC">
      <w:pPr>
        <w:pStyle w:val="a3"/>
        <w:numPr>
          <w:ilvl w:val="0"/>
          <w:numId w:val="1"/>
        </w:numPr>
        <w:tabs>
          <w:tab w:val="left" w:pos="7041"/>
        </w:tabs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המהרש"ל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ים של שלמה: עבד במקביל לקארו והרמ"א, אך הכריע לפי שיקול דעתו בלבד. מחובר לפי סדר התלמוד.</w:t>
      </w:r>
    </w:p>
    <w:p w14:paraId="430F9FD1" w14:textId="196A831B" w:rsidR="00024CC8" w:rsidRDefault="00024CC8" w:rsidP="000274D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087311B3" w14:textId="77777777" w:rsidR="000274DC" w:rsidRDefault="000274DC" w:rsidP="000274D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1DBD9116" w14:textId="77777777" w:rsidR="000274DC" w:rsidRDefault="000274DC" w:rsidP="000274D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4EB771BA" w14:textId="77777777" w:rsidR="000274DC" w:rsidRDefault="000274DC" w:rsidP="000274D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26346067" w14:textId="0C73BA1C" w:rsidR="00024CC8" w:rsidRPr="000274DC" w:rsidRDefault="00024CC8" w:rsidP="000274DC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0274DC">
        <w:rPr>
          <w:rFonts w:ascii="David" w:hAnsi="David" w:cs="David" w:hint="cs"/>
          <w:b/>
          <w:bCs/>
          <w:sz w:val="24"/>
          <w:szCs w:val="24"/>
          <w:u w:val="single"/>
          <w:rtl/>
        </w:rPr>
        <w:t>אישים:</w:t>
      </w:r>
    </w:p>
    <w:p w14:paraId="53C1A669" w14:textId="07CC461A" w:rsidR="00024CC8" w:rsidRDefault="00024CC8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ר' ישמעאל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0274DC">
        <w:rPr>
          <w:rFonts w:ascii="David" w:hAnsi="David" w:cs="David" w:hint="cs"/>
          <w:sz w:val="24"/>
          <w:szCs w:val="24"/>
          <w:rtl/>
        </w:rPr>
        <w:t xml:space="preserve">ראש בית מדרש, </w:t>
      </w:r>
      <w:r>
        <w:rPr>
          <w:rFonts w:ascii="David" w:hAnsi="David" w:cs="David" w:hint="cs"/>
          <w:sz w:val="24"/>
          <w:szCs w:val="24"/>
          <w:rtl/>
        </w:rPr>
        <w:t>נסמך על לשון הטקסט, משלב 13 דרכים שהתורה נדרשת בהן, אם לא מוצא דרך מדרשית מתאימה לשילוב הפסוק, לא מאלץ את זה, אלא מוותר.</w:t>
      </w:r>
    </w:p>
    <w:p w14:paraId="3674A27E" w14:textId="1ED9A9D9" w:rsidR="00024CC8" w:rsidRDefault="00024CC8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ר' עקיבא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0274DC">
        <w:rPr>
          <w:rFonts w:ascii="David" w:hAnsi="David" w:cs="David" w:hint="cs"/>
          <w:sz w:val="24"/>
          <w:szCs w:val="24"/>
          <w:rtl/>
        </w:rPr>
        <w:t xml:space="preserve">ראש בית מדרש, </w:t>
      </w:r>
      <w:r>
        <w:rPr>
          <w:rFonts w:ascii="David" w:hAnsi="David" w:cs="David" w:hint="cs"/>
          <w:sz w:val="24"/>
          <w:szCs w:val="24"/>
          <w:rtl/>
        </w:rPr>
        <w:t>מרחיב מעבר למשמעות הלשונית של הפסוק, משתמש בטכניקות לשוניות כדי להתאים את טקסט הפסוק להלכה שרוצה לפסוק.</w:t>
      </w:r>
      <w:r w:rsidR="006133AF">
        <w:rPr>
          <w:rFonts w:ascii="David" w:hAnsi="David" w:cs="David" w:hint="cs"/>
          <w:sz w:val="24"/>
          <w:szCs w:val="24"/>
          <w:rtl/>
        </w:rPr>
        <w:t xml:space="preserve"> החל כתיבת המשנה (מורו של רבי).</w:t>
      </w:r>
    </w:p>
    <w:p w14:paraId="3C39DC4D" w14:textId="09681890" w:rsidR="000E4A49" w:rsidRDefault="000E4A49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רבנו חננאל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פירוש בהיר ופשוט, מתומצת ולעתים קרובות פוסק הלכה בסוף.</w:t>
      </w:r>
    </w:p>
    <w:p w14:paraId="7983106B" w14:textId="1CF0D3AC" w:rsidR="000E4A49" w:rsidRDefault="000E4A49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רבינו גרשום מאור הגולה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גדול חכמי אשכנז.</w:t>
      </w:r>
    </w:p>
    <w:p w14:paraId="5DF52EF8" w14:textId="036031AF" w:rsidR="000E4A49" w:rsidRDefault="000E4A49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רש"י ופירושו על התלמוד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הפך את התלמוד לנגיש, הפך לחלק בלתי נפרד ממנו.</w:t>
      </w:r>
    </w:p>
    <w:p w14:paraId="1C5EB375" w14:textId="52627F20" w:rsidR="00F51C39" w:rsidRDefault="00F51C39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פירוט על החידושים הספרדיים:</w:t>
      </w:r>
    </w:p>
    <w:p w14:paraId="3A882797" w14:textId="77777777" w:rsidR="00F51C39" w:rsidRPr="004A5120" w:rsidRDefault="00F51C39" w:rsidP="000274DC">
      <w:pPr>
        <w:pStyle w:val="a3"/>
        <w:numPr>
          <w:ilvl w:val="0"/>
          <w:numId w:val="5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proofErr w:type="spellStart"/>
      <w:r w:rsidRPr="004A5120">
        <w:rPr>
          <w:rFonts w:ascii="David" w:hAnsi="David" w:cs="David" w:hint="cs"/>
          <w:sz w:val="24"/>
          <w:szCs w:val="24"/>
          <w:rtl/>
        </w:rPr>
        <w:t>הר"י</w:t>
      </w:r>
      <w:proofErr w:type="spellEnd"/>
      <w:r w:rsidRPr="004A5120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4A5120">
        <w:rPr>
          <w:rFonts w:ascii="David" w:hAnsi="David" w:cs="David" w:hint="cs"/>
          <w:sz w:val="24"/>
          <w:szCs w:val="24"/>
          <w:rtl/>
        </w:rPr>
        <w:t>מיגאש</w:t>
      </w:r>
      <w:proofErr w:type="spellEnd"/>
      <w:r w:rsidRPr="004A5120">
        <w:rPr>
          <w:rFonts w:ascii="David" w:hAnsi="David" w:cs="David" w:hint="cs"/>
          <w:sz w:val="24"/>
          <w:szCs w:val="24"/>
          <w:rtl/>
        </w:rPr>
        <w:t xml:space="preserve"> </w:t>
      </w:r>
      <w:r w:rsidRPr="004A5120">
        <w:rPr>
          <w:rFonts w:ascii="David" w:hAnsi="David" w:cs="David"/>
          <w:sz w:val="24"/>
          <w:szCs w:val="24"/>
          <w:rtl/>
        </w:rPr>
        <w:t>–</w:t>
      </w:r>
      <w:r w:rsidRPr="004A5120">
        <w:rPr>
          <w:rFonts w:ascii="David" w:hAnsi="David" w:cs="David" w:hint="cs"/>
          <w:sz w:val="24"/>
          <w:szCs w:val="24"/>
          <w:rtl/>
        </w:rPr>
        <w:t xml:space="preserve"> תלמידו של </w:t>
      </w:r>
      <w:proofErr w:type="spellStart"/>
      <w:r w:rsidRPr="004A5120">
        <w:rPr>
          <w:rFonts w:ascii="David" w:hAnsi="David" w:cs="David" w:hint="cs"/>
          <w:sz w:val="24"/>
          <w:szCs w:val="24"/>
          <w:rtl/>
        </w:rPr>
        <w:t>הרי"ף</w:t>
      </w:r>
      <w:proofErr w:type="spellEnd"/>
      <w:r w:rsidRPr="004A5120">
        <w:rPr>
          <w:rFonts w:ascii="David" w:hAnsi="David" w:cs="David" w:hint="cs"/>
          <w:sz w:val="24"/>
          <w:szCs w:val="24"/>
          <w:rtl/>
        </w:rPr>
        <w:t xml:space="preserve">. חיבר חידושים על התלמוד, אך בידנו קיימים רק החידושים למסכת בבא </w:t>
      </w:r>
      <w:proofErr w:type="spellStart"/>
      <w:r w:rsidRPr="004A5120">
        <w:rPr>
          <w:rFonts w:ascii="David" w:hAnsi="David" w:cs="David" w:hint="cs"/>
          <w:sz w:val="24"/>
          <w:szCs w:val="24"/>
          <w:rtl/>
        </w:rPr>
        <w:t>בתרא</w:t>
      </w:r>
      <w:proofErr w:type="spellEnd"/>
      <w:r w:rsidRPr="004A5120">
        <w:rPr>
          <w:rFonts w:ascii="David" w:hAnsi="David" w:cs="David" w:hint="cs"/>
          <w:sz w:val="24"/>
          <w:szCs w:val="24"/>
          <w:rtl/>
        </w:rPr>
        <w:t xml:space="preserve"> ושבועות.</w:t>
      </w:r>
    </w:p>
    <w:p w14:paraId="14638C12" w14:textId="77777777" w:rsidR="00F51C39" w:rsidRPr="004A5120" w:rsidRDefault="00F51C39" w:rsidP="000274DC">
      <w:pPr>
        <w:pStyle w:val="a3"/>
        <w:numPr>
          <w:ilvl w:val="0"/>
          <w:numId w:val="5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proofErr w:type="spellStart"/>
      <w:r w:rsidRPr="004A5120">
        <w:rPr>
          <w:rFonts w:ascii="David" w:hAnsi="David" w:cs="David" w:hint="cs"/>
          <w:sz w:val="24"/>
          <w:szCs w:val="24"/>
          <w:rtl/>
        </w:rPr>
        <w:t>הראב"ד</w:t>
      </w:r>
      <w:proofErr w:type="spellEnd"/>
      <w:r w:rsidRPr="004A5120">
        <w:rPr>
          <w:rFonts w:ascii="David" w:hAnsi="David" w:cs="David" w:hint="cs"/>
          <w:sz w:val="24"/>
          <w:szCs w:val="24"/>
          <w:rtl/>
        </w:rPr>
        <w:t xml:space="preserve">(בעל ההשגות) </w:t>
      </w:r>
      <w:r w:rsidRPr="004A5120">
        <w:rPr>
          <w:rFonts w:ascii="David" w:hAnsi="David" w:cs="David"/>
          <w:sz w:val="24"/>
          <w:szCs w:val="24"/>
          <w:rtl/>
        </w:rPr>
        <w:t>–</w:t>
      </w:r>
      <w:r w:rsidRPr="004A5120">
        <w:rPr>
          <w:rFonts w:ascii="David" w:hAnsi="David" w:cs="David" w:hint="cs"/>
          <w:sz w:val="24"/>
          <w:szCs w:val="24"/>
          <w:rtl/>
        </w:rPr>
        <w:t xml:space="preserve"> סגנונו מפורט ונוח, לא מפרש פירוש מלא של הסוגיה אלא יותר משווה מקורות הלכה שונים ומציג משא ומתן הלכתי.</w:t>
      </w:r>
    </w:p>
    <w:p w14:paraId="4A015B91" w14:textId="77777777" w:rsidR="00F51C39" w:rsidRPr="004A5120" w:rsidRDefault="00F51C39" w:rsidP="000274DC">
      <w:pPr>
        <w:pStyle w:val="a3"/>
        <w:numPr>
          <w:ilvl w:val="0"/>
          <w:numId w:val="5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proofErr w:type="spellStart"/>
      <w:r w:rsidRPr="004A5120">
        <w:rPr>
          <w:rFonts w:ascii="David" w:hAnsi="David" w:cs="David" w:hint="cs"/>
          <w:sz w:val="24"/>
          <w:szCs w:val="24"/>
          <w:rtl/>
        </w:rPr>
        <w:t>הרמ"ה</w:t>
      </w:r>
      <w:proofErr w:type="spellEnd"/>
      <w:r w:rsidRPr="004A5120">
        <w:rPr>
          <w:rFonts w:ascii="David" w:hAnsi="David" w:cs="David" w:hint="cs"/>
          <w:sz w:val="24"/>
          <w:szCs w:val="24"/>
          <w:rtl/>
        </w:rPr>
        <w:t xml:space="preserve"> </w:t>
      </w:r>
      <w:r w:rsidRPr="004A5120">
        <w:rPr>
          <w:rFonts w:ascii="David" w:hAnsi="David" w:cs="David"/>
          <w:sz w:val="24"/>
          <w:szCs w:val="24"/>
          <w:rtl/>
        </w:rPr>
        <w:t>–</w:t>
      </w:r>
      <w:r w:rsidRPr="004A5120">
        <w:rPr>
          <w:rFonts w:ascii="David" w:hAnsi="David" w:cs="David" w:hint="cs"/>
          <w:sz w:val="24"/>
          <w:szCs w:val="24"/>
          <w:rtl/>
        </w:rPr>
        <w:t xml:space="preserve"> מפרש פרטי פרטים של כל נושא המתעורר בסוגיה התלמודית. לשונו ארמית.</w:t>
      </w:r>
    </w:p>
    <w:p w14:paraId="31229907" w14:textId="77777777" w:rsidR="00F51C39" w:rsidRPr="004A5120" w:rsidRDefault="00F51C39" w:rsidP="000274DC">
      <w:pPr>
        <w:pStyle w:val="a3"/>
        <w:numPr>
          <w:ilvl w:val="0"/>
          <w:numId w:val="5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4A5120">
        <w:rPr>
          <w:rFonts w:ascii="David" w:hAnsi="David" w:cs="David" w:hint="cs"/>
          <w:sz w:val="24"/>
          <w:szCs w:val="24"/>
          <w:rtl/>
        </w:rPr>
        <w:t xml:space="preserve">רמב"ן </w:t>
      </w:r>
      <w:r w:rsidRPr="004A5120">
        <w:rPr>
          <w:rFonts w:ascii="David" w:hAnsi="David" w:cs="David"/>
          <w:sz w:val="24"/>
          <w:szCs w:val="24"/>
          <w:rtl/>
        </w:rPr>
        <w:t>–</w:t>
      </w:r>
      <w:r w:rsidRPr="004A5120">
        <w:rPr>
          <w:rFonts w:ascii="David" w:hAnsi="David" w:cs="David" w:hint="cs"/>
          <w:sz w:val="24"/>
          <w:szCs w:val="24"/>
          <w:rtl/>
        </w:rPr>
        <w:t xml:space="preserve"> כתב חידושים על כל המסכתות, ידועים בתור "חידושי הרמב"ן". פוסק בסוגיות.</w:t>
      </w:r>
    </w:p>
    <w:p w14:paraId="175562BC" w14:textId="77777777" w:rsidR="00F51C39" w:rsidRPr="004A5120" w:rsidRDefault="00F51C39" w:rsidP="000274DC">
      <w:pPr>
        <w:pStyle w:val="a3"/>
        <w:numPr>
          <w:ilvl w:val="0"/>
          <w:numId w:val="5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proofErr w:type="spellStart"/>
      <w:r w:rsidRPr="004A5120">
        <w:rPr>
          <w:rFonts w:ascii="David" w:hAnsi="David" w:cs="David" w:hint="cs"/>
          <w:sz w:val="24"/>
          <w:szCs w:val="24"/>
          <w:rtl/>
        </w:rPr>
        <w:t>רשב"א</w:t>
      </w:r>
      <w:proofErr w:type="spellEnd"/>
      <w:r w:rsidRPr="004A5120">
        <w:rPr>
          <w:rFonts w:ascii="David" w:hAnsi="David" w:cs="David" w:hint="cs"/>
          <w:sz w:val="24"/>
          <w:szCs w:val="24"/>
          <w:rtl/>
        </w:rPr>
        <w:t xml:space="preserve"> </w:t>
      </w:r>
      <w:r w:rsidRPr="004A5120">
        <w:rPr>
          <w:rFonts w:ascii="David" w:hAnsi="David" w:cs="David"/>
          <w:sz w:val="24"/>
          <w:szCs w:val="24"/>
          <w:rtl/>
        </w:rPr>
        <w:t>–</w:t>
      </w:r>
      <w:r w:rsidRPr="004A5120">
        <w:rPr>
          <w:rFonts w:ascii="David" w:hAnsi="David" w:cs="David" w:hint="cs"/>
          <w:sz w:val="24"/>
          <w:szCs w:val="24"/>
          <w:rtl/>
        </w:rPr>
        <w:t xml:space="preserve"> חידושיו מתאפיינים בניוח והבנה מעמיקים, גם הוא פוסק בסוגיות.</w:t>
      </w:r>
    </w:p>
    <w:p w14:paraId="41B97AD2" w14:textId="77777777" w:rsidR="00F51C39" w:rsidRPr="004A5120" w:rsidRDefault="00F51C39" w:rsidP="000274DC">
      <w:pPr>
        <w:pStyle w:val="a3"/>
        <w:numPr>
          <w:ilvl w:val="0"/>
          <w:numId w:val="5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proofErr w:type="spellStart"/>
      <w:r w:rsidRPr="004A5120">
        <w:rPr>
          <w:rFonts w:ascii="David" w:hAnsi="David" w:cs="David" w:hint="cs"/>
          <w:sz w:val="24"/>
          <w:szCs w:val="24"/>
          <w:rtl/>
        </w:rPr>
        <w:t>הריטב"א</w:t>
      </w:r>
      <w:proofErr w:type="spellEnd"/>
      <w:r w:rsidRPr="004A5120">
        <w:rPr>
          <w:rFonts w:ascii="David" w:hAnsi="David" w:cs="David" w:hint="cs"/>
          <w:sz w:val="24"/>
          <w:szCs w:val="24"/>
          <w:rtl/>
        </w:rPr>
        <w:t xml:space="preserve"> </w:t>
      </w:r>
      <w:r w:rsidRPr="004A5120">
        <w:rPr>
          <w:rFonts w:ascii="David" w:hAnsi="David" w:cs="David"/>
          <w:sz w:val="24"/>
          <w:szCs w:val="24"/>
          <w:rtl/>
        </w:rPr>
        <w:t>–</w:t>
      </w:r>
      <w:r w:rsidRPr="004A5120">
        <w:rPr>
          <w:rFonts w:ascii="David" w:hAnsi="David" w:cs="David" w:hint="cs"/>
          <w:sz w:val="24"/>
          <w:szCs w:val="24"/>
          <w:rtl/>
        </w:rPr>
        <w:t xml:space="preserve"> ניסוח בהיר ומפורט, ניתוח מעמיק בנושאים. חומר רב על המשפט העברי.</w:t>
      </w:r>
    </w:p>
    <w:p w14:paraId="03A9B0CC" w14:textId="77777777" w:rsidR="00F51C39" w:rsidRPr="004A5120" w:rsidRDefault="00F51C39" w:rsidP="000274DC">
      <w:pPr>
        <w:pStyle w:val="a3"/>
        <w:numPr>
          <w:ilvl w:val="0"/>
          <w:numId w:val="5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proofErr w:type="spellStart"/>
      <w:r w:rsidRPr="004A5120">
        <w:rPr>
          <w:rFonts w:ascii="David" w:hAnsi="David" w:cs="David" w:hint="cs"/>
          <w:sz w:val="24"/>
          <w:szCs w:val="24"/>
          <w:rtl/>
        </w:rPr>
        <w:t>הר"ן</w:t>
      </w:r>
      <w:proofErr w:type="spellEnd"/>
      <w:r w:rsidRPr="004A5120">
        <w:rPr>
          <w:rFonts w:ascii="David" w:hAnsi="David" w:cs="David" w:hint="cs"/>
          <w:sz w:val="24"/>
          <w:szCs w:val="24"/>
          <w:rtl/>
        </w:rPr>
        <w:t xml:space="preserve"> </w:t>
      </w:r>
      <w:r w:rsidRPr="004A5120">
        <w:rPr>
          <w:rFonts w:ascii="David" w:hAnsi="David" w:cs="David"/>
          <w:sz w:val="24"/>
          <w:szCs w:val="24"/>
          <w:rtl/>
        </w:rPr>
        <w:t>–</w:t>
      </w:r>
      <w:r w:rsidRPr="004A5120">
        <w:rPr>
          <w:rFonts w:ascii="David" w:hAnsi="David" w:cs="David" w:hint="cs"/>
          <w:sz w:val="24"/>
          <w:szCs w:val="24"/>
          <w:rtl/>
        </w:rPr>
        <w:t xml:space="preserve"> ידוע בעיקר בפירושו במסכת נדרים, מודפס לצד פירוש רש"י. (הקלאסי במסכת זו)</w:t>
      </w:r>
    </w:p>
    <w:p w14:paraId="1FF021CE" w14:textId="77777777" w:rsidR="00F51C39" w:rsidRPr="004A5120" w:rsidRDefault="00F51C39" w:rsidP="000274DC">
      <w:pPr>
        <w:pStyle w:val="a3"/>
        <w:numPr>
          <w:ilvl w:val="0"/>
          <w:numId w:val="5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4A5120">
        <w:rPr>
          <w:rFonts w:ascii="David" w:hAnsi="David" w:cs="David" w:hint="cs"/>
          <w:sz w:val="24"/>
          <w:szCs w:val="24"/>
          <w:rtl/>
        </w:rPr>
        <w:t xml:space="preserve">המאירי </w:t>
      </w:r>
      <w:r w:rsidRPr="004A5120">
        <w:rPr>
          <w:rFonts w:ascii="David" w:hAnsi="David" w:cs="David"/>
          <w:sz w:val="24"/>
          <w:szCs w:val="24"/>
          <w:rtl/>
        </w:rPr>
        <w:t>–</w:t>
      </w:r>
      <w:r w:rsidRPr="004A5120">
        <w:rPr>
          <w:rFonts w:ascii="David" w:hAnsi="David" w:cs="David" w:hint="cs"/>
          <w:sz w:val="24"/>
          <w:szCs w:val="24"/>
          <w:rtl/>
        </w:rPr>
        <w:t xml:space="preserve"> כתב את הספר "בית הבחירה". כינס את כל המאמרים וההלכות השייכים לנושא הסוגיה, מכל המקורות בעולם. היחיד שכתב בעברית בהירה.</w:t>
      </w:r>
    </w:p>
    <w:p w14:paraId="5A4DAF4E" w14:textId="77777777" w:rsidR="00F51C39" w:rsidRPr="004A5120" w:rsidRDefault="00F51C39" w:rsidP="000274DC">
      <w:pPr>
        <w:pStyle w:val="a3"/>
        <w:numPr>
          <w:ilvl w:val="0"/>
          <w:numId w:val="5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A5120">
        <w:rPr>
          <w:rFonts w:ascii="David" w:hAnsi="David" w:cs="David" w:hint="cs"/>
          <w:sz w:val="24"/>
          <w:szCs w:val="24"/>
          <w:rtl/>
        </w:rPr>
        <w:t>סדר פירושו: פירוש המשנה-&gt;פירוש הסוגיה התלמודית בעניין -&gt; פירוש שאר העניינים המופיעים-&gt;דבריהם של חכמים קודמים. מעין אנציקלופדיה של דעות חכמי ההלכה.</w:t>
      </w:r>
    </w:p>
    <w:p w14:paraId="714B2A82" w14:textId="77777777" w:rsidR="00F51C39" w:rsidRPr="004A5120" w:rsidRDefault="00F51C39" w:rsidP="000274DC">
      <w:pPr>
        <w:pStyle w:val="a3"/>
        <w:numPr>
          <w:ilvl w:val="0"/>
          <w:numId w:val="5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4A5120">
        <w:rPr>
          <w:rFonts w:ascii="David" w:hAnsi="David" w:cs="David" w:hint="cs"/>
          <w:sz w:val="24"/>
          <w:szCs w:val="24"/>
          <w:rtl/>
        </w:rPr>
        <w:t xml:space="preserve">ר' בצלאל אשכנזי </w:t>
      </w:r>
      <w:r w:rsidRPr="004A5120">
        <w:rPr>
          <w:rFonts w:ascii="David" w:hAnsi="David" w:cs="David"/>
          <w:sz w:val="24"/>
          <w:szCs w:val="24"/>
          <w:rtl/>
        </w:rPr>
        <w:t>–</w:t>
      </w:r>
      <w:r w:rsidRPr="004A5120">
        <w:rPr>
          <w:rFonts w:ascii="David" w:hAnsi="David" w:cs="David" w:hint="cs"/>
          <w:sz w:val="24"/>
          <w:szCs w:val="24"/>
          <w:rtl/>
        </w:rPr>
        <w:t xml:space="preserve"> חיבר ספר שנועד לכנס ולסדר את פירושי הראשונים על הש"ס </w:t>
      </w:r>
      <w:r w:rsidRPr="004A5120">
        <w:rPr>
          <w:rFonts w:ascii="David" w:hAnsi="David" w:cs="David"/>
          <w:sz w:val="24"/>
          <w:szCs w:val="24"/>
          <w:rtl/>
        </w:rPr>
        <w:t>–</w:t>
      </w:r>
      <w:r w:rsidRPr="004A5120">
        <w:rPr>
          <w:rFonts w:ascii="David" w:hAnsi="David" w:cs="David" w:hint="cs"/>
          <w:sz w:val="24"/>
          <w:szCs w:val="24"/>
          <w:rtl/>
        </w:rPr>
        <w:t xml:space="preserve"> מעין אוסף אנציקלופדי של הפירושים, הספר נקרא "שיטה מקובצת".</w:t>
      </w:r>
    </w:p>
    <w:p w14:paraId="27B3DF3E" w14:textId="6698FC30" w:rsidR="00F51C39" w:rsidRDefault="00A532D2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ר' פנחס בר' משולם הדיין מאלכסנדריה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טוען שמשנה תורה צריך להילמד בנוסף לגמרא, לא במקום.</w:t>
      </w:r>
    </w:p>
    <w:p w14:paraId="2C244548" w14:textId="017493D9" w:rsidR="00A532D2" w:rsidRDefault="00A532D2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רבי יהודה אבו </w:t>
      </w:r>
      <w:proofErr w:type="spellStart"/>
      <w:r>
        <w:rPr>
          <w:rFonts w:ascii="David" w:hAnsi="David" w:cs="David" w:hint="cs"/>
          <w:sz w:val="24"/>
          <w:szCs w:val="24"/>
          <w:rtl/>
        </w:rPr>
        <w:t>עקנין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מתנגד לדרכו של הרמב"ם להביא הלכה סתמית.</w:t>
      </w:r>
    </w:p>
    <w:p w14:paraId="70589AF6" w14:textId="175D8779" w:rsidR="00F75C13" w:rsidRPr="00F51C39" w:rsidRDefault="00F75C13" w:rsidP="000274DC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הרא"ש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ה</w:t>
      </w:r>
      <w:r w:rsidR="00F70BD4">
        <w:rPr>
          <w:rFonts w:ascii="David" w:hAnsi="David" w:cs="David" w:hint="cs"/>
          <w:sz w:val="24"/>
          <w:szCs w:val="24"/>
          <w:rtl/>
        </w:rPr>
        <w:t>מ</w:t>
      </w:r>
      <w:r>
        <w:rPr>
          <w:rFonts w:ascii="David" w:hAnsi="David" w:cs="David" w:hint="cs"/>
          <w:sz w:val="24"/>
          <w:szCs w:val="24"/>
          <w:rtl/>
        </w:rPr>
        <w:t>תנגד החריף ביותר לרמב"ם, לא מוכן לקבל את האופציה שדיין יקבל הכרעה טרם עיין בכל המקורות של התלמוד.</w:t>
      </w:r>
    </w:p>
    <w:sectPr w:rsidR="00F75C13" w:rsidRPr="00F51C39" w:rsidSect="00F70BD4">
      <w:headerReference w:type="default" r:id="rId7"/>
      <w:pgSz w:w="11906" w:h="16838"/>
      <w:pgMar w:top="1418" w:right="1418" w:bottom="1418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EF9CC" w14:textId="77777777" w:rsidR="0050299C" w:rsidRDefault="0050299C" w:rsidP="00BC299A">
      <w:pPr>
        <w:spacing w:after="0" w:line="240" w:lineRule="auto"/>
      </w:pPr>
      <w:r>
        <w:separator/>
      </w:r>
    </w:p>
  </w:endnote>
  <w:endnote w:type="continuationSeparator" w:id="0">
    <w:p w14:paraId="70C80BCC" w14:textId="77777777" w:rsidR="0050299C" w:rsidRDefault="0050299C" w:rsidP="00BC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AF5F3" w14:textId="77777777" w:rsidR="0050299C" w:rsidRDefault="0050299C" w:rsidP="00BC299A">
      <w:pPr>
        <w:spacing w:after="0" w:line="240" w:lineRule="auto"/>
      </w:pPr>
      <w:r>
        <w:separator/>
      </w:r>
    </w:p>
  </w:footnote>
  <w:footnote w:type="continuationSeparator" w:id="0">
    <w:p w14:paraId="1AE33D40" w14:textId="77777777" w:rsidR="0050299C" w:rsidRDefault="0050299C" w:rsidP="00BC2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EC5D" w14:textId="77777777" w:rsidR="00BC299A" w:rsidRDefault="00BC299A" w:rsidP="00BC299A">
    <w:pPr>
      <w:spacing w:after="0" w:line="276" w:lineRule="auto"/>
      <w:jc w:val="both"/>
      <w:rPr>
        <w:rFonts w:ascii="David" w:hAnsi="David" w:cs="David"/>
        <w:rtl/>
      </w:rPr>
    </w:pPr>
    <w:r>
      <w:rPr>
        <w:rFonts w:ascii="David" w:hAnsi="David" w:cs="David" w:hint="cs"/>
        <w:rtl/>
      </w:rPr>
      <w:t>משפט עברי</w:t>
    </w:r>
    <w:r w:rsidRPr="00993924">
      <w:rPr>
        <w:rFonts w:ascii="David" w:hAnsi="David" w:cs="David" w:hint="cs"/>
        <w:rtl/>
      </w:rPr>
      <w:t xml:space="preserve">: </w:t>
    </w:r>
    <w:r>
      <w:rPr>
        <w:rFonts w:ascii="David" w:hAnsi="David" w:cs="David" w:hint="cs"/>
        <w:rtl/>
      </w:rPr>
      <w:t>ד"ר יעקב חבה</w:t>
    </w:r>
    <w:r w:rsidRPr="00993924">
      <w:rPr>
        <w:rFonts w:ascii="David" w:hAnsi="David" w:cs="David" w:hint="cs"/>
        <w:b/>
        <w:bCs/>
        <w:rtl/>
      </w:rPr>
      <w:t>,</w:t>
    </w:r>
    <w:r w:rsidRPr="00993924">
      <w:rPr>
        <w:rFonts w:ascii="David" w:hAnsi="David" w:cs="David" w:hint="cs"/>
        <w:rtl/>
      </w:rPr>
      <w:t xml:space="preserve"> תשפ״</w:t>
    </w:r>
    <w:r>
      <w:rPr>
        <w:rFonts w:ascii="David" w:hAnsi="David" w:cs="David" w:hint="cs"/>
        <w:rtl/>
      </w:rPr>
      <w:t>ב</w:t>
    </w:r>
  </w:p>
  <w:p w14:paraId="36E58327" w14:textId="77777777" w:rsidR="00BC299A" w:rsidRDefault="00BC299A" w:rsidP="00BC299A">
    <w:pPr>
      <w:spacing w:after="0" w:line="276" w:lineRule="auto"/>
      <w:jc w:val="both"/>
      <w:rPr>
        <w:rFonts w:ascii="David" w:hAnsi="David" w:cs="David"/>
        <w:rtl/>
      </w:rPr>
    </w:pPr>
    <w:r>
      <w:rPr>
        <w:rFonts w:ascii="David" w:hAnsi="David" w:cs="David" w:hint="cs"/>
        <w:rtl/>
      </w:rPr>
      <w:t>סיכום ספרו של מנחם אלון</w:t>
    </w:r>
  </w:p>
  <w:p w14:paraId="1DE54111" w14:textId="77777777" w:rsidR="00BC299A" w:rsidRPr="004A5120" w:rsidRDefault="00BC299A" w:rsidP="00BC299A">
    <w:pPr>
      <w:spacing w:after="0" w:line="276" w:lineRule="auto"/>
      <w:jc w:val="center"/>
      <w:rPr>
        <w:rFonts w:ascii="David" w:hAnsi="David" w:cs="David"/>
      </w:rPr>
    </w:pPr>
    <w:r>
      <w:rPr>
        <w:rFonts w:ascii="David" w:hAnsi="David" w:cs="David" w:hint="cs"/>
        <w:b/>
        <w:bCs/>
        <w:rtl/>
      </w:rPr>
      <w:t xml:space="preserve">נועה בר </w:t>
    </w:r>
    <w:r>
      <w:rPr>
        <w:rFonts w:ascii="David" w:hAnsi="David" w:cs="David" w:hint="cs"/>
        <w:rtl/>
      </w:rPr>
      <w:t>מבוסס על שילת לוי</w:t>
    </w:r>
  </w:p>
  <w:p w14:paraId="19830E52" w14:textId="77777777" w:rsidR="00BC299A" w:rsidRPr="00BC299A" w:rsidRDefault="00BC29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0DD"/>
    <w:multiLevelType w:val="hybridMultilevel"/>
    <w:tmpl w:val="CA4E9EC8"/>
    <w:lvl w:ilvl="0" w:tplc="C2BA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16666"/>
    <w:multiLevelType w:val="hybridMultilevel"/>
    <w:tmpl w:val="1166CC9C"/>
    <w:lvl w:ilvl="0" w:tplc="E4A04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D94893"/>
    <w:multiLevelType w:val="hybridMultilevel"/>
    <w:tmpl w:val="DBBC3E78"/>
    <w:lvl w:ilvl="0" w:tplc="47A29260">
      <w:start w:val="1"/>
      <w:numFmt w:val="bullet"/>
      <w:lvlText w:val="-"/>
      <w:lvlJc w:val="left"/>
      <w:pPr>
        <w:ind w:left="108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684662"/>
    <w:multiLevelType w:val="hybridMultilevel"/>
    <w:tmpl w:val="BE18151A"/>
    <w:lvl w:ilvl="0" w:tplc="E4A04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91A3E"/>
    <w:multiLevelType w:val="hybridMultilevel"/>
    <w:tmpl w:val="FAA4F576"/>
    <w:lvl w:ilvl="0" w:tplc="C3B6D3C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31159"/>
    <w:multiLevelType w:val="hybridMultilevel"/>
    <w:tmpl w:val="532E9406"/>
    <w:lvl w:ilvl="0" w:tplc="E4A04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424B2"/>
    <w:multiLevelType w:val="hybridMultilevel"/>
    <w:tmpl w:val="0016C13C"/>
    <w:lvl w:ilvl="0" w:tplc="666804CA">
      <w:numFmt w:val="bullet"/>
      <w:lvlText w:val="-"/>
      <w:lvlJc w:val="left"/>
      <w:pPr>
        <w:ind w:left="108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986334"/>
    <w:multiLevelType w:val="hybridMultilevel"/>
    <w:tmpl w:val="A094BC2A"/>
    <w:lvl w:ilvl="0" w:tplc="3AB24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483151">
    <w:abstractNumId w:val="4"/>
  </w:num>
  <w:num w:numId="2" w16cid:durableId="1685089448">
    <w:abstractNumId w:val="6"/>
  </w:num>
  <w:num w:numId="3" w16cid:durableId="388067434">
    <w:abstractNumId w:val="1"/>
  </w:num>
  <w:num w:numId="4" w16cid:durableId="1081878429">
    <w:abstractNumId w:val="0"/>
  </w:num>
  <w:num w:numId="5" w16cid:durableId="998389328">
    <w:abstractNumId w:val="5"/>
  </w:num>
  <w:num w:numId="6" w16cid:durableId="819230852">
    <w:abstractNumId w:val="2"/>
  </w:num>
  <w:num w:numId="7" w16cid:durableId="1581060508">
    <w:abstractNumId w:val="7"/>
  </w:num>
  <w:num w:numId="8" w16cid:durableId="1827163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EB"/>
    <w:rsid w:val="00016E05"/>
    <w:rsid w:val="00024CC8"/>
    <w:rsid w:val="000274DC"/>
    <w:rsid w:val="000D0B70"/>
    <w:rsid w:val="000E4A49"/>
    <w:rsid w:val="000F57C0"/>
    <w:rsid w:val="0050299C"/>
    <w:rsid w:val="005D74AC"/>
    <w:rsid w:val="006133AF"/>
    <w:rsid w:val="00637141"/>
    <w:rsid w:val="006851C1"/>
    <w:rsid w:val="0071359B"/>
    <w:rsid w:val="007524A8"/>
    <w:rsid w:val="00866F12"/>
    <w:rsid w:val="008873EB"/>
    <w:rsid w:val="009079CA"/>
    <w:rsid w:val="00A532D2"/>
    <w:rsid w:val="00B35971"/>
    <w:rsid w:val="00BB5D3F"/>
    <w:rsid w:val="00BC299A"/>
    <w:rsid w:val="00D53421"/>
    <w:rsid w:val="00E8136B"/>
    <w:rsid w:val="00EB42ED"/>
    <w:rsid w:val="00F22EBE"/>
    <w:rsid w:val="00F51C39"/>
    <w:rsid w:val="00F70BD4"/>
    <w:rsid w:val="00F75C13"/>
    <w:rsid w:val="00FB7298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41A5F"/>
  <w15:chartTrackingRefBased/>
  <w15:docId w15:val="{928A84B5-47F8-4779-8EDE-52D371B7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3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29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C299A"/>
  </w:style>
  <w:style w:type="paragraph" w:styleId="a6">
    <w:name w:val="footer"/>
    <w:basedOn w:val="a"/>
    <w:link w:val="a7"/>
    <w:uiPriority w:val="99"/>
    <w:unhideWhenUsed/>
    <w:rsid w:val="00BC29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C2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1206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bar</dc:creator>
  <cp:keywords/>
  <dc:description/>
  <cp:lastModifiedBy>noa bar</cp:lastModifiedBy>
  <cp:revision>13</cp:revision>
  <dcterms:created xsi:type="dcterms:W3CDTF">2022-05-11T22:14:00Z</dcterms:created>
  <dcterms:modified xsi:type="dcterms:W3CDTF">2022-06-07T07:12:00Z</dcterms:modified>
</cp:coreProperties>
</file>