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DAE2" w14:textId="3269B36D" w:rsidR="00065DE0" w:rsidRPr="004A5120" w:rsidRDefault="00D606EF" w:rsidP="00065DE0">
      <w:pPr>
        <w:spacing w:after="0"/>
        <w:jc w:val="center"/>
        <w:rPr>
          <w:rFonts w:ascii="David" w:hAnsi="David" w:cs="David"/>
          <w:b/>
          <w:bCs/>
          <w:sz w:val="32"/>
          <w:szCs w:val="32"/>
          <w:u w:val="single"/>
          <w:rtl/>
        </w:rPr>
      </w:pPr>
      <w:bookmarkStart w:id="0" w:name="_Hlk102164917"/>
      <w:bookmarkEnd w:id="0"/>
      <w:r>
        <w:rPr>
          <w:rFonts w:ascii="David" w:hAnsi="David" w:cs="David" w:hint="cs"/>
          <w:b/>
          <w:bCs/>
          <w:sz w:val="32"/>
          <w:szCs w:val="32"/>
          <w:u w:val="single"/>
          <w:rtl/>
        </w:rPr>
        <w:t xml:space="preserve">סיכום </w:t>
      </w:r>
      <w:r w:rsidR="00065DE0" w:rsidRPr="004A5120">
        <w:rPr>
          <w:rFonts w:ascii="David" w:hAnsi="David" w:cs="David" w:hint="cs"/>
          <w:b/>
          <w:bCs/>
          <w:sz w:val="32"/>
          <w:szCs w:val="32"/>
          <w:u w:val="single"/>
          <w:rtl/>
        </w:rPr>
        <w:t>קובץ 1</w:t>
      </w:r>
    </w:p>
    <w:p w14:paraId="5F3C14CB" w14:textId="77777777" w:rsidR="00065DE0" w:rsidRPr="004A5120" w:rsidRDefault="00065DE0" w:rsidP="00FD4ED5">
      <w:pPr>
        <w:spacing w:after="0"/>
        <w:rPr>
          <w:rFonts w:ascii="David" w:hAnsi="David" w:cs="David"/>
          <w:b/>
          <w:bCs/>
          <w:sz w:val="24"/>
          <w:szCs w:val="24"/>
          <w:u w:val="single"/>
          <w:rtl/>
        </w:rPr>
      </w:pPr>
    </w:p>
    <w:p w14:paraId="407B866C" w14:textId="31DEC720" w:rsidR="006B62F0" w:rsidRPr="004A5120" w:rsidRDefault="00FD4ED5" w:rsidP="00FD4ED5">
      <w:pPr>
        <w:spacing w:after="0"/>
        <w:rPr>
          <w:rFonts w:ascii="David" w:hAnsi="David" w:cs="David"/>
          <w:b/>
          <w:bCs/>
          <w:sz w:val="24"/>
          <w:szCs w:val="24"/>
          <w:u w:val="single"/>
          <w:rtl/>
        </w:rPr>
      </w:pPr>
      <w:r w:rsidRPr="004A5120">
        <w:rPr>
          <w:rFonts w:ascii="David" w:hAnsi="David" w:cs="David"/>
          <w:b/>
          <w:bCs/>
          <w:sz w:val="24"/>
          <w:szCs w:val="24"/>
          <w:u w:val="single"/>
          <w:rtl/>
        </w:rPr>
        <w:t>ההיסטוריה מתחלקת לשתי תקופות:</w:t>
      </w:r>
    </w:p>
    <w:p w14:paraId="54366948" w14:textId="5664F1F1" w:rsidR="00FD4ED5" w:rsidRPr="004A5120" w:rsidRDefault="00FD4ED5" w:rsidP="00FD4ED5">
      <w:pPr>
        <w:pStyle w:val="a3"/>
        <w:numPr>
          <w:ilvl w:val="0"/>
          <w:numId w:val="1"/>
        </w:numPr>
        <w:spacing w:after="0"/>
        <w:rPr>
          <w:rFonts w:ascii="David" w:hAnsi="David" w:cs="David"/>
          <w:sz w:val="24"/>
          <w:szCs w:val="24"/>
        </w:rPr>
      </w:pPr>
      <w:r w:rsidRPr="004A5120">
        <w:rPr>
          <w:rFonts w:ascii="David" w:hAnsi="David" w:cs="David"/>
          <w:sz w:val="24"/>
          <w:szCs w:val="24"/>
          <w:u w:val="single"/>
          <w:rtl/>
        </w:rPr>
        <w:t>התקופה הכללית הראשונה</w:t>
      </w:r>
      <w:r w:rsidRPr="004A5120">
        <w:rPr>
          <w:rFonts w:ascii="David" w:hAnsi="David" w:cs="David"/>
          <w:sz w:val="24"/>
          <w:szCs w:val="24"/>
          <w:rtl/>
        </w:rPr>
        <w:t xml:space="preserve"> – מתחילת התורה שבכתב עד חתימת התלמוד</w:t>
      </w:r>
      <w:r w:rsidR="00423159" w:rsidRPr="004A5120">
        <w:rPr>
          <w:rFonts w:ascii="David" w:hAnsi="David" w:cs="David" w:hint="cs"/>
          <w:sz w:val="24"/>
          <w:szCs w:val="24"/>
          <w:rtl/>
        </w:rPr>
        <w:t>(סוף מאה 5)</w:t>
      </w:r>
      <w:r w:rsidRPr="004A5120">
        <w:rPr>
          <w:rFonts w:ascii="David" w:hAnsi="David" w:cs="David"/>
          <w:sz w:val="24"/>
          <w:szCs w:val="24"/>
          <w:rtl/>
        </w:rPr>
        <w:t>.</w:t>
      </w:r>
    </w:p>
    <w:p w14:paraId="4AC042E7" w14:textId="5243DD20" w:rsidR="00FD4ED5" w:rsidRPr="004A5120" w:rsidRDefault="00FD4ED5" w:rsidP="00FD4ED5">
      <w:pPr>
        <w:pStyle w:val="a3"/>
        <w:numPr>
          <w:ilvl w:val="0"/>
          <w:numId w:val="1"/>
        </w:numPr>
        <w:spacing w:after="0"/>
        <w:rPr>
          <w:rFonts w:ascii="David" w:hAnsi="David" w:cs="David"/>
          <w:sz w:val="24"/>
          <w:szCs w:val="24"/>
        </w:rPr>
      </w:pPr>
      <w:r w:rsidRPr="004A5120">
        <w:rPr>
          <w:rFonts w:ascii="David" w:hAnsi="David" w:cs="David"/>
          <w:sz w:val="24"/>
          <w:szCs w:val="24"/>
          <w:u w:val="single"/>
          <w:rtl/>
        </w:rPr>
        <w:t>התקופה הכללית השנייה</w:t>
      </w:r>
      <w:r w:rsidRPr="004A5120">
        <w:rPr>
          <w:rFonts w:ascii="David" w:hAnsi="David" w:cs="David"/>
          <w:sz w:val="24"/>
          <w:szCs w:val="24"/>
          <w:rtl/>
        </w:rPr>
        <w:t xml:space="preserve"> – מחתימת התלמוד עד ימנו.</w:t>
      </w:r>
    </w:p>
    <w:p w14:paraId="10870372" w14:textId="5A7395E2" w:rsidR="00FD4ED5" w:rsidRPr="004A5120" w:rsidRDefault="00FD4ED5" w:rsidP="00FD4ED5">
      <w:pPr>
        <w:pStyle w:val="a3"/>
        <w:numPr>
          <w:ilvl w:val="0"/>
          <w:numId w:val="2"/>
        </w:numPr>
        <w:spacing w:after="0"/>
        <w:rPr>
          <w:rFonts w:ascii="David" w:hAnsi="David" w:cs="David"/>
          <w:sz w:val="24"/>
          <w:szCs w:val="24"/>
        </w:rPr>
      </w:pPr>
      <w:r w:rsidRPr="004A5120">
        <w:rPr>
          <w:rFonts w:ascii="David" w:hAnsi="David" w:cs="David"/>
          <w:sz w:val="24"/>
          <w:szCs w:val="24"/>
          <w:u w:val="single"/>
          <w:rtl/>
        </w:rPr>
        <w:t>משקל התלמוד כחוצה תקופות</w:t>
      </w:r>
      <w:r w:rsidRPr="004A5120">
        <w:rPr>
          <w:rFonts w:ascii="David" w:hAnsi="David" w:cs="David"/>
          <w:sz w:val="24"/>
          <w:szCs w:val="24"/>
          <w:rtl/>
        </w:rPr>
        <w:t xml:space="preserve"> – התלמוד התקבל כספר פירושים לתורה שבכתב, המקובל באופן גורף על עם ישראל והפך למקור הבלעדי ממנו נלמדת ההלכה ונפסקות פסיקות.</w:t>
      </w:r>
    </w:p>
    <w:p w14:paraId="1F49EA67" w14:textId="07FD8C2E" w:rsidR="00FD4ED5" w:rsidRPr="004A5120" w:rsidRDefault="00FD4ED5" w:rsidP="00FD4ED5">
      <w:pPr>
        <w:spacing w:after="0"/>
        <w:rPr>
          <w:rFonts w:ascii="David" w:hAnsi="David" w:cs="David"/>
          <w:sz w:val="24"/>
          <w:szCs w:val="24"/>
          <w:rtl/>
        </w:rPr>
      </w:pPr>
    </w:p>
    <w:p w14:paraId="2EFF14F2" w14:textId="03BFADB3" w:rsidR="006B532E" w:rsidRPr="004A5120" w:rsidRDefault="00FD4ED5" w:rsidP="006B532E">
      <w:pPr>
        <w:spacing w:after="0"/>
        <w:rPr>
          <w:rFonts w:ascii="David" w:hAnsi="David" w:cs="David"/>
          <w:sz w:val="24"/>
          <w:szCs w:val="24"/>
          <w:rtl/>
        </w:rPr>
      </w:pPr>
      <w:r w:rsidRPr="004A5120">
        <w:rPr>
          <w:rFonts w:ascii="David" w:hAnsi="David" w:cs="David"/>
          <w:sz w:val="24"/>
          <w:szCs w:val="24"/>
          <w:rtl/>
        </w:rPr>
        <w:t>התקופה הכללית הראשונה</w:t>
      </w:r>
      <w:r w:rsidR="006B532E" w:rsidRPr="004A5120">
        <w:rPr>
          <w:rFonts w:ascii="David" w:hAnsi="David" w:cs="David"/>
          <w:sz w:val="24"/>
          <w:szCs w:val="24"/>
          <w:rtl/>
        </w:rPr>
        <w:t xml:space="preserve">                                                התקופה הכללית השנייה</w:t>
      </w:r>
    </w:p>
    <w:p w14:paraId="24F76A00" w14:textId="5540A725" w:rsidR="00FD4ED5" w:rsidRPr="004A5120" w:rsidRDefault="009C50CC" w:rsidP="00FD4ED5">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70528" behindDoc="1" locked="0" layoutInCell="1" allowOverlap="1" wp14:anchorId="0FA04670" wp14:editId="0F6AC614">
            <wp:simplePos x="0" y="0"/>
            <wp:positionH relativeFrom="column">
              <wp:posOffset>1241376</wp:posOffset>
            </wp:positionH>
            <wp:positionV relativeFrom="paragraph">
              <wp:posOffset>81329</wp:posOffset>
            </wp:positionV>
            <wp:extent cx="196850" cy="196850"/>
            <wp:effectExtent l="0" t="0" r="0" b="0"/>
            <wp:wrapNone/>
            <wp:docPr id="8" name="גרפיקה 8"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r w:rsidR="006B532E" w:rsidRPr="004A5120">
        <w:rPr>
          <w:rFonts w:ascii="David" w:hAnsi="David" w:cs="David"/>
          <w:noProof/>
          <w:sz w:val="24"/>
          <w:szCs w:val="24"/>
          <w:rtl/>
          <w:lang w:val="he-IL"/>
        </w:rPr>
        <w:drawing>
          <wp:anchor distT="0" distB="0" distL="114300" distR="114300" simplePos="0" relativeHeight="251658240" behindDoc="1" locked="0" layoutInCell="1" allowOverlap="1" wp14:anchorId="61163937" wp14:editId="1C1BCD36">
            <wp:simplePos x="0" y="0"/>
            <wp:positionH relativeFrom="column">
              <wp:posOffset>4749800</wp:posOffset>
            </wp:positionH>
            <wp:positionV relativeFrom="paragraph">
              <wp:posOffset>94615</wp:posOffset>
            </wp:positionV>
            <wp:extent cx="196850" cy="196850"/>
            <wp:effectExtent l="0" t="0" r="0" b="0"/>
            <wp:wrapNone/>
            <wp:docPr id="1" name="גרפיקה 1"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p>
    <w:p w14:paraId="65BB2E6A" w14:textId="4FDC65F7" w:rsidR="006B532E" w:rsidRPr="004A5120" w:rsidRDefault="006B532E" w:rsidP="00FD4ED5">
      <w:pPr>
        <w:spacing w:after="0"/>
        <w:rPr>
          <w:rFonts w:ascii="David" w:hAnsi="David" w:cs="David"/>
          <w:sz w:val="24"/>
          <w:szCs w:val="24"/>
          <w:rtl/>
        </w:rPr>
      </w:pPr>
    </w:p>
    <w:p w14:paraId="53136DC2" w14:textId="11E1967B" w:rsidR="006B532E" w:rsidRPr="004A5120" w:rsidRDefault="00FD4ED5" w:rsidP="006B532E">
      <w:pPr>
        <w:spacing w:after="0"/>
        <w:rPr>
          <w:rFonts w:ascii="David" w:hAnsi="David" w:cs="David"/>
          <w:sz w:val="24"/>
          <w:szCs w:val="24"/>
          <w:rtl/>
        </w:rPr>
      </w:pPr>
      <w:r w:rsidRPr="004A5120">
        <w:rPr>
          <w:rFonts w:ascii="David" w:hAnsi="David" w:cs="David"/>
          <w:sz w:val="24"/>
          <w:szCs w:val="24"/>
          <w:rtl/>
        </w:rPr>
        <w:t>תקופת המקרא</w:t>
      </w:r>
      <w:r w:rsidR="006B532E" w:rsidRPr="004A5120">
        <w:rPr>
          <w:rFonts w:ascii="David" w:hAnsi="David" w:cs="David"/>
          <w:sz w:val="24"/>
          <w:szCs w:val="24"/>
          <w:rtl/>
        </w:rPr>
        <w:t xml:space="preserve">                                                             תקופת הגאונים (אמצע המאה ה11)</w:t>
      </w:r>
    </w:p>
    <w:p w14:paraId="36C75AFA" w14:textId="13CF3B97" w:rsidR="00FD4ED5" w:rsidRPr="004A5120" w:rsidRDefault="00F044A1" w:rsidP="00FD4ED5">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72576" behindDoc="1" locked="0" layoutInCell="1" allowOverlap="1" wp14:anchorId="3FA7C168" wp14:editId="759EDB9C">
            <wp:simplePos x="0" y="0"/>
            <wp:positionH relativeFrom="column">
              <wp:posOffset>1248410</wp:posOffset>
            </wp:positionH>
            <wp:positionV relativeFrom="paragraph">
              <wp:posOffset>73025</wp:posOffset>
            </wp:positionV>
            <wp:extent cx="196850" cy="196850"/>
            <wp:effectExtent l="0" t="0" r="0" b="0"/>
            <wp:wrapNone/>
            <wp:docPr id="9" name="גרפיקה 9"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r w:rsidR="006B532E" w:rsidRPr="004A5120">
        <w:rPr>
          <w:rFonts w:ascii="David" w:hAnsi="David" w:cs="David"/>
          <w:noProof/>
          <w:sz w:val="24"/>
          <w:szCs w:val="24"/>
          <w:rtl/>
          <w:lang w:val="he-IL"/>
        </w:rPr>
        <w:drawing>
          <wp:anchor distT="0" distB="0" distL="114300" distR="114300" simplePos="0" relativeHeight="251660288" behindDoc="1" locked="0" layoutInCell="1" allowOverlap="1" wp14:anchorId="2CD096FF" wp14:editId="4BC417E0">
            <wp:simplePos x="0" y="0"/>
            <wp:positionH relativeFrom="column">
              <wp:posOffset>4728210</wp:posOffset>
            </wp:positionH>
            <wp:positionV relativeFrom="paragraph">
              <wp:posOffset>90170</wp:posOffset>
            </wp:positionV>
            <wp:extent cx="196850" cy="196850"/>
            <wp:effectExtent l="0" t="0" r="0" b="0"/>
            <wp:wrapNone/>
            <wp:docPr id="2" name="גרפיקה 2"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p>
    <w:p w14:paraId="1DE3750A" w14:textId="726F1C8B" w:rsidR="006B532E" w:rsidRPr="004A5120" w:rsidRDefault="006B532E" w:rsidP="00FD4ED5">
      <w:pPr>
        <w:spacing w:after="0"/>
        <w:rPr>
          <w:rFonts w:ascii="David" w:hAnsi="David" w:cs="David"/>
          <w:sz w:val="24"/>
          <w:szCs w:val="24"/>
          <w:rtl/>
        </w:rPr>
      </w:pPr>
    </w:p>
    <w:p w14:paraId="577B6E1C" w14:textId="31C2A8B7" w:rsidR="006B532E" w:rsidRPr="004A5120" w:rsidRDefault="00FD4ED5" w:rsidP="006B532E">
      <w:pPr>
        <w:spacing w:after="0"/>
        <w:rPr>
          <w:rFonts w:ascii="David" w:hAnsi="David" w:cs="David"/>
          <w:sz w:val="24"/>
          <w:szCs w:val="24"/>
          <w:rtl/>
        </w:rPr>
      </w:pPr>
      <w:r w:rsidRPr="004A5120">
        <w:rPr>
          <w:rFonts w:ascii="David" w:hAnsi="David" w:cs="David"/>
          <w:sz w:val="24"/>
          <w:szCs w:val="24"/>
          <w:rtl/>
        </w:rPr>
        <w:t>התקופה שבין עזרא ונחמיה עד לתקופת הזוגות</w:t>
      </w:r>
      <w:r w:rsidR="006B532E" w:rsidRPr="004A5120">
        <w:rPr>
          <w:rFonts w:ascii="David" w:hAnsi="David" w:cs="David"/>
          <w:sz w:val="24"/>
          <w:szCs w:val="24"/>
          <w:rtl/>
        </w:rPr>
        <w:t xml:space="preserve">                        התקופה הרבנית – </w:t>
      </w:r>
    </w:p>
    <w:p w14:paraId="086DF11A" w14:textId="4B5D4724" w:rsidR="006B532E" w:rsidRPr="004A5120" w:rsidRDefault="006B532E" w:rsidP="006B532E">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62336" behindDoc="1" locked="0" layoutInCell="1" allowOverlap="1" wp14:anchorId="1C1C07BB" wp14:editId="14DC290F">
            <wp:simplePos x="0" y="0"/>
            <wp:positionH relativeFrom="column">
              <wp:posOffset>4766310</wp:posOffset>
            </wp:positionH>
            <wp:positionV relativeFrom="paragraph">
              <wp:posOffset>166370</wp:posOffset>
            </wp:positionV>
            <wp:extent cx="196850" cy="196850"/>
            <wp:effectExtent l="0" t="0" r="0" b="0"/>
            <wp:wrapNone/>
            <wp:docPr id="3" name="גרפיקה 3"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הראשונים\האחרונים\אובדן </w:t>
      </w:r>
    </w:p>
    <w:p w14:paraId="5BD63A70" w14:textId="46FD9EBD" w:rsidR="006B532E" w:rsidRPr="004A5120" w:rsidRDefault="006B532E" w:rsidP="006B532E">
      <w:pPr>
        <w:spacing w:after="0"/>
        <w:rPr>
          <w:rFonts w:ascii="David" w:hAnsi="David" w:cs="David"/>
          <w:sz w:val="24"/>
          <w:szCs w:val="24"/>
          <w:rtl/>
        </w:rPr>
      </w:pP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האוטונומיה השיפוטית</w:t>
      </w:r>
    </w:p>
    <w:p w14:paraId="2F6E5997" w14:textId="6C89AA10" w:rsidR="006B532E" w:rsidRPr="004A5120" w:rsidRDefault="006B532E" w:rsidP="006B532E">
      <w:pPr>
        <w:spacing w:after="0"/>
        <w:rPr>
          <w:rFonts w:ascii="David" w:hAnsi="David" w:cs="David"/>
          <w:sz w:val="24"/>
          <w:szCs w:val="24"/>
          <w:rtl/>
        </w:rPr>
      </w:pPr>
      <w:r w:rsidRPr="004A5120">
        <w:rPr>
          <w:rFonts w:ascii="David" w:hAnsi="David" w:cs="David"/>
          <w:sz w:val="24"/>
          <w:szCs w:val="24"/>
          <w:rtl/>
        </w:rPr>
        <w:t xml:space="preserve">תקופת הזוגות                                                                   </w:t>
      </w:r>
    </w:p>
    <w:p w14:paraId="628AC3A9" w14:textId="7C0E82EF" w:rsidR="00494938" w:rsidRPr="004A5120" w:rsidRDefault="00494938" w:rsidP="00494938">
      <w:pPr>
        <w:spacing w:after="0"/>
        <w:rPr>
          <w:rFonts w:ascii="David" w:hAnsi="David" w:cs="David"/>
          <w:sz w:val="24"/>
          <w:szCs w:val="24"/>
          <w:rtl/>
        </w:rPr>
      </w:pP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אובדן האוטונומיה השיפוטית מתחלק ל3:</w:t>
      </w:r>
    </w:p>
    <w:p w14:paraId="22D16412" w14:textId="53A71A76" w:rsidR="00494938" w:rsidRPr="004A5120" w:rsidRDefault="005F0FFB" w:rsidP="00494938">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68480" behindDoc="1" locked="0" layoutInCell="1" allowOverlap="1" wp14:anchorId="68F8BD15" wp14:editId="45389AD5">
            <wp:simplePos x="0" y="0"/>
            <wp:positionH relativeFrom="column">
              <wp:posOffset>4747260</wp:posOffset>
            </wp:positionH>
            <wp:positionV relativeFrom="paragraph">
              <wp:posOffset>111125</wp:posOffset>
            </wp:positionV>
            <wp:extent cx="196850" cy="196850"/>
            <wp:effectExtent l="0" t="0" r="0" b="0"/>
            <wp:wrapNone/>
            <wp:docPr id="7" name="גרפיקה 7"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r w:rsidR="00494938"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00494938"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00494938" w:rsidRPr="004A5120">
        <w:rPr>
          <w:rFonts w:ascii="David" w:hAnsi="David" w:cs="David"/>
          <w:sz w:val="24"/>
          <w:szCs w:val="24"/>
          <w:rtl/>
        </w:rPr>
        <w:t xml:space="preserve">      1.המאה ה18-תחילת המאה הנוכחית, </w:t>
      </w:r>
    </w:p>
    <w:p w14:paraId="718D2697" w14:textId="72D440E5" w:rsidR="00494938" w:rsidRPr="004A5120" w:rsidRDefault="00494938" w:rsidP="00494938">
      <w:pPr>
        <w:spacing w:after="0"/>
        <w:rPr>
          <w:rFonts w:ascii="David" w:hAnsi="David" w:cs="David"/>
          <w:sz w:val="24"/>
          <w:szCs w:val="24"/>
          <w:rtl/>
        </w:rPr>
      </w:pP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התעוררות  לאומית.</w:t>
      </w:r>
    </w:p>
    <w:p w14:paraId="678AB878" w14:textId="193C2F47" w:rsidR="00494938" w:rsidRPr="004A5120" w:rsidRDefault="00494938" w:rsidP="00494938">
      <w:pPr>
        <w:spacing w:after="0"/>
        <w:rPr>
          <w:rFonts w:ascii="David" w:hAnsi="David" w:cs="David"/>
          <w:sz w:val="24"/>
          <w:szCs w:val="24"/>
          <w:rtl/>
        </w:rPr>
      </w:pPr>
      <w:r w:rsidRPr="004A5120">
        <w:rPr>
          <w:rFonts w:ascii="David" w:hAnsi="David" w:cs="David"/>
          <w:sz w:val="24"/>
          <w:szCs w:val="24"/>
          <w:rtl/>
        </w:rPr>
        <w:t xml:space="preserve">תקופת התנאים (המשנה, מדרשים, ברייתות)       </w:t>
      </w:r>
      <w:r w:rsidR="00D91C07" w:rsidRPr="004A5120">
        <w:rPr>
          <w:rFonts w:ascii="David" w:hAnsi="David" w:cs="David" w:hint="cs"/>
          <w:sz w:val="24"/>
          <w:szCs w:val="24"/>
          <w:rtl/>
        </w:rPr>
        <w:t xml:space="preserve">  </w:t>
      </w:r>
      <w:r w:rsidRPr="004A5120">
        <w:rPr>
          <w:rFonts w:ascii="David" w:hAnsi="David" w:cs="David"/>
          <w:sz w:val="24"/>
          <w:szCs w:val="24"/>
          <w:rtl/>
        </w:rPr>
        <w:t xml:space="preserve"> 2.תחילת המאה ה20 עד הקמת המדינה</w:t>
      </w:r>
    </w:p>
    <w:p w14:paraId="0E38EB45" w14:textId="486FD447" w:rsidR="005F0FFB" w:rsidRPr="004A5120" w:rsidRDefault="005F0FFB" w:rsidP="005F0FFB">
      <w:pPr>
        <w:spacing w:after="0"/>
        <w:rPr>
          <w:rFonts w:ascii="David" w:hAnsi="David" w:cs="David"/>
          <w:sz w:val="24"/>
          <w:szCs w:val="24"/>
          <w:rtl/>
        </w:rPr>
      </w:pP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w:t>
      </w:r>
      <w:r w:rsidR="00D91C07" w:rsidRPr="004A5120">
        <w:rPr>
          <w:rFonts w:ascii="David" w:hAnsi="David" w:cs="David" w:hint="cs"/>
          <w:sz w:val="24"/>
          <w:szCs w:val="24"/>
          <w:rtl/>
        </w:rPr>
        <w:t xml:space="preserve">     </w:t>
      </w:r>
      <w:r w:rsidRPr="004A5120">
        <w:rPr>
          <w:rFonts w:ascii="David" w:hAnsi="David" w:cs="David"/>
          <w:sz w:val="24"/>
          <w:szCs w:val="24"/>
          <w:rtl/>
        </w:rPr>
        <w:t xml:space="preserve">    3.מהקמת המדינה    </w:t>
      </w:r>
    </w:p>
    <w:p w14:paraId="284C3935" w14:textId="77777777" w:rsidR="005F0FFB" w:rsidRPr="004A5120" w:rsidRDefault="005F0FFB" w:rsidP="005F0FFB">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64384" behindDoc="1" locked="0" layoutInCell="1" allowOverlap="1" wp14:anchorId="4505B8D4" wp14:editId="7BA3C799">
            <wp:simplePos x="0" y="0"/>
            <wp:positionH relativeFrom="column">
              <wp:posOffset>4715510</wp:posOffset>
            </wp:positionH>
            <wp:positionV relativeFrom="paragraph">
              <wp:posOffset>7620</wp:posOffset>
            </wp:positionV>
            <wp:extent cx="196850" cy="196850"/>
            <wp:effectExtent l="0" t="0" r="0" b="0"/>
            <wp:wrapNone/>
            <wp:docPr id="4" name="גרפיקה 4"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r w:rsidR="00494938" w:rsidRPr="004A5120">
        <w:rPr>
          <w:rFonts w:ascii="David" w:hAnsi="David" w:cs="David"/>
          <w:sz w:val="24"/>
          <w:szCs w:val="24"/>
          <w:rtl/>
        </w:rPr>
        <w:t xml:space="preserve">                                                                              </w:t>
      </w:r>
    </w:p>
    <w:p w14:paraId="5878CE03" w14:textId="317D2048" w:rsidR="005F0FFB" w:rsidRPr="004A5120" w:rsidRDefault="005F0FFB" w:rsidP="005F0FFB">
      <w:pPr>
        <w:spacing w:after="0"/>
        <w:rPr>
          <w:rFonts w:ascii="David" w:hAnsi="David" w:cs="David"/>
          <w:sz w:val="24"/>
          <w:szCs w:val="24"/>
          <w:rtl/>
        </w:rPr>
      </w:pPr>
      <w:r w:rsidRPr="004A5120">
        <w:rPr>
          <w:rFonts w:ascii="David" w:hAnsi="David" w:cs="David"/>
          <w:sz w:val="24"/>
          <w:szCs w:val="24"/>
          <w:rtl/>
        </w:rPr>
        <w:t>תקופת האמוראים (תלמוד)</w:t>
      </w:r>
    </w:p>
    <w:p w14:paraId="53A5BDB2" w14:textId="532AC585" w:rsidR="006B532E" w:rsidRPr="004A5120" w:rsidRDefault="009C50CC" w:rsidP="00494938">
      <w:pPr>
        <w:spacing w:after="0"/>
        <w:rPr>
          <w:rFonts w:ascii="David" w:hAnsi="David" w:cs="David"/>
          <w:sz w:val="24"/>
          <w:szCs w:val="24"/>
          <w:rtl/>
        </w:rPr>
      </w:pPr>
      <w:r w:rsidRPr="004A5120">
        <w:rPr>
          <w:rFonts w:ascii="David" w:hAnsi="David" w:cs="David"/>
          <w:noProof/>
          <w:sz w:val="24"/>
          <w:szCs w:val="24"/>
          <w:rtl/>
          <w:lang w:val="he-IL"/>
        </w:rPr>
        <w:drawing>
          <wp:anchor distT="0" distB="0" distL="114300" distR="114300" simplePos="0" relativeHeight="251666432" behindDoc="1" locked="0" layoutInCell="1" allowOverlap="1" wp14:anchorId="4B3D9419" wp14:editId="73D27182">
            <wp:simplePos x="0" y="0"/>
            <wp:positionH relativeFrom="column">
              <wp:posOffset>4719809</wp:posOffset>
            </wp:positionH>
            <wp:positionV relativeFrom="paragraph">
              <wp:posOffset>68531</wp:posOffset>
            </wp:positionV>
            <wp:extent cx="196850" cy="196850"/>
            <wp:effectExtent l="0" t="0" r="0" b="0"/>
            <wp:wrapNone/>
            <wp:docPr id="5" name="גרפיקה 5" descr="חץ למט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פיקה 1" descr="חץ למטה קו מיתאר"/>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page">
              <wp14:pctWidth>0</wp14:pctWidth>
            </wp14:sizeRelH>
            <wp14:sizeRelV relativeFrom="page">
              <wp14:pctHeight>0</wp14:pctHeight>
            </wp14:sizeRelV>
          </wp:anchor>
        </w:drawing>
      </w:r>
    </w:p>
    <w:p w14:paraId="38FDBFB0" w14:textId="237ED129" w:rsidR="005F0FFB" w:rsidRPr="004A5120" w:rsidRDefault="005F0FFB" w:rsidP="005F0FFB">
      <w:pPr>
        <w:spacing w:after="0"/>
        <w:rPr>
          <w:rFonts w:ascii="David" w:hAnsi="David" w:cs="David"/>
          <w:sz w:val="24"/>
          <w:szCs w:val="24"/>
          <w:rtl/>
        </w:rPr>
      </w:pPr>
    </w:p>
    <w:p w14:paraId="79AF91E9" w14:textId="754F5F97" w:rsidR="005F0FFB" w:rsidRPr="004A5120" w:rsidRDefault="005F0FFB" w:rsidP="005F0FFB">
      <w:pPr>
        <w:spacing w:after="0"/>
        <w:rPr>
          <w:rFonts w:ascii="David" w:hAnsi="David" w:cs="David"/>
          <w:sz w:val="24"/>
          <w:szCs w:val="24"/>
          <w:rtl/>
        </w:rPr>
      </w:pPr>
      <w:r w:rsidRPr="004A5120">
        <w:rPr>
          <w:rFonts w:ascii="David" w:hAnsi="David" w:cs="David"/>
          <w:sz w:val="24"/>
          <w:szCs w:val="24"/>
          <w:rtl/>
        </w:rPr>
        <w:t>תקופת מעבר מאמוראים לסבוראים</w:t>
      </w:r>
    </w:p>
    <w:p w14:paraId="186B2923" w14:textId="533D29A3" w:rsidR="006B532E" w:rsidRPr="004A5120" w:rsidRDefault="006B532E" w:rsidP="0024306D">
      <w:pPr>
        <w:spacing w:after="0"/>
        <w:jc w:val="both"/>
        <w:rPr>
          <w:rFonts w:ascii="David" w:hAnsi="David" w:cs="David"/>
          <w:sz w:val="24"/>
          <w:szCs w:val="24"/>
          <w:rtl/>
        </w:rPr>
      </w:pPr>
    </w:p>
    <w:p w14:paraId="6C732F20" w14:textId="1B894BF4" w:rsidR="00FB5BFD" w:rsidRPr="004A5120" w:rsidRDefault="00FB5BFD" w:rsidP="0024306D">
      <w:pPr>
        <w:spacing w:after="0"/>
        <w:jc w:val="both"/>
        <w:rPr>
          <w:rFonts w:ascii="David" w:hAnsi="David" w:cs="David"/>
          <w:b/>
          <w:bCs/>
          <w:sz w:val="24"/>
          <w:szCs w:val="24"/>
          <w:u w:val="single"/>
          <w:rtl/>
        </w:rPr>
      </w:pPr>
      <w:r w:rsidRPr="004A5120">
        <w:rPr>
          <w:rFonts w:ascii="David" w:hAnsi="David" w:cs="David"/>
          <w:b/>
          <w:bCs/>
          <w:sz w:val="24"/>
          <w:szCs w:val="24"/>
          <w:u w:val="single"/>
          <w:rtl/>
        </w:rPr>
        <w:t>החכמים ראו חובה משפטית למזג את התקופות ההלכתיות לתקופה אחת שכולה הלכה קבועה.</w:t>
      </w:r>
    </w:p>
    <w:p w14:paraId="7D338656" w14:textId="29B6F2DD" w:rsidR="00FB5BFD" w:rsidRPr="004A5120" w:rsidRDefault="00FB5BFD" w:rsidP="0024306D">
      <w:pPr>
        <w:spacing w:after="0"/>
        <w:jc w:val="both"/>
        <w:rPr>
          <w:rFonts w:ascii="David" w:hAnsi="David" w:cs="David"/>
          <w:b/>
          <w:bCs/>
          <w:sz w:val="24"/>
          <w:szCs w:val="24"/>
          <w:u w:val="single"/>
          <w:rtl/>
        </w:rPr>
      </w:pPr>
      <w:r w:rsidRPr="004A5120">
        <w:rPr>
          <w:rFonts w:ascii="David" w:hAnsi="David" w:cs="David"/>
          <w:b/>
          <w:bCs/>
          <w:sz w:val="24"/>
          <w:szCs w:val="24"/>
          <w:u w:val="single"/>
          <w:rtl/>
        </w:rPr>
        <w:t>משימה כפולה:</w:t>
      </w:r>
    </w:p>
    <w:p w14:paraId="6A8FE412" w14:textId="6A5D7384" w:rsidR="00FB5BFD" w:rsidRPr="004A5120" w:rsidRDefault="00FB5BFD" w:rsidP="001A492B">
      <w:pPr>
        <w:pStyle w:val="a3"/>
        <w:numPr>
          <w:ilvl w:val="0"/>
          <w:numId w:val="3"/>
        </w:numPr>
        <w:spacing w:after="0"/>
        <w:jc w:val="both"/>
        <w:rPr>
          <w:rFonts w:ascii="David" w:hAnsi="David" w:cs="David"/>
          <w:sz w:val="24"/>
          <w:szCs w:val="24"/>
          <w:u w:val="single"/>
        </w:rPr>
      </w:pPr>
      <w:r w:rsidRPr="004A5120">
        <w:rPr>
          <w:rFonts w:ascii="David" w:hAnsi="David" w:cs="David"/>
          <w:sz w:val="24"/>
          <w:szCs w:val="24"/>
          <w:u w:val="single"/>
          <w:rtl/>
        </w:rPr>
        <w:t>התפתחות היצירה בתחום ספרות ההלכה לפי הנוהג למעשה:</w:t>
      </w:r>
    </w:p>
    <w:p w14:paraId="1E2582B8" w14:textId="74314A6F" w:rsidR="00FB5BFD" w:rsidRPr="004A5120" w:rsidRDefault="00FB5BFD" w:rsidP="0024306D">
      <w:pPr>
        <w:pStyle w:val="a3"/>
        <w:spacing w:after="0"/>
        <w:jc w:val="both"/>
        <w:rPr>
          <w:rFonts w:ascii="David" w:hAnsi="David" w:cs="David"/>
          <w:sz w:val="24"/>
          <w:szCs w:val="24"/>
          <w:rtl/>
        </w:rPr>
      </w:pPr>
      <w:r w:rsidRPr="004A5120">
        <w:rPr>
          <w:rFonts w:ascii="David" w:hAnsi="David" w:cs="David"/>
          <w:sz w:val="24"/>
          <w:szCs w:val="24"/>
          <w:rtl/>
        </w:rPr>
        <w:t>המשנה הקיפה את כל המערכת ההלכתית בשישה ספרים. לעומתה, בתלמוד הבבלי כבר החלה התאמה של מקום וזמן להלכות. (לדוג' סדר זרעים שלא קיים בתלמוד הבבלי).</w:t>
      </w:r>
    </w:p>
    <w:p w14:paraId="2201820E" w14:textId="79DCA612" w:rsidR="00FB5BFD" w:rsidRPr="004A5120" w:rsidRDefault="00FB5BFD" w:rsidP="001A492B">
      <w:pPr>
        <w:pStyle w:val="a3"/>
        <w:numPr>
          <w:ilvl w:val="0"/>
          <w:numId w:val="3"/>
        </w:numPr>
        <w:spacing w:after="0"/>
        <w:jc w:val="both"/>
        <w:rPr>
          <w:rFonts w:ascii="David" w:hAnsi="David" w:cs="David"/>
          <w:sz w:val="24"/>
          <w:szCs w:val="24"/>
        </w:rPr>
      </w:pPr>
      <w:r w:rsidRPr="004A5120">
        <w:rPr>
          <w:rFonts w:ascii="David" w:hAnsi="David" w:cs="David"/>
          <w:sz w:val="24"/>
          <w:szCs w:val="24"/>
          <w:rtl/>
        </w:rPr>
        <w:t>שמירה על מגמת המשפט העברי ורציפותו.</w:t>
      </w:r>
    </w:p>
    <w:p w14:paraId="20DBEC70" w14:textId="21A810F2" w:rsidR="00113EF2" w:rsidRPr="004A5120" w:rsidRDefault="00113EF2" w:rsidP="0024306D">
      <w:pPr>
        <w:spacing w:after="0"/>
        <w:jc w:val="both"/>
        <w:rPr>
          <w:rFonts w:ascii="David" w:hAnsi="David" w:cs="David"/>
          <w:sz w:val="24"/>
          <w:szCs w:val="24"/>
          <w:rtl/>
        </w:rPr>
      </w:pPr>
    </w:p>
    <w:p w14:paraId="479ED0FB" w14:textId="6D7EE630" w:rsidR="00113EF2" w:rsidRPr="004A5120" w:rsidRDefault="00113EF2" w:rsidP="0024306D">
      <w:pPr>
        <w:spacing w:after="0"/>
        <w:jc w:val="both"/>
        <w:rPr>
          <w:rFonts w:ascii="David" w:hAnsi="David" w:cs="David"/>
          <w:b/>
          <w:bCs/>
          <w:sz w:val="24"/>
          <w:szCs w:val="24"/>
          <w:u w:val="single"/>
          <w:rtl/>
        </w:rPr>
      </w:pPr>
      <w:r w:rsidRPr="004A5120">
        <w:rPr>
          <w:rFonts w:ascii="David" w:hAnsi="David" w:cs="David"/>
          <w:b/>
          <w:bCs/>
          <w:sz w:val="24"/>
          <w:szCs w:val="24"/>
          <w:u w:val="single"/>
          <w:rtl/>
        </w:rPr>
        <w:t>מאמר 2 – שינויים בענפים משפטיים שונים ויצירת ענפים משפטיים חדשים:</w:t>
      </w:r>
    </w:p>
    <w:p w14:paraId="3851AEDB" w14:textId="1768103F" w:rsidR="00113EF2" w:rsidRPr="004A5120" w:rsidRDefault="009C50CC"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דיני חיובים</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המשפט העברי שלל אפשרות של שיעבוד גוף, לכן היה צורך שיעבוד רכוש. החיוב במשפט העברי בעל אופי חפצי מובהק </w:t>
      </w:r>
      <w:r w:rsidRPr="004A5120">
        <w:rPr>
          <w:rFonts w:ascii="David" w:hAnsi="David" w:cs="David"/>
          <w:sz w:val="24"/>
          <w:szCs w:val="24"/>
          <w:rtl/>
        </w:rPr>
        <w:t>–</w:t>
      </w:r>
      <w:r w:rsidRPr="004A5120">
        <w:rPr>
          <w:rFonts w:ascii="David" w:hAnsi="David" w:cs="David" w:hint="cs"/>
          <w:sz w:val="24"/>
          <w:szCs w:val="24"/>
          <w:rtl/>
        </w:rPr>
        <w:t xml:space="preserve"> לבעל החוב הייתה זכות ריאלית במימוש נכסיו של החייב (דיני קניין רבים). שינוי מהותי </w:t>
      </w:r>
      <w:r w:rsidRPr="004A5120">
        <w:rPr>
          <w:rFonts w:ascii="David" w:hAnsi="David" w:cs="David"/>
          <w:sz w:val="24"/>
          <w:szCs w:val="24"/>
          <w:rtl/>
        </w:rPr>
        <w:t>–</w:t>
      </w:r>
      <w:r w:rsidRPr="004A5120">
        <w:rPr>
          <w:rFonts w:ascii="David" w:hAnsi="David" w:cs="David" w:hint="cs"/>
          <w:sz w:val="24"/>
          <w:szCs w:val="24"/>
          <w:rtl/>
        </w:rPr>
        <w:t xml:space="preserve"> יכולת להתחייב על דבר עתידי, הפך את החלק החפצי מעיקר לטפל.</w:t>
      </w:r>
    </w:p>
    <w:p w14:paraId="0E440E37" w14:textId="5A71EB48" w:rsidR="009C50CC" w:rsidRPr="004A5120" w:rsidRDefault="009C50CC"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משפט ציבורי מנהלי</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בניגוד לתקופות הקודמות בהן שלט מלך, בתקופות מאוחרות יותר היה צורך ליצור ענף שונה בתכלית שמציג הנהגת רבים (הנהגה קולקטיבית, שלטון מקומי, נבחרת ממונה). חכמי ההלכה קבוע את היחסים שבין הרשות הציבורית לעובדיה, הרכב מוסדות הקהילה ודרכי ההתמנות אליהם.</w:t>
      </w:r>
    </w:p>
    <w:p w14:paraId="5F5C20BD" w14:textId="0687FEF3" w:rsidR="00A163FE" w:rsidRPr="004A5120" w:rsidRDefault="00A163FE"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דיני התנגדות חוקים</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שינויים חברתיים וגיאוגרפיים הביאו ליצירת ענף חדש הקובע את התנהלות היהודית תחת מערכת שיפוטית של שלטון זר. לדוג' הכלל "דינא דמלכותא דינא" </w:t>
      </w:r>
      <w:r w:rsidRPr="004A5120">
        <w:rPr>
          <w:rFonts w:ascii="David" w:hAnsi="David" w:cs="David"/>
          <w:sz w:val="24"/>
          <w:szCs w:val="24"/>
          <w:rtl/>
        </w:rPr>
        <w:t>–</w:t>
      </w:r>
      <w:r w:rsidRPr="004A5120">
        <w:rPr>
          <w:rFonts w:ascii="David" w:hAnsi="David" w:cs="David" w:hint="cs"/>
          <w:sz w:val="24"/>
          <w:szCs w:val="24"/>
          <w:rtl/>
        </w:rPr>
        <w:t xml:space="preserve"> יהודי מחויב לחוקי הממשל, כפי שמחויב לחוקי ההלכה.</w:t>
      </w:r>
    </w:p>
    <w:p w14:paraId="2A4C52F9" w14:textId="014BFDF4" w:rsidR="00A163FE" w:rsidRPr="004A5120" w:rsidRDefault="00A163FE" w:rsidP="0024306D">
      <w:pPr>
        <w:spacing w:after="0"/>
        <w:jc w:val="both"/>
        <w:rPr>
          <w:rFonts w:ascii="David" w:hAnsi="David" w:cs="David"/>
          <w:sz w:val="24"/>
          <w:szCs w:val="24"/>
          <w:rtl/>
        </w:rPr>
      </w:pPr>
    </w:p>
    <w:p w14:paraId="5B5A1AD5" w14:textId="2AC44921" w:rsidR="00D91C07" w:rsidRPr="004A5120" w:rsidRDefault="00D91C07" w:rsidP="0024306D">
      <w:pPr>
        <w:spacing w:after="0"/>
        <w:jc w:val="both"/>
        <w:rPr>
          <w:rFonts w:ascii="David" w:hAnsi="David" w:cs="David"/>
          <w:sz w:val="24"/>
          <w:szCs w:val="24"/>
          <w:rtl/>
        </w:rPr>
      </w:pPr>
    </w:p>
    <w:p w14:paraId="47363D92" w14:textId="06E4E7EE" w:rsidR="00D91C07" w:rsidRPr="004A5120" w:rsidRDefault="00D91C07" w:rsidP="0024306D">
      <w:pPr>
        <w:spacing w:after="0"/>
        <w:jc w:val="both"/>
        <w:rPr>
          <w:rFonts w:ascii="David" w:hAnsi="David" w:cs="David"/>
          <w:sz w:val="24"/>
          <w:szCs w:val="24"/>
          <w:rtl/>
        </w:rPr>
      </w:pPr>
    </w:p>
    <w:p w14:paraId="16A2396E" w14:textId="6881EBA1" w:rsidR="00D91C07" w:rsidRPr="004A5120" w:rsidRDefault="00D91C07" w:rsidP="0024306D">
      <w:pPr>
        <w:spacing w:after="0"/>
        <w:jc w:val="both"/>
        <w:rPr>
          <w:rFonts w:ascii="David" w:hAnsi="David" w:cs="David"/>
          <w:sz w:val="24"/>
          <w:szCs w:val="24"/>
          <w:rtl/>
        </w:rPr>
      </w:pPr>
    </w:p>
    <w:p w14:paraId="5B3961F1" w14:textId="436F4E51" w:rsidR="00D91C07" w:rsidRPr="004A5120" w:rsidRDefault="00D91C07" w:rsidP="0024306D">
      <w:pPr>
        <w:spacing w:after="0"/>
        <w:jc w:val="both"/>
        <w:rPr>
          <w:rFonts w:ascii="David" w:hAnsi="David" w:cs="David"/>
          <w:sz w:val="24"/>
          <w:szCs w:val="24"/>
          <w:rtl/>
        </w:rPr>
      </w:pPr>
    </w:p>
    <w:p w14:paraId="201C4541" w14:textId="77777777" w:rsidR="00D91C07" w:rsidRPr="004A5120" w:rsidRDefault="00D91C07" w:rsidP="0024306D">
      <w:pPr>
        <w:spacing w:after="0"/>
        <w:jc w:val="both"/>
        <w:rPr>
          <w:rFonts w:ascii="David" w:hAnsi="David" w:cs="David"/>
          <w:sz w:val="24"/>
          <w:szCs w:val="24"/>
          <w:rtl/>
        </w:rPr>
      </w:pPr>
    </w:p>
    <w:p w14:paraId="00C59C78" w14:textId="55C0E03A" w:rsidR="00A163FE" w:rsidRPr="004A5120" w:rsidRDefault="00A163FE"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סיבות לכך שפחות חוקרים את היהדות בתקופה שלאחר התלמוד:</w:t>
      </w:r>
    </w:p>
    <w:p w14:paraId="6366E271" w14:textId="72314C97" w:rsidR="00A163FE" w:rsidRPr="004A5120" w:rsidRDefault="00A163FE"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הגישה האדישה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חוקרים רבים ראו בתקופה זו חסרת חידוש והתפלפלות מיותרת.</w:t>
      </w:r>
    </w:p>
    <w:p w14:paraId="68542621" w14:textId="68368D44" w:rsidR="008B3C4C" w:rsidRPr="004A5120" w:rsidRDefault="008B3C4C"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u w:val="single"/>
          <w:rtl/>
        </w:rPr>
        <w:t>דעת נגד</w:t>
      </w:r>
      <w:r w:rsidRPr="004A5120">
        <w:rPr>
          <w:rFonts w:ascii="David" w:hAnsi="David" w:cs="David" w:hint="cs"/>
          <w:sz w:val="24"/>
          <w:szCs w:val="24"/>
          <w:rtl/>
        </w:rPr>
        <w:t>: יש הרבה מה ללמוד על ההתפתחות של מוסדות מערכת המשפט העברי, המרכזים היהודיים זכו לאוטונומיה שיפוטית ולכן ניתן ללמוד מהם.</w:t>
      </w:r>
    </w:p>
    <w:p w14:paraId="1E205EA6" w14:textId="0FD64618" w:rsidR="00A163FE" w:rsidRPr="004A5120" w:rsidRDefault="00A163FE"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מחקר תיאורטי</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גישה ששללה את החלת המשפט העברי בחיי הקהילה היהודית. חקרה נטו ולא בהשלכה מעשית, הניבה מסקנות בענייני מוסר ופילוסופיה ולא סיפקה את הצרכים המשפטיים הממשיים של החברה היהודית.</w:t>
      </w:r>
    </w:p>
    <w:p w14:paraId="2A4BB8C6" w14:textId="1EC2AD36" w:rsidR="008B3C4C" w:rsidRPr="004A5120" w:rsidRDefault="008B3C4C"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u w:val="single"/>
          <w:rtl/>
        </w:rPr>
        <w:t>דעת נגד</w:t>
      </w:r>
      <w:r w:rsidRPr="004A5120">
        <w:rPr>
          <w:rFonts w:ascii="David" w:hAnsi="David" w:cs="David" w:hint="cs"/>
          <w:sz w:val="24"/>
          <w:szCs w:val="24"/>
          <w:rtl/>
        </w:rPr>
        <w:t xml:space="preserve">: על מנת להבין את המשפט העברי צריך להבין את כל התהליכים </w:t>
      </w:r>
      <w:r w:rsidR="00EA0426" w:rsidRPr="004A5120">
        <w:rPr>
          <w:rFonts w:ascii="David" w:hAnsi="David" w:cs="David" w:hint="cs"/>
          <w:sz w:val="24"/>
          <w:szCs w:val="24"/>
          <w:rtl/>
        </w:rPr>
        <w:t>הכרונולוגיי</w:t>
      </w:r>
      <w:r w:rsidR="00EA0426" w:rsidRPr="004A5120">
        <w:rPr>
          <w:rFonts w:ascii="David" w:hAnsi="David" w:cs="David" w:hint="eastAsia"/>
          <w:sz w:val="24"/>
          <w:szCs w:val="24"/>
          <w:rtl/>
        </w:rPr>
        <w:t>ם</w:t>
      </w:r>
      <w:r w:rsidRPr="004A5120">
        <w:rPr>
          <w:rFonts w:ascii="David" w:hAnsi="David" w:cs="David" w:hint="cs"/>
          <w:sz w:val="24"/>
          <w:szCs w:val="24"/>
          <w:rtl/>
        </w:rPr>
        <w:t xml:space="preserve"> על רצף ההיסטוריה. הצורך לחקור את המשפט העברי הוא על מנת להכינו לחיי המעשה.</w:t>
      </w:r>
    </w:p>
    <w:p w14:paraId="019AEA9B" w14:textId="1DEDB8F7" w:rsidR="00A163FE" w:rsidRPr="004A5120" w:rsidRDefault="00A163FE"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כמות עצומה של מידע</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כולל פירושים וחידושים, ספרות השו"ת וספרי הלכות ופסיקות. </w:t>
      </w:r>
    </w:p>
    <w:p w14:paraId="43DDAE9A" w14:textId="23D32BF3" w:rsidR="008B3C4C" w:rsidRPr="004A5120" w:rsidRDefault="00586766"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ספרות מאד משמעותית. היו </w:t>
      </w:r>
      <w:r w:rsidR="00EA0426" w:rsidRPr="004A5120">
        <w:rPr>
          <w:rFonts w:ascii="David" w:hAnsi="David" w:cs="David" w:hint="cs"/>
          <w:sz w:val="24"/>
          <w:szCs w:val="24"/>
          <w:rtl/>
        </w:rPr>
        <w:t>ניסיונו</w:t>
      </w:r>
      <w:r w:rsidR="00EA0426" w:rsidRPr="004A5120">
        <w:rPr>
          <w:rFonts w:ascii="David" w:hAnsi="David" w:cs="David" w:hint="eastAsia"/>
          <w:sz w:val="24"/>
          <w:szCs w:val="24"/>
          <w:rtl/>
        </w:rPr>
        <w:t>ת</w:t>
      </w:r>
      <w:r w:rsidRPr="004A5120">
        <w:rPr>
          <w:rFonts w:ascii="David" w:hAnsi="David" w:cs="David" w:hint="cs"/>
          <w:sz w:val="24"/>
          <w:szCs w:val="24"/>
          <w:rtl/>
        </w:rPr>
        <w:t xml:space="preserve"> למפות לכל מיני חלוקות על מנת לעקוף את הקושי.</w:t>
      </w:r>
    </w:p>
    <w:p w14:paraId="3C8C45AE" w14:textId="356C3145" w:rsidR="00586766" w:rsidRPr="004A5120" w:rsidRDefault="00586766" w:rsidP="0024306D">
      <w:pPr>
        <w:spacing w:after="0"/>
        <w:jc w:val="both"/>
        <w:rPr>
          <w:rFonts w:ascii="David" w:hAnsi="David" w:cs="David"/>
          <w:sz w:val="24"/>
          <w:szCs w:val="24"/>
          <w:rtl/>
        </w:rPr>
      </w:pPr>
    </w:p>
    <w:p w14:paraId="12AAEBA1" w14:textId="14DFC6BE" w:rsidR="00586766" w:rsidRPr="004A5120" w:rsidRDefault="00586766"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2 מטלות לחוקר:</w:t>
      </w:r>
    </w:p>
    <w:p w14:paraId="67D828A9" w14:textId="508555A5" w:rsidR="00586766" w:rsidRPr="004A5120" w:rsidRDefault="00FD6C73"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להבין את השינויים שעבר המוסד המשפטי בהיסטוריה, באזורים שונים. תוך תשומת לב לגורמים כלכליים וחברתיים שהובילו לשינויים</w:t>
      </w:r>
      <w:r w:rsidR="00AB7B12" w:rsidRPr="004A5120">
        <w:rPr>
          <w:rFonts w:ascii="David" w:hAnsi="David" w:cs="David" w:hint="cs"/>
          <w:sz w:val="24"/>
          <w:szCs w:val="24"/>
          <w:rtl/>
        </w:rPr>
        <w:t>.</w:t>
      </w:r>
    </w:p>
    <w:p w14:paraId="26338C03" w14:textId="51AE2DF3" w:rsidR="00AB7B12" w:rsidRPr="004A5120" w:rsidRDefault="00AB7B12"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לעמוד על הדרכים המשפטיות בהן נוקט המשפט העברי כדי לאמץ את השינוי הללו למערכות דיניו.</w:t>
      </w:r>
    </w:p>
    <w:p w14:paraId="2225B2ED" w14:textId="4F065B29" w:rsidR="00AB7B12" w:rsidRPr="004A5120" w:rsidRDefault="00AB7B12" w:rsidP="0024306D">
      <w:pPr>
        <w:spacing w:after="0"/>
        <w:jc w:val="both"/>
        <w:rPr>
          <w:rFonts w:ascii="David" w:hAnsi="David" w:cs="David"/>
          <w:sz w:val="24"/>
          <w:szCs w:val="24"/>
          <w:rtl/>
        </w:rPr>
      </w:pPr>
    </w:p>
    <w:p w14:paraId="34EAA64C" w14:textId="792D0242" w:rsidR="00AB7B12" w:rsidRPr="004A5120" w:rsidRDefault="00AB7B12" w:rsidP="004A5120">
      <w:pPr>
        <w:spacing w:after="0"/>
        <w:jc w:val="center"/>
        <w:rPr>
          <w:rFonts w:ascii="David" w:hAnsi="David" w:cs="David"/>
          <w:b/>
          <w:bCs/>
          <w:sz w:val="24"/>
          <w:szCs w:val="24"/>
          <w:u w:val="single"/>
          <w:rtl/>
        </w:rPr>
      </w:pPr>
      <w:r w:rsidRPr="004A5120">
        <w:rPr>
          <w:rFonts w:ascii="David" w:hAnsi="David" w:cs="David" w:hint="cs"/>
          <w:b/>
          <w:bCs/>
          <w:sz w:val="24"/>
          <w:szCs w:val="24"/>
          <w:u w:val="single"/>
          <w:rtl/>
        </w:rPr>
        <w:t>מאמר 3:</w:t>
      </w:r>
    </w:p>
    <w:p w14:paraId="37ED1484" w14:textId="77777777" w:rsidR="004A5120" w:rsidRPr="004A5120" w:rsidRDefault="004A5120" w:rsidP="0024306D">
      <w:pPr>
        <w:spacing w:after="0"/>
        <w:jc w:val="both"/>
        <w:rPr>
          <w:rFonts w:ascii="David" w:hAnsi="David" w:cs="David"/>
          <w:sz w:val="24"/>
          <w:szCs w:val="24"/>
          <w:rtl/>
        </w:rPr>
      </w:pPr>
    </w:p>
    <w:p w14:paraId="79FBDC83" w14:textId="5CF180F5" w:rsidR="00AB7B12" w:rsidRPr="004A5120" w:rsidRDefault="00AB7B12" w:rsidP="0024306D">
      <w:pPr>
        <w:spacing w:after="0"/>
        <w:jc w:val="both"/>
        <w:rPr>
          <w:rFonts w:ascii="David" w:hAnsi="David" w:cs="David"/>
          <w:sz w:val="24"/>
          <w:szCs w:val="24"/>
          <w:u w:val="single"/>
          <w:rtl/>
        </w:rPr>
      </w:pPr>
      <w:r w:rsidRPr="004A5120">
        <w:rPr>
          <w:rFonts w:ascii="David" w:hAnsi="David" w:cs="David" w:hint="cs"/>
          <w:sz w:val="24"/>
          <w:szCs w:val="24"/>
          <w:u w:val="single"/>
          <w:rtl/>
        </w:rPr>
        <w:t>המשותף להלכה הדתית ולהלכה המשפטית:</w:t>
      </w:r>
    </w:p>
    <w:p w14:paraId="73A7A30E" w14:textId="680D7E43" w:rsidR="00AB7B12" w:rsidRPr="004A5120" w:rsidRDefault="00AB7B12"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חשיבה ומינוח משותפים</w:t>
      </w:r>
      <w:r w:rsidRPr="004A5120">
        <w:rPr>
          <w:rFonts w:ascii="David" w:hAnsi="David" w:cs="David" w:hint="cs"/>
          <w:sz w:val="24"/>
          <w:szCs w:val="24"/>
          <w:rtl/>
        </w:rPr>
        <w:t xml:space="preserve"> - אחידות מבחינה רעיונית ולשונית.</w:t>
      </w:r>
    </w:p>
    <w:p w14:paraId="68B1C6B9" w14:textId="0A5E76D1" w:rsidR="00AB7B12" w:rsidRPr="004A5120" w:rsidRDefault="00AB7B12"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עקרונות משפטיים משותפים</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דין לנושא אחד, רלוונטי גם לנושא אחר. לדוג' "שולחו של אדם כמותו" </w:t>
      </w:r>
      <w:r w:rsidRPr="004A5120">
        <w:rPr>
          <w:rFonts w:ascii="David" w:hAnsi="David" w:cs="David"/>
          <w:sz w:val="24"/>
          <w:szCs w:val="24"/>
          <w:rtl/>
        </w:rPr>
        <w:t>–</w:t>
      </w:r>
      <w:r w:rsidRPr="004A5120">
        <w:rPr>
          <w:rFonts w:ascii="David" w:hAnsi="David" w:cs="David" w:hint="cs"/>
          <w:sz w:val="24"/>
          <w:szCs w:val="24"/>
          <w:rtl/>
        </w:rPr>
        <w:t xml:space="preserve"> רלוונטי גם בקורבנות וגם בתפילה.</w:t>
      </w:r>
    </w:p>
    <w:p w14:paraId="6500DED4" w14:textId="5058FC3D" w:rsidR="00AB7B12" w:rsidRPr="004A5120" w:rsidRDefault="00AB7B12"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ביסוס הוראות משפטיות לפי הוראות דתיות</w:t>
      </w:r>
      <w:r w:rsidRPr="004A5120">
        <w:rPr>
          <w:rFonts w:ascii="David" w:hAnsi="David" w:cs="David" w:hint="cs"/>
          <w:sz w:val="24"/>
          <w:szCs w:val="24"/>
          <w:rtl/>
        </w:rPr>
        <w:t xml:space="preserve"> </w:t>
      </w:r>
      <w:r w:rsidR="005A6C12" w:rsidRPr="004A5120">
        <w:rPr>
          <w:rFonts w:ascii="David" w:hAnsi="David" w:cs="David"/>
          <w:sz w:val="24"/>
          <w:szCs w:val="24"/>
          <w:rtl/>
        </w:rPr>
        <w:t>–</w:t>
      </w:r>
      <w:r w:rsidRPr="004A5120">
        <w:rPr>
          <w:rFonts w:ascii="David" w:hAnsi="David" w:cs="David" w:hint="cs"/>
          <w:sz w:val="24"/>
          <w:szCs w:val="24"/>
          <w:rtl/>
        </w:rPr>
        <w:t xml:space="preserve"> </w:t>
      </w:r>
      <w:r w:rsidR="005A6C12" w:rsidRPr="004A5120">
        <w:rPr>
          <w:rFonts w:ascii="David" w:hAnsi="David" w:cs="David" w:hint="cs"/>
          <w:sz w:val="24"/>
          <w:szCs w:val="24"/>
          <w:rtl/>
        </w:rPr>
        <w:t>ביסוס הלכה משפטית לפי ההלכה הדתית. לדוג' גם במצוות קריאת פרשת ביכורים וגם בדיני צוואה\מתנה דנים בנושא הבעלות.</w:t>
      </w:r>
    </w:p>
    <w:p w14:paraId="4DCA804B" w14:textId="5084BFFD" w:rsidR="005A6C12" w:rsidRPr="004A5120" w:rsidRDefault="005A6C12"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u w:val="single"/>
          <w:rtl/>
        </w:rPr>
        <w:t>פיקציות משותפות</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הסכמה על משהו שאינו קיים כעובדה, כדי להשיג מטרה מסוימת. לדוג' </w:t>
      </w:r>
      <w:r w:rsidRPr="004A5120">
        <w:rPr>
          <w:rFonts w:ascii="David" w:hAnsi="David" w:cs="David"/>
          <w:sz w:val="24"/>
          <w:szCs w:val="24"/>
          <w:rtl/>
        </w:rPr>
        <w:t>–</w:t>
      </w:r>
      <w:r w:rsidRPr="004A5120">
        <w:rPr>
          <w:rFonts w:ascii="David" w:hAnsi="David" w:cs="David" w:hint="cs"/>
          <w:sz w:val="24"/>
          <w:szCs w:val="24"/>
          <w:rtl/>
        </w:rPr>
        <w:t xml:space="preserve"> הלכה על בור וחמץ, לכאורה דברים לא קשורים, אך מדובר בשני דברים שלא נמצאים בבעלות אדם והוא חב </w:t>
      </w:r>
      <w:r w:rsidR="00A759C5" w:rsidRPr="004A5120">
        <w:rPr>
          <w:rFonts w:ascii="David" w:hAnsi="David" w:cs="David" w:hint="cs"/>
          <w:sz w:val="24"/>
          <w:szCs w:val="24"/>
          <w:rtl/>
        </w:rPr>
        <w:t>באחריות עבורם. הבסיס המשפטי של שני המקרים זהה.</w:t>
      </w:r>
    </w:p>
    <w:p w14:paraId="0FC6330A" w14:textId="4329DF55" w:rsidR="00A759C5" w:rsidRPr="004A5120" w:rsidRDefault="00A759C5" w:rsidP="0024306D">
      <w:pPr>
        <w:pStyle w:val="a3"/>
        <w:numPr>
          <w:ilvl w:val="0"/>
          <w:numId w:val="1"/>
        </w:numPr>
        <w:spacing w:after="0"/>
        <w:jc w:val="both"/>
        <w:rPr>
          <w:rFonts w:ascii="David" w:hAnsi="David" w:cs="David"/>
          <w:sz w:val="24"/>
          <w:szCs w:val="24"/>
          <w:u w:val="single"/>
        </w:rPr>
      </w:pPr>
      <w:r w:rsidRPr="004A5120">
        <w:rPr>
          <w:rFonts w:ascii="David" w:hAnsi="David" w:cs="David" w:hint="cs"/>
          <w:sz w:val="24"/>
          <w:szCs w:val="24"/>
          <w:u w:val="single"/>
          <w:rtl/>
        </w:rPr>
        <w:t>פעולת גומלין בין חלקי ההלכה השונים:</w:t>
      </w:r>
    </w:p>
    <w:p w14:paraId="3869A6D5" w14:textId="66912AE1" w:rsidR="00A759C5" w:rsidRPr="004A5120" w:rsidRDefault="00A759C5" w:rsidP="001A492B">
      <w:pPr>
        <w:pStyle w:val="a3"/>
        <w:numPr>
          <w:ilvl w:val="0"/>
          <w:numId w:val="4"/>
        </w:numPr>
        <w:spacing w:after="0"/>
        <w:jc w:val="both"/>
        <w:rPr>
          <w:rFonts w:ascii="David" w:hAnsi="David" w:cs="David"/>
          <w:sz w:val="24"/>
          <w:szCs w:val="24"/>
        </w:rPr>
      </w:pPr>
      <w:r w:rsidRPr="004A5120">
        <w:rPr>
          <w:rFonts w:ascii="David" w:hAnsi="David" w:cs="David" w:hint="cs"/>
          <w:sz w:val="24"/>
          <w:szCs w:val="24"/>
          <w:u w:val="single"/>
          <w:rtl/>
        </w:rPr>
        <w:t>מזונות</w:t>
      </w:r>
      <w:r w:rsidRPr="004A5120">
        <w:rPr>
          <w:rFonts w:ascii="David" w:hAnsi="David" w:cs="David" w:hint="cs"/>
          <w:sz w:val="24"/>
          <w:szCs w:val="24"/>
          <w:rtl/>
        </w:rPr>
        <w:t>: החלה כחובה דתית, כל עוד התא היה יציב החובה הדתית הספיקה. במאה השנייה החלו סדקים בתא המשפחתי, תוקנה תקנה שמחייבת אב לשלם מזונות עד גיל 6. מתוך סמכות בית הדין לחייב אדם לשלם צדקה, ולעניי עירו קודם, ניתן לכפות על אב לפרנס את ילדיו. עקרון הכפייה "הדתי", השלים במקום שהמשפט היה חסר.</w:t>
      </w:r>
    </w:p>
    <w:p w14:paraId="6A26D573" w14:textId="660735BE" w:rsidR="00A759C5" w:rsidRPr="004A5120" w:rsidRDefault="00A759C5" w:rsidP="001A492B">
      <w:pPr>
        <w:pStyle w:val="a3"/>
        <w:numPr>
          <w:ilvl w:val="0"/>
          <w:numId w:val="4"/>
        </w:numPr>
        <w:spacing w:after="0"/>
        <w:jc w:val="both"/>
        <w:rPr>
          <w:rFonts w:ascii="David" w:hAnsi="David" w:cs="David"/>
          <w:sz w:val="24"/>
          <w:szCs w:val="24"/>
        </w:rPr>
      </w:pPr>
      <w:r w:rsidRPr="004A5120">
        <w:rPr>
          <w:rFonts w:ascii="David" w:hAnsi="David" w:cs="David" w:hint="cs"/>
          <w:sz w:val="24"/>
          <w:szCs w:val="24"/>
          <w:u w:val="single"/>
          <w:rtl/>
        </w:rPr>
        <w:t>פריעת בעל חוב מצוה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במאה הרביעית, חילוקי דעות על החובה לשלם למלווה. רבא הונא </w:t>
      </w:r>
      <w:r w:rsidRPr="004A5120">
        <w:rPr>
          <w:rFonts w:ascii="David" w:hAnsi="David" w:cs="David"/>
          <w:sz w:val="24"/>
          <w:szCs w:val="24"/>
          <w:rtl/>
        </w:rPr>
        <w:t>–</w:t>
      </w:r>
      <w:r w:rsidRPr="004A5120">
        <w:rPr>
          <w:rFonts w:ascii="David" w:hAnsi="David" w:cs="David" w:hint="cs"/>
          <w:sz w:val="24"/>
          <w:szCs w:val="24"/>
          <w:rtl/>
        </w:rPr>
        <w:t xml:space="preserve"> חובה משפטית מלאה. רב פפא </w:t>
      </w:r>
      <w:r w:rsidRPr="004A5120">
        <w:rPr>
          <w:rFonts w:ascii="David" w:hAnsi="David" w:cs="David"/>
          <w:sz w:val="24"/>
          <w:szCs w:val="24"/>
          <w:rtl/>
        </w:rPr>
        <w:t>–</w:t>
      </w:r>
      <w:r w:rsidRPr="004A5120">
        <w:rPr>
          <w:rFonts w:ascii="David" w:hAnsi="David" w:cs="David" w:hint="cs"/>
          <w:sz w:val="24"/>
          <w:szCs w:val="24"/>
          <w:rtl/>
        </w:rPr>
        <w:t xml:space="preserve"> חובה דתית מלאה, לכפות ממניעים דתיים.</w:t>
      </w:r>
    </w:p>
    <w:p w14:paraId="3DA59B81" w14:textId="110A9FB8" w:rsidR="00A759C5" w:rsidRPr="004A5120" w:rsidRDefault="00A759C5" w:rsidP="001A492B">
      <w:pPr>
        <w:pStyle w:val="a3"/>
        <w:numPr>
          <w:ilvl w:val="0"/>
          <w:numId w:val="4"/>
        </w:numPr>
        <w:spacing w:after="0"/>
        <w:jc w:val="both"/>
        <w:rPr>
          <w:rFonts w:ascii="David" w:hAnsi="David" w:cs="David"/>
          <w:sz w:val="24"/>
          <w:szCs w:val="24"/>
        </w:rPr>
      </w:pPr>
      <w:r w:rsidRPr="004A5120">
        <w:rPr>
          <w:rFonts w:ascii="David" w:hAnsi="David" w:cs="David" w:hint="cs"/>
          <w:sz w:val="24"/>
          <w:szCs w:val="24"/>
          <w:u w:val="single"/>
          <w:rtl/>
        </w:rPr>
        <w:t>העמדת התחייבות על ידי נדר, חרם ושבועה</w:t>
      </w:r>
      <w:r w:rsidR="00480E4F" w:rsidRPr="004A5120">
        <w:rPr>
          <w:rFonts w:ascii="David" w:hAnsi="David" w:cs="David" w:hint="cs"/>
          <w:sz w:val="24"/>
          <w:szCs w:val="24"/>
          <w:rtl/>
        </w:rPr>
        <w:t xml:space="preserve"> </w:t>
      </w:r>
      <w:r w:rsidR="003F3652" w:rsidRPr="004A5120">
        <w:rPr>
          <w:rFonts w:ascii="David" w:hAnsi="David" w:cs="David"/>
          <w:sz w:val="24"/>
          <w:szCs w:val="24"/>
          <w:rtl/>
        </w:rPr>
        <w:t>–</w:t>
      </w:r>
      <w:r w:rsidR="00480E4F" w:rsidRPr="004A5120">
        <w:rPr>
          <w:rFonts w:ascii="David" w:hAnsi="David" w:cs="David" w:hint="cs"/>
          <w:sz w:val="24"/>
          <w:szCs w:val="24"/>
          <w:rtl/>
        </w:rPr>
        <w:t xml:space="preserve"> </w:t>
      </w:r>
      <w:r w:rsidR="003F3652" w:rsidRPr="004A5120">
        <w:rPr>
          <w:rFonts w:ascii="David" w:hAnsi="David" w:cs="David" w:hint="cs"/>
          <w:sz w:val="24"/>
          <w:szCs w:val="24"/>
          <w:rtl/>
        </w:rPr>
        <w:t>מאפשר להתחייב על דברים שהדין המשפטי לא אפשר אותם. שוב, ההלכה הדתית משלימה את המשפטית.</w:t>
      </w:r>
    </w:p>
    <w:p w14:paraId="5F9E2318" w14:textId="1AB4496C" w:rsidR="003F3652" w:rsidRPr="004A5120" w:rsidRDefault="003F3652" w:rsidP="001A492B">
      <w:pPr>
        <w:pStyle w:val="a3"/>
        <w:numPr>
          <w:ilvl w:val="0"/>
          <w:numId w:val="4"/>
        </w:numPr>
        <w:spacing w:after="0"/>
        <w:jc w:val="both"/>
        <w:rPr>
          <w:rFonts w:ascii="David" w:hAnsi="David" w:cs="David"/>
          <w:sz w:val="24"/>
          <w:szCs w:val="24"/>
        </w:rPr>
      </w:pPr>
      <w:r w:rsidRPr="004A5120">
        <w:rPr>
          <w:rFonts w:ascii="David" w:hAnsi="David" w:cs="David" w:hint="cs"/>
          <w:sz w:val="24"/>
          <w:szCs w:val="24"/>
          <w:u w:val="single"/>
          <w:rtl/>
        </w:rPr>
        <w:t>מהות פסק דין גירושין</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קושי בגלל ניסוח שונה של שופטים שונים ("מצווה" ולא "חיוב", ראוי" במקום "צריך". דעת הרוב קבעה שניתן לראות בניסוח זה פסק דין.</w:t>
      </w:r>
    </w:p>
    <w:p w14:paraId="22A2B496" w14:textId="0C662B0B" w:rsidR="00A759C5" w:rsidRPr="004A5120" w:rsidRDefault="00A759C5" w:rsidP="0024306D">
      <w:pPr>
        <w:spacing w:after="0"/>
        <w:jc w:val="both"/>
        <w:rPr>
          <w:rFonts w:ascii="David" w:hAnsi="David" w:cs="David"/>
          <w:sz w:val="24"/>
          <w:szCs w:val="24"/>
          <w:rtl/>
        </w:rPr>
      </w:pPr>
    </w:p>
    <w:p w14:paraId="468DFF37" w14:textId="77777777" w:rsidR="00A759C5" w:rsidRPr="004A5120" w:rsidRDefault="00A759C5" w:rsidP="0024306D">
      <w:pPr>
        <w:spacing w:after="0"/>
        <w:jc w:val="both"/>
        <w:rPr>
          <w:rFonts w:ascii="David" w:hAnsi="David" w:cs="David"/>
          <w:sz w:val="24"/>
          <w:szCs w:val="24"/>
        </w:rPr>
      </w:pPr>
    </w:p>
    <w:p w14:paraId="3DA88EBB" w14:textId="77777777" w:rsidR="002B3F3F" w:rsidRPr="004A5120" w:rsidRDefault="002B3F3F" w:rsidP="0024306D">
      <w:pPr>
        <w:spacing w:after="0"/>
        <w:jc w:val="both"/>
        <w:rPr>
          <w:rFonts w:ascii="David" w:hAnsi="David" w:cs="David"/>
          <w:b/>
          <w:bCs/>
          <w:sz w:val="24"/>
          <w:szCs w:val="24"/>
          <w:u w:val="single"/>
          <w:rtl/>
        </w:rPr>
      </w:pPr>
    </w:p>
    <w:p w14:paraId="57AF6E90" w14:textId="77777777" w:rsidR="002B3F3F" w:rsidRPr="004A5120" w:rsidRDefault="002B3F3F" w:rsidP="0024306D">
      <w:pPr>
        <w:spacing w:after="0"/>
        <w:jc w:val="both"/>
        <w:rPr>
          <w:rFonts w:ascii="David" w:hAnsi="David" w:cs="David"/>
          <w:b/>
          <w:bCs/>
          <w:sz w:val="24"/>
          <w:szCs w:val="24"/>
          <w:u w:val="single"/>
          <w:rtl/>
        </w:rPr>
      </w:pPr>
    </w:p>
    <w:p w14:paraId="05B3119D" w14:textId="77777777" w:rsidR="002B3F3F" w:rsidRPr="004A5120" w:rsidRDefault="002B3F3F" w:rsidP="0024306D">
      <w:pPr>
        <w:spacing w:after="0"/>
        <w:jc w:val="both"/>
        <w:rPr>
          <w:rFonts w:ascii="David" w:hAnsi="David" w:cs="David"/>
          <w:b/>
          <w:bCs/>
          <w:sz w:val="24"/>
          <w:szCs w:val="24"/>
          <w:u w:val="single"/>
          <w:rtl/>
        </w:rPr>
      </w:pPr>
    </w:p>
    <w:p w14:paraId="357ADC15" w14:textId="77777777" w:rsidR="002B3F3F" w:rsidRPr="004A5120" w:rsidRDefault="002B3F3F" w:rsidP="0024306D">
      <w:pPr>
        <w:spacing w:after="0"/>
        <w:jc w:val="both"/>
        <w:rPr>
          <w:rFonts w:ascii="David" w:hAnsi="David" w:cs="David"/>
          <w:b/>
          <w:bCs/>
          <w:sz w:val="24"/>
          <w:szCs w:val="24"/>
          <w:u w:val="single"/>
          <w:rtl/>
        </w:rPr>
      </w:pPr>
    </w:p>
    <w:p w14:paraId="22E52C36" w14:textId="77777777" w:rsidR="002B3F3F" w:rsidRPr="004A5120" w:rsidRDefault="002B3F3F" w:rsidP="0024306D">
      <w:pPr>
        <w:spacing w:after="0"/>
        <w:jc w:val="both"/>
        <w:rPr>
          <w:rFonts w:ascii="David" w:hAnsi="David" w:cs="David"/>
          <w:b/>
          <w:bCs/>
          <w:sz w:val="24"/>
          <w:szCs w:val="24"/>
          <w:u w:val="single"/>
          <w:rtl/>
        </w:rPr>
      </w:pPr>
    </w:p>
    <w:p w14:paraId="762B32DC" w14:textId="77777777" w:rsidR="002B3F3F" w:rsidRPr="004A5120" w:rsidRDefault="002B3F3F" w:rsidP="0024306D">
      <w:pPr>
        <w:spacing w:after="0"/>
        <w:jc w:val="both"/>
        <w:rPr>
          <w:rFonts w:ascii="David" w:hAnsi="David" w:cs="David"/>
          <w:b/>
          <w:bCs/>
          <w:sz w:val="24"/>
          <w:szCs w:val="24"/>
          <w:u w:val="single"/>
          <w:rtl/>
        </w:rPr>
      </w:pPr>
    </w:p>
    <w:p w14:paraId="2561ED24" w14:textId="77777777" w:rsidR="0024306D" w:rsidRPr="004A5120" w:rsidRDefault="0024306D" w:rsidP="0024306D">
      <w:pPr>
        <w:spacing w:after="0"/>
        <w:jc w:val="both"/>
        <w:rPr>
          <w:rFonts w:ascii="David" w:hAnsi="David" w:cs="David"/>
          <w:b/>
          <w:bCs/>
          <w:sz w:val="24"/>
          <w:szCs w:val="24"/>
          <w:u w:val="single"/>
          <w:rtl/>
        </w:rPr>
      </w:pPr>
    </w:p>
    <w:p w14:paraId="20624D7A" w14:textId="65EBE29F" w:rsidR="00A163FE" w:rsidRPr="004A5120" w:rsidRDefault="002B3F3F"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מאמר משפט ותורה:</w:t>
      </w:r>
    </w:p>
    <w:p w14:paraId="703812CD" w14:textId="67782EAC" w:rsidR="002B3F3F" w:rsidRPr="004A5120" w:rsidRDefault="00553F81" w:rsidP="0024306D">
      <w:pPr>
        <w:spacing w:after="0"/>
        <w:jc w:val="both"/>
        <w:rPr>
          <w:rFonts w:ascii="David" w:hAnsi="David" w:cs="David"/>
          <w:b/>
          <w:bCs/>
          <w:sz w:val="24"/>
          <w:szCs w:val="24"/>
          <w:u w:val="single"/>
          <w:rtl/>
        </w:rPr>
      </w:pPr>
      <w:r>
        <w:rPr>
          <w:rFonts w:ascii="David" w:hAnsi="David" w:cs="David" w:hint="cs"/>
          <w:b/>
          <w:bCs/>
          <w:sz w:val="24"/>
          <w:szCs w:val="24"/>
          <w:u w:val="single"/>
          <w:rtl/>
        </w:rPr>
        <w:t xml:space="preserve"> </w:t>
      </w:r>
    </w:p>
    <w:p w14:paraId="673E31DE" w14:textId="55B14D22" w:rsidR="002B3F3F" w:rsidRPr="004A5120" w:rsidRDefault="002B3F3F" w:rsidP="0024306D">
      <w:pPr>
        <w:spacing w:after="0"/>
        <w:jc w:val="both"/>
        <w:rPr>
          <w:rFonts w:ascii="David" w:hAnsi="David" w:cs="David"/>
          <w:sz w:val="24"/>
          <w:szCs w:val="24"/>
          <w:u w:val="single"/>
        </w:rPr>
      </w:pPr>
      <w:r w:rsidRPr="004A5120">
        <w:rPr>
          <w:rFonts w:ascii="David" w:hAnsi="David" w:cs="David" w:hint="cs"/>
          <w:sz w:val="24"/>
          <w:szCs w:val="24"/>
          <w:u w:val="single"/>
          <w:rtl/>
        </w:rPr>
        <w:t>מדרש יוצר ומדרש מקיים:</w:t>
      </w:r>
    </w:p>
    <w:p w14:paraId="53D67F22" w14:textId="022DB2E6" w:rsidR="00FB5BFD" w:rsidRPr="004A5120" w:rsidRDefault="002B3F3F" w:rsidP="0024306D">
      <w:pPr>
        <w:spacing w:after="0"/>
        <w:jc w:val="both"/>
        <w:rPr>
          <w:rFonts w:ascii="David" w:hAnsi="David" w:cs="David"/>
          <w:sz w:val="24"/>
          <w:szCs w:val="24"/>
          <w:rtl/>
        </w:rPr>
      </w:pPr>
      <w:r w:rsidRPr="004A5120">
        <w:rPr>
          <w:rFonts w:ascii="David" w:hAnsi="David" w:cs="David" w:hint="cs"/>
          <w:sz w:val="24"/>
          <w:szCs w:val="24"/>
          <w:rtl/>
        </w:rPr>
        <w:t xml:space="preserve">מדרש </w:t>
      </w:r>
      <w:r w:rsidRPr="004A5120">
        <w:rPr>
          <w:rFonts w:ascii="David" w:hAnsi="David" w:cs="David"/>
          <w:sz w:val="24"/>
          <w:szCs w:val="24"/>
          <w:rtl/>
        </w:rPr>
        <w:t>–</w:t>
      </w:r>
      <w:r w:rsidRPr="004A5120">
        <w:rPr>
          <w:rFonts w:ascii="David" w:hAnsi="David" w:cs="David" w:hint="cs"/>
          <w:sz w:val="24"/>
          <w:szCs w:val="24"/>
          <w:rtl/>
        </w:rPr>
        <w:t xml:space="preserve"> הלכה שנלמדת ונסמכת על פסוק מהתורה. נשאלת השאלה האם המדרש הוא צורה ספרותית ללימוד הלכות קיימות או שהפסוק הוא המקור של ההלכה (בלי הפסוק לא הייתה הלכה).</w:t>
      </w:r>
    </w:p>
    <w:p w14:paraId="2E34D94E" w14:textId="3C813E36" w:rsidR="002B3F3F" w:rsidRPr="004A5120" w:rsidRDefault="002B3F3F" w:rsidP="0024306D">
      <w:pPr>
        <w:spacing w:after="0"/>
        <w:jc w:val="both"/>
        <w:rPr>
          <w:rFonts w:ascii="David" w:hAnsi="David" w:cs="David"/>
          <w:sz w:val="24"/>
          <w:szCs w:val="24"/>
          <w:rtl/>
        </w:rPr>
      </w:pPr>
    </w:p>
    <w:p w14:paraId="453C62ED" w14:textId="4B203F61" w:rsidR="002B3F3F" w:rsidRPr="004A5120" w:rsidRDefault="002B3F3F" w:rsidP="0024306D">
      <w:pPr>
        <w:spacing w:after="0"/>
        <w:jc w:val="both"/>
        <w:rPr>
          <w:rFonts w:ascii="David" w:hAnsi="David" w:cs="David"/>
          <w:sz w:val="24"/>
          <w:szCs w:val="24"/>
          <w:rtl/>
        </w:rPr>
      </w:pPr>
      <w:r w:rsidRPr="004A5120">
        <w:rPr>
          <w:rFonts w:ascii="David" w:hAnsi="David" w:cs="David" w:hint="cs"/>
          <w:sz w:val="24"/>
          <w:szCs w:val="24"/>
          <w:rtl/>
        </w:rPr>
        <w:t xml:space="preserve">דוג' </w:t>
      </w:r>
      <w:r w:rsidRPr="004A5120">
        <w:rPr>
          <w:rFonts w:ascii="David" w:hAnsi="David" w:cs="David"/>
          <w:sz w:val="24"/>
          <w:szCs w:val="24"/>
          <w:rtl/>
        </w:rPr>
        <w:t>–</w:t>
      </w:r>
      <w:r w:rsidRPr="004A5120">
        <w:rPr>
          <w:rFonts w:ascii="David" w:hAnsi="David" w:cs="David" w:hint="cs"/>
          <w:sz w:val="24"/>
          <w:szCs w:val="24"/>
          <w:rtl/>
        </w:rPr>
        <w:t xml:space="preserve"> ויקרא ה\א:</w:t>
      </w:r>
    </w:p>
    <w:p w14:paraId="2F2C4ED8" w14:textId="3F03C5CA" w:rsidR="002B3F3F" w:rsidRPr="004A5120" w:rsidRDefault="002B3F3F" w:rsidP="0024306D">
      <w:pPr>
        <w:spacing w:after="0"/>
        <w:jc w:val="both"/>
        <w:rPr>
          <w:rFonts w:ascii="David" w:hAnsi="David" w:cs="David"/>
          <w:sz w:val="24"/>
          <w:szCs w:val="24"/>
          <w:rtl/>
        </w:rPr>
      </w:pPr>
      <w:r w:rsidRPr="004A5120">
        <w:rPr>
          <w:rFonts w:ascii="David" w:hAnsi="David" w:cs="David" w:hint="cs"/>
          <w:i/>
          <w:iCs/>
          <w:sz w:val="24"/>
          <w:szCs w:val="24"/>
          <w:rtl/>
        </w:rPr>
        <w:t xml:space="preserve">"ונפש כי תחטא ושמעה קול אלה, והוא עד או ראה או ידע, אם לוא יגיד </w:t>
      </w:r>
      <w:r w:rsidRPr="004A5120">
        <w:rPr>
          <w:rFonts w:ascii="David" w:hAnsi="David" w:cs="David"/>
          <w:i/>
          <w:iCs/>
          <w:sz w:val="24"/>
          <w:szCs w:val="24"/>
          <w:rtl/>
        </w:rPr>
        <w:t>–</w:t>
      </w:r>
      <w:r w:rsidRPr="004A5120">
        <w:rPr>
          <w:rFonts w:ascii="David" w:hAnsi="David" w:cs="David" w:hint="cs"/>
          <w:i/>
          <w:iCs/>
          <w:sz w:val="24"/>
          <w:szCs w:val="24"/>
          <w:rtl/>
        </w:rPr>
        <w:t xml:space="preserve"> ונשא עונו". </w:t>
      </w:r>
      <w:r w:rsidRPr="004A5120">
        <w:rPr>
          <w:rFonts w:ascii="David" w:hAnsi="David" w:cs="David"/>
          <w:i/>
          <w:iCs/>
          <w:sz w:val="24"/>
          <w:szCs w:val="24"/>
          <w:rtl/>
        </w:rPr>
        <w:t>–</w:t>
      </w:r>
      <w:r w:rsidRPr="004A5120">
        <w:rPr>
          <w:rFonts w:ascii="David" w:hAnsi="David" w:cs="David" w:hint="cs"/>
          <w:i/>
          <w:iCs/>
          <w:sz w:val="24"/>
          <w:szCs w:val="24"/>
          <w:rtl/>
        </w:rPr>
        <w:t xml:space="preserve"> </w:t>
      </w:r>
      <w:r w:rsidRPr="004A5120">
        <w:rPr>
          <w:rFonts w:ascii="David" w:hAnsi="David" w:cs="David" w:hint="cs"/>
          <w:sz w:val="24"/>
          <w:szCs w:val="24"/>
          <w:rtl/>
        </w:rPr>
        <w:t>משמע, לפי הפשט ניתן ללמוד כי חובת העדות רלוונטית לכל עדות.</w:t>
      </w:r>
    </w:p>
    <w:p w14:paraId="0EC79D58" w14:textId="29C542A8" w:rsidR="002B3F3F" w:rsidRPr="004A5120" w:rsidRDefault="002B3F3F" w:rsidP="0024306D">
      <w:pPr>
        <w:spacing w:after="0"/>
        <w:jc w:val="both"/>
        <w:rPr>
          <w:rFonts w:ascii="David" w:hAnsi="David" w:cs="David"/>
          <w:sz w:val="24"/>
          <w:szCs w:val="24"/>
          <w:rtl/>
        </w:rPr>
      </w:pPr>
      <w:r w:rsidRPr="004A5120">
        <w:rPr>
          <w:rFonts w:ascii="David" w:hAnsi="David" w:cs="David" w:hint="cs"/>
          <w:sz w:val="24"/>
          <w:szCs w:val="24"/>
          <w:rtl/>
        </w:rPr>
        <w:t>בתוספתא (שבועות, ג\ח), מפורש אחרת:</w:t>
      </w:r>
    </w:p>
    <w:p w14:paraId="0F9AE945" w14:textId="7C4A1F04" w:rsidR="002B3F3F" w:rsidRPr="004A5120" w:rsidRDefault="002B3F3F" w:rsidP="0024306D">
      <w:pPr>
        <w:spacing w:after="0"/>
        <w:jc w:val="both"/>
        <w:rPr>
          <w:rFonts w:ascii="David" w:hAnsi="David" w:cs="David"/>
          <w:sz w:val="24"/>
          <w:szCs w:val="24"/>
          <w:rtl/>
        </w:rPr>
      </w:pPr>
      <w:r w:rsidRPr="004A5120">
        <w:rPr>
          <w:rFonts w:ascii="David" w:hAnsi="David" w:cs="David" w:hint="cs"/>
          <w:i/>
          <w:iCs/>
          <w:sz w:val="24"/>
          <w:szCs w:val="24"/>
          <w:rtl/>
        </w:rPr>
        <w:t>"והוא</w:t>
      </w:r>
      <w:r w:rsidR="009D5617">
        <w:rPr>
          <w:rFonts w:ascii="David" w:hAnsi="David" w:cs="David" w:hint="cs"/>
          <w:i/>
          <w:iCs/>
          <w:sz w:val="24"/>
          <w:szCs w:val="24"/>
          <w:rtl/>
        </w:rPr>
        <w:t xml:space="preserve"> </w:t>
      </w:r>
      <w:r w:rsidRPr="004A5120">
        <w:rPr>
          <w:rFonts w:ascii="David" w:hAnsi="David" w:cs="David" w:hint="cs"/>
          <w:i/>
          <w:iCs/>
          <w:sz w:val="24"/>
          <w:szCs w:val="24"/>
          <w:rtl/>
        </w:rPr>
        <w:t xml:space="preserve"> עד- הכשר לעדות, ושמעה </w:t>
      </w:r>
      <w:r w:rsidRPr="004A5120">
        <w:rPr>
          <w:rFonts w:ascii="David" w:hAnsi="David" w:cs="David"/>
          <w:i/>
          <w:iCs/>
          <w:sz w:val="24"/>
          <w:szCs w:val="24"/>
          <w:rtl/>
        </w:rPr>
        <w:t>–</w:t>
      </w:r>
      <w:r w:rsidRPr="004A5120">
        <w:rPr>
          <w:rFonts w:ascii="David" w:hAnsi="David" w:cs="David" w:hint="cs"/>
          <w:i/>
          <w:iCs/>
          <w:sz w:val="24"/>
          <w:szCs w:val="24"/>
          <w:rtl/>
        </w:rPr>
        <w:t xml:space="preserve"> להוציא את החרש, או ראה </w:t>
      </w:r>
      <w:r w:rsidRPr="004A5120">
        <w:rPr>
          <w:rFonts w:ascii="David" w:hAnsi="David" w:cs="David"/>
          <w:i/>
          <w:iCs/>
          <w:sz w:val="24"/>
          <w:szCs w:val="24"/>
          <w:rtl/>
        </w:rPr>
        <w:t>–</w:t>
      </w:r>
      <w:r w:rsidRPr="004A5120">
        <w:rPr>
          <w:rFonts w:ascii="David" w:hAnsi="David" w:cs="David" w:hint="cs"/>
          <w:i/>
          <w:iCs/>
          <w:sz w:val="24"/>
          <w:szCs w:val="24"/>
          <w:rtl/>
        </w:rPr>
        <w:t xml:space="preserve"> להוציא </w:t>
      </w:r>
      <w:r w:rsidR="00553F81">
        <w:rPr>
          <w:rFonts w:ascii="David" w:hAnsi="David" w:cs="David" w:hint="cs"/>
          <w:i/>
          <w:iCs/>
          <w:sz w:val="24"/>
          <w:szCs w:val="24"/>
          <w:rtl/>
        </w:rPr>
        <w:t>א</w:t>
      </w:r>
      <w:r w:rsidRPr="004A5120">
        <w:rPr>
          <w:rFonts w:ascii="David" w:hAnsi="David" w:cs="David" w:hint="cs"/>
          <w:i/>
          <w:iCs/>
          <w:sz w:val="24"/>
          <w:szCs w:val="24"/>
          <w:rtl/>
        </w:rPr>
        <w:t xml:space="preserve">ת הסומא, או ידע </w:t>
      </w:r>
      <w:r w:rsidRPr="004A5120">
        <w:rPr>
          <w:rFonts w:ascii="David" w:hAnsi="David" w:cs="David"/>
          <w:i/>
          <w:iCs/>
          <w:sz w:val="24"/>
          <w:szCs w:val="24"/>
          <w:rtl/>
        </w:rPr>
        <w:t>–</w:t>
      </w:r>
      <w:r w:rsidRPr="004A5120">
        <w:rPr>
          <w:rFonts w:ascii="David" w:hAnsi="David" w:cs="David" w:hint="cs"/>
          <w:i/>
          <w:iCs/>
          <w:sz w:val="24"/>
          <w:szCs w:val="24"/>
          <w:rtl/>
        </w:rPr>
        <w:t xml:space="preserve"> להוציא את השוטה, אם לא יגיד ונשא עונו </w:t>
      </w:r>
      <w:r w:rsidRPr="004A5120">
        <w:rPr>
          <w:rFonts w:ascii="David" w:hAnsi="David" w:cs="David"/>
          <w:i/>
          <w:iCs/>
          <w:sz w:val="24"/>
          <w:szCs w:val="24"/>
          <w:rtl/>
        </w:rPr>
        <w:t>–</w:t>
      </w:r>
      <w:r w:rsidRPr="004A5120">
        <w:rPr>
          <w:rFonts w:ascii="David" w:hAnsi="David" w:cs="David" w:hint="cs"/>
          <w:i/>
          <w:iCs/>
          <w:sz w:val="24"/>
          <w:szCs w:val="24"/>
          <w:rtl/>
        </w:rPr>
        <w:t xml:space="preserve"> להוציא את האילם" </w:t>
      </w:r>
      <w:r w:rsidRPr="004A5120">
        <w:rPr>
          <w:rFonts w:ascii="David" w:hAnsi="David" w:cs="David" w:hint="cs"/>
          <w:sz w:val="24"/>
          <w:szCs w:val="24"/>
          <w:rtl/>
        </w:rPr>
        <w:t>-דברי הראשונים.</w:t>
      </w:r>
    </w:p>
    <w:p w14:paraId="50B95F26" w14:textId="026C23B1" w:rsidR="002B3F3F" w:rsidRPr="004A5120" w:rsidRDefault="002B3F3F" w:rsidP="0024306D">
      <w:pPr>
        <w:spacing w:after="0"/>
        <w:jc w:val="both"/>
        <w:rPr>
          <w:rFonts w:ascii="David" w:hAnsi="David" w:cs="David"/>
          <w:sz w:val="24"/>
          <w:szCs w:val="24"/>
          <w:rtl/>
        </w:rPr>
      </w:pPr>
      <w:r w:rsidRPr="004A5120">
        <w:rPr>
          <w:rFonts w:ascii="David" w:hAnsi="David" w:cs="David" w:hint="cs"/>
          <w:i/>
          <w:iCs/>
          <w:sz w:val="24"/>
          <w:szCs w:val="24"/>
          <w:rtl/>
        </w:rPr>
        <w:t>"</w:t>
      </w:r>
      <w:r w:rsidR="00844D77" w:rsidRPr="004A5120">
        <w:rPr>
          <w:rFonts w:ascii="David" w:hAnsi="David" w:cs="David" w:hint="cs"/>
          <w:i/>
          <w:iCs/>
          <w:sz w:val="24"/>
          <w:szCs w:val="24"/>
          <w:rtl/>
        </w:rPr>
        <w:t xml:space="preserve">ודרשת וחקרת ושאלת היטב </w:t>
      </w:r>
      <w:r w:rsidR="00844D77" w:rsidRPr="004A5120">
        <w:rPr>
          <w:rFonts w:ascii="David" w:hAnsi="David" w:cs="David"/>
          <w:i/>
          <w:iCs/>
          <w:sz w:val="24"/>
          <w:szCs w:val="24"/>
          <w:rtl/>
        </w:rPr>
        <w:t>–</w:t>
      </w:r>
      <w:r w:rsidR="00844D77" w:rsidRPr="004A5120">
        <w:rPr>
          <w:rFonts w:ascii="David" w:hAnsi="David" w:cs="David" w:hint="cs"/>
          <w:i/>
          <w:iCs/>
          <w:sz w:val="24"/>
          <w:szCs w:val="24"/>
          <w:rtl/>
        </w:rPr>
        <w:t xml:space="preserve"> וכי יש דורשין לחרשים ויש חוקרין לשוטים?" </w:t>
      </w:r>
      <w:r w:rsidR="00844D77" w:rsidRPr="004A5120">
        <w:rPr>
          <w:rFonts w:ascii="David" w:hAnsi="David" w:cs="David"/>
          <w:i/>
          <w:iCs/>
          <w:sz w:val="24"/>
          <w:szCs w:val="24"/>
          <w:rtl/>
        </w:rPr>
        <w:t>–</w:t>
      </w:r>
      <w:r w:rsidR="00844D77" w:rsidRPr="004A5120">
        <w:rPr>
          <w:rFonts w:ascii="David" w:hAnsi="David" w:cs="David" w:hint="cs"/>
          <w:i/>
          <w:iCs/>
          <w:sz w:val="24"/>
          <w:szCs w:val="24"/>
          <w:rtl/>
        </w:rPr>
        <w:t xml:space="preserve"> </w:t>
      </w:r>
      <w:r w:rsidR="00844D77" w:rsidRPr="004A5120">
        <w:rPr>
          <w:rFonts w:ascii="David" w:hAnsi="David" w:cs="David" w:hint="cs"/>
          <w:sz w:val="24"/>
          <w:szCs w:val="24"/>
          <w:rtl/>
        </w:rPr>
        <w:t xml:space="preserve">רבי עקיבא (דברים </w:t>
      </w:r>
      <w:proofErr w:type="spellStart"/>
      <w:r w:rsidR="00844D77" w:rsidRPr="004A5120">
        <w:rPr>
          <w:rFonts w:ascii="David" w:hAnsi="David" w:cs="David" w:hint="cs"/>
          <w:sz w:val="24"/>
          <w:szCs w:val="24"/>
          <w:rtl/>
        </w:rPr>
        <w:t>יג</w:t>
      </w:r>
      <w:proofErr w:type="spellEnd"/>
      <w:r w:rsidR="00844D77" w:rsidRPr="004A5120">
        <w:rPr>
          <w:rFonts w:ascii="David" w:hAnsi="David" w:cs="David" w:hint="cs"/>
          <w:sz w:val="24"/>
          <w:szCs w:val="24"/>
          <w:rtl/>
        </w:rPr>
        <w:t xml:space="preserve"> טו).</w:t>
      </w:r>
    </w:p>
    <w:p w14:paraId="5B83326F" w14:textId="7CC4F842" w:rsidR="00844D77" w:rsidRPr="004A5120" w:rsidRDefault="00844D77" w:rsidP="0024306D">
      <w:pPr>
        <w:spacing w:after="0"/>
        <w:jc w:val="both"/>
        <w:rPr>
          <w:rFonts w:ascii="David" w:hAnsi="David" w:cs="David"/>
          <w:sz w:val="24"/>
          <w:szCs w:val="24"/>
          <w:rtl/>
        </w:rPr>
      </w:pPr>
      <w:r w:rsidRPr="004A5120">
        <w:rPr>
          <w:rFonts w:ascii="David" w:hAnsi="David" w:cs="David" w:hint="cs"/>
          <w:sz w:val="24"/>
          <w:szCs w:val="24"/>
          <w:rtl/>
        </w:rPr>
        <w:t>התוספתא לשני הראשונים, באה ללמד הלכה עקרונית, לפיה יש פסולים לעדות, אך היא לא אומרת זאת באופן ישיר. הראשונים מגיעים למסקנה שיש פסולי דין לפי דרישת הפסוק, בעוד רבי עקיבא יוצא מנקודת הנחה שיש פסולי דין מתוך העובד</w:t>
      </w:r>
      <w:r w:rsidR="00553F81">
        <w:rPr>
          <w:rFonts w:ascii="David" w:hAnsi="David" w:cs="David" w:hint="cs"/>
          <w:sz w:val="24"/>
          <w:szCs w:val="24"/>
          <w:rtl/>
        </w:rPr>
        <w:t>ה</w:t>
      </w:r>
      <w:r w:rsidRPr="004A5120">
        <w:rPr>
          <w:rFonts w:ascii="David" w:hAnsi="David" w:cs="David" w:hint="cs"/>
          <w:sz w:val="24"/>
          <w:szCs w:val="24"/>
          <w:rtl/>
        </w:rPr>
        <w:t xml:space="preserve"> שלא ניתן לחקור אותם.</w:t>
      </w:r>
      <w:r w:rsidR="009D5617">
        <w:rPr>
          <w:rFonts w:ascii="David" w:hAnsi="David" w:cs="David" w:hint="cs"/>
          <w:sz w:val="24"/>
          <w:szCs w:val="24"/>
          <w:rtl/>
        </w:rPr>
        <w:t xml:space="preserve"> מדובר בשילוב של מדרש יוצר ומדרש מקיים.</w:t>
      </w:r>
    </w:p>
    <w:p w14:paraId="2385265B" w14:textId="461D3312" w:rsidR="00844D77" w:rsidRPr="004A5120" w:rsidRDefault="00844D77" w:rsidP="0024306D">
      <w:pPr>
        <w:spacing w:after="0"/>
        <w:jc w:val="both"/>
        <w:rPr>
          <w:rFonts w:ascii="David" w:hAnsi="David" w:cs="David"/>
          <w:sz w:val="24"/>
          <w:szCs w:val="24"/>
          <w:rtl/>
        </w:rPr>
      </w:pPr>
    </w:p>
    <w:p w14:paraId="693D145A" w14:textId="15E7278D" w:rsidR="00844D77" w:rsidRPr="004A5120" w:rsidRDefault="00844D77" w:rsidP="0024306D">
      <w:pPr>
        <w:spacing w:after="0"/>
        <w:jc w:val="both"/>
        <w:rPr>
          <w:rFonts w:ascii="David" w:hAnsi="David" w:cs="David"/>
          <w:sz w:val="24"/>
          <w:szCs w:val="24"/>
          <w:rtl/>
        </w:rPr>
      </w:pPr>
      <w:r w:rsidRPr="004A5120">
        <w:rPr>
          <w:rFonts w:ascii="David" w:hAnsi="David" w:cs="David" w:hint="cs"/>
          <w:sz w:val="24"/>
          <w:szCs w:val="24"/>
          <w:rtl/>
        </w:rPr>
        <w:t xml:space="preserve">חוזרים לשאלה הראשונה </w:t>
      </w:r>
      <w:r w:rsidRPr="004A5120">
        <w:rPr>
          <w:rFonts w:ascii="David" w:hAnsi="David" w:cs="David"/>
          <w:sz w:val="24"/>
          <w:szCs w:val="24"/>
          <w:rtl/>
        </w:rPr>
        <w:t>–</w:t>
      </w:r>
      <w:r w:rsidRPr="004A5120">
        <w:rPr>
          <w:rFonts w:ascii="David" w:hAnsi="David" w:cs="David" w:hint="cs"/>
          <w:sz w:val="24"/>
          <w:szCs w:val="24"/>
          <w:rtl/>
        </w:rPr>
        <w:t xml:space="preserve"> האם המדרש הוא צורה ספרותית או שהפסוק הוא מקור ההלכה?</w:t>
      </w:r>
    </w:p>
    <w:p w14:paraId="43A0329C" w14:textId="665BBB2F" w:rsidR="00844D77" w:rsidRPr="004A5120" w:rsidRDefault="00844D77" w:rsidP="0024306D">
      <w:pPr>
        <w:spacing w:after="0"/>
        <w:jc w:val="both"/>
        <w:rPr>
          <w:rFonts w:ascii="David" w:hAnsi="David" w:cs="David"/>
          <w:sz w:val="24"/>
          <w:szCs w:val="24"/>
          <w:rtl/>
        </w:rPr>
      </w:pPr>
      <w:r w:rsidRPr="004A5120">
        <w:rPr>
          <w:rFonts w:ascii="David" w:hAnsi="David" w:cs="David" w:hint="cs"/>
          <w:sz w:val="24"/>
          <w:szCs w:val="24"/>
          <w:rtl/>
        </w:rPr>
        <w:t>ניתן להסיק שנשענים על פסוקים מהתורה משתי סיבות: 1. יותר קל לזכור. 2. קשר בין התורה שבכתב לתורה שבעל פה.</w:t>
      </w:r>
    </w:p>
    <w:p w14:paraId="6828DA48" w14:textId="024ADEB1" w:rsidR="00844D77" w:rsidRPr="004A5120" w:rsidRDefault="00844D77" w:rsidP="00844D77">
      <w:pPr>
        <w:spacing w:after="0"/>
        <w:rPr>
          <w:rFonts w:ascii="David" w:hAnsi="David" w:cs="David"/>
          <w:sz w:val="24"/>
          <w:szCs w:val="24"/>
          <w:rtl/>
        </w:rPr>
      </w:pPr>
    </w:p>
    <w:p w14:paraId="0D4DDA4F" w14:textId="67B7D814" w:rsidR="00844D77" w:rsidRPr="004A5120" w:rsidRDefault="0000187E" w:rsidP="0000187E">
      <w:pPr>
        <w:spacing w:after="0"/>
        <w:jc w:val="center"/>
        <w:rPr>
          <w:rFonts w:ascii="David" w:hAnsi="David" w:cs="David"/>
          <w:b/>
          <w:bCs/>
          <w:sz w:val="24"/>
          <w:szCs w:val="24"/>
          <w:rtl/>
        </w:rPr>
      </w:pPr>
      <w:r w:rsidRPr="004A5120">
        <w:rPr>
          <w:rFonts w:ascii="David" w:hAnsi="David" w:cs="David" w:hint="cs"/>
          <w:b/>
          <w:bCs/>
          <w:sz w:val="24"/>
          <w:szCs w:val="24"/>
          <w:rtl/>
        </w:rPr>
        <w:t xml:space="preserve">מדרש יוצר - </w:t>
      </w:r>
      <w:r w:rsidR="00844D77" w:rsidRPr="004A5120">
        <w:rPr>
          <w:rFonts w:ascii="David" w:hAnsi="David" w:cs="David" w:hint="cs"/>
          <w:b/>
          <w:bCs/>
          <w:sz w:val="24"/>
          <w:szCs w:val="24"/>
          <w:rtl/>
        </w:rPr>
        <w:t>אם המדרש הוא צורה ספרותית, משמע שהמדרש יצר את ההלכה והוא המקור לה.</w:t>
      </w:r>
    </w:p>
    <w:p w14:paraId="56631569" w14:textId="27C27ED4" w:rsidR="00844D77" w:rsidRPr="004A5120" w:rsidRDefault="0000187E" w:rsidP="0000187E">
      <w:pPr>
        <w:spacing w:after="0"/>
        <w:jc w:val="center"/>
        <w:rPr>
          <w:rFonts w:ascii="David" w:hAnsi="David" w:cs="David"/>
          <w:b/>
          <w:bCs/>
          <w:sz w:val="24"/>
          <w:szCs w:val="24"/>
          <w:rtl/>
        </w:rPr>
      </w:pPr>
      <w:r w:rsidRPr="004A5120">
        <w:rPr>
          <w:rFonts w:ascii="David" w:hAnsi="David" w:cs="David" w:hint="cs"/>
          <w:b/>
          <w:bCs/>
          <w:sz w:val="24"/>
          <w:szCs w:val="24"/>
          <w:rtl/>
        </w:rPr>
        <w:t xml:space="preserve">מדרש מקיים - </w:t>
      </w:r>
      <w:r w:rsidR="00844D77" w:rsidRPr="004A5120">
        <w:rPr>
          <w:rFonts w:ascii="David" w:hAnsi="David" w:cs="David" w:hint="cs"/>
          <w:b/>
          <w:bCs/>
          <w:sz w:val="24"/>
          <w:szCs w:val="24"/>
          <w:rtl/>
        </w:rPr>
        <w:t>אם ה</w:t>
      </w:r>
      <w:r w:rsidRPr="004A5120">
        <w:rPr>
          <w:rFonts w:ascii="David" w:hAnsi="David" w:cs="David" w:hint="cs"/>
          <w:b/>
          <w:bCs/>
          <w:sz w:val="24"/>
          <w:szCs w:val="24"/>
          <w:rtl/>
        </w:rPr>
        <w:t>פסוק הוא המקור, אזי המדרש בא לשלב את ההלכה הקיימת בפסוקי התורה.</w:t>
      </w:r>
    </w:p>
    <w:p w14:paraId="06A7F060" w14:textId="77777777" w:rsidR="002B3F3F" w:rsidRPr="004A5120" w:rsidRDefault="002B3F3F" w:rsidP="00FB5BFD">
      <w:pPr>
        <w:spacing w:after="0"/>
        <w:rPr>
          <w:rFonts w:ascii="David" w:hAnsi="David" w:cs="David"/>
          <w:sz w:val="24"/>
          <w:szCs w:val="24"/>
          <w:rtl/>
        </w:rPr>
      </w:pPr>
    </w:p>
    <w:p w14:paraId="0E1B5C8B" w14:textId="082E6BE6" w:rsidR="00FB5BFD" w:rsidRPr="004A5120" w:rsidRDefault="0000187E" w:rsidP="0024306D">
      <w:pPr>
        <w:spacing w:after="0"/>
        <w:jc w:val="both"/>
        <w:rPr>
          <w:rFonts w:ascii="David" w:hAnsi="David" w:cs="David"/>
          <w:sz w:val="24"/>
          <w:szCs w:val="24"/>
          <w:rtl/>
        </w:rPr>
      </w:pPr>
      <w:r w:rsidRPr="004A5120">
        <w:rPr>
          <w:rFonts w:ascii="David" w:hAnsi="David" w:cs="David" w:hint="cs"/>
          <w:sz w:val="24"/>
          <w:szCs w:val="24"/>
          <w:rtl/>
        </w:rPr>
        <w:t>חוקרי תלמוד מוכרים חלוקים בשאלה הזו (אלבק תומך בדרך הראשונה, אפשטיין בשנייה)</w:t>
      </w:r>
    </w:p>
    <w:p w14:paraId="7BEE8342" w14:textId="77777777" w:rsidR="0000187E" w:rsidRPr="004A5120" w:rsidRDefault="0000187E" w:rsidP="0024306D">
      <w:pPr>
        <w:spacing w:after="0"/>
        <w:jc w:val="both"/>
        <w:rPr>
          <w:rFonts w:ascii="David" w:hAnsi="David" w:cs="David"/>
          <w:sz w:val="24"/>
          <w:szCs w:val="24"/>
          <w:rtl/>
        </w:rPr>
      </w:pPr>
    </w:p>
    <w:p w14:paraId="212E5F96" w14:textId="721105B3" w:rsidR="006B532E" w:rsidRPr="004A5120" w:rsidRDefault="00280C78" w:rsidP="0024306D">
      <w:pPr>
        <w:spacing w:after="0"/>
        <w:jc w:val="both"/>
        <w:rPr>
          <w:rFonts w:ascii="David" w:hAnsi="David" w:cs="David"/>
          <w:sz w:val="24"/>
          <w:szCs w:val="24"/>
          <w:rtl/>
        </w:rPr>
      </w:pPr>
      <w:r w:rsidRPr="004A5120">
        <w:rPr>
          <w:rFonts w:ascii="David" w:hAnsi="David" w:cs="David" w:hint="cs"/>
          <w:sz w:val="24"/>
          <w:szCs w:val="24"/>
          <w:rtl/>
        </w:rPr>
        <w:t xml:space="preserve">גם במדרש יוצר </w:t>
      </w:r>
      <w:r w:rsidRPr="004A5120">
        <w:rPr>
          <w:rFonts w:ascii="David" w:hAnsi="David" w:cs="David"/>
          <w:sz w:val="24"/>
          <w:szCs w:val="24"/>
          <w:rtl/>
        </w:rPr>
        <w:t>–</w:t>
      </w:r>
      <w:r w:rsidRPr="004A5120">
        <w:rPr>
          <w:rFonts w:ascii="David" w:hAnsi="David" w:cs="David" w:hint="cs"/>
          <w:sz w:val="24"/>
          <w:szCs w:val="24"/>
          <w:rtl/>
        </w:rPr>
        <w:t xml:space="preserve"> המשמעות היא שלא כל פעם הוא יוצר הלכה חדשה, לפעמים החכמים הדגישו שהמדרש הוא אסמכתא בעלמא, הוא רק סימוכין להלכות שיש להן מקור אחר.</w:t>
      </w:r>
    </w:p>
    <w:p w14:paraId="12149925" w14:textId="3B43D052" w:rsidR="00280C78" w:rsidRPr="004A5120" w:rsidRDefault="00280C78" w:rsidP="0024306D">
      <w:pPr>
        <w:spacing w:after="0"/>
        <w:jc w:val="both"/>
        <w:rPr>
          <w:rFonts w:ascii="David" w:hAnsi="David" w:cs="David"/>
          <w:sz w:val="24"/>
          <w:szCs w:val="24"/>
          <w:rtl/>
        </w:rPr>
      </w:pPr>
    </w:p>
    <w:p w14:paraId="339BB640" w14:textId="40D6A8CB" w:rsidR="00280C78" w:rsidRPr="004A5120" w:rsidRDefault="00280C78" w:rsidP="0024306D">
      <w:pPr>
        <w:spacing w:after="0"/>
        <w:jc w:val="both"/>
        <w:rPr>
          <w:rFonts w:ascii="David" w:hAnsi="David" w:cs="David"/>
          <w:sz w:val="24"/>
          <w:szCs w:val="24"/>
          <w:rtl/>
        </w:rPr>
      </w:pPr>
      <w:r w:rsidRPr="004A5120">
        <w:rPr>
          <w:rFonts w:ascii="David" w:hAnsi="David" w:cs="David" w:hint="cs"/>
          <w:sz w:val="24"/>
          <w:szCs w:val="24"/>
          <w:rtl/>
        </w:rPr>
        <w:t>הדעה המקובלת על רוב החוקרים היא שהמדרש מקיים את שתי הפונקציות ביחד.</w:t>
      </w:r>
    </w:p>
    <w:p w14:paraId="061642F3" w14:textId="2F3DA2E4" w:rsidR="00280C78" w:rsidRPr="004A5120" w:rsidRDefault="00280C78" w:rsidP="0024306D">
      <w:pPr>
        <w:spacing w:after="0"/>
        <w:jc w:val="both"/>
        <w:rPr>
          <w:rFonts w:ascii="David" w:hAnsi="David" w:cs="David"/>
          <w:sz w:val="24"/>
          <w:szCs w:val="24"/>
          <w:rtl/>
        </w:rPr>
      </w:pPr>
      <w:r w:rsidRPr="004A5120">
        <w:rPr>
          <w:rFonts w:ascii="David" w:hAnsi="David" w:cs="David" w:hint="cs"/>
          <w:sz w:val="24"/>
          <w:szCs w:val="24"/>
          <w:rtl/>
        </w:rPr>
        <w:t xml:space="preserve">החוקר אורבך </w:t>
      </w:r>
      <w:r w:rsidRPr="004A5120">
        <w:rPr>
          <w:rFonts w:ascii="David" w:hAnsi="David" w:cs="David"/>
          <w:sz w:val="24"/>
          <w:szCs w:val="24"/>
          <w:rtl/>
        </w:rPr>
        <w:t>–</w:t>
      </w:r>
      <w:r w:rsidRPr="004A5120">
        <w:rPr>
          <w:rFonts w:ascii="David" w:hAnsi="David" w:cs="David" w:hint="cs"/>
          <w:sz w:val="24"/>
          <w:szCs w:val="24"/>
          <w:rtl/>
        </w:rPr>
        <w:t xml:space="preserve"> בתקופה הקדומה היה מדרש מקיים, לקראת חורבן הבית הפך למדרש יוצר.</w:t>
      </w:r>
    </w:p>
    <w:p w14:paraId="6A9EDB4B" w14:textId="6B4FBD9C" w:rsidR="00242629" w:rsidRPr="004A5120" w:rsidRDefault="00242629" w:rsidP="0024306D">
      <w:pPr>
        <w:spacing w:after="0"/>
        <w:jc w:val="both"/>
        <w:rPr>
          <w:rFonts w:ascii="David" w:hAnsi="David" w:cs="David"/>
          <w:sz w:val="24"/>
          <w:szCs w:val="24"/>
          <w:rtl/>
        </w:rPr>
      </w:pPr>
    </w:p>
    <w:p w14:paraId="6D2A030E" w14:textId="0CEC4906" w:rsidR="00242629" w:rsidRPr="004A5120" w:rsidRDefault="00242629"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המדרש כמקור יוצר במשפט העברי:</w:t>
      </w:r>
    </w:p>
    <w:p w14:paraId="5FBA101E" w14:textId="0A7EBFA5" w:rsidR="00242629" w:rsidRPr="004A5120" w:rsidRDefault="00242629" w:rsidP="0024306D">
      <w:pPr>
        <w:spacing w:after="0"/>
        <w:jc w:val="both"/>
        <w:rPr>
          <w:rFonts w:ascii="David" w:hAnsi="David" w:cs="David"/>
          <w:sz w:val="24"/>
          <w:szCs w:val="24"/>
          <w:rtl/>
        </w:rPr>
      </w:pPr>
      <w:r w:rsidRPr="004A5120">
        <w:rPr>
          <w:rFonts w:ascii="David" w:hAnsi="David" w:cs="David" w:hint="cs"/>
          <w:sz w:val="24"/>
          <w:szCs w:val="24"/>
          <w:rtl/>
        </w:rPr>
        <w:t>הדעה הרווח</w:t>
      </w:r>
      <w:r w:rsidR="009A351C">
        <w:rPr>
          <w:rFonts w:ascii="David" w:hAnsi="David" w:cs="David" w:hint="cs"/>
          <w:sz w:val="24"/>
          <w:szCs w:val="24"/>
          <w:rtl/>
        </w:rPr>
        <w:t>ת</w:t>
      </w:r>
      <w:r w:rsidRPr="004A5120">
        <w:rPr>
          <w:rFonts w:ascii="David" w:hAnsi="David" w:cs="David" w:hint="cs"/>
          <w:sz w:val="24"/>
          <w:szCs w:val="24"/>
          <w:rtl/>
        </w:rPr>
        <w:t xml:space="preserve"> היא שהמדרש לכל אורך התקופות היה בעל תפקיד יוצר. </w:t>
      </w:r>
      <w:r w:rsidR="0002244B" w:rsidRPr="004A5120">
        <w:rPr>
          <w:rFonts w:ascii="David" w:hAnsi="David" w:cs="David" w:hint="cs"/>
          <w:sz w:val="24"/>
          <w:szCs w:val="24"/>
          <w:rtl/>
        </w:rPr>
        <w:t xml:space="preserve">הנחה זו מתבקשת מתפקיד החכמים בבואם לפתירת בעיות חדשות, בעיות חדשות </w:t>
      </w:r>
      <w:r w:rsidR="0002244B" w:rsidRPr="004A5120">
        <w:rPr>
          <w:rFonts w:ascii="David" w:hAnsi="David" w:cs="David"/>
          <w:sz w:val="24"/>
          <w:szCs w:val="24"/>
          <w:rtl/>
        </w:rPr>
        <w:t>–</w:t>
      </w:r>
      <w:r w:rsidR="0002244B" w:rsidRPr="004A5120">
        <w:rPr>
          <w:rFonts w:ascii="David" w:hAnsi="David" w:cs="David" w:hint="cs"/>
          <w:sz w:val="24"/>
          <w:szCs w:val="24"/>
          <w:rtl/>
        </w:rPr>
        <w:t xml:space="preserve"> הלכ</w:t>
      </w:r>
      <w:r w:rsidR="009A351C">
        <w:rPr>
          <w:rFonts w:ascii="David" w:hAnsi="David" w:cs="David" w:hint="cs"/>
          <w:sz w:val="24"/>
          <w:szCs w:val="24"/>
          <w:rtl/>
        </w:rPr>
        <w:t>ו</w:t>
      </w:r>
      <w:r w:rsidR="0002244B" w:rsidRPr="004A5120">
        <w:rPr>
          <w:rFonts w:ascii="David" w:hAnsi="David" w:cs="David" w:hint="cs"/>
          <w:sz w:val="24"/>
          <w:szCs w:val="24"/>
          <w:rtl/>
        </w:rPr>
        <w:t>ת חדשות.</w:t>
      </w:r>
    </w:p>
    <w:p w14:paraId="5DF1BCD0" w14:textId="7976EDF0" w:rsidR="0002244B" w:rsidRPr="004A5120" w:rsidRDefault="0002244B" w:rsidP="0024306D">
      <w:pPr>
        <w:spacing w:after="0"/>
        <w:jc w:val="both"/>
        <w:rPr>
          <w:rFonts w:ascii="David" w:hAnsi="David" w:cs="David"/>
          <w:sz w:val="24"/>
          <w:szCs w:val="24"/>
          <w:rtl/>
        </w:rPr>
      </w:pPr>
      <w:r w:rsidRPr="004A5120">
        <w:rPr>
          <w:rFonts w:ascii="David" w:hAnsi="David" w:cs="David" w:hint="cs"/>
          <w:sz w:val="24"/>
          <w:szCs w:val="24"/>
          <w:rtl/>
        </w:rPr>
        <w:t>החכמים העדיפו לפתור בעיות דרך מדרש מאשר חקיקה, משום שזו משנה ישירות את ההלכה.</w:t>
      </w:r>
    </w:p>
    <w:p w14:paraId="3B1FE9BC" w14:textId="74F1FC43" w:rsidR="0002244B" w:rsidRPr="004A5120" w:rsidRDefault="0002244B" w:rsidP="0024306D">
      <w:pPr>
        <w:spacing w:after="0"/>
        <w:jc w:val="both"/>
        <w:rPr>
          <w:rFonts w:ascii="David" w:hAnsi="David" w:cs="David"/>
          <w:sz w:val="24"/>
          <w:szCs w:val="24"/>
          <w:rtl/>
        </w:rPr>
      </w:pPr>
    </w:p>
    <w:p w14:paraId="02678FA7" w14:textId="30432D80" w:rsidR="0002244B" w:rsidRPr="004A5120" w:rsidRDefault="0002244B"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יתרונות לדרך המדרש:</w:t>
      </w:r>
    </w:p>
    <w:p w14:paraId="1C3567C9" w14:textId="20AC0D28" w:rsidR="0002244B" w:rsidRPr="004A5120" w:rsidRDefault="0002244B" w:rsidP="001A492B">
      <w:pPr>
        <w:pStyle w:val="a3"/>
        <w:numPr>
          <w:ilvl w:val="0"/>
          <w:numId w:val="5"/>
        </w:numPr>
        <w:spacing w:after="0"/>
        <w:jc w:val="both"/>
        <w:rPr>
          <w:rFonts w:ascii="David" w:hAnsi="David" w:cs="David"/>
          <w:sz w:val="24"/>
          <w:szCs w:val="24"/>
        </w:rPr>
      </w:pPr>
      <w:r w:rsidRPr="004A5120">
        <w:rPr>
          <w:rFonts w:ascii="David" w:hAnsi="David" w:cs="David" w:hint="cs"/>
          <w:sz w:val="24"/>
          <w:szCs w:val="24"/>
          <w:rtl/>
        </w:rPr>
        <w:t>מתווספת הלכה חדשה להלכה קיימת, או נובעת מתוכה, אך לא מנוגדת לה.</w:t>
      </w:r>
    </w:p>
    <w:p w14:paraId="03818B15" w14:textId="07D53A3F" w:rsidR="0002244B" w:rsidRPr="004A5120" w:rsidRDefault="0002244B" w:rsidP="001A492B">
      <w:pPr>
        <w:pStyle w:val="a3"/>
        <w:numPr>
          <w:ilvl w:val="0"/>
          <w:numId w:val="5"/>
        </w:numPr>
        <w:spacing w:after="0"/>
        <w:jc w:val="both"/>
        <w:rPr>
          <w:rFonts w:ascii="David" w:hAnsi="David" w:cs="David"/>
          <w:sz w:val="24"/>
          <w:szCs w:val="24"/>
        </w:rPr>
      </w:pPr>
      <w:r w:rsidRPr="004A5120">
        <w:rPr>
          <w:rFonts w:ascii="David" w:hAnsi="David" w:cs="David" w:hint="cs"/>
          <w:sz w:val="24"/>
          <w:szCs w:val="24"/>
          <w:rtl/>
        </w:rPr>
        <w:t>קשר הדוק בין התורה שבכתב להלכה החדשה.</w:t>
      </w:r>
    </w:p>
    <w:p w14:paraId="1A28407B" w14:textId="282E3C2E" w:rsidR="0002244B" w:rsidRPr="004A5120" w:rsidRDefault="0002244B" w:rsidP="0024306D">
      <w:pPr>
        <w:spacing w:after="0"/>
        <w:jc w:val="both"/>
        <w:rPr>
          <w:rFonts w:ascii="David" w:hAnsi="David" w:cs="David"/>
          <w:sz w:val="24"/>
          <w:szCs w:val="24"/>
          <w:rtl/>
        </w:rPr>
      </w:pPr>
    </w:p>
    <w:p w14:paraId="10C786A8" w14:textId="0014447B" w:rsidR="0002244B" w:rsidRPr="004A5120" w:rsidRDefault="0002244B" w:rsidP="0024306D">
      <w:pPr>
        <w:spacing w:after="0"/>
        <w:jc w:val="both"/>
        <w:rPr>
          <w:rFonts w:ascii="David" w:hAnsi="David" w:cs="David"/>
          <w:b/>
          <w:bCs/>
          <w:sz w:val="24"/>
          <w:szCs w:val="24"/>
          <w:u w:val="single"/>
          <w:rtl/>
        </w:rPr>
      </w:pPr>
      <w:bookmarkStart w:id="1" w:name="_Hlk103446222"/>
      <w:r w:rsidRPr="004A5120">
        <w:rPr>
          <w:rFonts w:ascii="David" w:hAnsi="David" w:cs="David" w:hint="cs"/>
          <w:b/>
          <w:bCs/>
          <w:sz w:val="24"/>
          <w:szCs w:val="24"/>
          <w:u w:val="single"/>
          <w:rtl/>
        </w:rPr>
        <w:t>הוכחות לכך שהמדרש פעל כמדרש יוצר גם בתקופות קדומות:</w:t>
      </w:r>
    </w:p>
    <w:p w14:paraId="2493C800" w14:textId="0DDB4198" w:rsidR="0002244B" w:rsidRPr="004A5120" w:rsidRDefault="0002244B" w:rsidP="001A492B">
      <w:pPr>
        <w:pStyle w:val="a3"/>
        <w:numPr>
          <w:ilvl w:val="0"/>
          <w:numId w:val="6"/>
        </w:numPr>
        <w:spacing w:after="0"/>
        <w:jc w:val="both"/>
        <w:rPr>
          <w:rFonts w:ascii="David" w:hAnsi="David" w:cs="David"/>
          <w:sz w:val="24"/>
          <w:szCs w:val="24"/>
        </w:rPr>
      </w:pPr>
      <w:bookmarkStart w:id="2" w:name="_Hlk103446175"/>
      <w:bookmarkEnd w:id="1"/>
      <w:r w:rsidRPr="004A5120">
        <w:rPr>
          <w:rFonts w:ascii="David" w:hAnsi="David" w:cs="David" w:hint="cs"/>
          <w:sz w:val="24"/>
          <w:szCs w:val="24"/>
          <w:rtl/>
        </w:rPr>
        <w:t xml:space="preserve">מסכת סנהדרין, נושא "זקן ממרא" </w:t>
      </w:r>
      <w:r w:rsidRPr="004A5120">
        <w:rPr>
          <w:rFonts w:ascii="David" w:hAnsi="David" w:cs="David"/>
          <w:sz w:val="24"/>
          <w:szCs w:val="24"/>
          <w:rtl/>
        </w:rPr>
        <w:t>–</w:t>
      </w:r>
      <w:r w:rsidRPr="004A5120">
        <w:rPr>
          <w:rFonts w:ascii="David" w:hAnsi="David" w:cs="David" w:hint="cs"/>
          <w:sz w:val="24"/>
          <w:szCs w:val="24"/>
          <w:rtl/>
        </w:rPr>
        <w:t xml:space="preserve"> חכם הקובע הלכה המנוגדת לדעת הרוב. תיאור הסיפור במשנה: כ</w:t>
      </w:r>
      <w:r w:rsidR="00FF5A49">
        <w:rPr>
          <w:rFonts w:ascii="David" w:hAnsi="David" w:cs="David" w:hint="cs"/>
          <w:sz w:val="24"/>
          <w:szCs w:val="24"/>
          <w:rtl/>
        </w:rPr>
        <w:t>ש</w:t>
      </w:r>
      <w:r w:rsidRPr="004A5120">
        <w:rPr>
          <w:rFonts w:ascii="David" w:hAnsi="David" w:cs="David" w:hint="cs"/>
          <w:sz w:val="24"/>
          <w:szCs w:val="24"/>
          <w:rtl/>
        </w:rPr>
        <w:t xml:space="preserve">שלושה בתי דין חלוקים </w:t>
      </w:r>
      <w:r w:rsidRPr="004A5120">
        <w:rPr>
          <w:rFonts w:ascii="David" w:hAnsi="David" w:cs="David"/>
          <w:sz w:val="24"/>
          <w:szCs w:val="24"/>
          <w:rtl/>
        </w:rPr>
        <w:t>–</w:t>
      </w:r>
      <w:r w:rsidRPr="004A5120">
        <w:rPr>
          <w:rFonts w:ascii="David" w:hAnsi="David" w:cs="David" w:hint="cs"/>
          <w:sz w:val="24"/>
          <w:szCs w:val="24"/>
          <w:rtl/>
        </w:rPr>
        <w:t xml:space="preserve"> פונים לבית דין גבוהה יותר. אם לזה אין תשובה </w:t>
      </w:r>
      <w:r w:rsidRPr="004A5120">
        <w:rPr>
          <w:rFonts w:ascii="David" w:hAnsi="David" w:cs="David"/>
          <w:sz w:val="24"/>
          <w:szCs w:val="24"/>
          <w:rtl/>
        </w:rPr>
        <w:t>–</w:t>
      </w:r>
      <w:r w:rsidRPr="004A5120">
        <w:rPr>
          <w:rFonts w:ascii="David" w:hAnsi="David" w:cs="David" w:hint="cs"/>
          <w:sz w:val="24"/>
          <w:szCs w:val="24"/>
          <w:rtl/>
        </w:rPr>
        <w:t xml:space="preserve"> פונים לגבוהה יותר. אם לזה אין תשובה גם, מחליטים לפי הרוב. אם זקן חוזר לביתו ומורה הלכה כנגד דעת הרוב </w:t>
      </w:r>
      <w:r w:rsidRPr="004A5120">
        <w:rPr>
          <w:rFonts w:ascii="David" w:hAnsi="David" w:cs="David"/>
          <w:sz w:val="24"/>
          <w:szCs w:val="24"/>
          <w:rtl/>
        </w:rPr>
        <w:t>–</w:t>
      </w:r>
      <w:r w:rsidRPr="004A5120">
        <w:rPr>
          <w:rFonts w:ascii="David" w:hAnsi="David" w:cs="David" w:hint="cs"/>
          <w:sz w:val="24"/>
          <w:szCs w:val="24"/>
          <w:rtl/>
        </w:rPr>
        <w:t xml:space="preserve"> הוא נידון למוות.</w:t>
      </w:r>
    </w:p>
    <w:p w14:paraId="2B8236B0" w14:textId="372AD969" w:rsidR="0002244B" w:rsidRPr="004A5120" w:rsidRDefault="0002244B" w:rsidP="0024306D">
      <w:pPr>
        <w:pStyle w:val="a3"/>
        <w:spacing w:after="0"/>
        <w:jc w:val="both"/>
        <w:rPr>
          <w:rFonts w:ascii="David" w:hAnsi="David" w:cs="David"/>
          <w:sz w:val="24"/>
          <w:szCs w:val="24"/>
          <w:rtl/>
        </w:rPr>
      </w:pPr>
      <w:r w:rsidRPr="004A5120">
        <w:rPr>
          <w:rFonts w:ascii="David" w:hAnsi="David" w:cs="David" w:hint="cs"/>
          <w:sz w:val="24"/>
          <w:szCs w:val="24"/>
          <w:rtl/>
        </w:rPr>
        <w:t>החכמים היו חלוקים בשאלה שנוגעת לפתרון מעשי, וחילוקי הדעות נבעו מדרך הפירוש של ה</w:t>
      </w:r>
      <w:r w:rsidR="001E2277" w:rsidRPr="004A5120">
        <w:rPr>
          <w:rFonts w:ascii="David" w:hAnsi="David" w:cs="David" w:hint="cs"/>
          <w:sz w:val="24"/>
          <w:szCs w:val="24"/>
          <w:rtl/>
        </w:rPr>
        <w:t>פסוק.</w:t>
      </w:r>
    </w:p>
    <w:p w14:paraId="01E36B70" w14:textId="2BF50EDB" w:rsidR="001E2277" w:rsidRPr="004A5120" w:rsidRDefault="001E2277" w:rsidP="001A492B">
      <w:pPr>
        <w:pStyle w:val="a3"/>
        <w:numPr>
          <w:ilvl w:val="0"/>
          <w:numId w:val="6"/>
        </w:numPr>
        <w:spacing w:after="0"/>
        <w:jc w:val="both"/>
        <w:rPr>
          <w:rFonts w:ascii="David" w:hAnsi="David" w:cs="David"/>
          <w:sz w:val="24"/>
          <w:szCs w:val="24"/>
        </w:rPr>
      </w:pPr>
      <w:bookmarkStart w:id="3" w:name="_Hlk103446237"/>
      <w:bookmarkEnd w:id="2"/>
      <w:r w:rsidRPr="004A5120">
        <w:rPr>
          <w:rFonts w:ascii="David" w:hAnsi="David" w:cs="David" w:hint="cs"/>
          <w:sz w:val="24"/>
          <w:szCs w:val="24"/>
          <w:rtl/>
        </w:rPr>
        <w:lastRenderedPageBreak/>
        <w:t>הקדמה: במשפט פלילי, הדיינים בוחנים פסוקים בתורה הנוגעים לעבירה הרלוונטית ומכריעים לפיהם.</w:t>
      </w:r>
    </w:p>
    <w:p w14:paraId="3FD49B04" w14:textId="149A45C5" w:rsidR="001E2277" w:rsidRPr="004A5120" w:rsidRDefault="001E2277" w:rsidP="0024306D">
      <w:pPr>
        <w:pStyle w:val="a3"/>
        <w:spacing w:after="0"/>
        <w:jc w:val="both"/>
        <w:rPr>
          <w:rFonts w:ascii="David" w:hAnsi="David" w:cs="David"/>
          <w:sz w:val="24"/>
          <w:szCs w:val="24"/>
          <w:rtl/>
        </w:rPr>
      </w:pPr>
      <w:r w:rsidRPr="004A5120">
        <w:rPr>
          <w:rFonts w:ascii="David" w:hAnsi="David" w:cs="David" w:hint="cs"/>
          <w:sz w:val="24"/>
          <w:szCs w:val="24"/>
          <w:rtl/>
        </w:rPr>
        <w:t xml:space="preserve">בספר במדבר (כז), פרשת הנחלות </w:t>
      </w:r>
      <w:r w:rsidRPr="004A5120">
        <w:rPr>
          <w:rFonts w:ascii="David" w:hAnsi="David" w:cs="David"/>
          <w:sz w:val="24"/>
          <w:szCs w:val="24"/>
          <w:rtl/>
        </w:rPr>
        <w:t>–</w:t>
      </w:r>
      <w:r w:rsidRPr="004A5120">
        <w:rPr>
          <w:rFonts w:ascii="David" w:hAnsi="David" w:cs="David" w:hint="cs"/>
          <w:sz w:val="24"/>
          <w:szCs w:val="24"/>
          <w:rtl/>
        </w:rPr>
        <w:t xml:space="preserve"> מפורט סדר היורשים של הנחלה. </w:t>
      </w:r>
      <w:r w:rsidRPr="004A5120">
        <w:rPr>
          <w:rFonts w:ascii="David" w:hAnsi="David" w:cs="David" w:hint="cs"/>
          <w:i/>
          <w:iCs/>
          <w:sz w:val="24"/>
          <w:szCs w:val="24"/>
          <w:rtl/>
        </w:rPr>
        <w:t>"</w:t>
      </w:r>
      <w:r w:rsidR="00EA0426" w:rsidRPr="004A5120">
        <w:rPr>
          <w:rFonts w:ascii="David" w:hAnsi="David" w:cs="David" w:hint="cs"/>
          <w:i/>
          <w:iCs/>
          <w:sz w:val="24"/>
          <w:szCs w:val="24"/>
          <w:rtl/>
        </w:rPr>
        <w:t>ואם אי</w:t>
      </w:r>
      <w:r w:rsidR="00EA0426" w:rsidRPr="004A5120">
        <w:rPr>
          <w:rFonts w:ascii="David" w:hAnsi="David" w:cs="David" w:hint="eastAsia"/>
          <w:i/>
          <w:iCs/>
          <w:sz w:val="24"/>
          <w:szCs w:val="24"/>
          <w:rtl/>
        </w:rPr>
        <w:t>ן</w:t>
      </w:r>
      <w:r w:rsidRPr="004A5120">
        <w:rPr>
          <w:rFonts w:ascii="David" w:hAnsi="David" w:cs="David" w:hint="cs"/>
          <w:i/>
          <w:iCs/>
          <w:sz w:val="24"/>
          <w:szCs w:val="24"/>
          <w:rtl/>
        </w:rPr>
        <w:t xml:space="preserve"> אחים לאביו, ונתתם את נחלתו לשארו הקרוב אליו ממשפחתו וירש אותה, והייתה לבני ישראל לחוקת משפט כאשר צווה ה' את משה"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w:t>
      </w:r>
      <w:r w:rsidRPr="00FF5A49">
        <w:rPr>
          <w:rFonts w:ascii="David" w:hAnsi="David" w:cs="David" w:hint="cs"/>
          <w:b/>
          <w:bCs/>
          <w:sz w:val="24"/>
          <w:szCs w:val="24"/>
          <w:rtl/>
        </w:rPr>
        <w:t>לא מוזכרת ירושת האב את הבן.</w:t>
      </w:r>
    </w:p>
    <w:p w14:paraId="741F93D8" w14:textId="3F4180B4" w:rsidR="001E2277" w:rsidRPr="004A5120" w:rsidRDefault="001E2277" w:rsidP="0024306D">
      <w:pPr>
        <w:pStyle w:val="a3"/>
        <w:spacing w:after="0"/>
        <w:jc w:val="both"/>
        <w:rPr>
          <w:rFonts w:ascii="David" w:hAnsi="David" w:cs="David"/>
          <w:sz w:val="24"/>
          <w:szCs w:val="24"/>
          <w:u w:val="single"/>
          <w:rtl/>
        </w:rPr>
      </w:pPr>
      <w:r w:rsidRPr="004A5120">
        <w:rPr>
          <w:rFonts w:ascii="David" w:hAnsi="David" w:cs="David" w:hint="cs"/>
          <w:sz w:val="24"/>
          <w:szCs w:val="24"/>
          <w:rtl/>
        </w:rPr>
        <w:t xml:space="preserve">במשנה אחרת מופיע </w:t>
      </w:r>
      <w:r w:rsidRPr="004A5120">
        <w:rPr>
          <w:rFonts w:ascii="David" w:hAnsi="David" w:cs="David"/>
          <w:sz w:val="24"/>
          <w:szCs w:val="24"/>
          <w:rtl/>
        </w:rPr>
        <w:t>–</w:t>
      </w:r>
      <w:r w:rsidRPr="004A5120">
        <w:rPr>
          <w:rFonts w:ascii="David" w:hAnsi="David" w:cs="David" w:hint="cs"/>
          <w:sz w:val="24"/>
          <w:szCs w:val="24"/>
          <w:rtl/>
        </w:rPr>
        <w:t xml:space="preserve"> </w:t>
      </w:r>
      <w:r w:rsidRPr="004A5120">
        <w:rPr>
          <w:rFonts w:ascii="David" w:hAnsi="David" w:cs="David" w:hint="cs"/>
          <w:i/>
          <w:iCs/>
          <w:sz w:val="24"/>
          <w:szCs w:val="24"/>
          <w:rtl/>
        </w:rPr>
        <w:t>"אלו נוחלים ומנחילין: האב את הבנים והבנים את האב".</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כאן אב הנפטר</w:t>
      </w:r>
      <w:r w:rsidR="00FF5A49">
        <w:rPr>
          <w:rFonts w:ascii="David" w:hAnsi="David" w:cs="David" w:hint="cs"/>
          <w:sz w:val="24"/>
          <w:szCs w:val="24"/>
          <w:rtl/>
        </w:rPr>
        <w:t xml:space="preserve"> -</w:t>
      </w:r>
      <w:r w:rsidRPr="004A5120">
        <w:rPr>
          <w:rFonts w:ascii="David" w:hAnsi="David" w:cs="David" w:hint="cs"/>
          <w:sz w:val="24"/>
          <w:szCs w:val="24"/>
          <w:rtl/>
        </w:rPr>
        <w:t xml:space="preserve"> קודם בירושה לאח הנפטר. איך לומדים זאת? דרך מדרש. "לשארו הקרוב אליו" </w:t>
      </w:r>
      <w:r w:rsidRPr="004A5120">
        <w:rPr>
          <w:rFonts w:ascii="David" w:hAnsi="David" w:cs="David"/>
          <w:sz w:val="24"/>
          <w:szCs w:val="24"/>
          <w:rtl/>
        </w:rPr>
        <w:t>–</w:t>
      </w:r>
      <w:r w:rsidRPr="004A5120">
        <w:rPr>
          <w:rFonts w:ascii="David" w:hAnsi="David" w:cs="David" w:hint="cs"/>
          <w:sz w:val="24"/>
          <w:szCs w:val="24"/>
          <w:rtl/>
        </w:rPr>
        <w:t xml:space="preserve"> ' הקרוב </w:t>
      </w:r>
      <w:r w:rsidRPr="004A5120">
        <w:rPr>
          <w:rFonts w:ascii="David" w:hAnsi="David" w:cs="David"/>
          <w:sz w:val="24"/>
          <w:szCs w:val="24"/>
          <w:rtl/>
        </w:rPr>
        <w:t>–</w:t>
      </w:r>
      <w:r w:rsidRPr="004A5120">
        <w:rPr>
          <w:rFonts w:ascii="David" w:hAnsi="David" w:cs="David" w:hint="cs"/>
          <w:sz w:val="24"/>
          <w:szCs w:val="24"/>
          <w:rtl/>
        </w:rPr>
        <w:t xml:space="preserve"> קרוב, קרוב קודם', והרי קרבת אב לבנו גדולה מקרבת אחים. </w:t>
      </w:r>
      <w:r w:rsidRPr="004A5120">
        <w:rPr>
          <w:rFonts w:ascii="David" w:hAnsi="David" w:cs="David" w:hint="cs"/>
          <w:sz w:val="24"/>
          <w:szCs w:val="24"/>
          <w:u w:val="single"/>
          <w:rtl/>
        </w:rPr>
        <w:t>החכמים מפרשים ומשליכים אותו כעיקרון כללי, שגובר על סדר הירושה לפי הפסוק.</w:t>
      </w:r>
    </w:p>
    <w:p w14:paraId="33A36F85" w14:textId="205665F4" w:rsidR="001E2277" w:rsidRPr="004A5120" w:rsidRDefault="001E2277" w:rsidP="0024306D">
      <w:pPr>
        <w:pStyle w:val="a3"/>
        <w:spacing w:after="0"/>
        <w:jc w:val="both"/>
        <w:rPr>
          <w:rFonts w:ascii="David" w:hAnsi="David" w:cs="David"/>
          <w:sz w:val="24"/>
          <w:szCs w:val="24"/>
          <w:rtl/>
        </w:rPr>
      </w:pPr>
      <w:r w:rsidRPr="004A5120">
        <w:rPr>
          <w:rFonts w:ascii="David" w:hAnsi="David" w:cs="David" w:hint="cs"/>
          <w:sz w:val="24"/>
          <w:szCs w:val="24"/>
          <w:rtl/>
        </w:rPr>
        <w:t xml:space="preserve">על כך כתב הספרי: </w:t>
      </w:r>
      <w:r w:rsidRPr="004A5120">
        <w:rPr>
          <w:rFonts w:ascii="David" w:hAnsi="David" w:cs="David" w:hint="cs"/>
          <w:i/>
          <w:iCs/>
          <w:sz w:val="24"/>
          <w:szCs w:val="24"/>
          <w:rtl/>
        </w:rPr>
        <w:t xml:space="preserve">"נתן תורה דעת (רשות) לחכמים לדרוש ולומר </w:t>
      </w:r>
      <w:r w:rsidRPr="004A5120">
        <w:rPr>
          <w:rFonts w:ascii="David" w:hAnsi="David" w:cs="David"/>
          <w:i/>
          <w:iCs/>
          <w:sz w:val="24"/>
          <w:szCs w:val="24"/>
          <w:rtl/>
        </w:rPr>
        <w:t>–</w:t>
      </w:r>
      <w:r w:rsidRPr="004A5120">
        <w:rPr>
          <w:rFonts w:ascii="David" w:hAnsi="David" w:cs="David" w:hint="cs"/>
          <w:i/>
          <w:iCs/>
          <w:sz w:val="24"/>
          <w:szCs w:val="24"/>
          <w:rtl/>
        </w:rPr>
        <w:t xml:space="preserve"> כל הקרוב, קודם בנחלה"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משמע, התורה נתנה את הסמכות לחכמים ליצור הלכה לפי דרשת הפסוק.</w:t>
      </w:r>
    </w:p>
    <w:p w14:paraId="2D9217BC" w14:textId="3D6943D0" w:rsidR="001E2277" w:rsidRPr="004A5120" w:rsidRDefault="001E2277" w:rsidP="001A492B">
      <w:pPr>
        <w:pStyle w:val="a3"/>
        <w:numPr>
          <w:ilvl w:val="0"/>
          <w:numId w:val="6"/>
        </w:numPr>
        <w:spacing w:after="0"/>
        <w:jc w:val="both"/>
        <w:rPr>
          <w:rFonts w:ascii="David" w:hAnsi="David" w:cs="David"/>
          <w:sz w:val="24"/>
          <w:szCs w:val="24"/>
        </w:rPr>
      </w:pPr>
      <w:r w:rsidRPr="004A5120">
        <w:rPr>
          <w:rFonts w:ascii="David" w:hAnsi="David" w:cs="David" w:hint="cs"/>
          <w:sz w:val="24"/>
          <w:szCs w:val="24"/>
          <w:rtl/>
        </w:rPr>
        <w:t>הקבלה לשיטות משפטיות אחרות:</w:t>
      </w:r>
    </w:p>
    <w:p w14:paraId="0A5B57FC" w14:textId="5912464F" w:rsidR="00A466F6" w:rsidRPr="004A5120" w:rsidRDefault="00A466F6"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במשפט הרומי אסור היה לבטל חוק מ12 חוקי הלוחות באמצעות חוק חדש. נוצר מדרש החוקים </w:t>
      </w:r>
      <w:r w:rsidRPr="004A5120">
        <w:rPr>
          <w:rFonts w:ascii="David" w:hAnsi="David" w:cs="David"/>
          <w:sz w:val="24"/>
          <w:szCs w:val="24"/>
          <w:rtl/>
        </w:rPr>
        <w:t>–</w:t>
      </w:r>
      <w:r w:rsidRPr="004A5120">
        <w:rPr>
          <w:rFonts w:ascii="David" w:hAnsi="David" w:cs="David" w:hint="cs"/>
          <w:sz w:val="24"/>
          <w:szCs w:val="24"/>
          <w:rtl/>
        </w:rPr>
        <w:t xml:space="preserve"> מדרש שפיתח את המשפט ולעתים שינה אותו, מבלי לשנות מילה ממה שכתוב במקור. </w:t>
      </w:r>
    </w:p>
    <w:p w14:paraId="2D202F79" w14:textId="5924CB27" w:rsidR="00A466F6" w:rsidRPr="004A5120" w:rsidRDefault="00A466F6"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מהות האינטרפרטציה (פרשנות) של המשפט הרומי </w:t>
      </w:r>
      <w:r w:rsidRPr="004A5120">
        <w:rPr>
          <w:rFonts w:ascii="David" w:hAnsi="David" w:cs="David"/>
          <w:sz w:val="24"/>
          <w:szCs w:val="24"/>
          <w:rtl/>
        </w:rPr>
        <w:t>–</w:t>
      </w:r>
      <w:r w:rsidRPr="004A5120">
        <w:rPr>
          <w:rFonts w:ascii="David" w:hAnsi="David" w:cs="David" w:hint="cs"/>
          <w:sz w:val="24"/>
          <w:szCs w:val="24"/>
          <w:rtl/>
        </w:rPr>
        <w:t xml:space="preserve"> לפי המשפטנים הרומים, אין במדרש כוונה לסתור את הכתוב, אלא יש חוקים שמאחוריהם משמעות נסתרת, שלא בהכרח מובעת דרך מילות החוק, אך מבטאת את כוונתו המקורית</w:t>
      </w:r>
      <w:bookmarkEnd w:id="3"/>
      <w:r w:rsidRPr="004A5120">
        <w:rPr>
          <w:rFonts w:ascii="David" w:hAnsi="David" w:cs="David" w:hint="cs"/>
          <w:sz w:val="24"/>
          <w:szCs w:val="24"/>
          <w:rtl/>
        </w:rPr>
        <w:t>.</w:t>
      </w:r>
    </w:p>
    <w:p w14:paraId="739272CD" w14:textId="562F63E3" w:rsidR="00A466F6" w:rsidRPr="004A5120" w:rsidRDefault="00A466F6" w:rsidP="0024306D">
      <w:pPr>
        <w:spacing w:after="0"/>
        <w:jc w:val="both"/>
        <w:rPr>
          <w:rFonts w:ascii="David" w:hAnsi="David" w:cs="David"/>
          <w:sz w:val="24"/>
          <w:szCs w:val="24"/>
          <w:rtl/>
        </w:rPr>
      </w:pPr>
    </w:p>
    <w:p w14:paraId="7317CC89" w14:textId="41A6E4DA" w:rsidR="00A466F6" w:rsidRPr="004A5120" w:rsidRDefault="00F86DBE" w:rsidP="0024306D">
      <w:pPr>
        <w:spacing w:after="0"/>
        <w:jc w:val="both"/>
        <w:rPr>
          <w:rFonts w:ascii="David" w:hAnsi="David" w:cs="David"/>
          <w:b/>
          <w:bCs/>
          <w:sz w:val="24"/>
          <w:szCs w:val="24"/>
          <w:u w:val="single"/>
          <w:rtl/>
        </w:rPr>
      </w:pPr>
      <w:r>
        <w:rPr>
          <w:rFonts w:ascii="David" w:hAnsi="David" w:cs="David" w:hint="cs"/>
          <w:b/>
          <w:bCs/>
          <w:sz w:val="24"/>
          <w:szCs w:val="24"/>
          <w:u w:val="single"/>
          <w:rtl/>
        </w:rPr>
        <w:t xml:space="preserve">סוג נוסף של מדרש יוצר </w:t>
      </w:r>
      <w:r>
        <w:rPr>
          <w:rFonts w:ascii="David" w:hAnsi="David" w:cs="David"/>
          <w:b/>
          <w:bCs/>
          <w:sz w:val="24"/>
          <w:szCs w:val="24"/>
          <w:u w:val="single"/>
          <w:rtl/>
        </w:rPr>
        <w:t>–</w:t>
      </w:r>
      <w:r>
        <w:rPr>
          <w:rFonts w:ascii="David" w:hAnsi="David" w:cs="David" w:hint="cs"/>
          <w:b/>
          <w:bCs/>
          <w:sz w:val="24"/>
          <w:szCs w:val="24"/>
          <w:u w:val="single"/>
          <w:rtl/>
        </w:rPr>
        <w:t xml:space="preserve"> </w:t>
      </w:r>
      <w:r w:rsidR="00A466F6" w:rsidRPr="004A5120">
        <w:rPr>
          <w:rFonts w:ascii="David" w:hAnsi="David" w:cs="David" w:hint="cs"/>
          <w:b/>
          <w:bCs/>
          <w:sz w:val="24"/>
          <w:szCs w:val="24"/>
          <w:u w:val="single"/>
          <w:rtl/>
        </w:rPr>
        <w:t xml:space="preserve">הלכות משפטיות שונות מחמת דרכי </w:t>
      </w:r>
      <w:r w:rsidR="00EA0426" w:rsidRPr="004A5120">
        <w:rPr>
          <w:rFonts w:ascii="David" w:hAnsi="David" w:cs="David" w:hint="cs"/>
          <w:b/>
          <w:bCs/>
          <w:sz w:val="24"/>
          <w:szCs w:val="24"/>
          <w:u w:val="single"/>
          <w:rtl/>
        </w:rPr>
        <w:t>אינטרפרטצי</w:t>
      </w:r>
      <w:r w:rsidR="00EA0426" w:rsidRPr="004A5120">
        <w:rPr>
          <w:rFonts w:ascii="David" w:hAnsi="David" w:cs="David" w:hint="eastAsia"/>
          <w:b/>
          <w:bCs/>
          <w:sz w:val="24"/>
          <w:szCs w:val="24"/>
          <w:u w:val="single"/>
          <w:rtl/>
        </w:rPr>
        <w:t>ה</w:t>
      </w:r>
      <w:r w:rsidR="00A466F6" w:rsidRPr="004A5120">
        <w:rPr>
          <w:rFonts w:ascii="David" w:hAnsi="David" w:cs="David" w:hint="cs"/>
          <w:b/>
          <w:bCs/>
          <w:sz w:val="24"/>
          <w:szCs w:val="24"/>
          <w:u w:val="single"/>
          <w:rtl/>
        </w:rPr>
        <w:t xml:space="preserve"> שונים:</w:t>
      </w:r>
    </w:p>
    <w:p w14:paraId="43F52F11" w14:textId="6A59F667" w:rsidR="00A466F6" w:rsidRPr="004A5120" w:rsidRDefault="00A466F6" w:rsidP="001A492B">
      <w:pPr>
        <w:pStyle w:val="a3"/>
        <w:numPr>
          <w:ilvl w:val="0"/>
          <w:numId w:val="7"/>
        </w:numPr>
        <w:spacing w:after="0"/>
        <w:jc w:val="both"/>
        <w:rPr>
          <w:rFonts w:ascii="David" w:hAnsi="David" w:cs="David"/>
          <w:sz w:val="24"/>
          <w:szCs w:val="24"/>
        </w:rPr>
      </w:pPr>
      <w:r w:rsidRPr="004A5120">
        <w:rPr>
          <w:rFonts w:ascii="David" w:hAnsi="David" w:cs="David" w:hint="cs"/>
          <w:sz w:val="24"/>
          <w:szCs w:val="24"/>
          <w:rtl/>
        </w:rPr>
        <w:t xml:space="preserve">דברים (כד\א): </w:t>
      </w:r>
      <w:r w:rsidRPr="004A5120">
        <w:rPr>
          <w:rFonts w:ascii="David" w:hAnsi="David" w:cs="David" w:hint="cs"/>
          <w:i/>
          <w:iCs/>
          <w:sz w:val="24"/>
          <w:szCs w:val="24"/>
          <w:rtl/>
        </w:rPr>
        <w:t xml:space="preserve">"כי יקח איש אישה ובעלה, והיה אם לא תמצא חן בעיניו כי מצא בה ערוות דבר, וכתב לה ספר כריתות ונתן בידה ושלחה מביתו" </w:t>
      </w:r>
      <w:r w:rsidRPr="004A5120">
        <w:rPr>
          <w:rFonts w:ascii="David" w:hAnsi="David" w:cs="David"/>
          <w:sz w:val="24"/>
          <w:szCs w:val="24"/>
          <w:rtl/>
        </w:rPr>
        <w:t>–</w:t>
      </w:r>
      <w:r w:rsidRPr="004A5120">
        <w:rPr>
          <w:rFonts w:ascii="David" w:hAnsi="David" w:cs="David" w:hint="cs"/>
          <w:sz w:val="24"/>
          <w:szCs w:val="24"/>
          <w:rtl/>
        </w:rPr>
        <w:t xml:space="preserve"> החכמים נחלקו בנוגע לעילות הגירושין הנלמדות מהפסוק:</w:t>
      </w:r>
    </w:p>
    <w:p w14:paraId="184EADC7" w14:textId="5CDE23A1" w:rsidR="00A466F6" w:rsidRPr="004A5120" w:rsidRDefault="00A466F6"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בית שמאי </w:t>
      </w:r>
      <w:r w:rsidRPr="004A5120">
        <w:rPr>
          <w:rFonts w:ascii="David" w:hAnsi="David" w:cs="David"/>
          <w:sz w:val="24"/>
          <w:szCs w:val="24"/>
          <w:rtl/>
        </w:rPr>
        <w:t>–</w:t>
      </w:r>
      <w:r w:rsidRPr="004A5120">
        <w:rPr>
          <w:rFonts w:ascii="David" w:hAnsi="David" w:cs="David" w:hint="cs"/>
          <w:sz w:val="24"/>
          <w:szCs w:val="24"/>
          <w:rtl/>
        </w:rPr>
        <w:t xml:space="preserve"> אפשר לגרש רק מחמת זנות או פריצות </w:t>
      </w:r>
      <w:r w:rsidRPr="004A5120">
        <w:rPr>
          <w:rFonts w:ascii="David" w:hAnsi="David" w:cs="David"/>
          <w:sz w:val="24"/>
          <w:szCs w:val="24"/>
          <w:rtl/>
        </w:rPr>
        <w:t>–</w:t>
      </w:r>
      <w:r w:rsidRPr="004A5120">
        <w:rPr>
          <w:rFonts w:ascii="David" w:hAnsi="David" w:cs="David" w:hint="cs"/>
          <w:sz w:val="24"/>
          <w:szCs w:val="24"/>
          <w:rtl/>
        </w:rPr>
        <w:t xml:space="preserve"> מהמילים "ערוות דבר".</w:t>
      </w:r>
    </w:p>
    <w:p w14:paraId="5109D0CC" w14:textId="6222F786" w:rsidR="00A466F6" w:rsidRPr="004A5120" w:rsidRDefault="00A466F6"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בית הלל </w:t>
      </w:r>
      <w:r w:rsidRPr="004A5120">
        <w:rPr>
          <w:rFonts w:ascii="David" w:hAnsi="David" w:cs="David"/>
          <w:sz w:val="24"/>
          <w:szCs w:val="24"/>
          <w:rtl/>
        </w:rPr>
        <w:t>–</w:t>
      </w:r>
      <w:r w:rsidRPr="004A5120">
        <w:rPr>
          <w:rFonts w:ascii="David" w:hAnsi="David" w:cs="David" w:hint="cs"/>
          <w:sz w:val="24"/>
          <w:szCs w:val="24"/>
          <w:rtl/>
        </w:rPr>
        <w:t xml:space="preserve"> אפשר לגרש גם אם בישלה לו לא טוב </w:t>
      </w:r>
      <w:r w:rsidRPr="004A5120">
        <w:rPr>
          <w:rFonts w:ascii="David" w:hAnsi="David" w:cs="David"/>
          <w:sz w:val="24"/>
          <w:szCs w:val="24"/>
          <w:rtl/>
        </w:rPr>
        <w:t>–</w:t>
      </w:r>
      <w:r w:rsidRPr="004A5120">
        <w:rPr>
          <w:rFonts w:ascii="David" w:hAnsi="David" w:cs="David" w:hint="cs"/>
          <w:sz w:val="24"/>
          <w:szCs w:val="24"/>
          <w:rtl/>
        </w:rPr>
        <w:t xml:space="preserve"> גם נשענים על אותן מילים.</w:t>
      </w:r>
    </w:p>
    <w:p w14:paraId="56FC35C3" w14:textId="261880A3" w:rsidR="00BD4E5D" w:rsidRPr="004A5120" w:rsidRDefault="00A466F6"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רבי עקיבא </w:t>
      </w:r>
      <w:r w:rsidRPr="004A5120">
        <w:rPr>
          <w:rFonts w:ascii="David" w:hAnsi="David" w:cs="David"/>
          <w:sz w:val="24"/>
          <w:szCs w:val="24"/>
          <w:rtl/>
        </w:rPr>
        <w:t>–</w:t>
      </w:r>
      <w:r w:rsidRPr="004A5120">
        <w:rPr>
          <w:rFonts w:ascii="David" w:hAnsi="David" w:cs="David" w:hint="cs"/>
          <w:sz w:val="24"/>
          <w:szCs w:val="24"/>
          <w:rtl/>
        </w:rPr>
        <w:t xml:space="preserve"> מותר לגרש אפילו אם מצא יפה ממנה </w:t>
      </w:r>
      <w:r w:rsidR="00BD4E5D" w:rsidRPr="004A5120">
        <w:rPr>
          <w:rFonts w:ascii="David" w:hAnsi="David" w:cs="David"/>
          <w:sz w:val="24"/>
          <w:szCs w:val="24"/>
          <w:rtl/>
        </w:rPr>
        <w:t>–</w:t>
      </w:r>
      <w:r w:rsidRPr="004A5120">
        <w:rPr>
          <w:rFonts w:ascii="David" w:hAnsi="David" w:cs="David" w:hint="cs"/>
          <w:sz w:val="24"/>
          <w:szCs w:val="24"/>
          <w:rtl/>
        </w:rPr>
        <w:t xml:space="preserve"> </w:t>
      </w:r>
      <w:r w:rsidR="00BD4E5D" w:rsidRPr="004A5120">
        <w:rPr>
          <w:rFonts w:ascii="David" w:hAnsi="David" w:cs="David" w:hint="cs"/>
          <w:sz w:val="24"/>
          <w:szCs w:val="24"/>
          <w:rtl/>
        </w:rPr>
        <w:t>"אם לא תמצא חן בעיניו".</w:t>
      </w:r>
    </w:p>
    <w:p w14:paraId="2A2E1C34" w14:textId="77777777" w:rsidR="00BD4E5D" w:rsidRPr="004A5120" w:rsidRDefault="00BD4E5D" w:rsidP="0024306D">
      <w:pPr>
        <w:pStyle w:val="a3"/>
        <w:spacing w:after="0"/>
        <w:jc w:val="both"/>
        <w:rPr>
          <w:rFonts w:ascii="David" w:hAnsi="David" w:cs="David"/>
          <w:sz w:val="24"/>
          <w:szCs w:val="24"/>
          <w:rtl/>
        </w:rPr>
      </w:pPr>
    </w:p>
    <w:p w14:paraId="6799A139" w14:textId="1F34161D" w:rsidR="00BD4E5D" w:rsidRPr="004A5120" w:rsidRDefault="00BD4E5D" w:rsidP="0024306D">
      <w:pPr>
        <w:pStyle w:val="a3"/>
        <w:spacing w:after="0"/>
        <w:jc w:val="both"/>
        <w:rPr>
          <w:rFonts w:ascii="David" w:hAnsi="David" w:cs="David"/>
          <w:sz w:val="24"/>
          <w:szCs w:val="24"/>
          <w:rtl/>
        </w:rPr>
      </w:pPr>
      <w:r w:rsidRPr="004A5120">
        <w:rPr>
          <w:rFonts w:ascii="David" w:hAnsi="David" w:cs="David" w:hint="cs"/>
          <w:sz w:val="24"/>
          <w:szCs w:val="24"/>
          <w:rtl/>
        </w:rPr>
        <w:t>משמע, שלוש תשובות שונות לאותה השאלה, מאותו פסוק.</w:t>
      </w:r>
    </w:p>
    <w:p w14:paraId="1332BE9D" w14:textId="1CC7545F" w:rsidR="00BD4E5D" w:rsidRPr="004A5120" w:rsidRDefault="00BD4E5D" w:rsidP="0024306D">
      <w:pPr>
        <w:pStyle w:val="a3"/>
        <w:spacing w:after="0"/>
        <w:jc w:val="both"/>
        <w:rPr>
          <w:rFonts w:ascii="David" w:hAnsi="David" w:cs="David"/>
          <w:sz w:val="24"/>
          <w:szCs w:val="24"/>
          <w:rtl/>
        </w:rPr>
      </w:pPr>
    </w:p>
    <w:p w14:paraId="25FC87FF" w14:textId="2C411B05" w:rsidR="00BD4E5D" w:rsidRPr="004A5120" w:rsidRDefault="00BD4E5D"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בית שמאי </w:t>
      </w:r>
      <w:r w:rsidRPr="004A5120">
        <w:rPr>
          <w:rFonts w:ascii="David" w:hAnsi="David" w:cs="David"/>
          <w:sz w:val="24"/>
          <w:szCs w:val="24"/>
          <w:rtl/>
        </w:rPr>
        <w:t>–</w:t>
      </w:r>
      <w:r w:rsidRPr="004A5120">
        <w:rPr>
          <w:rFonts w:ascii="David" w:hAnsi="David" w:cs="David" w:hint="cs"/>
          <w:sz w:val="24"/>
          <w:szCs w:val="24"/>
          <w:rtl/>
        </w:rPr>
        <w:t xml:space="preserve"> הגיוני, ערוות דבר הוא ביטוי הקש</w:t>
      </w:r>
      <w:r w:rsidR="00E226D2">
        <w:rPr>
          <w:rFonts w:ascii="David" w:hAnsi="David" w:cs="David" w:hint="cs"/>
          <w:sz w:val="24"/>
          <w:szCs w:val="24"/>
          <w:rtl/>
        </w:rPr>
        <w:t>ו</w:t>
      </w:r>
      <w:r w:rsidRPr="004A5120">
        <w:rPr>
          <w:rFonts w:ascii="David" w:hAnsi="David" w:cs="David" w:hint="cs"/>
          <w:sz w:val="24"/>
          <w:szCs w:val="24"/>
          <w:rtl/>
        </w:rPr>
        <w:t>ר בד"כ לזנות.</w:t>
      </w:r>
    </w:p>
    <w:p w14:paraId="3C665951" w14:textId="60526783" w:rsidR="00BD4E5D" w:rsidRPr="004A5120" w:rsidRDefault="00BD4E5D"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בית הלל </w:t>
      </w:r>
      <w:r w:rsidRPr="004A5120">
        <w:rPr>
          <w:rFonts w:ascii="David" w:hAnsi="David" w:cs="David"/>
          <w:sz w:val="24"/>
          <w:szCs w:val="24"/>
          <w:rtl/>
        </w:rPr>
        <w:t>–</w:t>
      </w:r>
      <w:r w:rsidRPr="004A5120">
        <w:rPr>
          <w:rFonts w:ascii="David" w:hAnsi="David" w:cs="David" w:hint="cs"/>
          <w:sz w:val="24"/>
          <w:szCs w:val="24"/>
          <w:rtl/>
        </w:rPr>
        <w:t xml:space="preserve"> למדים </w:t>
      </w:r>
      <w:r w:rsidR="00EA0426" w:rsidRPr="004A5120">
        <w:rPr>
          <w:rFonts w:ascii="David" w:hAnsi="David" w:cs="David" w:hint="cs"/>
          <w:sz w:val="24"/>
          <w:szCs w:val="24"/>
          <w:rtl/>
        </w:rPr>
        <w:t>מפסוק</w:t>
      </w:r>
      <w:r w:rsidRPr="004A5120">
        <w:rPr>
          <w:rFonts w:ascii="David" w:hAnsi="David" w:cs="David" w:hint="cs"/>
          <w:sz w:val="24"/>
          <w:szCs w:val="24"/>
          <w:rtl/>
        </w:rPr>
        <w:t xml:space="preserve"> הנוגע לניקוי והיגיינה מדיני מלחמה, לפיו ערוות דבר נוגעת לביזוי ומנוגדת לשמירה מקובלת על הניקיון. מכך הקישו, שכל דבר מגונה שיש בו ביזיון הוא עילה לגירושים, אפילו הקדיחה תבשילו (מעשה שביזה אותו).</w:t>
      </w:r>
    </w:p>
    <w:p w14:paraId="2681FC62" w14:textId="68F68568" w:rsidR="00BD4E5D" w:rsidRPr="004A5120" w:rsidRDefault="00BD4E5D" w:rsidP="0024306D">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רב</w:t>
      </w:r>
      <w:r w:rsidR="00E226D2">
        <w:rPr>
          <w:rFonts w:ascii="David" w:hAnsi="David" w:cs="David" w:hint="cs"/>
          <w:sz w:val="24"/>
          <w:szCs w:val="24"/>
          <w:rtl/>
        </w:rPr>
        <w:t>י</w:t>
      </w:r>
      <w:r w:rsidRPr="004A5120">
        <w:rPr>
          <w:rFonts w:ascii="David" w:hAnsi="David" w:cs="David" w:hint="cs"/>
          <w:sz w:val="24"/>
          <w:szCs w:val="24"/>
          <w:rtl/>
        </w:rPr>
        <w:t xml:space="preserve"> עקיבא לומר את תשובתו מהבחנה בין עיקר לתפל בפסוק </w:t>
      </w:r>
      <w:r w:rsidRPr="004A5120">
        <w:rPr>
          <w:rFonts w:ascii="David" w:hAnsi="David" w:cs="David"/>
          <w:sz w:val="24"/>
          <w:szCs w:val="24"/>
          <w:rtl/>
        </w:rPr>
        <w:t>–</w:t>
      </w:r>
      <w:r w:rsidRPr="004A5120">
        <w:rPr>
          <w:rFonts w:ascii="David" w:hAnsi="David" w:cs="David" w:hint="cs"/>
          <w:sz w:val="24"/>
          <w:szCs w:val="24"/>
          <w:rtl/>
        </w:rPr>
        <w:t xml:space="preserve"> עיקר הפסוק היא שלא מצאה חן בעיניו, ערוות דבר היא רק דוגמה למקרה של אי מציאת חן.</w:t>
      </w:r>
    </w:p>
    <w:p w14:paraId="36DE28C0" w14:textId="2B88772E" w:rsidR="00BD4E5D" w:rsidRPr="004A5120" w:rsidRDefault="00BD4E5D" w:rsidP="0024306D">
      <w:pPr>
        <w:spacing w:after="0"/>
        <w:ind w:left="360"/>
        <w:jc w:val="both"/>
        <w:rPr>
          <w:rFonts w:ascii="David" w:hAnsi="David" w:cs="David"/>
          <w:sz w:val="24"/>
          <w:szCs w:val="24"/>
          <w:rtl/>
        </w:rPr>
      </w:pPr>
    </w:p>
    <w:p w14:paraId="2D50E013" w14:textId="4F19500F" w:rsidR="00BD4E5D" w:rsidRPr="004A5120" w:rsidRDefault="00BD4E5D" w:rsidP="001A492B">
      <w:pPr>
        <w:pStyle w:val="a3"/>
        <w:numPr>
          <w:ilvl w:val="0"/>
          <w:numId w:val="7"/>
        </w:numPr>
        <w:spacing w:after="0"/>
        <w:jc w:val="both"/>
        <w:rPr>
          <w:rFonts w:ascii="David" w:hAnsi="David" w:cs="David"/>
          <w:sz w:val="24"/>
          <w:szCs w:val="24"/>
        </w:rPr>
      </w:pPr>
      <w:r w:rsidRPr="004A5120">
        <w:rPr>
          <w:rFonts w:ascii="David" w:hAnsi="David" w:cs="David" w:hint="cs"/>
          <w:sz w:val="24"/>
          <w:szCs w:val="24"/>
          <w:rtl/>
        </w:rPr>
        <w:t xml:space="preserve">דברים (כד) </w:t>
      </w:r>
      <w:r w:rsidRPr="004A5120">
        <w:rPr>
          <w:rFonts w:ascii="David" w:hAnsi="David" w:cs="David"/>
          <w:sz w:val="24"/>
          <w:szCs w:val="24"/>
          <w:rtl/>
        </w:rPr>
        <w:t>–</w:t>
      </w:r>
      <w:r w:rsidRPr="004A5120">
        <w:rPr>
          <w:rFonts w:ascii="David" w:hAnsi="David" w:cs="David" w:hint="cs"/>
          <w:sz w:val="24"/>
          <w:szCs w:val="24"/>
          <w:rtl/>
        </w:rPr>
        <w:t xml:space="preserve"> זכות המלווה לקבל משכון. </w:t>
      </w:r>
      <w:r w:rsidRPr="004A5120">
        <w:rPr>
          <w:rFonts w:ascii="David" w:hAnsi="David" w:cs="David" w:hint="cs"/>
          <w:i/>
          <w:iCs/>
          <w:sz w:val="24"/>
          <w:szCs w:val="24"/>
          <w:rtl/>
        </w:rPr>
        <w:t xml:space="preserve">"ואם איש עני הוא לא תשכב בעבוטו, השב תשיב לו את העבוט כבוא השמש" </w:t>
      </w:r>
      <w:r w:rsidRPr="004A5120">
        <w:rPr>
          <w:rFonts w:ascii="David" w:hAnsi="David" w:cs="David"/>
          <w:sz w:val="24"/>
          <w:szCs w:val="24"/>
          <w:rtl/>
        </w:rPr>
        <w:t>–</w:t>
      </w:r>
      <w:r w:rsidRPr="004A5120">
        <w:rPr>
          <w:rFonts w:ascii="David" w:hAnsi="David" w:cs="David" w:hint="cs"/>
          <w:sz w:val="24"/>
          <w:szCs w:val="24"/>
          <w:rtl/>
        </w:rPr>
        <w:t xml:space="preserve"> אסור למשכן את בגדי העני, ואם משכן את בגד הלילה שלו, על המלווה להחזיר לו א</w:t>
      </w:r>
      <w:r w:rsidR="00211366" w:rsidRPr="004A5120">
        <w:rPr>
          <w:rFonts w:ascii="David" w:hAnsi="David" w:cs="David" w:hint="cs"/>
          <w:sz w:val="24"/>
          <w:szCs w:val="24"/>
          <w:rtl/>
        </w:rPr>
        <w:t>ותו בלילה שילבש</w:t>
      </w:r>
      <w:r w:rsidR="00C315CF">
        <w:rPr>
          <w:rFonts w:ascii="David" w:hAnsi="David" w:cs="David" w:hint="cs"/>
          <w:sz w:val="24"/>
          <w:szCs w:val="24"/>
          <w:rtl/>
        </w:rPr>
        <w:t>,</w:t>
      </w:r>
      <w:r w:rsidR="00211366" w:rsidRPr="004A5120">
        <w:rPr>
          <w:rFonts w:ascii="David" w:hAnsi="David" w:cs="David" w:hint="cs"/>
          <w:sz w:val="24"/>
          <w:szCs w:val="24"/>
          <w:rtl/>
        </w:rPr>
        <w:t xml:space="preserve"> ולקחת אותו בחזרה בבוקר.</w:t>
      </w:r>
    </w:p>
    <w:p w14:paraId="10C71894" w14:textId="023C8CD9" w:rsidR="00211366" w:rsidRPr="004A5120" w:rsidRDefault="00211366" w:rsidP="0024306D">
      <w:pPr>
        <w:pStyle w:val="a3"/>
        <w:spacing w:after="0"/>
        <w:jc w:val="both"/>
        <w:rPr>
          <w:rFonts w:ascii="David" w:hAnsi="David" w:cs="David"/>
          <w:sz w:val="24"/>
          <w:szCs w:val="24"/>
          <w:rtl/>
        </w:rPr>
      </w:pPr>
      <w:r w:rsidRPr="004A5120">
        <w:rPr>
          <w:rFonts w:ascii="David" w:hAnsi="David" w:cs="David" w:hint="cs"/>
          <w:i/>
          <w:iCs/>
          <w:sz w:val="24"/>
          <w:szCs w:val="24"/>
          <w:rtl/>
        </w:rPr>
        <w:t xml:space="preserve">"ולא תחבל בגד אלמנה" </w:t>
      </w:r>
      <w:r w:rsidRPr="004A5120">
        <w:rPr>
          <w:rFonts w:ascii="David" w:hAnsi="David" w:cs="David" w:hint="cs"/>
          <w:sz w:val="24"/>
          <w:szCs w:val="24"/>
          <w:rtl/>
        </w:rPr>
        <w:t xml:space="preserve"> - אלמנה אסור למשכן בכלל, ענייה או עשירה לפי רבי עקיבא.</w:t>
      </w:r>
    </w:p>
    <w:p w14:paraId="67F423E4" w14:textId="1D73BC56" w:rsidR="00211366" w:rsidRPr="004A5120" w:rsidRDefault="00211366" w:rsidP="0024306D">
      <w:pPr>
        <w:pStyle w:val="a3"/>
        <w:spacing w:after="0"/>
        <w:jc w:val="both"/>
        <w:rPr>
          <w:rFonts w:ascii="David" w:hAnsi="David" w:cs="David"/>
          <w:sz w:val="24"/>
          <w:szCs w:val="24"/>
          <w:rtl/>
        </w:rPr>
      </w:pPr>
      <w:r w:rsidRPr="004A5120">
        <w:rPr>
          <w:rFonts w:ascii="David" w:hAnsi="David" w:cs="David" w:hint="cs"/>
          <w:i/>
          <w:iCs/>
          <w:sz w:val="24"/>
          <w:szCs w:val="24"/>
          <w:rtl/>
        </w:rPr>
        <w:t xml:space="preserve">רבי שמעון סובר אחרת </w:t>
      </w:r>
      <w:r w:rsidRPr="004A5120">
        <w:rPr>
          <w:rFonts w:ascii="David" w:hAnsi="David" w:cs="David"/>
          <w:sz w:val="24"/>
          <w:szCs w:val="24"/>
          <w:rtl/>
        </w:rPr>
        <w:t>–</w:t>
      </w:r>
      <w:r w:rsidRPr="004A5120">
        <w:rPr>
          <w:rFonts w:ascii="David" w:hAnsi="David" w:cs="David" w:hint="cs"/>
          <w:sz w:val="24"/>
          <w:szCs w:val="24"/>
          <w:rtl/>
        </w:rPr>
        <w:t xml:space="preserve"> עשירה מותר, ענייה אסור. למה? </w:t>
      </w:r>
      <w:r w:rsidRPr="004A5120">
        <w:rPr>
          <w:rFonts w:ascii="David" w:hAnsi="David" w:cs="David" w:hint="cs"/>
          <w:i/>
          <w:iCs/>
          <w:sz w:val="24"/>
          <w:szCs w:val="24"/>
          <w:rtl/>
        </w:rPr>
        <w:t xml:space="preserve">"שאתה חייב להחזיר לה ואתה משיאה שם רע בשכנותיה".- </w:t>
      </w:r>
      <w:r w:rsidRPr="004A5120">
        <w:rPr>
          <w:rFonts w:ascii="David" w:hAnsi="David" w:cs="David" w:hint="cs"/>
          <w:sz w:val="24"/>
          <w:szCs w:val="24"/>
          <w:rtl/>
        </w:rPr>
        <w:t>גורס שרבי עקיבא פירש מילולית ולא מהותית.</w:t>
      </w:r>
    </w:p>
    <w:p w14:paraId="7C0CF2C0" w14:textId="14827CB1" w:rsidR="00211366" w:rsidRPr="007B0943" w:rsidRDefault="00211366" w:rsidP="0024306D">
      <w:pPr>
        <w:pStyle w:val="a3"/>
        <w:spacing w:after="0"/>
        <w:jc w:val="both"/>
        <w:rPr>
          <w:rFonts w:ascii="David" w:hAnsi="David" w:cs="David"/>
          <w:b/>
          <w:bCs/>
          <w:sz w:val="24"/>
          <w:szCs w:val="24"/>
          <w:rtl/>
        </w:rPr>
      </w:pPr>
      <w:r w:rsidRPr="004A5120">
        <w:rPr>
          <w:rFonts w:ascii="David" w:hAnsi="David" w:cs="David" w:hint="cs"/>
          <w:sz w:val="24"/>
          <w:szCs w:val="24"/>
          <w:rtl/>
        </w:rPr>
        <w:t>אם מסתכלים על הפסוק מהותית, אין חובה להשיב לאלמנה עשירה את בגדה, על כן אין מקום למנוע משכון מחמת ביוש.</w:t>
      </w:r>
      <w:r w:rsidR="007B0943">
        <w:rPr>
          <w:rFonts w:ascii="David" w:hAnsi="David" w:cs="David" w:hint="cs"/>
          <w:sz w:val="24"/>
          <w:szCs w:val="24"/>
          <w:rtl/>
        </w:rPr>
        <w:t xml:space="preserve"> </w:t>
      </w:r>
      <w:r w:rsidR="007B0943" w:rsidRPr="007B0943">
        <w:rPr>
          <w:rFonts w:ascii="David" w:hAnsi="David" w:cs="David" w:hint="cs"/>
          <w:b/>
          <w:bCs/>
          <w:sz w:val="24"/>
          <w:szCs w:val="24"/>
          <w:highlight w:val="lightGray"/>
          <w:rtl/>
        </w:rPr>
        <w:t xml:space="preserve">רבי עקיבא </w:t>
      </w:r>
      <w:r w:rsidR="007B0943" w:rsidRPr="007B0943">
        <w:rPr>
          <w:rFonts w:ascii="David" w:hAnsi="David" w:cs="David"/>
          <w:b/>
          <w:bCs/>
          <w:sz w:val="24"/>
          <w:szCs w:val="24"/>
          <w:highlight w:val="lightGray"/>
          <w:rtl/>
        </w:rPr>
        <w:t>–</w:t>
      </w:r>
      <w:r w:rsidR="007B0943" w:rsidRPr="007B0943">
        <w:rPr>
          <w:rFonts w:ascii="David" w:hAnsi="David" w:cs="David" w:hint="cs"/>
          <w:b/>
          <w:bCs/>
          <w:sz w:val="24"/>
          <w:szCs w:val="24"/>
          <w:highlight w:val="lightGray"/>
          <w:rtl/>
        </w:rPr>
        <w:t xml:space="preserve"> אלמנה=אלמנה. רבי שמעון </w:t>
      </w:r>
      <w:r w:rsidR="007B0943" w:rsidRPr="007B0943">
        <w:rPr>
          <w:rFonts w:ascii="David" w:hAnsi="David" w:cs="David"/>
          <w:b/>
          <w:bCs/>
          <w:sz w:val="24"/>
          <w:szCs w:val="24"/>
          <w:highlight w:val="lightGray"/>
          <w:rtl/>
        </w:rPr>
        <w:t>–</w:t>
      </w:r>
      <w:r w:rsidR="007B0943" w:rsidRPr="007B0943">
        <w:rPr>
          <w:rFonts w:ascii="David" w:hAnsi="David" w:cs="David" w:hint="cs"/>
          <w:b/>
          <w:bCs/>
          <w:sz w:val="24"/>
          <w:szCs w:val="24"/>
          <w:highlight w:val="lightGray"/>
          <w:rtl/>
        </w:rPr>
        <w:t xml:space="preserve"> אלמנה=ענייה.</w:t>
      </w:r>
    </w:p>
    <w:p w14:paraId="2FCE250E" w14:textId="5218E158" w:rsidR="00211366" w:rsidRPr="004A5120" w:rsidRDefault="00211366" w:rsidP="0024306D">
      <w:pPr>
        <w:pStyle w:val="a3"/>
        <w:spacing w:after="0"/>
        <w:jc w:val="both"/>
        <w:rPr>
          <w:rFonts w:ascii="David" w:hAnsi="David" w:cs="David"/>
          <w:sz w:val="24"/>
          <w:szCs w:val="24"/>
          <w:rtl/>
        </w:rPr>
      </w:pPr>
      <w:r w:rsidRPr="004A5120">
        <w:rPr>
          <w:rFonts w:ascii="David" w:hAnsi="David" w:cs="David" w:hint="cs"/>
          <w:sz w:val="24"/>
          <w:szCs w:val="24"/>
          <w:rtl/>
        </w:rPr>
        <w:t>לפי ר' שמעון, הפירוש לאלמנה הוא לא אישה שבעלה נפטר, אלא אישה בודדה שנשארה חסרת כל. רבי עקיבא מפרש מילולית, אלמנה היא שאיבדה את בעלה, מבלי להתחשב במצבה הכלכלי.</w:t>
      </w:r>
    </w:p>
    <w:p w14:paraId="2C6BB046" w14:textId="4B281972" w:rsidR="00211366" w:rsidRPr="004A5120" w:rsidRDefault="00211366" w:rsidP="0024306D">
      <w:pPr>
        <w:spacing w:after="0"/>
        <w:jc w:val="both"/>
        <w:rPr>
          <w:rFonts w:ascii="David" w:hAnsi="David" w:cs="David"/>
          <w:sz w:val="24"/>
          <w:szCs w:val="24"/>
          <w:rtl/>
        </w:rPr>
      </w:pPr>
    </w:p>
    <w:p w14:paraId="1DAA3203" w14:textId="77777777" w:rsidR="0024306D" w:rsidRPr="004A5120" w:rsidRDefault="0024306D" w:rsidP="0024306D">
      <w:pPr>
        <w:spacing w:after="0"/>
        <w:jc w:val="both"/>
        <w:rPr>
          <w:rFonts w:ascii="David" w:hAnsi="David" w:cs="David"/>
          <w:b/>
          <w:bCs/>
          <w:sz w:val="24"/>
          <w:szCs w:val="24"/>
          <w:u w:val="single"/>
          <w:rtl/>
        </w:rPr>
      </w:pPr>
    </w:p>
    <w:p w14:paraId="257CB54B" w14:textId="77777777" w:rsidR="0024306D" w:rsidRPr="004A5120" w:rsidRDefault="0024306D" w:rsidP="0024306D">
      <w:pPr>
        <w:spacing w:after="0"/>
        <w:jc w:val="both"/>
        <w:rPr>
          <w:rFonts w:ascii="David" w:hAnsi="David" w:cs="David"/>
          <w:b/>
          <w:bCs/>
          <w:sz w:val="24"/>
          <w:szCs w:val="24"/>
          <w:u w:val="single"/>
          <w:rtl/>
        </w:rPr>
      </w:pPr>
    </w:p>
    <w:p w14:paraId="0F2AB3AC" w14:textId="77777777" w:rsidR="0024306D" w:rsidRPr="004A5120" w:rsidRDefault="0024306D" w:rsidP="0024306D">
      <w:pPr>
        <w:spacing w:after="0"/>
        <w:jc w:val="both"/>
        <w:rPr>
          <w:rFonts w:ascii="David" w:hAnsi="David" w:cs="David"/>
          <w:b/>
          <w:bCs/>
          <w:sz w:val="24"/>
          <w:szCs w:val="24"/>
          <w:u w:val="single"/>
          <w:rtl/>
        </w:rPr>
      </w:pPr>
    </w:p>
    <w:p w14:paraId="294AF4FD" w14:textId="77777777" w:rsidR="0024306D" w:rsidRPr="004A5120" w:rsidRDefault="0024306D" w:rsidP="0024306D">
      <w:pPr>
        <w:spacing w:after="0"/>
        <w:jc w:val="both"/>
        <w:rPr>
          <w:rFonts w:ascii="David" w:hAnsi="David" w:cs="David"/>
          <w:b/>
          <w:bCs/>
          <w:sz w:val="24"/>
          <w:szCs w:val="24"/>
          <w:u w:val="single"/>
          <w:rtl/>
        </w:rPr>
      </w:pPr>
    </w:p>
    <w:p w14:paraId="53228714" w14:textId="77777777" w:rsidR="0024306D" w:rsidRPr="004A5120" w:rsidRDefault="0024306D" w:rsidP="0024306D">
      <w:pPr>
        <w:spacing w:after="0"/>
        <w:jc w:val="both"/>
        <w:rPr>
          <w:rFonts w:ascii="David" w:hAnsi="David" w:cs="David"/>
          <w:b/>
          <w:bCs/>
          <w:sz w:val="24"/>
          <w:szCs w:val="24"/>
          <w:u w:val="single"/>
          <w:rtl/>
        </w:rPr>
      </w:pPr>
    </w:p>
    <w:p w14:paraId="45FAFB0D" w14:textId="77777777" w:rsidR="0024306D" w:rsidRPr="004A5120" w:rsidRDefault="0024306D" w:rsidP="0024306D">
      <w:pPr>
        <w:spacing w:after="0"/>
        <w:jc w:val="both"/>
        <w:rPr>
          <w:rFonts w:ascii="David" w:hAnsi="David" w:cs="David"/>
          <w:b/>
          <w:bCs/>
          <w:sz w:val="24"/>
          <w:szCs w:val="24"/>
          <w:u w:val="single"/>
          <w:rtl/>
        </w:rPr>
      </w:pPr>
    </w:p>
    <w:p w14:paraId="5C6509CC" w14:textId="6EA4DE8F" w:rsidR="00211366" w:rsidRPr="004A5120" w:rsidRDefault="00211366"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מדרש מקיים:</w:t>
      </w:r>
    </w:p>
    <w:p w14:paraId="4985404F" w14:textId="637CF0A8" w:rsidR="00211366" w:rsidRPr="004A5120" w:rsidRDefault="00211366" w:rsidP="0024306D">
      <w:pPr>
        <w:spacing w:after="0"/>
        <w:jc w:val="both"/>
        <w:rPr>
          <w:rFonts w:ascii="David" w:hAnsi="David" w:cs="David"/>
          <w:sz w:val="24"/>
          <w:szCs w:val="24"/>
          <w:rtl/>
        </w:rPr>
      </w:pPr>
      <w:r w:rsidRPr="004A5120">
        <w:rPr>
          <w:rFonts w:ascii="David" w:hAnsi="David" w:cs="David" w:hint="cs"/>
          <w:sz w:val="24"/>
          <w:szCs w:val="24"/>
          <w:rtl/>
        </w:rPr>
        <w:t>מקרים בהם ההלכה קדמה למדרש:</w:t>
      </w:r>
    </w:p>
    <w:p w14:paraId="4B294495" w14:textId="7DEFA789" w:rsidR="00211366" w:rsidRPr="004A5120" w:rsidRDefault="00211366" w:rsidP="001A492B">
      <w:pPr>
        <w:pStyle w:val="a3"/>
        <w:numPr>
          <w:ilvl w:val="0"/>
          <w:numId w:val="8"/>
        </w:numPr>
        <w:spacing w:after="0"/>
        <w:jc w:val="both"/>
        <w:rPr>
          <w:rFonts w:ascii="David" w:hAnsi="David" w:cs="David"/>
          <w:sz w:val="24"/>
          <w:szCs w:val="24"/>
        </w:rPr>
      </w:pPr>
      <w:r w:rsidRPr="004A5120">
        <w:rPr>
          <w:rFonts w:ascii="David" w:hAnsi="David" w:cs="David" w:hint="cs"/>
          <w:sz w:val="24"/>
          <w:szCs w:val="24"/>
          <w:rtl/>
        </w:rPr>
        <w:t xml:space="preserve">קניין משיכה </w:t>
      </w:r>
      <w:r w:rsidRPr="004A5120">
        <w:rPr>
          <w:rFonts w:ascii="David" w:hAnsi="David" w:cs="David"/>
          <w:sz w:val="24"/>
          <w:szCs w:val="24"/>
          <w:rtl/>
        </w:rPr>
        <w:t>–</w:t>
      </w:r>
      <w:r w:rsidRPr="004A5120">
        <w:rPr>
          <w:rFonts w:ascii="David" w:hAnsi="David" w:cs="David" w:hint="cs"/>
          <w:sz w:val="24"/>
          <w:szCs w:val="24"/>
          <w:rtl/>
        </w:rPr>
        <w:t xml:space="preserve"> פעולת הקנייה נעשית על ידי משיכת החפץ. האמוראים, ר' יוחנן וריש לקיש, נחלקו בנוגע למקור ההלכה. </w:t>
      </w:r>
    </w:p>
    <w:p w14:paraId="6DFB3358" w14:textId="39AFC66C" w:rsidR="00211366" w:rsidRPr="004A5120" w:rsidRDefault="00211366"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לפי ר' יוחנן </w:t>
      </w:r>
      <w:r w:rsidRPr="004A5120">
        <w:rPr>
          <w:rFonts w:ascii="David" w:hAnsi="David" w:cs="David"/>
          <w:sz w:val="24"/>
          <w:szCs w:val="24"/>
          <w:rtl/>
        </w:rPr>
        <w:t>–</w:t>
      </w:r>
      <w:r w:rsidRPr="004A5120">
        <w:rPr>
          <w:rFonts w:ascii="David" w:hAnsi="David" w:cs="David" w:hint="cs"/>
          <w:sz w:val="24"/>
          <w:szCs w:val="24"/>
          <w:rtl/>
        </w:rPr>
        <w:t xml:space="preserve"> כסף עושה את מעשה הקניין ולא משיכה. </w:t>
      </w:r>
      <w:r w:rsidR="002550E4" w:rsidRPr="004A5120">
        <w:rPr>
          <w:rFonts w:ascii="David" w:hAnsi="David" w:cs="David" w:hint="cs"/>
          <w:sz w:val="24"/>
          <w:szCs w:val="24"/>
          <w:rtl/>
        </w:rPr>
        <w:t>לדעתו הסיבה לתקנה היא משום צורך להטיל אחריות לחפץ על הקונה, שמא יזלזל בו ויתן לו להיהרס משום שלא שייך לו. משמע, לפי ר' יוחנן, המשיכה היא תקנת חכמים וההלכה מהתורה נוגעת לקניין בכסף.</w:t>
      </w:r>
    </w:p>
    <w:p w14:paraId="010589E3" w14:textId="2EC01D88" w:rsidR="002550E4" w:rsidRPr="004A5120" w:rsidRDefault="002550E4"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לפי ריש לקיש </w:t>
      </w:r>
      <w:r w:rsidRPr="004A5120">
        <w:rPr>
          <w:rFonts w:ascii="David" w:hAnsi="David" w:cs="David"/>
          <w:sz w:val="24"/>
          <w:szCs w:val="24"/>
          <w:rtl/>
        </w:rPr>
        <w:t>–</w:t>
      </w:r>
      <w:r w:rsidRPr="004A5120">
        <w:rPr>
          <w:rFonts w:ascii="David" w:hAnsi="David" w:cs="David" w:hint="cs"/>
          <w:sz w:val="24"/>
          <w:szCs w:val="24"/>
          <w:rtl/>
        </w:rPr>
        <w:t xml:space="preserve"> מעגן את המשיכה מהתורה, ויקרא כה/יד </w:t>
      </w:r>
      <w:r w:rsidRPr="004A5120">
        <w:rPr>
          <w:rFonts w:ascii="David" w:hAnsi="David" w:cs="David"/>
          <w:sz w:val="24"/>
          <w:szCs w:val="24"/>
          <w:rtl/>
        </w:rPr>
        <w:t>–</w:t>
      </w:r>
      <w:r w:rsidRPr="004A5120">
        <w:rPr>
          <w:rFonts w:ascii="David" w:hAnsi="David" w:cs="David" w:hint="cs"/>
          <w:sz w:val="24"/>
          <w:szCs w:val="24"/>
          <w:rtl/>
        </w:rPr>
        <w:t xml:space="preserve"> </w:t>
      </w:r>
      <w:r w:rsidRPr="004A5120">
        <w:rPr>
          <w:rFonts w:ascii="David" w:hAnsi="David" w:cs="David" w:hint="cs"/>
          <w:i/>
          <w:iCs/>
          <w:sz w:val="24"/>
          <w:szCs w:val="24"/>
          <w:rtl/>
        </w:rPr>
        <w:t xml:space="preserve">"וכי תמכרו ממכר לעמיתך או קנה מיד עמיתך" </w:t>
      </w:r>
      <w:r w:rsidRPr="004A5120">
        <w:rPr>
          <w:rFonts w:ascii="David" w:hAnsi="David" w:cs="David"/>
          <w:sz w:val="24"/>
          <w:szCs w:val="24"/>
          <w:rtl/>
        </w:rPr>
        <w:t>–</w:t>
      </w:r>
      <w:r w:rsidRPr="004A5120">
        <w:rPr>
          <w:rFonts w:ascii="David" w:hAnsi="David" w:cs="David" w:hint="cs"/>
          <w:sz w:val="24"/>
          <w:szCs w:val="24"/>
          <w:rtl/>
        </w:rPr>
        <w:t xml:space="preserve"> פעולת הקנייה נעשית בהעברה מיד ליד.</w:t>
      </w:r>
    </w:p>
    <w:p w14:paraId="1B39B57D" w14:textId="1DC0D3CB" w:rsidR="002550E4" w:rsidRPr="004A5120" w:rsidRDefault="002550E4" w:rsidP="0024306D">
      <w:pPr>
        <w:spacing w:after="0"/>
        <w:ind w:left="360"/>
        <w:jc w:val="both"/>
        <w:rPr>
          <w:rFonts w:ascii="David" w:hAnsi="David" w:cs="David"/>
          <w:sz w:val="24"/>
          <w:szCs w:val="24"/>
          <w:rtl/>
        </w:rPr>
      </w:pPr>
      <w:r w:rsidRPr="004A5120">
        <w:rPr>
          <w:rFonts w:ascii="David" w:hAnsi="David" w:cs="David" w:hint="cs"/>
          <w:sz w:val="24"/>
          <w:szCs w:val="24"/>
          <w:rtl/>
        </w:rPr>
        <w:t>ניתן ללמוד, כי המחלוקת בין החכמים היא לא על עיקרון ההלכה אלא על המקור שלה.</w:t>
      </w:r>
    </w:p>
    <w:p w14:paraId="0989E65F" w14:textId="669672A3" w:rsidR="002550E4" w:rsidRPr="004A5120" w:rsidRDefault="002550E4" w:rsidP="0024306D">
      <w:pPr>
        <w:spacing w:after="0"/>
        <w:ind w:left="360"/>
        <w:jc w:val="both"/>
        <w:rPr>
          <w:rFonts w:ascii="David" w:hAnsi="David" w:cs="David"/>
          <w:sz w:val="24"/>
          <w:szCs w:val="24"/>
          <w:rtl/>
        </w:rPr>
      </w:pPr>
    </w:p>
    <w:p w14:paraId="34B8B613" w14:textId="5A573877" w:rsidR="002550E4" w:rsidRPr="004A5120" w:rsidRDefault="002550E4" w:rsidP="001A492B">
      <w:pPr>
        <w:pStyle w:val="a3"/>
        <w:numPr>
          <w:ilvl w:val="0"/>
          <w:numId w:val="8"/>
        </w:numPr>
        <w:spacing w:after="0"/>
        <w:jc w:val="both"/>
        <w:rPr>
          <w:rFonts w:ascii="David" w:hAnsi="David" w:cs="David"/>
          <w:sz w:val="24"/>
          <w:szCs w:val="24"/>
        </w:rPr>
      </w:pPr>
      <w:r w:rsidRPr="004A5120">
        <w:rPr>
          <w:rFonts w:ascii="David" w:hAnsi="David" w:cs="David" w:hint="cs"/>
          <w:sz w:val="24"/>
          <w:szCs w:val="24"/>
          <w:rtl/>
        </w:rPr>
        <w:t xml:space="preserve">דיני אבידה ומציאה </w:t>
      </w:r>
      <w:r w:rsidRPr="004A5120">
        <w:rPr>
          <w:rFonts w:ascii="David" w:hAnsi="David" w:cs="David"/>
          <w:sz w:val="24"/>
          <w:szCs w:val="24"/>
          <w:rtl/>
        </w:rPr>
        <w:t>–</w:t>
      </w:r>
      <w:r w:rsidRPr="004A5120">
        <w:rPr>
          <w:rFonts w:ascii="David" w:hAnsi="David" w:cs="David" w:hint="cs"/>
          <w:sz w:val="24"/>
          <w:szCs w:val="24"/>
          <w:rtl/>
        </w:rPr>
        <w:t xml:space="preserve"> מי שאיבד צריך להוכיח סימנים ולא מחויב בהבאת עדים. על מנת שיוכלו להחיל את העיקרון גם על מסירת גט, היו צריכים החכמים להבין אם ההלכה היא מהתורה, משום שרק כך יוכלו להחיל אותה על דין אחר. </w:t>
      </w:r>
    </w:p>
    <w:p w14:paraId="5F1E1022" w14:textId="2718F218" w:rsidR="002550E4" w:rsidRPr="004A5120" w:rsidRDefault="002550E4"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אמור</w:t>
      </w:r>
      <w:r w:rsidR="004A5CA9" w:rsidRPr="004A5120">
        <w:rPr>
          <w:rFonts w:ascii="David" w:hAnsi="David" w:cs="David" w:hint="cs"/>
          <w:sz w:val="24"/>
          <w:szCs w:val="24"/>
          <w:rtl/>
        </w:rPr>
        <w:t>א</w:t>
      </w:r>
      <w:r w:rsidRPr="004A5120">
        <w:rPr>
          <w:rFonts w:ascii="David" w:hAnsi="David" w:cs="David" w:hint="cs"/>
          <w:sz w:val="24"/>
          <w:szCs w:val="24"/>
          <w:rtl/>
        </w:rPr>
        <w:t xml:space="preserve"> רבא </w:t>
      </w:r>
      <w:r w:rsidRPr="004A5120">
        <w:rPr>
          <w:rFonts w:ascii="David" w:hAnsi="David" w:cs="David"/>
          <w:sz w:val="24"/>
          <w:szCs w:val="24"/>
          <w:rtl/>
        </w:rPr>
        <w:t>–</w:t>
      </w:r>
      <w:r w:rsidRPr="004A5120">
        <w:rPr>
          <w:rFonts w:ascii="David" w:hAnsi="David" w:cs="David" w:hint="cs"/>
          <w:sz w:val="24"/>
          <w:szCs w:val="24"/>
          <w:rtl/>
        </w:rPr>
        <w:t xml:space="preserve"> טוען שזה מהתורה </w:t>
      </w:r>
      <w:r w:rsidRPr="004A5120">
        <w:rPr>
          <w:rFonts w:ascii="David" w:hAnsi="David" w:cs="David"/>
          <w:sz w:val="24"/>
          <w:szCs w:val="24"/>
          <w:rtl/>
        </w:rPr>
        <w:t>–</w:t>
      </w:r>
      <w:r w:rsidRPr="004A5120">
        <w:rPr>
          <w:rFonts w:ascii="David" w:hAnsi="David" w:cs="David" w:hint="cs"/>
          <w:sz w:val="24"/>
          <w:szCs w:val="24"/>
          <w:rtl/>
        </w:rPr>
        <w:t xml:space="preserve"> </w:t>
      </w:r>
      <w:r w:rsidRPr="004A5120">
        <w:rPr>
          <w:rFonts w:ascii="David" w:hAnsi="David" w:cs="David" w:hint="cs"/>
          <w:i/>
          <w:iCs/>
          <w:sz w:val="24"/>
          <w:szCs w:val="24"/>
          <w:rtl/>
        </w:rPr>
        <w:t>"והיה עמך עד דרש אחיך אותו"</w:t>
      </w:r>
      <w:r w:rsidR="004A5CA9" w:rsidRPr="004A5120">
        <w:rPr>
          <w:rFonts w:ascii="David" w:hAnsi="David" w:cs="David" w:hint="cs"/>
          <w:i/>
          <w:iCs/>
          <w:sz w:val="24"/>
          <w:szCs w:val="24"/>
          <w:rtl/>
        </w:rPr>
        <w:t xml:space="preserve"> </w:t>
      </w:r>
      <w:r w:rsidR="004A5CA9" w:rsidRPr="004A5120">
        <w:rPr>
          <w:rFonts w:ascii="David" w:hAnsi="David" w:cs="David"/>
          <w:i/>
          <w:iCs/>
          <w:sz w:val="24"/>
          <w:szCs w:val="24"/>
          <w:rtl/>
        </w:rPr>
        <w:t>–</w:t>
      </w:r>
      <w:r w:rsidR="004A5CA9" w:rsidRPr="004A5120">
        <w:rPr>
          <w:rFonts w:ascii="David" w:hAnsi="David" w:cs="David" w:hint="cs"/>
          <w:i/>
          <w:iCs/>
          <w:sz w:val="24"/>
          <w:szCs w:val="24"/>
          <w:rtl/>
        </w:rPr>
        <w:t xml:space="preserve"> </w:t>
      </w:r>
      <w:r w:rsidR="004A5CA9" w:rsidRPr="004A5120">
        <w:rPr>
          <w:rFonts w:ascii="David" w:hAnsi="David" w:cs="David" w:hint="cs"/>
          <w:sz w:val="24"/>
          <w:szCs w:val="24"/>
          <w:rtl/>
        </w:rPr>
        <w:t xml:space="preserve">לא ניתן להשיב אבידה טרם המאבד דרש אותה. המשמעות הפשוטה של הפסוק היא דיי סתמית, המשמעות האמיתית היא שיש לחקור את האדם שדורש את האבידה עד שיוכיח שהיא שלו. איך חוקרים? ע"י סימנים. </w:t>
      </w:r>
      <w:r w:rsidR="004A5CA9" w:rsidRPr="004A5120">
        <w:rPr>
          <w:rFonts w:ascii="David" w:hAnsi="David" w:cs="David"/>
          <w:sz w:val="24"/>
          <w:szCs w:val="24"/>
          <w:rtl/>
        </w:rPr>
        <w:t>–</w:t>
      </w:r>
      <w:r w:rsidR="004A5CA9" w:rsidRPr="004A5120">
        <w:rPr>
          <w:rFonts w:ascii="David" w:hAnsi="David" w:cs="David" w:hint="cs"/>
          <w:sz w:val="24"/>
          <w:szCs w:val="24"/>
          <w:rtl/>
        </w:rPr>
        <w:t xml:space="preserve"> מכאן שניתן להחיל על גט. לא מדובר ביצירת הלכה על ידי המדרש, אלא הסמכת המדרש להחיל הליכה מדין אחר.</w:t>
      </w:r>
    </w:p>
    <w:p w14:paraId="030C4722" w14:textId="33E60E9E" w:rsidR="00610CA4" w:rsidRPr="004A5120" w:rsidRDefault="00610CA4" w:rsidP="0024306D">
      <w:pPr>
        <w:spacing w:after="0"/>
        <w:jc w:val="both"/>
        <w:rPr>
          <w:rFonts w:ascii="David" w:hAnsi="David" w:cs="David"/>
          <w:sz w:val="24"/>
          <w:szCs w:val="24"/>
          <w:rtl/>
        </w:rPr>
      </w:pPr>
    </w:p>
    <w:p w14:paraId="1BCB8B08" w14:textId="3F3B6C85" w:rsidR="00610CA4" w:rsidRPr="004A5120" w:rsidRDefault="00610CA4"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האסמכתא במדרש:</w:t>
      </w:r>
    </w:p>
    <w:p w14:paraId="65BF01E8" w14:textId="62B0597D" w:rsidR="00290411" w:rsidRPr="004A5120" w:rsidRDefault="00290411" w:rsidP="0024306D">
      <w:pPr>
        <w:spacing w:after="0"/>
        <w:jc w:val="both"/>
        <w:rPr>
          <w:rFonts w:ascii="David" w:hAnsi="David" w:cs="David"/>
          <w:sz w:val="24"/>
          <w:szCs w:val="24"/>
          <w:rtl/>
        </w:rPr>
      </w:pPr>
      <w:r w:rsidRPr="004A5120">
        <w:rPr>
          <w:rFonts w:ascii="David" w:hAnsi="David" w:cs="David" w:hint="cs"/>
          <w:sz w:val="24"/>
          <w:szCs w:val="24"/>
          <w:rtl/>
        </w:rPr>
        <w:t xml:space="preserve">ישנן הלכות שבהן קבעו החכמים במפורש שלא המדרש יצר את ההלכה, אלא הייתה קיימת ונסמכה אל פסוק בתורה </w:t>
      </w:r>
      <w:r w:rsidRPr="004A5120">
        <w:rPr>
          <w:rFonts w:ascii="David" w:hAnsi="David" w:cs="David"/>
          <w:sz w:val="24"/>
          <w:szCs w:val="24"/>
          <w:rtl/>
        </w:rPr>
        <w:t>–</w:t>
      </w:r>
      <w:r w:rsidRPr="004A5120">
        <w:rPr>
          <w:rFonts w:ascii="David" w:hAnsi="David" w:cs="David" w:hint="cs"/>
          <w:sz w:val="24"/>
          <w:szCs w:val="24"/>
          <w:rtl/>
        </w:rPr>
        <w:t xml:space="preserve"> מקרים אלו נקראים "אסמכתא". לעתים נראה הלכות מדרשיות שניתן להסיק הלכה בפשטות מהפסוק, ועדיין מוכנות אסמכתא. מנגד, יש הלכות שלא משתלבות בצורה סבירה בפסוק, ועדיין לא מכונות "אסמכתא".</w:t>
      </w:r>
    </w:p>
    <w:p w14:paraId="2265F9E9" w14:textId="4429A549" w:rsidR="00290411" w:rsidRPr="004A5120" w:rsidRDefault="00290411" w:rsidP="0024306D">
      <w:pPr>
        <w:spacing w:after="0"/>
        <w:jc w:val="both"/>
        <w:rPr>
          <w:rFonts w:ascii="David" w:hAnsi="David" w:cs="David"/>
          <w:sz w:val="24"/>
          <w:szCs w:val="24"/>
          <w:rtl/>
        </w:rPr>
      </w:pPr>
      <w:r w:rsidRPr="004A5120">
        <w:rPr>
          <w:rFonts w:ascii="David" w:hAnsi="David" w:cs="David" w:hint="cs"/>
          <w:sz w:val="24"/>
          <w:szCs w:val="24"/>
          <w:rtl/>
        </w:rPr>
        <w:t>דוגמאות:</w:t>
      </w:r>
    </w:p>
    <w:p w14:paraId="0CB6C960" w14:textId="6BCD6BF4" w:rsidR="00290411" w:rsidRPr="004A5120" w:rsidRDefault="00290411" w:rsidP="001A492B">
      <w:pPr>
        <w:pStyle w:val="a3"/>
        <w:numPr>
          <w:ilvl w:val="0"/>
          <w:numId w:val="9"/>
        </w:numPr>
        <w:spacing w:after="0"/>
        <w:jc w:val="both"/>
        <w:rPr>
          <w:rFonts w:ascii="David" w:hAnsi="David" w:cs="David"/>
          <w:sz w:val="24"/>
          <w:szCs w:val="24"/>
        </w:rPr>
      </w:pPr>
      <w:r w:rsidRPr="004A5120">
        <w:rPr>
          <w:rFonts w:ascii="David" w:hAnsi="David" w:cs="David" w:hint="cs"/>
          <w:sz w:val="24"/>
          <w:szCs w:val="24"/>
          <w:rtl/>
        </w:rPr>
        <w:t xml:space="preserve">שמות (כב/ד): </w:t>
      </w:r>
      <w:r w:rsidRPr="004A5120">
        <w:rPr>
          <w:rFonts w:ascii="David" w:hAnsi="David" w:cs="David" w:hint="cs"/>
          <w:i/>
          <w:iCs/>
          <w:sz w:val="24"/>
          <w:szCs w:val="24"/>
          <w:rtl/>
        </w:rPr>
        <w:t xml:space="preserve">"כי יבער איש שדה או כרם ושלח את בעיה ובער בשדה אחר, מיטב שדהו ומיטב כרמו ישלם" </w:t>
      </w:r>
      <w:r w:rsidRPr="004A5120">
        <w:rPr>
          <w:rFonts w:ascii="David" w:hAnsi="David" w:cs="David"/>
          <w:i/>
          <w:iCs/>
          <w:sz w:val="24"/>
          <w:szCs w:val="24"/>
          <w:rtl/>
        </w:rPr>
        <w:t>–</w:t>
      </w:r>
      <w:r w:rsidRPr="004A5120">
        <w:rPr>
          <w:rFonts w:ascii="David" w:hAnsi="David" w:cs="David" w:hint="cs"/>
          <w:i/>
          <w:iCs/>
          <w:sz w:val="24"/>
          <w:szCs w:val="24"/>
          <w:rtl/>
        </w:rPr>
        <w:t xml:space="preserve"> </w:t>
      </w:r>
      <w:r w:rsidRPr="004A5120">
        <w:rPr>
          <w:rFonts w:ascii="David" w:hAnsi="David" w:cs="David" w:hint="cs"/>
          <w:sz w:val="24"/>
          <w:szCs w:val="24"/>
          <w:rtl/>
        </w:rPr>
        <w:t>אם בהמה של מישהו רעתה על שדה של אחד, על בעל הבהמה לשלם את הנזק בסחורה הטובה ביותר שלו (מכונה עידית).</w:t>
      </w:r>
    </w:p>
    <w:p w14:paraId="42B36E0B" w14:textId="073B4210" w:rsidR="00290411" w:rsidRPr="004A5120" w:rsidRDefault="00290411" w:rsidP="0024306D">
      <w:pPr>
        <w:pStyle w:val="a3"/>
        <w:spacing w:after="0"/>
        <w:jc w:val="both"/>
        <w:rPr>
          <w:rFonts w:ascii="David" w:hAnsi="David" w:cs="David"/>
          <w:sz w:val="24"/>
          <w:szCs w:val="24"/>
          <w:rtl/>
        </w:rPr>
      </w:pPr>
      <w:r w:rsidRPr="004A5120">
        <w:rPr>
          <w:rFonts w:ascii="David" w:hAnsi="David" w:cs="David" w:hint="cs"/>
          <w:sz w:val="24"/>
          <w:szCs w:val="24"/>
          <w:rtl/>
        </w:rPr>
        <w:t>החכמים נחלקו באם מדובר במיטב הנכסים של בעל הבהמה, או לפי טיב הנכסים של בעל הקרקע.</w:t>
      </w:r>
    </w:p>
    <w:p w14:paraId="076206B4" w14:textId="5D51F6BB" w:rsidR="00290411" w:rsidRPr="004A5120" w:rsidRDefault="00290411"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כוונת הפסוק היא לנכסים המשובחים של הניזוק</w:t>
      </w:r>
      <w:r w:rsidR="004933A1" w:rsidRPr="004A5120">
        <w:rPr>
          <w:rFonts w:ascii="David" w:hAnsi="David" w:cs="David" w:hint="cs"/>
          <w:sz w:val="24"/>
          <w:szCs w:val="24"/>
          <w:rtl/>
        </w:rPr>
        <w:t>, אבל הוא וחכמים קובעים שמדובר על הנכסים המשובחים של המזיק.</w:t>
      </w:r>
    </w:p>
    <w:p w14:paraId="2CE278AC" w14:textId="18D2B129" w:rsidR="004933A1" w:rsidRPr="004A5120" w:rsidRDefault="004933A1"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בתלמוד הבבלי מנסים להבין איך ר' עקיבא הסיק זאת </w:t>
      </w:r>
      <w:r w:rsidRPr="004A5120">
        <w:rPr>
          <w:rFonts w:ascii="David" w:hAnsi="David" w:cs="David"/>
          <w:sz w:val="24"/>
          <w:szCs w:val="24"/>
          <w:rtl/>
        </w:rPr>
        <w:t>–</w:t>
      </w:r>
      <w:r w:rsidRPr="004A5120">
        <w:rPr>
          <w:rFonts w:ascii="David" w:hAnsi="David" w:cs="David" w:hint="cs"/>
          <w:sz w:val="24"/>
          <w:szCs w:val="24"/>
          <w:rtl/>
        </w:rPr>
        <w:t xml:space="preserve"> הרי הדין הוא מתקנת חכמים, מטרתו לתת לאדם </w:t>
      </w:r>
      <w:r w:rsidR="00EA0426" w:rsidRPr="004A5120">
        <w:rPr>
          <w:rFonts w:ascii="David" w:hAnsi="David" w:cs="David" w:hint="cs"/>
          <w:sz w:val="24"/>
          <w:szCs w:val="24"/>
          <w:rtl/>
        </w:rPr>
        <w:t>מוטיבציה</w:t>
      </w:r>
      <w:r w:rsidRPr="004A5120">
        <w:rPr>
          <w:rFonts w:ascii="David" w:hAnsi="David" w:cs="David" w:hint="cs"/>
          <w:sz w:val="24"/>
          <w:szCs w:val="24"/>
          <w:rtl/>
        </w:rPr>
        <w:t xml:space="preserve"> שלילית לגנוב.</w:t>
      </w:r>
    </w:p>
    <w:p w14:paraId="03937228" w14:textId="0F23CB8A" w:rsidR="004933A1" w:rsidRPr="004A5120" w:rsidRDefault="004933A1" w:rsidP="0024306D">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מבחינה מילולית, שני הפירושים נכונים. הסיבה שנבחר הפירוש של ר' עקיבא הוא משום תיקון עולם </w:t>
      </w:r>
      <w:r w:rsidRPr="004A5120">
        <w:rPr>
          <w:rFonts w:ascii="David" w:hAnsi="David" w:cs="David"/>
          <w:sz w:val="24"/>
          <w:szCs w:val="24"/>
          <w:rtl/>
        </w:rPr>
        <w:t>–</w:t>
      </w:r>
      <w:r w:rsidRPr="004A5120">
        <w:rPr>
          <w:rFonts w:ascii="David" w:hAnsi="David" w:cs="David" w:hint="cs"/>
          <w:sz w:val="24"/>
          <w:szCs w:val="24"/>
          <w:rtl/>
        </w:rPr>
        <w:t xml:space="preserve"> להפוך אותו לטוב יותר. החכמים קוראים להלכה אסמכתא </w:t>
      </w:r>
      <w:r w:rsidRPr="004A5120">
        <w:rPr>
          <w:rFonts w:ascii="David" w:hAnsi="David" w:cs="David"/>
          <w:sz w:val="24"/>
          <w:szCs w:val="24"/>
          <w:rtl/>
        </w:rPr>
        <w:t>–</w:t>
      </w:r>
      <w:r w:rsidRPr="004A5120">
        <w:rPr>
          <w:rFonts w:ascii="David" w:hAnsi="David" w:cs="David" w:hint="cs"/>
          <w:sz w:val="24"/>
          <w:szCs w:val="24"/>
          <w:rtl/>
        </w:rPr>
        <w:t xml:space="preserve"> הלכה שנסמכת לפסוק והוא אינו המקור שלה.</w:t>
      </w:r>
    </w:p>
    <w:p w14:paraId="6B44392F" w14:textId="7622E458" w:rsidR="004933A1" w:rsidRPr="004A5120" w:rsidRDefault="004933A1" w:rsidP="0024306D">
      <w:pPr>
        <w:pStyle w:val="a3"/>
        <w:spacing w:after="0"/>
        <w:jc w:val="both"/>
        <w:rPr>
          <w:rFonts w:ascii="David" w:hAnsi="David" w:cs="David"/>
          <w:sz w:val="24"/>
          <w:szCs w:val="24"/>
        </w:rPr>
      </w:pPr>
      <w:r w:rsidRPr="004A5120">
        <w:rPr>
          <w:rFonts w:ascii="David" w:hAnsi="David" w:cs="David" w:hint="cs"/>
          <w:sz w:val="24"/>
          <w:szCs w:val="24"/>
          <w:rtl/>
        </w:rPr>
        <w:t>זו דוגמה לכך שהמושג אסמכתא לא קשור לנוחות בשילוב ההלכה בפסוק, אלא מגמה של חכמים לדייק במקור יצירתו של הדין.</w:t>
      </w:r>
    </w:p>
    <w:p w14:paraId="006F40F0" w14:textId="3330F515" w:rsidR="002550E4" w:rsidRPr="004A5120" w:rsidRDefault="007B13F2" w:rsidP="001A492B">
      <w:pPr>
        <w:pStyle w:val="a3"/>
        <w:numPr>
          <w:ilvl w:val="0"/>
          <w:numId w:val="9"/>
        </w:numPr>
        <w:spacing w:after="0"/>
        <w:jc w:val="both"/>
        <w:rPr>
          <w:rFonts w:ascii="David" w:hAnsi="David" w:cs="David"/>
          <w:sz w:val="24"/>
          <w:szCs w:val="24"/>
        </w:rPr>
      </w:pPr>
      <w:r w:rsidRPr="004A5120">
        <w:rPr>
          <w:rFonts w:ascii="David" w:hAnsi="David" w:cs="David" w:hint="cs"/>
          <w:sz w:val="24"/>
          <w:szCs w:val="24"/>
          <w:rtl/>
        </w:rPr>
        <w:t xml:space="preserve">דברים (כד/טז): </w:t>
      </w:r>
      <w:r w:rsidRPr="004A5120">
        <w:rPr>
          <w:rFonts w:ascii="David" w:hAnsi="David" w:cs="David" w:hint="cs"/>
          <w:i/>
          <w:iCs/>
          <w:sz w:val="24"/>
          <w:szCs w:val="24"/>
          <w:rtl/>
        </w:rPr>
        <w:t xml:space="preserve">"לא יומתו אבות על בנים ובנים לא יומתו על אבות, איש בחטאו יומתו". </w:t>
      </w:r>
      <w:r w:rsidRPr="004A5120">
        <w:rPr>
          <w:rFonts w:ascii="David" w:hAnsi="David" w:cs="David"/>
          <w:sz w:val="24"/>
          <w:szCs w:val="24"/>
          <w:rtl/>
        </w:rPr>
        <w:t>–</w:t>
      </w:r>
      <w:r w:rsidRPr="004A5120">
        <w:rPr>
          <w:rFonts w:ascii="David" w:hAnsi="David" w:cs="David" w:hint="cs"/>
          <w:sz w:val="24"/>
          <w:szCs w:val="24"/>
          <w:rtl/>
        </w:rPr>
        <w:t xml:space="preserve"> הפשט אומר שהאב לא ייענש על מעשי הבן וההפך. </w:t>
      </w:r>
    </w:p>
    <w:p w14:paraId="511A3E56" w14:textId="4EA802CA" w:rsidR="007B13F2" w:rsidRPr="004A5120" w:rsidRDefault="007B13F2" w:rsidP="0024306D">
      <w:pPr>
        <w:pStyle w:val="a3"/>
        <w:spacing w:after="0"/>
        <w:jc w:val="both"/>
        <w:rPr>
          <w:rFonts w:ascii="David" w:hAnsi="David" w:cs="David"/>
          <w:sz w:val="24"/>
          <w:szCs w:val="24"/>
          <w:rtl/>
        </w:rPr>
      </w:pPr>
      <w:r w:rsidRPr="004A5120">
        <w:rPr>
          <w:rFonts w:ascii="David" w:hAnsi="David" w:cs="David" w:hint="cs"/>
          <w:sz w:val="24"/>
          <w:szCs w:val="24"/>
          <w:rtl/>
        </w:rPr>
        <w:t>התנאים הסיקו הלכה נוספת מהפסוק דרך המדרש, מכוח הכפילות בפסוק, שלא יגרמו האחד לשני למוות בשום צורה, לא חטא ולא עדות. ההלכה אינה מכונה "אסמכתא", למרות שההבנה מהפסוק רחוקה.</w:t>
      </w:r>
    </w:p>
    <w:p w14:paraId="052AEC1B" w14:textId="6B12F090" w:rsidR="007B13F2" w:rsidRPr="004A5120" w:rsidRDefault="007B13F2" w:rsidP="0024306D">
      <w:pPr>
        <w:spacing w:after="0"/>
        <w:jc w:val="both"/>
        <w:rPr>
          <w:rFonts w:ascii="David" w:hAnsi="David" w:cs="David"/>
          <w:sz w:val="24"/>
          <w:szCs w:val="24"/>
          <w:rtl/>
        </w:rPr>
      </w:pPr>
    </w:p>
    <w:p w14:paraId="50A3A904" w14:textId="623FACA0" w:rsidR="007B13F2" w:rsidRPr="004A5120" w:rsidRDefault="007B13F2" w:rsidP="0024306D">
      <w:pPr>
        <w:spacing w:after="0"/>
        <w:jc w:val="both"/>
        <w:rPr>
          <w:rFonts w:ascii="David" w:hAnsi="David" w:cs="David"/>
          <w:sz w:val="24"/>
          <w:szCs w:val="24"/>
          <w:rtl/>
        </w:rPr>
      </w:pPr>
      <w:r w:rsidRPr="004A5120">
        <w:rPr>
          <w:rFonts w:ascii="David" w:hAnsi="David" w:cs="David" w:hint="cs"/>
          <w:sz w:val="24"/>
          <w:szCs w:val="24"/>
          <w:rtl/>
        </w:rPr>
        <w:t xml:space="preserve">כלומר, המושג אסמכתא בא להבחין בין הלכה הבאה מדרשה, להלכה הנובעת ממקורות משפטיים אחרים ורק נסמכה אל הפסוק ע"י דרשה. (אסמכתא </w:t>
      </w:r>
      <w:r w:rsidRPr="004A5120">
        <w:rPr>
          <w:rFonts w:ascii="David" w:hAnsi="David" w:cs="David"/>
          <w:sz w:val="24"/>
          <w:szCs w:val="24"/>
          <w:rtl/>
        </w:rPr>
        <w:t>–</w:t>
      </w:r>
      <w:r w:rsidRPr="004A5120">
        <w:rPr>
          <w:rFonts w:ascii="David" w:hAnsi="David" w:cs="David" w:hint="cs"/>
          <w:sz w:val="24"/>
          <w:szCs w:val="24"/>
          <w:rtl/>
        </w:rPr>
        <w:t xml:space="preserve"> רק כאשר מציינים במפורש).</w:t>
      </w:r>
    </w:p>
    <w:p w14:paraId="3FCE744E" w14:textId="487DF92A" w:rsidR="007B13F2" w:rsidRPr="004A5120" w:rsidRDefault="007B13F2" w:rsidP="0024306D">
      <w:pPr>
        <w:spacing w:after="0"/>
        <w:jc w:val="both"/>
        <w:rPr>
          <w:rFonts w:ascii="David" w:hAnsi="David" w:cs="David"/>
          <w:sz w:val="24"/>
          <w:szCs w:val="24"/>
          <w:rtl/>
        </w:rPr>
      </w:pPr>
    </w:p>
    <w:p w14:paraId="23CC9920" w14:textId="7B1B246F" w:rsidR="0024306D" w:rsidRPr="004A5120" w:rsidRDefault="0024306D" w:rsidP="0024306D">
      <w:pPr>
        <w:spacing w:after="0"/>
        <w:jc w:val="both"/>
        <w:rPr>
          <w:rFonts w:ascii="David" w:hAnsi="David" w:cs="David"/>
          <w:sz w:val="24"/>
          <w:szCs w:val="24"/>
          <w:rtl/>
        </w:rPr>
      </w:pPr>
    </w:p>
    <w:p w14:paraId="5B519EEC" w14:textId="654AB373" w:rsidR="0024306D" w:rsidRPr="004A5120" w:rsidRDefault="0024306D" w:rsidP="0024306D">
      <w:pPr>
        <w:spacing w:after="0"/>
        <w:jc w:val="both"/>
        <w:rPr>
          <w:rFonts w:ascii="David" w:hAnsi="David" w:cs="David"/>
          <w:sz w:val="24"/>
          <w:szCs w:val="24"/>
          <w:rtl/>
        </w:rPr>
      </w:pPr>
    </w:p>
    <w:p w14:paraId="7DD33C4F" w14:textId="2BBD945E" w:rsidR="0024306D" w:rsidRPr="004A5120" w:rsidRDefault="0024306D" w:rsidP="0024306D">
      <w:pPr>
        <w:spacing w:after="0"/>
        <w:jc w:val="both"/>
        <w:rPr>
          <w:rFonts w:ascii="David" w:hAnsi="David" w:cs="David"/>
          <w:sz w:val="24"/>
          <w:szCs w:val="24"/>
          <w:rtl/>
        </w:rPr>
      </w:pPr>
    </w:p>
    <w:p w14:paraId="22F1A2C2" w14:textId="77777777" w:rsidR="0024306D" w:rsidRPr="004A5120" w:rsidRDefault="0024306D" w:rsidP="0024306D">
      <w:pPr>
        <w:spacing w:after="0"/>
        <w:jc w:val="both"/>
        <w:rPr>
          <w:rFonts w:ascii="David" w:hAnsi="David" w:cs="David"/>
          <w:sz w:val="24"/>
          <w:szCs w:val="24"/>
          <w:rtl/>
        </w:rPr>
      </w:pPr>
    </w:p>
    <w:p w14:paraId="278A4DC8" w14:textId="73E50593" w:rsidR="007B13F2" w:rsidRPr="004A5120" w:rsidRDefault="007B13F2"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השוני הספרותי בין הדרש היוצר למדרש המקיים:</w:t>
      </w:r>
    </w:p>
    <w:p w14:paraId="3413DE4D" w14:textId="7943FA39" w:rsidR="007B13F2" w:rsidRPr="004A5120" w:rsidRDefault="007B13F2" w:rsidP="0024306D">
      <w:pPr>
        <w:spacing w:after="0"/>
        <w:jc w:val="both"/>
        <w:rPr>
          <w:rFonts w:ascii="David" w:hAnsi="David" w:cs="David"/>
          <w:sz w:val="24"/>
          <w:szCs w:val="24"/>
          <w:rtl/>
        </w:rPr>
      </w:pPr>
    </w:p>
    <w:p w14:paraId="3FE35D22" w14:textId="6384C836" w:rsidR="007B13F2" w:rsidRPr="004A5120" w:rsidRDefault="007B13F2" w:rsidP="0024306D">
      <w:pPr>
        <w:spacing w:after="0"/>
        <w:jc w:val="both"/>
        <w:rPr>
          <w:rFonts w:ascii="David" w:hAnsi="David" w:cs="David"/>
          <w:sz w:val="24"/>
          <w:szCs w:val="24"/>
          <w:rtl/>
        </w:rPr>
      </w:pPr>
      <w:r w:rsidRPr="004A5120">
        <w:rPr>
          <w:rFonts w:ascii="David" w:hAnsi="David" w:cs="David" w:hint="cs"/>
          <w:sz w:val="24"/>
          <w:szCs w:val="24"/>
          <w:rtl/>
        </w:rPr>
        <w:t>יש 2 מגמות: מדרש שמגמתו לבאר את הכתוב בתורה וליצור הלכות חדשות מתוכה. השני הוא מדרש שמגמתו קיום ושילוב של הלכה קיימת, בתוך דברי התורה.</w:t>
      </w:r>
    </w:p>
    <w:p w14:paraId="7801A631" w14:textId="65099595" w:rsidR="007B13F2" w:rsidRPr="004A5120" w:rsidRDefault="007B13F2" w:rsidP="0024306D">
      <w:pPr>
        <w:spacing w:after="0"/>
        <w:jc w:val="both"/>
        <w:rPr>
          <w:rFonts w:ascii="David" w:hAnsi="David" w:cs="David"/>
          <w:sz w:val="24"/>
          <w:szCs w:val="24"/>
          <w:rtl/>
        </w:rPr>
      </w:pPr>
      <w:r w:rsidRPr="004A5120">
        <w:rPr>
          <w:rFonts w:ascii="David" w:hAnsi="David" w:cs="David" w:hint="cs"/>
          <w:sz w:val="24"/>
          <w:szCs w:val="24"/>
          <w:rtl/>
        </w:rPr>
        <w:t xml:space="preserve">משמע, </w:t>
      </w:r>
      <w:r w:rsidR="00FF1508" w:rsidRPr="004A5120">
        <w:rPr>
          <w:rFonts w:ascii="David" w:hAnsi="David" w:cs="David" w:hint="cs"/>
          <w:sz w:val="24"/>
          <w:szCs w:val="24"/>
          <w:rtl/>
        </w:rPr>
        <w:t>במדרש יוצר</w:t>
      </w:r>
      <w:r w:rsidRPr="004A5120">
        <w:rPr>
          <w:rFonts w:ascii="David" w:hAnsi="David" w:cs="David" w:hint="cs"/>
          <w:sz w:val="24"/>
          <w:szCs w:val="24"/>
          <w:rtl/>
        </w:rPr>
        <w:t xml:space="preserve"> יש להוכיח את ההיגיון לפיו הפסוק הוא המקור להלכה. במדרש מקיים, </w:t>
      </w:r>
      <w:r w:rsidR="00FF1508" w:rsidRPr="004A5120">
        <w:rPr>
          <w:rFonts w:ascii="David" w:hAnsi="David" w:cs="David" w:hint="cs"/>
          <w:sz w:val="24"/>
          <w:szCs w:val="24"/>
          <w:rtl/>
        </w:rPr>
        <w:t>היות וההלכה עצמה כבר קיימת, הפרשן יכול לשלב אותה בתוך הפסוק לפי ראות עיניו.</w:t>
      </w:r>
    </w:p>
    <w:p w14:paraId="3BBC6EE3" w14:textId="1FB16B61" w:rsidR="00FF1508" w:rsidRPr="004A5120" w:rsidRDefault="00FF1508" w:rsidP="0024306D">
      <w:pPr>
        <w:spacing w:after="0"/>
        <w:jc w:val="both"/>
        <w:rPr>
          <w:rFonts w:ascii="David" w:hAnsi="David" w:cs="David"/>
          <w:sz w:val="24"/>
          <w:szCs w:val="24"/>
          <w:rtl/>
        </w:rPr>
      </w:pPr>
      <w:r w:rsidRPr="004A5120">
        <w:rPr>
          <w:rFonts w:ascii="David" w:hAnsi="David" w:cs="David" w:hint="cs"/>
          <w:sz w:val="24"/>
          <w:szCs w:val="24"/>
          <w:rtl/>
        </w:rPr>
        <w:t>הבנה זו חשובה היות ואם נדע להבחין שלפנינו מדרש מקיים, נסתכל בסלחנות על קשר רופף בין ההלכה לפסוק.</w:t>
      </w:r>
    </w:p>
    <w:p w14:paraId="508E723D" w14:textId="44DB5874" w:rsidR="0024306D" w:rsidRPr="004A5120" w:rsidRDefault="0024306D" w:rsidP="0024306D">
      <w:pPr>
        <w:spacing w:after="0"/>
        <w:jc w:val="both"/>
        <w:rPr>
          <w:rFonts w:ascii="David" w:hAnsi="David" w:cs="David"/>
          <w:sz w:val="24"/>
          <w:szCs w:val="24"/>
          <w:rtl/>
        </w:rPr>
      </w:pPr>
      <w:r w:rsidRPr="004A5120">
        <w:rPr>
          <w:rFonts w:ascii="David" w:hAnsi="David" w:cs="David" w:hint="cs"/>
          <w:sz w:val="24"/>
          <w:szCs w:val="24"/>
          <w:rtl/>
        </w:rPr>
        <w:t xml:space="preserve">השוני הספרותי הוא גם שוני היסטורי, מפסיקת הלכה לפי פירוש לשוני, ענייני, של הפסוק, החלו דרכי מדרש מליציות, מלאות דמיון. הסוג השני התפתח בעיקר בימיו של ר' עקיבא </w:t>
      </w:r>
      <w:r w:rsidRPr="004A5120">
        <w:rPr>
          <w:rFonts w:ascii="David" w:hAnsi="David" w:cs="David"/>
          <w:sz w:val="24"/>
          <w:szCs w:val="24"/>
          <w:rtl/>
        </w:rPr>
        <w:t>–</w:t>
      </w:r>
      <w:r w:rsidRPr="004A5120">
        <w:rPr>
          <w:rFonts w:ascii="David" w:hAnsi="David" w:cs="David" w:hint="cs"/>
          <w:sz w:val="24"/>
          <w:szCs w:val="24"/>
          <w:rtl/>
        </w:rPr>
        <w:t xml:space="preserve"> הסתמכות על רמזים וסימנים בתורה. מקל על הזיכרון בתוך כמות אינסופית של הלכות.</w:t>
      </w:r>
    </w:p>
    <w:p w14:paraId="2DDD3900" w14:textId="1AE08D31" w:rsidR="0024306D" w:rsidRPr="004A5120" w:rsidRDefault="0024306D" w:rsidP="0024306D">
      <w:pPr>
        <w:spacing w:after="0"/>
        <w:jc w:val="both"/>
        <w:rPr>
          <w:rFonts w:ascii="David" w:hAnsi="David" w:cs="David"/>
          <w:sz w:val="24"/>
          <w:szCs w:val="24"/>
          <w:rtl/>
        </w:rPr>
      </w:pPr>
    </w:p>
    <w:p w14:paraId="339562A0" w14:textId="6502C7D1" w:rsidR="0024306D" w:rsidRPr="004A5120" w:rsidRDefault="0024306D" w:rsidP="0024306D">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מאמר 2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דרכי המדרש של ר' עקיבא ור' ישמעאל:</w:t>
      </w:r>
    </w:p>
    <w:p w14:paraId="36B87FD5" w14:textId="52820AB7" w:rsidR="0024306D" w:rsidRPr="004A5120" w:rsidRDefault="0024306D" w:rsidP="0024306D">
      <w:pPr>
        <w:spacing w:after="0"/>
        <w:jc w:val="both"/>
        <w:rPr>
          <w:rFonts w:ascii="David" w:hAnsi="David" w:cs="David"/>
          <w:sz w:val="24"/>
          <w:szCs w:val="24"/>
          <w:rtl/>
        </w:rPr>
      </w:pPr>
    </w:p>
    <w:p w14:paraId="61E20098" w14:textId="084A4813" w:rsidR="001D4D29" w:rsidRPr="004A5120" w:rsidRDefault="001D4D29" w:rsidP="0024306D">
      <w:pPr>
        <w:spacing w:after="0"/>
        <w:jc w:val="both"/>
        <w:rPr>
          <w:rFonts w:ascii="David" w:hAnsi="David" w:cs="David"/>
          <w:sz w:val="24"/>
          <w:szCs w:val="24"/>
          <w:rtl/>
        </w:rPr>
      </w:pPr>
      <w:r w:rsidRPr="004A5120">
        <w:rPr>
          <w:rFonts w:ascii="David" w:hAnsi="David" w:cs="David" w:hint="cs"/>
          <w:sz w:val="24"/>
          <w:szCs w:val="24"/>
          <w:rtl/>
        </w:rPr>
        <w:t>ר' ישמעאל:</w:t>
      </w:r>
    </w:p>
    <w:p w14:paraId="24BBC623" w14:textId="493650CA"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השתדל לשמור על דרך הדרש ההגיונית.</w:t>
      </w:r>
    </w:p>
    <w:p w14:paraId="43C62688" w14:textId="218B0B1C"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משלב את ההלכה באמצעות 13 מידות (דרכים), שהתורה נדרשת בהן.</w:t>
      </w:r>
    </w:p>
    <w:p w14:paraId="6E360384" w14:textId="133E4E80"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כאשר מתקשה למצוא דרך מדרשית מתאימה לשילוב ההלכה בפסוק, מוותר על כך.</w:t>
      </w:r>
    </w:p>
    <w:p w14:paraId="5856373A" w14:textId="5B186E51" w:rsidR="001D4D29" w:rsidRPr="004A5120" w:rsidRDefault="001D4D29" w:rsidP="001D4D29">
      <w:pPr>
        <w:spacing w:after="0"/>
        <w:jc w:val="both"/>
        <w:rPr>
          <w:rFonts w:ascii="David" w:hAnsi="David" w:cs="David"/>
          <w:sz w:val="24"/>
          <w:szCs w:val="24"/>
          <w:rtl/>
        </w:rPr>
      </w:pPr>
    </w:p>
    <w:p w14:paraId="534D010D" w14:textId="235F421D" w:rsidR="001D4D29" w:rsidRPr="004A5120" w:rsidRDefault="001D4D29" w:rsidP="001D4D29">
      <w:pPr>
        <w:spacing w:after="0"/>
        <w:jc w:val="both"/>
        <w:rPr>
          <w:rFonts w:ascii="David" w:hAnsi="David" w:cs="David"/>
          <w:sz w:val="24"/>
          <w:szCs w:val="24"/>
          <w:rtl/>
        </w:rPr>
      </w:pPr>
      <w:r w:rsidRPr="004A5120">
        <w:rPr>
          <w:rFonts w:ascii="David" w:hAnsi="David" w:cs="David" w:hint="cs"/>
          <w:sz w:val="24"/>
          <w:szCs w:val="24"/>
          <w:rtl/>
        </w:rPr>
        <w:t>ר' עקיבא:</w:t>
      </w:r>
    </w:p>
    <w:p w14:paraId="18781500" w14:textId="700878C3"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מרחיב מעבר למשמעות הלשונית ההגיונית של הפסוק.</w:t>
      </w:r>
    </w:p>
    <w:p w14:paraId="100DBD7D" w14:textId="7E82AF61"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משתמש בטכניקות לשוניות שמהן לומד את ההלכה (ייתור אותיות, מילים וכו').</w:t>
      </w:r>
    </w:p>
    <w:p w14:paraId="768F1D90" w14:textId="2CAEA7EB" w:rsidR="001D4D29" w:rsidRPr="004A5120" w:rsidRDefault="001D4D29" w:rsidP="001D4D29">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כאשר מתקשה למצוא דרך מדרשית, משתמש בטכניקה לשונית על מנת לשלב אותה.</w:t>
      </w:r>
    </w:p>
    <w:p w14:paraId="436CA13C" w14:textId="77777777" w:rsidR="001D4D29" w:rsidRPr="004A5120" w:rsidRDefault="001D4D29" w:rsidP="001D4D29">
      <w:pPr>
        <w:spacing w:after="0"/>
        <w:jc w:val="both"/>
        <w:rPr>
          <w:rFonts w:ascii="David" w:hAnsi="David" w:cs="David"/>
          <w:sz w:val="24"/>
          <w:szCs w:val="24"/>
          <w:rtl/>
        </w:rPr>
      </w:pPr>
    </w:p>
    <w:p w14:paraId="0BDC8D8A" w14:textId="2A9B23F7" w:rsidR="0024306D" w:rsidRPr="004A5120" w:rsidRDefault="0024306D" w:rsidP="0048448B">
      <w:pPr>
        <w:spacing w:after="0"/>
        <w:jc w:val="both"/>
        <w:rPr>
          <w:rFonts w:ascii="David" w:hAnsi="David" w:cs="David"/>
          <w:sz w:val="24"/>
          <w:szCs w:val="24"/>
          <w:rtl/>
        </w:rPr>
      </w:pPr>
      <w:r w:rsidRPr="004A5120">
        <w:rPr>
          <w:rFonts w:ascii="David" w:hAnsi="David" w:cs="David" w:hint="cs"/>
          <w:sz w:val="24"/>
          <w:szCs w:val="24"/>
          <w:rtl/>
        </w:rPr>
        <w:t>במצבים רבים האסכולות מסכימות על העיקרון המשפטי, אך חלוקות בדרך שילובו בפסוק.</w:t>
      </w:r>
    </w:p>
    <w:p w14:paraId="1CBF9459" w14:textId="7CAAD718" w:rsidR="001D4D29" w:rsidRPr="004A5120" w:rsidRDefault="001D4D29" w:rsidP="0048448B">
      <w:pPr>
        <w:spacing w:after="0"/>
        <w:jc w:val="both"/>
        <w:rPr>
          <w:rFonts w:ascii="David" w:hAnsi="David" w:cs="David"/>
          <w:sz w:val="24"/>
          <w:szCs w:val="24"/>
          <w:rtl/>
        </w:rPr>
      </w:pPr>
    </w:p>
    <w:p w14:paraId="410ABFD6" w14:textId="36D6D80C" w:rsidR="001D4D29" w:rsidRPr="004A5120" w:rsidRDefault="001D4D29" w:rsidP="0048448B">
      <w:pPr>
        <w:spacing w:after="0"/>
        <w:jc w:val="both"/>
        <w:rPr>
          <w:rFonts w:ascii="David" w:hAnsi="David" w:cs="David"/>
          <w:sz w:val="24"/>
          <w:szCs w:val="24"/>
          <w:rtl/>
        </w:rPr>
      </w:pPr>
      <w:r w:rsidRPr="004A5120">
        <w:rPr>
          <w:rFonts w:ascii="David" w:hAnsi="David" w:cs="David" w:hint="cs"/>
          <w:sz w:val="24"/>
          <w:szCs w:val="24"/>
          <w:rtl/>
        </w:rPr>
        <w:t>הבדלים בין החכמים:</w:t>
      </w:r>
    </w:p>
    <w:p w14:paraId="6B2B1C53" w14:textId="38E768FE" w:rsidR="001D4D29" w:rsidRPr="004A5120" w:rsidRDefault="009F3153" w:rsidP="001A492B">
      <w:pPr>
        <w:pStyle w:val="a3"/>
        <w:numPr>
          <w:ilvl w:val="0"/>
          <w:numId w:val="10"/>
        </w:numPr>
        <w:spacing w:after="0"/>
        <w:jc w:val="both"/>
        <w:rPr>
          <w:rFonts w:ascii="David" w:hAnsi="David" w:cs="David"/>
          <w:sz w:val="24"/>
          <w:szCs w:val="24"/>
        </w:rPr>
      </w:pPr>
      <w:r w:rsidRPr="004A5120">
        <w:rPr>
          <w:rFonts w:ascii="David" w:hAnsi="David" w:cs="David" w:hint="cs"/>
          <w:sz w:val="24"/>
          <w:szCs w:val="24"/>
          <w:rtl/>
        </w:rPr>
        <w:t xml:space="preserve">ר' ישמעאל </w:t>
      </w:r>
      <w:r w:rsidRPr="004A5120">
        <w:rPr>
          <w:rFonts w:ascii="David" w:hAnsi="David" w:cs="David"/>
          <w:sz w:val="24"/>
          <w:szCs w:val="24"/>
          <w:rtl/>
        </w:rPr>
        <w:t>–</w:t>
      </w:r>
      <w:r w:rsidRPr="004A5120">
        <w:rPr>
          <w:rFonts w:ascii="David" w:hAnsi="David" w:cs="David" w:hint="cs"/>
          <w:sz w:val="24"/>
          <w:szCs w:val="24"/>
          <w:rtl/>
        </w:rPr>
        <w:t xml:space="preserve"> "דברה תורה כלשון בני האדם" </w:t>
      </w:r>
      <w:r w:rsidRPr="004A5120">
        <w:rPr>
          <w:rFonts w:ascii="David" w:hAnsi="David" w:cs="David"/>
          <w:sz w:val="24"/>
          <w:szCs w:val="24"/>
          <w:rtl/>
        </w:rPr>
        <w:t>–</w:t>
      </w:r>
      <w:r w:rsidRPr="004A5120">
        <w:rPr>
          <w:rFonts w:ascii="David" w:hAnsi="David" w:cs="David" w:hint="cs"/>
          <w:sz w:val="24"/>
          <w:szCs w:val="24"/>
          <w:rtl/>
        </w:rPr>
        <w:t xml:space="preserve"> לעתים יש כפל דברים בתורה מהיותה כתובה בשפה "דיבורית". </w:t>
      </w:r>
    </w:p>
    <w:p w14:paraId="20B39AF6" w14:textId="1E3A6AF9" w:rsidR="009F3153" w:rsidRPr="004A5120" w:rsidRDefault="009F3153" w:rsidP="009F3153">
      <w:pPr>
        <w:pStyle w:val="a3"/>
        <w:spacing w:after="0"/>
        <w:jc w:val="both"/>
        <w:rPr>
          <w:rFonts w:ascii="David" w:hAnsi="David" w:cs="David"/>
          <w:sz w:val="24"/>
          <w:szCs w:val="24"/>
          <w:rtl/>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דורש כל כפל כבא ללמד הלכה או חידוש מסוים.</w:t>
      </w:r>
    </w:p>
    <w:p w14:paraId="4226973E" w14:textId="3CA93F95" w:rsidR="009F3153" w:rsidRPr="004A5120" w:rsidRDefault="009F3153" w:rsidP="001A492B">
      <w:pPr>
        <w:pStyle w:val="a3"/>
        <w:numPr>
          <w:ilvl w:val="0"/>
          <w:numId w:val="10"/>
        </w:numPr>
        <w:spacing w:after="0"/>
        <w:jc w:val="both"/>
        <w:rPr>
          <w:rFonts w:ascii="David" w:hAnsi="David" w:cs="David"/>
          <w:sz w:val="24"/>
          <w:szCs w:val="24"/>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המילים "את" ו-"גם" בפסוק באות לסמן על ריבוי, "אך" ו-"רק" מסמנות מיעוט. נתקל בקושי בפסוק "את ה' אלוקיך תירא" </w:t>
      </w:r>
      <w:r w:rsidRPr="004A5120">
        <w:rPr>
          <w:rFonts w:ascii="David" w:hAnsi="David" w:cs="David"/>
          <w:sz w:val="24"/>
          <w:szCs w:val="24"/>
          <w:rtl/>
        </w:rPr>
        <w:t>–</w:t>
      </w:r>
      <w:r w:rsidRPr="004A5120">
        <w:rPr>
          <w:rFonts w:ascii="David" w:hAnsi="David" w:cs="David" w:hint="cs"/>
          <w:sz w:val="24"/>
          <w:szCs w:val="24"/>
          <w:rtl/>
        </w:rPr>
        <w:t xml:space="preserve"> הרי איזה ריבוי יש? ה' יש רק אחד. ר' עקיבא ביקש לשים את כללו שלו בצד במקרה זה, אך משדרשו תלמידיו תשובה, הגיע לתשובה שהריבוי בפסוק מצביע על תלמידי חכמים, גם כלפיהם צריכה להיות לאדם יראה.</w:t>
      </w:r>
    </w:p>
    <w:p w14:paraId="07597135" w14:textId="43F917B6" w:rsidR="009F3153" w:rsidRPr="004A5120" w:rsidRDefault="009F3153" w:rsidP="009F3153">
      <w:pPr>
        <w:pStyle w:val="a3"/>
        <w:spacing w:after="0"/>
        <w:jc w:val="both"/>
        <w:rPr>
          <w:rFonts w:ascii="David" w:hAnsi="David" w:cs="David"/>
          <w:sz w:val="24"/>
          <w:szCs w:val="24"/>
          <w:rtl/>
        </w:rPr>
      </w:pPr>
      <w:r w:rsidRPr="004A5120">
        <w:rPr>
          <w:rFonts w:ascii="David" w:hAnsi="David" w:cs="David" w:hint="cs"/>
          <w:sz w:val="24"/>
          <w:szCs w:val="24"/>
          <w:rtl/>
        </w:rPr>
        <w:t xml:space="preserve">ר' ישמעאל </w:t>
      </w:r>
      <w:r w:rsidRPr="004A5120">
        <w:rPr>
          <w:rFonts w:ascii="David" w:hAnsi="David" w:cs="David"/>
          <w:sz w:val="24"/>
          <w:szCs w:val="24"/>
          <w:rtl/>
        </w:rPr>
        <w:t>–</w:t>
      </w:r>
      <w:r w:rsidRPr="004A5120">
        <w:rPr>
          <w:rFonts w:ascii="David" w:hAnsi="David" w:cs="David" w:hint="cs"/>
          <w:sz w:val="24"/>
          <w:szCs w:val="24"/>
          <w:rtl/>
        </w:rPr>
        <w:t xml:space="preserve"> לא מייחס חשיבות למילים אלו.</w:t>
      </w:r>
    </w:p>
    <w:p w14:paraId="460F8020" w14:textId="3612440E" w:rsidR="009F3153" w:rsidRPr="004A5120" w:rsidRDefault="009E2894" w:rsidP="001A492B">
      <w:pPr>
        <w:pStyle w:val="a3"/>
        <w:numPr>
          <w:ilvl w:val="0"/>
          <w:numId w:val="10"/>
        </w:numPr>
        <w:spacing w:after="0"/>
        <w:jc w:val="both"/>
        <w:rPr>
          <w:rFonts w:ascii="David" w:hAnsi="David" w:cs="David"/>
          <w:sz w:val="24"/>
          <w:szCs w:val="24"/>
        </w:rPr>
      </w:pPr>
      <w:r w:rsidRPr="004A5120">
        <w:rPr>
          <w:rFonts w:ascii="David" w:hAnsi="David" w:cs="David" w:hint="cs"/>
          <w:sz w:val="24"/>
          <w:szCs w:val="24"/>
          <w:rtl/>
        </w:rPr>
        <w:t xml:space="preserve">ר' ישמעאל </w:t>
      </w:r>
      <w:r w:rsidRPr="004A5120">
        <w:rPr>
          <w:rFonts w:ascii="David" w:hAnsi="David" w:cs="David"/>
          <w:sz w:val="24"/>
          <w:szCs w:val="24"/>
          <w:rtl/>
        </w:rPr>
        <w:t>–</w:t>
      </w:r>
      <w:r w:rsidRPr="004A5120">
        <w:rPr>
          <w:rFonts w:ascii="David" w:hAnsi="David" w:cs="David" w:hint="cs"/>
          <w:sz w:val="24"/>
          <w:szCs w:val="24"/>
          <w:rtl/>
        </w:rPr>
        <w:t xml:space="preserve"> מידת המדרש של כלל ופרט (שניתן ללמוד מעקרון כללי על מקרה ספציפי ולהפך).</w:t>
      </w:r>
    </w:p>
    <w:p w14:paraId="75C9A653" w14:textId="5C1E78CC" w:rsidR="009E2894" w:rsidRPr="004A5120" w:rsidRDefault="009E2894" w:rsidP="009E2894">
      <w:pPr>
        <w:pStyle w:val="a3"/>
        <w:spacing w:after="0"/>
        <w:jc w:val="both"/>
        <w:rPr>
          <w:rFonts w:ascii="David" w:hAnsi="David" w:cs="David"/>
          <w:sz w:val="24"/>
          <w:szCs w:val="24"/>
          <w:rtl/>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במקום כלל ופרט, לומד "ריבה ומיעט", וכן ההפך. מאפשר לו להרחיב את המסקנות המשפטיות הרבה מעבר לר' ישמעאל.</w:t>
      </w:r>
    </w:p>
    <w:p w14:paraId="180D193B" w14:textId="2BC01952" w:rsidR="009E2894" w:rsidRPr="004A5120" w:rsidRDefault="009E2894" w:rsidP="001A492B">
      <w:pPr>
        <w:pStyle w:val="a3"/>
        <w:numPr>
          <w:ilvl w:val="0"/>
          <w:numId w:val="10"/>
        </w:numPr>
        <w:spacing w:after="0"/>
        <w:jc w:val="both"/>
        <w:rPr>
          <w:rFonts w:ascii="David" w:hAnsi="David" w:cs="David"/>
          <w:sz w:val="24"/>
          <w:szCs w:val="24"/>
        </w:rPr>
      </w:pPr>
      <w:r w:rsidRPr="004A5120">
        <w:rPr>
          <w:rFonts w:ascii="David" w:hAnsi="David" w:cs="David" w:hint="cs"/>
          <w:sz w:val="24"/>
          <w:szCs w:val="24"/>
          <w:rtl/>
        </w:rPr>
        <w:t xml:space="preserve">באופן עקרוני, התורה לא קובעת עונשים פליליים על עבירות, אלא אם הזהירה מראש שמעשה מסוים אסור. </w:t>
      </w:r>
    </w:p>
    <w:p w14:paraId="039822FA" w14:textId="6ED6E5EC" w:rsidR="009E2894" w:rsidRPr="004A5120" w:rsidRDefault="009E2894" w:rsidP="009E2894">
      <w:pPr>
        <w:pStyle w:val="a3"/>
        <w:spacing w:after="0"/>
        <w:jc w:val="both"/>
        <w:rPr>
          <w:rFonts w:ascii="David" w:hAnsi="David" w:cs="David"/>
          <w:sz w:val="24"/>
          <w:szCs w:val="24"/>
          <w:rtl/>
        </w:rPr>
      </w:pPr>
      <w:r w:rsidRPr="004A5120">
        <w:rPr>
          <w:rFonts w:ascii="David" w:hAnsi="David" w:cs="David" w:hint="cs"/>
          <w:sz w:val="24"/>
          <w:szCs w:val="24"/>
          <w:rtl/>
        </w:rPr>
        <w:t>הכלל הנוגע לנושא העונשים במשפט הפלילי, מגיע במשפט העברי ל</w:t>
      </w:r>
      <w:r w:rsidR="00EA78A6" w:rsidRPr="004A5120">
        <w:rPr>
          <w:rFonts w:ascii="David" w:hAnsi="David" w:cs="David" w:hint="cs"/>
          <w:sz w:val="24"/>
          <w:szCs w:val="24"/>
          <w:rtl/>
        </w:rPr>
        <w:t>פי הכלל: "לא ענש אלא אם כן הזהיר" (כמו עקרון החוקיות).</w:t>
      </w:r>
    </w:p>
    <w:p w14:paraId="453F930F" w14:textId="54DD8E16" w:rsidR="00EA78A6" w:rsidRPr="004A5120" w:rsidRDefault="00EA78A6" w:rsidP="009E2894">
      <w:pPr>
        <w:pStyle w:val="a3"/>
        <w:spacing w:after="0"/>
        <w:jc w:val="both"/>
        <w:rPr>
          <w:rFonts w:ascii="David" w:hAnsi="David" w:cs="David"/>
          <w:sz w:val="24"/>
          <w:szCs w:val="24"/>
          <w:rtl/>
        </w:rPr>
      </w:pPr>
      <w:r w:rsidRPr="004A5120">
        <w:rPr>
          <w:rFonts w:ascii="David" w:hAnsi="David" w:cs="David" w:hint="cs"/>
          <w:sz w:val="24"/>
          <w:szCs w:val="24"/>
          <w:rtl/>
        </w:rPr>
        <w:t xml:space="preserve">ר ישמעאל </w:t>
      </w:r>
      <w:r w:rsidRPr="004A5120">
        <w:rPr>
          <w:rFonts w:ascii="David" w:hAnsi="David" w:cs="David"/>
          <w:sz w:val="24"/>
          <w:szCs w:val="24"/>
          <w:rtl/>
        </w:rPr>
        <w:t>–</w:t>
      </w:r>
      <w:r w:rsidRPr="004A5120">
        <w:rPr>
          <w:rFonts w:ascii="David" w:hAnsi="David" w:cs="David" w:hint="cs"/>
          <w:sz w:val="24"/>
          <w:szCs w:val="24"/>
          <w:rtl/>
        </w:rPr>
        <w:t xml:space="preserve"> מסיק מפסוק המזהיר מפני גילוי עריות (שם התורה מזהירה וקובעת עונש), שכאשר לא ניתן ללמוד עונש של עבירה מהפסוק, אזי לא ניתן להעניש גם דרך המדרש.</w:t>
      </w:r>
    </w:p>
    <w:p w14:paraId="52A0BE74" w14:textId="4C2745AA" w:rsidR="00EA78A6" w:rsidRPr="004A5120" w:rsidRDefault="00EA78A6" w:rsidP="009E2894">
      <w:pPr>
        <w:pStyle w:val="a3"/>
        <w:spacing w:after="0"/>
        <w:jc w:val="both"/>
        <w:rPr>
          <w:rFonts w:ascii="David" w:hAnsi="David" w:cs="David"/>
          <w:sz w:val="24"/>
          <w:szCs w:val="24"/>
          <w:rtl/>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מתעלם מהמילה "לא" במשפט: "אין עונשין מן הדין", ומסיק שניתן ללמוד עונש על ידי לימוד דרך מדרש, אם לא נקבע העונש בתורה.</w:t>
      </w:r>
    </w:p>
    <w:p w14:paraId="19A8699F" w14:textId="6CE8AA96" w:rsidR="00DD1B36" w:rsidRPr="004A5120" w:rsidRDefault="00DD1B36" w:rsidP="009E2894">
      <w:pPr>
        <w:pStyle w:val="a3"/>
        <w:spacing w:after="0"/>
        <w:jc w:val="both"/>
        <w:rPr>
          <w:rFonts w:ascii="David" w:hAnsi="David" w:cs="David"/>
          <w:sz w:val="24"/>
          <w:szCs w:val="24"/>
          <w:rtl/>
        </w:rPr>
      </w:pPr>
    </w:p>
    <w:p w14:paraId="34E534AE" w14:textId="5822B82C" w:rsidR="00DD1B36" w:rsidRPr="004A5120" w:rsidRDefault="00DD1B36" w:rsidP="009E2894">
      <w:pPr>
        <w:pStyle w:val="a3"/>
        <w:spacing w:after="0"/>
        <w:jc w:val="both"/>
        <w:rPr>
          <w:rFonts w:ascii="David" w:hAnsi="David" w:cs="David"/>
          <w:sz w:val="24"/>
          <w:szCs w:val="24"/>
          <w:rtl/>
        </w:rPr>
      </w:pPr>
    </w:p>
    <w:p w14:paraId="47005C55" w14:textId="73E2F561" w:rsidR="00DD1B36" w:rsidRPr="004A5120" w:rsidRDefault="00DD1B36" w:rsidP="009E2894">
      <w:pPr>
        <w:pStyle w:val="a3"/>
        <w:spacing w:after="0"/>
        <w:jc w:val="both"/>
        <w:rPr>
          <w:rFonts w:ascii="David" w:hAnsi="David" w:cs="David"/>
          <w:sz w:val="24"/>
          <w:szCs w:val="24"/>
          <w:rtl/>
        </w:rPr>
      </w:pPr>
    </w:p>
    <w:p w14:paraId="64EC7589" w14:textId="5E65E6CE" w:rsidR="00DD1B36" w:rsidRPr="004A5120" w:rsidRDefault="00DD1B36" w:rsidP="009E2894">
      <w:pPr>
        <w:pStyle w:val="a3"/>
        <w:spacing w:after="0"/>
        <w:jc w:val="both"/>
        <w:rPr>
          <w:rFonts w:ascii="David" w:hAnsi="David" w:cs="David"/>
          <w:sz w:val="24"/>
          <w:szCs w:val="24"/>
          <w:rtl/>
        </w:rPr>
      </w:pPr>
    </w:p>
    <w:p w14:paraId="167A1401" w14:textId="0A335579" w:rsidR="00DD1B36" w:rsidRPr="004A5120" w:rsidRDefault="00DD1B36" w:rsidP="009E2894">
      <w:pPr>
        <w:spacing w:after="0"/>
        <w:jc w:val="both"/>
        <w:rPr>
          <w:rFonts w:ascii="David" w:hAnsi="David" w:cs="David"/>
          <w:sz w:val="24"/>
          <w:szCs w:val="24"/>
          <w:rtl/>
        </w:rPr>
      </w:pPr>
    </w:p>
    <w:p w14:paraId="5CC43A91" w14:textId="2A24445D" w:rsidR="00DD1B36" w:rsidRPr="004A5120" w:rsidRDefault="00DD1B36" w:rsidP="009E2894">
      <w:pPr>
        <w:spacing w:after="0"/>
        <w:jc w:val="both"/>
        <w:rPr>
          <w:rFonts w:ascii="David" w:hAnsi="David" w:cs="David"/>
          <w:sz w:val="24"/>
          <w:szCs w:val="24"/>
          <w:rtl/>
        </w:rPr>
      </w:pPr>
    </w:p>
    <w:p w14:paraId="4C5F718F" w14:textId="2F301A33" w:rsidR="00DD1B36" w:rsidRPr="004A5120" w:rsidRDefault="00DD1B36" w:rsidP="00DD1B36">
      <w:pPr>
        <w:spacing w:after="0"/>
        <w:jc w:val="center"/>
        <w:rPr>
          <w:rFonts w:ascii="David" w:hAnsi="David" w:cs="David"/>
          <w:b/>
          <w:bCs/>
          <w:sz w:val="28"/>
          <w:szCs w:val="28"/>
          <w:rtl/>
        </w:rPr>
      </w:pPr>
      <w:r w:rsidRPr="004A5120">
        <w:rPr>
          <w:rFonts w:ascii="David" w:hAnsi="David" w:cs="David" w:hint="cs"/>
          <w:b/>
          <w:bCs/>
          <w:sz w:val="28"/>
          <w:szCs w:val="28"/>
          <w:rtl/>
        </w:rPr>
        <w:t>סיכום קובץ 3</w:t>
      </w:r>
    </w:p>
    <w:p w14:paraId="6369D71D" w14:textId="5EFA9103" w:rsidR="00DD1B36" w:rsidRPr="004A5120" w:rsidRDefault="00DD1B36" w:rsidP="009E2894">
      <w:pPr>
        <w:spacing w:after="0"/>
        <w:jc w:val="both"/>
        <w:rPr>
          <w:rFonts w:ascii="David" w:hAnsi="David" w:cs="David"/>
          <w:sz w:val="24"/>
          <w:szCs w:val="24"/>
          <w:rtl/>
        </w:rPr>
      </w:pPr>
    </w:p>
    <w:p w14:paraId="4D9A098C" w14:textId="7B37F57B" w:rsidR="00DD1B36" w:rsidRPr="004A5120" w:rsidRDefault="00DD1B36" w:rsidP="009E2894">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חלק 1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המקורות שממתן תורה שבכתב עד לתקופת התנאים:</w:t>
      </w:r>
    </w:p>
    <w:p w14:paraId="2CD1744F" w14:textId="1713D565" w:rsidR="00DD1B36" w:rsidRPr="004A5120" w:rsidRDefault="00DD1B36" w:rsidP="00DD1B36">
      <w:pPr>
        <w:pStyle w:val="a3"/>
        <w:numPr>
          <w:ilvl w:val="0"/>
          <w:numId w:val="1"/>
        </w:numPr>
        <w:spacing w:after="0"/>
        <w:jc w:val="both"/>
        <w:rPr>
          <w:rFonts w:ascii="David" w:hAnsi="David" w:cs="David"/>
          <w:b/>
          <w:bCs/>
          <w:sz w:val="24"/>
          <w:szCs w:val="24"/>
          <w:u w:val="single"/>
        </w:rPr>
      </w:pPr>
      <w:r w:rsidRPr="004A5120">
        <w:rPr>
          <w:rFonts w:ascii="David" w:hAnsi="David" w:cs="David" w:hint="cs"/>
          <w:sz w:val="24"/>
          <w:szCs w:val="24"/>
          <w:rtl/>
        </w:rPr>
        <w:t xml:space="preserve">התורה שבכתב </w:t>
      </w:r>
      <w:r w:rsidRPr="004A5120">
        <w:rPr>
          <w:rFonts w:ascii="David" w:hAnsi="David" w:cs="David"/>
          <w:sz w:val="24"/>
          <w:szCs w:val="24"/>
          <w:rtl/>
        </w:rPr>
        <w:t>–</w:t>
      </w:r>
      <w:r w:rsidRPr="004A5120">
        <w:rPr>
          <w:rFonts w:ascii="David" w:hAnsi="David" w:cs="David" w:hint="cs"/>
          <w:sz w:val="24"/>
          <w:szCs w:val="24"/>
          <w:rtl/>
        </w:rPr>
        <w:t xml:space="preserve"> המקור הרישומי ההלכתי הראשון </w:t>
      </w:r>
      <w:r w:rsidRPr="004A5120">
        <w:rPr>
          <w:rFonts w:ascii="David" w:hAnsi="David" w:cs="David"/>
          <w:sz w:val="24"/>
          <w:szCs w:val="24"/>
          <w:rtl/>
        </w:rPr>
        <w:t>–</w:t>
      </w:r>
      <w:r w:rsidRPr="004A5120">
        <w:rPr>
          <w:rFonts w:ascii="David" w:hAnsi="David" w:cs="David" w:hint="cs"/>
          <w:sz w:val="24"/>
          <w:szCs w:val="24"/>
          <w:rtl/>
        </w:rPr>
        <w:t xml:space="preserve"> גם </w:t>
      </w:r>
      <w:r w:rsidR="00EA0426" w:rsidRPr="004A5120">
        <w:rPr>
          <w:rFonts w:ascii="David" w:hAnsi="David" w:cs="David" w:hint="cs"/>
          <w:sz w:val="24"/>
          <w:szCs w:val="24"/>
          <w:rtl/>
        </w:rPr>
        <w:t>כרונולוגי</w:t>
      </w:r>
      <w:r w:rsidR="00EA0426" w:rsidRPr="004A5120">
        <w:rPr>
          <w:rFonts w:ascii="David" w:hAnsi="David" w:cs="David" w:hint="eastAsia"/>
          <w:sz w:val="24"/>
          <w:szCs w:val="24"/>
          <w:rtl/>
        </w:rPr>
        <w:t>ת</w:t>
      </w:r>
      <w:r w:rsidRPr="004A5120">
        <w:rPr>
          <w:rFonts w:ascii="David" w:hAnsi="David" w:cs="David" w:hint="cs"/>
          <w:sz w:val="24"/>
          <w:szCs w:val="24"/>
          <w:rtl/>
        </w:rPr>
        <w:t xml:space="preserve"> וגם מעמדית.</w:t>
      </w:r>
    </w:p>
    <w:p w14:paraId="0FBBB3CE" w14:textId="7EC63B7C" w:rsidR="00DD1B36" w:rsidRPr="004A5120" w:rsidRDefault="00DD1B36" w:rsidP="00DD1B36">
      <w:pPr>
        <w:pStyle w:val="a3"/>
        <w:numPr>
          <w:ilvl w:val="0"/>
          <w:numId w:val="1"/>
        </w:numPr>
        <w:spacing w:after="0"/>
        <w:jc w:val="both"/>
        <w:rPr>
          <w:rFonts w:ascii="David" w:hAnsi="David" w:cs="David"/>
          <w:b/>
          <w:bCs/>
          <w:sz w:val="24"/>
          <w:szCs w:val="24"/>
          <w:u w:val="single"/>
        </w:rPr>
      </w:pPr>
      <w:r w:rsidRPr="004A5120">
        <w:rPr>
          <w:rFonts w:ascii="David" w:hAnsi="David" w:cs="David" w:hint="cs"/>
          <w:sz w:val="24"/>
          <w:szCs w:val="24"/>
          <w:rtl/>
        </w:rPr>
        <w:t xml:space="preserve">ספרי הנביאים והכתובים </w:t>
      </w:r>
      <w:r w:rsidRPr="004A5120">
        <w:rPr>
          <w:rFonts w:ascii="David" w:hAnsi="David" w:cs="David"/>
          <w:sz w:val="24"/>
          <w:szCs w:val="24"/>
          <w:rtl/>
        </w:rPr>
        <w:t>–</w:t>
      </w:r>
      <w:r w:rsidRPr="004A5120">
        <w:rPr>
          <w:rFonts w:ascii="David" w:hAnsi="David" w:cs="David" w:hint="cs"/>
          <w:sz w:val="24"/>
          <w:szCs w:val="24"/>
          <w:rtl/>
        </w:rPr>
        <w:t xml:space="preserve"> המקור לאחר התורה, נמשכים מאחרי מתן תורה עד תחילת בית שני. רוב העיסוק של המלכים בתקופה זו היה מלחמה, על כן אין הרבה חומר משפטי מהזמן הזה. אך עדיין ניתן להסיק מהם על הלכות ומוסדות משפטיים שלא הוזכרו בתורה.</w:t>
      </w:r>
    </w:p>
    <w:p w14:paraId="15E50992" w14:textId="4B724346" w:rsidR="00DD1B36" w:rsidRPr="004A5120" w:rsidRDefault="00DD1B36" w:rsidP="00DD1B36">
      <w:pPr>
        <w:spacing w:after="0"/>
        <w:jc w:val="both"/>
        <w:rPr>
          <w:rFonts w:ascii="David" w:hAnsi="David" w:cs="David"/>
          <w:b/>
          <w:bCs/>
          <w:sz w:val="24"/>
          <w:szCs w:val="24"/>
          <w:u w:val="single"/>
          <w:rtl/>
        </w:rPr>
      </w:pPr>
    </w:p>
    <w:p w14:paraId="798BBC80" w14:textId="1FD2CAB0" w:rsidR="00DD1B36" w:rsidRPr="004A5120" w:rsidRDefault="00DD1B36" w:rsidP="00DD1B36">
      <w:pPr>
        <w:spacing w:after="0"/>
        <w:jc w:val="both"/>
        <w:rPr>
          <w:rFonts w:ascii="David" w:hAnsi="David" w:cs="David"/>
          <w:b/>
          <w:bCs/>
          <w:sz w:val="24"/>
          <w:szCs w:val="24"/>
          <w:u w:val="single"/>
          <w:rtl/>
        </w:rPr>
      </w:pPr>
      <w:r w:rsidRPr="004A5120">
        <w:rPr>
          <w:rFonts w:ascii="David" w:hAnsi="David" w:cs="David" w:hint="cs"/>
          <w:b/>
          <w:bCs/>
          <w:sz w:val="24"/>
          <w:szCs w:val="24"/>
          <w:u w:val="single"/>
          <w:rtl/>
        </w:rPr>
        <w:t>דוגמאות להלכות ומוסדות משפטיים מספרי הנביאים והכתובים:</w:t>
      </w:r>
    </w:p>
    <w:p w14:paraId="74B678C8" w14:textId="51D2BB96" w:rsidR="00DD1B36" w:rsidRPr="004A5120" w:rsidRDefault="00151F84" w:rsidP="001A492B">
      <w:pPr>
        <w:pStyle w:val="a3"/>
        <w:numPr>
          <w:ilvl w:val="0"/>
          <w:numId w:val="11"/>
        </w:numPr>
        <w:spacing w:after="0"/>
        <w:jc w:val="both"/>
        <w:rPr>
          <w:rFonts w:ascii="David" w:hAnsi="David" w:cs="David"/>
          <w:sz w:val="24"/>
          <w:szCs w:val="24"/>
        </w:rPr>
      </w:pPr>
      <w:r w:rsidRPr="004A5120">
        <w:rPr>
          <w:rFonts w:ascii="David" w:hAnsi="David" w:cs="David" w:hint="cs"/>
          <w:sz w:val="24"/>
          <w:szCs w:val="24"/>
          <w:rtl/>
        </w:rPr>
        <w:t xml:space="preserve">דיני שבת </w:t>
      </w:r>
      <w:r w:rsidRPr="004A5120">
        <w:rPr>
          <w:rFonts w:ascii="David" w:hAnsi="David" w:cs="David"/>
          <w:sz w:val="24"/>
          <w:szCs w:val="24"/>
          <w:rtl/>
        </w:rPr>
        <w:t>–</w:t>
      </w:r>
      <w:r w:rsidRPr="004A5120">
        <w:rPr>
          <w:rFonts w:ascii="David" w:hAnsi="David" w:cs="David" w:hint="cs"/>
          <w:sz w:val="24"/>
          <w:szCs w:val="24"/>
          <w:rtl/>
        </w:rPr>
        <w:t xml:space="preserve"> בקושי מוזכר בתורה שבכתב. בספר ישעיה (נביאים), מוזכר פסוק על השבת. בירמיה (נביאים), מפורשת איסור ההוצאה מרשות לרשות בשבת. נחמיה (כתובים), איסור מקח וממכר כדבר שבשגרה.</w:t>
      </w:r>
    </w:p>
    <w:p w14:paraId="1C7344FB" w14:textId="1904FEAE" w:rsidR="00151F84" w:rsidRPr="004A5120" w:rsidRDefault="00151F84" w:rsidP="001A492B">
      <w:pPr>
        <w:pStyle w:val="a3"/>
        <w:numPr>
          <w:ilvl w:val="0"/>
          <w:numId w:val="11"/>
        </w:numPr>
        <w:spacing w:after="0"/>
        <w:jc w:val="both"/>
        <w:rPr>
          <w:rFonts w:ascii="David" w:hAnsi="David" w:cs="David"/>
          <w:sz w:val="24"/>
          <w:szCs w:val="24"/>
        </w:rPr>
      </w:pPr>
      <w:r w:rsidRPr="004A5120">
        <w:rPr>
          <w:rFonts w:ascii="David" w:hAnsi="David" w:cs="David" w:hint="cs"/>
          <w:sz w:val="24"/>
          <w:szCs w:val="24"/>
          <w:rtl/>
        </w:rPr>
        <w:t xml:space="preserve">דיני קניין </w:t>
      </w:r>
      <w:r w:rsidR="00D6697C" w:rsidRPr="004A5120">
        <w:rPr>
          <w:rFonts w:ascii="David" w:hAnsi="David" w:cs="David"/>
          <w:sz w:val="24"/>
          <w:szCs w:val="24"/>
          <w:rtl/>
        </w:rPr>
        <w:t>–</w:t>
      </w:r>
      <w:r w:rsidRPr="004A5120">
        <w:rPr>
          <w:rFonts w:ascii="David" w:hAnsi="David" w:cs="David" w:hint="cs"/>
          <w:sz w:val="24"/>
          <w:szCs w:val="24"/>
          <w:rtl/>
        </w:rPr>
        <w:t xml:space="preserve"> </w:t>
      </w:r>
      <w:r w:rsidR="00D6697C" w:rsidRPr="004A5120">
        <w:rPr>
          <w:rFonts w:ascii="David" w:hAnsi="David" w:cs="David" w:hint="cs"/>
          <w:sz w:val="24"/>
          <w:szCs w:val="24"/>
          <w:rtl/>
        </w:rPr>
        <w:t xml:space="preserve">רות </w:t>
      </w:r>
      <w:r w:rsidR="00D6697C" w:rsidRPr="004A5120">
        <w:rPr>
          <w:rFonts w:ascii="David" w:hAnsi="David" w:cs="David"/>
          <w:sz w:val="24"/>
          <w:szCs w:val="24"/>
          <w:rtl/>
        </w:rPr>
        <w:t>–</w:t>
      </w:r>
      <w:r w:rsidR="00D6697C" w:rsidRPr="004A5120">
        <w:rPr>
          <w:rFonts w:ascii="David" w:hAnsi="David" w:cs="David" w:hint="cs"/>
          <w:sz w:val="24"/>
          <w:szCs w:val="24"/>
          <w:rtl/>
        </w:rPr>
        <w:t xml:space="preserve"> שליפת נעל והעברתה מאחד לשני </w:t>
      </w:r>
      <w:r w:rsidR="00D6697C" w:rsidRPr="004A5120">
        <w:rPr>
          <w:rFonts w:ascii="David" w:hAnsi="David" w:cs="David"/>
          <w:sz w:val="24"/>
          <w:szCs w:val="24"/>
          <w:rtl/>
        </w:rPr>
        <w:t>–</w:t>
      </w:r>
      <w:r w:rsidR="00D6697C" w:rsidRPr="004A5120">
        <w:rPr>
          <w:rFonts w:ascii="David" w:hAnsi="David" w:cs="David" w:hint="cs"/>
          <w:sz w:val="24"/>
          <w:szCs w:val="24"/>
          <w:rtl/>
        </w:rPr>
        <w:t xml:space="preserve"> מעשה סמלי המביע קניין. ירמיה </w:t>
      </w:r>
      <w:r w:rsidR="00D6697C" w:rsidRPr="004A5120">
        <w:rPr>
          <w:rFonts w:ascii="David" w:hAnsi="David" w:cs="David"/>
          <w:sz w:val="24"/>
          <w:szCs w:val="24"/>
          <w:rtl/>
        </w:rPr>
        <w:t>–</w:t>
      </w:r>
      <w:r w:rsidR="00D6697C" w:rsidRPr="004A5120">
        <w:rPr>
          <w:rFonts w:ascii="David" w:hAnsi="David" w:cs="David" w:hint="cs"/>
          <w:sz w:val="24"/>
          <w:szCs w:val="24"/>
          <w:rtl/>
        </w:rPr>
        <w:t xml:space="preserve"> בסיפור שירמיה קונה שדה מחנמאל בן דודו, כותב ספר, חותם, שוקל את הכסף ומוסר אותו, מסירת שטר קניין וכו'. ככל הנראה מדובר על התפתחות דיני הקניין עם התקדמות הזמנים, מתקופתה של רות לתקופת ירמיה. דמיון בין השניים </w:t>
      </w:r>
      <w:r w:rsidR="00D6697C" w:rsidRPr="004A5120">
        <w:rPr>
          <w:rFonts w:ascii="David" w:hAnsi="David" w:cs="David"/>
          <w:sz w:val="24"/>
          <w:szCs w:val="24"/>
          <w:rtl/>
        </w:rPr>
        <w:t>–</w:t>
      </w:r>
      <w:r w:rsidR="00D6697C" w:rsidRPr="004A5120">
        <w:rPr>
          <w:rFonts w:ascii="David" w:hAnsi="David" w:cs="David" w:hint="cs"/>
          <w:sz w:val="24"/>
          <w:szCs w:val="24"/>
          <w:rtl/>
        </w:rPr>
        <w:t xml:space="preserve"> פומביות, מול עדי</w:t>
      </w:r>
      <w:r w:rsidR="003F6EB7">
        <w:rPr>
          <w:rFonts w:ascii="David" w:hAnsi="David" w:cs="David" w:hint="cs"/>
          <w:sz w:val="24"/>
          <w:szCs w:val="24"/>
          <w:rtl/>
        </w:rPr>
        <w:t>ם</w:t>
      </w:r>
      <w:r w:rsidR="00D6697C" w:rsidRPr="004A5120">
        <w:rPr>
          <w:rFonts w:ascii="David" w:hAnsi="David" w:cs="David" w:hint="cs"/>
          <w:sz w:val="24"/>
          <w:szCs w:val="24"/>
          <w:rtl/>
        </w:rPr>
        <w:t>.</w:t>
      </w:r>
    </w:p>
    <w:p w14:paraId="7A8DCD56" w14:textId="08A4F5F6" w:rsidR="00D6697C" w:rsidRPr="004A5120" w:rsidRDefault="00D6697C" w:rsidP="001A492B">
      <w:pPr>
        <w:pStyle w:val="a3"/>
        <w:numPr>
          <w:ilvl w:val="0"/>
          <w:numId w:val="11"/>
        </w:numPr>
        <w:spacing w:after="0"/>
        <w:jc w:val="both"/>
        <w:rPr>
          <w:rFonts w:ascii="David" w:hAnsi="David" w:cs="David"/>
          <w:sz w:val="24"/>
          <w:szCs w:val="24"/>
        </w:rPr>
      </w:pPr>
      <w:r w:rsidRPr="004A5120">
        <w:rPr>
          <w:rFonts w:ascii="David" w:hAnsi="David" w:cs="David" w:hint="cs"/>
          <w:sz w:val="24"/>
          <w:szCs w:val="24"/>
          <w:rtl/>
        </w:rPr>
        <w:t xml:space="preserve">משפט המלך </w:t>
      </w:r>
      <w:r w:rsidR="00071A76" w:rsidRPr="004A5120">
        <w:rPr>
          <w:rFonts w:ascii="David" w:hAnsi="David" w:cs="David"/>
          <w:sz w:val="24"/>
          <w:szCs w:val="24"/>
          <w:rtl/>
        </w:rPr>
        <w:t>–</w:t>
      </w:r>
      <w:r w:rsidRPr="004A5120">
        <w:rPr>
          <w:rFonts w:ascii="David" w:hAnsi="David" w:cs="David" w:hint="cs"/>
          <w:sz w:val="24"/>
          <w:szCs w:val="24"/>
          <w:rtl/>
        </w:rPr>
        <w:t xml:space="preserve"> </w:t>
      </w:r>
      <w:r w:rsidR="00071A76" w:rsidRPr="004A5120">
        <w:rPr>
          <w:rFonts w:ascii="David" w:hAnsi="David" w:cs="David" w:hint="cs"/>
          <w:sz w:val="24"/>
          <w:szCs w:val="24"/>
          <w:rtl/>
        </w:rPr>
        <w:t>פרשת המלך בספר דברים מציגה את חובת המלך לכתוב לו ספר ולעיין בו כל ימי חייו, על מנת לשמור על צניעותו ועל קיום המצוות. אין פירוט על חובותיו לעם.</w:t>
      </w:r>
    </w:p>
    <w:p w14:paraId="3B7C9E22" w14:textId="73222159" w:rsidR="00071A76" w:rsidRPr="004A5120" w:rsidRDefault="00071A76" w:rsidP="00071A76">
      <w:pPr>
        <w:pStyle w:val="a3"/>
        <w:spacing w:after="0"/>
        <w:jc w:val="both"/>
        <w:rPr>
          <w:rFonts w:ascii="David" w:hAnsi="David" w:cs="David"/>
          <w:sz w:val="24"/>
          <w:szCs w:val="24"/>
          <w:rtl/>
        </w:rPr>
      </w:pPr>
      <w:r w:rsidRPr="004A5120">
        <w:rPr>
          <w:rFonts w:ascii="David" w:hAnsi="David" w:cs="David" w:hint="cs"/>
          <w:sz w:val="24"/>
          <w:szCs w:val="24"/>
          <w:rtl/>
        </w:rPr>
        <w:t>בשמואל (נביאים), מפורט היחס בין העם למלך ישירות. העם ילווה את מרכבתו, יחרוש את השדות, יכין כלי נשק. הנשים טבחות ורוקחות. היבול צריך להינתן לעבדי המלך וכו'.</w:t>
      </w:r>
    </w:p>
    <w:p w14:paraId="7F6659D3" w14:textId="1861BD5A" w:rsidR="00071A76" w:rsidRPr="004A5120" w:rsidRDefault="00071A76" w:rsidP="00071A76">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מעשה אחאב ונבות </w:t>
      </w:r>
      <w:r w:rsidR="00EA0426" w:rsidRPr="004A5120">
        <w:rPr>
          <w:rFonts w:ascii="David" w:hAnsi="David" w:cs="David" w:hint="cs"/>
          <w:sz w:val="24"/>
          <w:szCs w:val="24"/>
          <w:rtl/>
        </w:rPr>
        <w:t>היזרעאל</w:t>
      </w:r>
      <w:r w:rsidR="00EA0426" w:rsidRPr="004A5120">
        <w:rPr>
          <w:rFonts w:ascii="David" w:hAnsi="David" w:cs="David" w:hint="eastAsia"/>
          <w:sz w:val="24"/>
          <w:szCs w:val="24"/>
          <w:rtl/>
        </w:rPr>
        <w:t>י</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(תקציר: אחאב מלך ישראל, רצה את הכרם של נבות שהיה קרוב לארמונו. נבות לא היה מעוניין למכור. איזבל, אשתו של אחאב, ארגנה משפט ראווה שבסופו נבות יצא להורג ואחאב יכל לקחת את הכרם. בהמשך נענשו על כך).</w:t>
      </w:r>
    </w:p>
    <w:p w14:paraId="525E8C1F" w14:textId="13F4369D" w:rsidR="00071A76" w:rsidRPr="004A5120" w:rsidRDefault="00071A76" w:rsidP="00071A76">
      <w:pPr>
        <w:pStyle w:val="a3"/>
        <w:spacing w:after="0"/>
        <w:jc w:val="both"/>
        <w:rPr>
          <w:rFonts w:ascii="David" w:hAnsi="David" w:cs="David"/>
          <w:sz w:val="24"/>
          <w:szCs w:val="24"/>
          <w:rtl/>
        </w:rPr>
      </w:pPr>
      <w:r w:rsidRPr="004A5120">
        <w:rPr>
          <w:rFonts w:ascii="David" w:hAnsi="David" w:cs="David" w:hint="cs"/>
          <w:sz w:val="24"/>
          <w:szCs w:val="24"/>
          <w:rtl/>
        </w:rPr>
        <w:t>ניתן ללמוד מהסיפור הגבלות על המלך, לא יכול לקחת רכוש של אזרח.</w:t>
      </w:r>
      <w:r w:rsidR="006E3D59" w:rsidRPr="004A5120">
        <w:rPr>
          <w:rFonts w:ascii="David" w:hAnsi="David" w:cs="David" w:hint="cs"/>
          <w:sz w:val="24"/>
          <w:szCs w:val="24"/>
          <w:rtl/>
        </w:rPr>
        <w:t xml:space="preserve"> מנגד, כלל נוסף שאומר שנכסיהם של הרוגי מלכות הולכים למלך.</w:t>
      </w:r>
    </w:p>
    <w:p w14:paraId="1ADFD06C" w14:textId="6221FCEF" w:rsidR="006E3D59" w:rsidRPr="004A5120" w:rsidRDefault="006E3D59" w:rsidP="001A492B">
      <w:pPr>
        <w:pStyle w:val="a3"/>
        <w:numPr>
          <w:ilvl w:val="0"/>
          <w:numId w:val="11"/>
        </w:numPr>
        <w:spacing w:after="0"/>
        <w:jc w:val="both"/>
        <w:rPr>
          <w:rFonts w:ascii="David" w:hAnsi="David" w:cs="David"/>
          <w:sz w:val="24"/>
          <w:szCs w:val="24"/>
        </w:rPr>
      </w:pPr>
      <w:r w:rsidRPr="004A5120">
        <w:rPr>
          <w:rFonts w:ascii="David" w:hAnsi="David" w:cs="David" w:hint="cs"/>
          <w:sz w:val="24"/>
          <w:szCs w:val="24"/>
          <w:rtl/>
        </w:rPr>
        <w:t xml:space="preserve">איש בחטאו יומת </w:t>
      </w:r>
      <w:r w:rsidRPr="004A5120">
        <w:rPr>
          <w:rFonts w:ascii="David" w:hAnsi="David" w:cs="David"/>
          <w:sz w:val="24"/>
          <w:szCs w:val="24"/>
          <w:rtl/>
        </w:rPr>
        <w:t>–</w:t>
      </w:r>
      <w:r w:rsidRPr="004A5120">
        <w:rPr>
          <w:rFonts w:ascii="David" w:hAnsi="David" w:cs="David" w:hint="cs"/>
          <w:sz w:val="24"/>
          <w:szCs w:val="24"/>
          <w:rtl/>
        </w:rPr>
        <w:t xml:space="preserve"> מלכים ב (נביאים), המלך אמציה בן יהואחז חס על ילדיהם של רוצחי אביו, זאת בשל הפסוק "לא יומתו אבות על בנים ובנים לא יומתו על אבות". ניתן ללמוד שהמלך עצמו גם מצווה לשמור על עקרונות היסוד של המשפט העברי.</w:t>
      </w:r>
    </w:p>
    <w:p w14:paraId="4CF13EAE" w14:textId="2C60C463" w:rsidR="006E3D59" w:rsidRPr="004A5120" w:rsidRDefault="006E3D59" w:rsidP="001A492B">
      <w:pPr>
        <w:pStyle w:val="a3"/>
        <w:numPr>
          <w:ilvl w:val="0"/>
          <w:numId w:val="11"/>
        </w:numPr>
        <w:spacing w:after="0"/>
        <w:jc w:val="both"/>
        <w:rPr>
          <w:rFonts w:ascii="David" w:hAnsi="David" w:cs="David"/>
          <w:sz w:val="24"/>
          <w:szCs w:val="24"/>
        </w:rPr>
      </w:pPr>
      <w:r w:rsidRPr="004A5120">
        <w:rPr>
          <w:rFonts w:ascii="David" w:hAnsi="David" w:cs="David" w:hint="cs"/>
          <w:sz w:val="24"/>
          <w:szCs w:val="24"/>
          <w:rtl/>
        </w:rPr>
        <w:t xml:space="preserve">דיני ערבות </w:t>
      </w:r>
      <w:r w:rsidR="00B01A77" w:rsidRPr="004A5120">
        <w:rPr>
          <w:rFonts w:ascii="David" w:hAnsi="David" w:cs="David"/>
          <w:sz w:val="24"/>
          <w:szCs w:val="24"/>
          <w:rtl/>
        </w:rPr>
        <w:t>–</w:t>
      </w:r>
      <w:r w:rsidRPr="004A5120">
        <w:rPr>
          <w:rFonts w:ascii="David" w:hAnsi="David" w:cs="David" w:hint="cs"/>
          <w:sz w:val="24"/>
          <w:szCs w:val="24"/>
          <w:rtl/>
        </w:rPr>
        <w:t xml:space="preserve"> </w:t>
      </w:r>
      <w:r w:rsidR="00B01A77" w:rsidRPr="004A5120">
        <w:rPr>
          <w:rFonts w:ascii="David" w:hAnsi="David" w:cs="David" w:hint="cs"/>
          <w:sz w:val="24"/>
          <w:szCs w:val="24"/>
          <w:rtl/>
        </w:rPr>
        <w:t xml:space="preserve">בתורה מוצג פעם אחת, כאשר יהודה התחייב ליעקב אבינו על השבת בנימין ממצרים. מדובר בחריג של ערבות, לא מצב רגיל של נושה, חייב וערב, אלא יהודה הוא גם החייב וגם הערב. </w:t>
      </w:r>
    </w:p>
    <w:p w14:paraId="66D8BA6C" w14:textId="03704985" w:rsidR="00B01A77" w:rsidRPr="004A5120" w:rsidRDefault="00B01A77" w:rsidP="00B01A77">
      <w:pPr>
        <w:pStyle w:val="a3"/>
        <w:spacing w:after="0"/>
        <w:jc w:val="both"/>
        <w:rPr>
          <w:rFonts w:ascii="David" w:hAnsi="David" w:cs="David"/>
          <w:sz w:val="24"/>
          <w:szCs w:val="24"/>
          <w:rtl/>
        </w:rPr>
      </w:pPr>
      <w:r w:rsidRPr="004A5120">
        <w:rPr>
          <w:rFonts w:ascii="David" w:hAnsi="David" w:cs="David" w:hint="cs"/>
          <w:sz w:val="24"/>
          <w:szCs w:val="24"/>
          <w:rtl/>
        </w:rPr>
        <w:t>בספר משלי (כתובים), נוספים כללים: א. הערבות נוצרת על ידי תקיעת כף בין המלווה לערב. ב. מספיקה התחייבות בעל פה מצד הערב. כותב ספר משלי מתייחס בשלילה למוסד הערבות, היא מוגדרת רעה ויש להימנע ממנה.</w:t>
      </w:r>
    </w:p>
    <w:p w14:paraId="05C13063" w14:textId="3F1A99F2" w:rsidR="00B01A77" w:rsidRPr="004A5120" w:rsidRDefault="00B01A77" w:rsidP="00B01A77">
      <w:pPr>
        <w:pStyle w:val="a3"/>
        <w:spacing w:after="0"/>
        <w:jc w:val="both"/>
        <w:rPr>
          <w:rFonts w:ascii="David" w:hAnsi="David" w:cs="David"/>
          <w:sz w:val="24"/>
          <w:szCs w:val="24"/>
          <w:rtl/>
        </w:rPr>
      </w:pPr>
      <w:r w:rsidRPr="004A5120">
        <w:rPr>
          <w:rFonts w:ascii="David" w:hAnsi="David" w:cs="David" w:hint="cs"/>
          <w:sz w:val="24"/>
          <w:szCs w:val="24"/>
          <w:rtl/>
        </w:rPr>
        <w:t>לפי מקור נוסף במשלי, ניתן להסיק כי הוצאה לפועל נגד ערב שלא מילא ערבותו, מצטמצמת רק לגבולות רכושו של הערב ולא לגופו.</w:t>
      </w:r>
    </w:p>
    <w:p w14:paraId="7A909DB2" w14:textId="4C50390F" w:rsidR="00B01A77" w:rsidRPr="004A5120" w:rsidRDefault="00B01A77" w:rsidP="00B01A77">
      <w:pPr>
        <w:spacing w:after="0"/>
        <w:jc w:val="both"/>
        <w:rPr>
          <w:rFonts w:ascii="David" w:hAnsi="David" w:cs="David"/>
          <w:sz w:val="24"/>
          <w:szCs w:val="24"/>
          <w:rtl/>
        </w:rPr>
      </w:pPr>
    </w:p>
    <w:p w14:paraId="3CA9D9C1" w14:textId="3B89F317" w:rsidR="00B01A77" w:rsidRPr="004A5120" w:rsidRDefault="00B01A77" w:rsidP="00B01A77">
      <w:pPr>
        <w:spacing w:after="0"/>
        <w:jc w:val="both"/>
        <w:rPr>
          <w:rFonts w:ascii="David" w:hAnsi="David" w:cs="David"/>
          <w:b/>
          <w:bCs/>
          <w:sz w:val="24"/>
          <w:szCs w:val="24"/>
          <w:u w:val="single"/>
          <w:rtl/>
        </w:rPr>
      </w:pPr>
      <w:r w:rsidRPr="004A5120">
        <w:rPr>
          <w:rFonts w:ascii="David" w:hAnsi="David" w:cs="David" w:hint="cs"/>
          <w:b/>
          <w:bCs/>
          <w:sz w:val="24"/>
          <w:szCs w:val="24"/>
          <w:u w:val="single"/>
          <w:rtl/>
        </w:rPr>
        <w:t>ספרות משפטית כללית:</w:t>
      </w:r>
    </w:p>
    <w:p w14:paraId="363F8E06" w14:textId="3F385FC2" w:rsidR="00B01A77" w:rsidRPr="004A5120" w:rsidRDefault="00B01A77" w:rsidP="00B01A77">
      <w:pPr>
        <w:spacing w:after="0"/>
        <w:jc w:val="both"/>
        <w:rPr>
          <w:rFonts w:ascii="David" w:hAnsi="David" w:cs="David"/>
          <w:sz w:val="24"/>
          <w:szCs w:val="24"/>
          <w:rtl/>
        </w:rPr>
      </w:pPr>
    </w:p>
    <w:p w14:paraId="70BE7EAC" w14:textId="2479E465" w:rsidR="00B01A77" w:rsidRPr="004A5120" w:rsidRDefault="00B01A77" w:rsidP="00B01A77">
      <w:pPr>
        <w:spacing w:after="0"/>
        <w:jc w:val="both"/>
        <w:rPr>
          <w:rFonts w:ascii="David" w:hAnsi="David" w:cs="David"/>
          <w:sz w:val="24"/>
          <w:szCs w:val="24"/>
          <w:u w:val="single"/>
          <w:rtl/>
        </w:rPr>
      </w:pPr>
      <w:r w:rsidRPr="004A5120">
        <w:rPr>
          <w:rFonts w:ascii="David" w:hAnsi="David" w:cs="David" w:hint="cs"/>
          <w:sz w:val="24"/>
          <w:szCs w:val="24"/>
          <w:u w:val="single"/>
          <w:rtl/>
        </w:rPr>
        <w:t xml:space="preserve">דברים כלליים: </w:t>
      </w:r>
    </w:p>
    <w:p w14:paraId="733BBA0D" w14:textId="4AF56C1A" w:rsidR="00B01A77" w:rsidRPr="004A5120" w:rsidRDefault="00B01A77" w:rsidP="00B01A77">
      <w:pPr>
        <w:spacing w:after="0"/>
        <w:jc w:val="both"/>
        <w:rPr>
          <w:rFonts w:ascii="David" w:hAnsi="David" w:cs="David"/>
          <w:sz w:val="24"/>
          <w:szCs w:val="24"/>
          <w:rtl/>
        </w:rPr>
      </w:pPr>
      <w:r w:rsidRPr="004A5120">
        <w:rPr>
          <w:rFonts w:ascii="David" w:hAnsi="David" w:cs="David" w:hint="cs"/>
          <w:sz w:val="24"/>
          <w:szCs w:val="24"/>
          <w:rtl/>
        </w:rPr>
        <w:t xml:space="preserve">ימי עזרא ונחמיה ועד סוף בית שני, אין מקור רישומי מוסמך של ההלכה. במשנה מוצגות הלכות רבות שמקורן בתקופה זו, אך ללא מסמך רשום. לעומת זאת, </w:t>
      </w:r>
      <w:r w:rsidR="006B4487" w:rsidRPr="004A5120">
        <w:rPr>
          <w:rFonts w:ascii="David" w:hAnsi="David" w:cs="David" w:hint="cs"/>
          <w:sz w:val="24"/>
          <w:szCs w:val="24"/>
          <w:rtl/>
        </w:rPr>
        <w:t>יש שפע של ספרות משפטית וכללית, שזו לפעמים זהה להלכות בתלמוד ולעתים מנוגדת להן.</w:t>
      </w:r>
    </w:p>
    <w:p w14:paraId="444108C6" w14:textId="52613CE9" w:rsidR="006B4487" w:rsidRPr="004A5120" w:rsidRDefault="006B4487" w:rsidP="00B01A77">
      <w:pPr>
        <w:spacing w:after="0"/>
        <w:jc w:val="both"/>
        <w:rPr>
          <w:rFonts w:ascii="David" w:hAnsi="David" w:cs="David"/>
          <w:sz w:val="24"/>
          <w:szCs w:val="24"/>
          <w:rtl/>
        </w:rPr>
      </w:pPr>
      <w:r w:rsidRPr="004A5120">
        <w:rPr>
          <w:rFonts w:ascii="David" w:hAnsi="David" w:cs="David" w:hint="cs"/>
          <w:sz w:val="24"/>
          <w:szCs w:val="24"/>
          <w:rtl/>
        </w:rPr>
        <w:t>מה ההסבר לתופעה זו?</w:t>
      </w:r>
    </w:p>
    <w:p w14:paraId="776AA037" w14:textId="24DD684B" w:rsidR="006B4487" w:rsidRPr="004A5120" w:rsidRDefault="006B4487" w:rsidP="001A492B">
      <w:pPr>
        <w:pStyle w:val="a3"/>
        <w:numPr>
          <w:ilvl w:val="0"/>
          <w:numId w:val="12"/>
        </w:numPr>
        <w:spacing w:after="0"/>
        <w:jc w:val="both"/>
        <w:rPr>
          <w:rFonts w:ascii="David" w:hAnsi="David" w:cs="David"/>
          <w:sz w:val="24"/>
          <w:szCs w:val="24"/>
        </w:rPr>
      </w:pPr>
      <w:r w:rsidRPr="004A5120">
        <w:rPr>
          <w:rFonts w:ascii="David" w:hAnsi="David" w:cs="David" w:hint="cs"/>
          <w:sz w:val="24"/>
          <w:szCs w:val="24"/>
          <w:rtl/>
        </w:rPr>
        <w:t>התפתחות בהלכה ועל כן ההלכה המוקדמות והמאוחרת עלולות לסתור.</w:t>
      </w:r>
    </w:p>
    <w:p w14:paraId="5CF6C7B5" w14:textId="4C6E5683" w:rsidR="006B4487" w:rsidRPr="004A5120" w:rsidRDefault="006B4487" w:rsidP="001A492B">
      <w:pPr>
        <w:pStyle w:val="a3"/>
        <w:numPr>
          <w:ilvl w:val="0"/>
          <w:numId w:val="12"/>
        </w:numPr>
        <w:spacing w:after="0"/>
        <w:jc w:val="both"/>
        <w:rPr>
          <w:rFonts w:ascii="David" w:hAnsi="David" w:cs="David"/>
          <w:sz w:val="24"/>
          <w:szCs w:val="24"/>
        </w:rPr>
      </w:pPr>
      <w:r w:rsidRPr="004A5120">
        <w:rPr>
          <w:rFonts w:ascii="David" w:hAnsi="David" w:cs="David" w:hint="cs"/>
          <w:sz w:val="24"/>
          <w:szCs w:val="24"/>
          <w:rtl/>
        </w:rPr>
        <w:t>התיאור של ההלכה אינו מדויק, משום שאלו שכתבו אותה לא היו בקיאים דיו.</w:t>
      </w:r>
    </w:p>
    <w:p w14:paraId="3FF9B84E" w14:textId="565D7CBC" w:rsidR="006B4487" w:rsidRPr="004A5120" w:rsidRDefault="006B4487" w:rsidP="001A492B">
      <w:pPr>
        <w:pStyle w:val="a3"/>
        <w:numPr>
          <w:ilvl w:val="0"/>
          <w:numId w:val="12"/>
        </w:numPr>
        <w:spacing w:after="0"/>
        <w:jc w:val="both"/>
        <w:rPr>
          <w:rFonts w:ascii="David" w:hAnsi="David" w:cs="David"/>
          <w:sz w:val="24"/>
          <w:szCs w:val="24"/>
        </w:rPr>
      </w:pPr>
      <w:r w:rsidRPr="004A5120">
        <w:rPr>
          <w:rFonts w:ascii="David" w:hAnsi="David" w:cs="David" w:hint="cs"/>
          <w:sz w:val="24"/>
          <w:szCs w:val="24"/>
          <w:rtl/>
        </w:rPr>
        <w:t>הספרות מגיעה בתרגום ולא במקורה, לכן יכול להיות שהשתבשה בדרך.</w:t>
      </w:r>
    </w:p>
    <w:p w14:paraId="5B872265" w14:textId="1C1304D4" w:rsidR="006B4487" w:rsidRPr="004A5120" w:rsidRDefault="006B4487" w:rsidP="001A492B">
      <w:pPr>
        <w:pStyle w:val="a3"/>
        <w:numPr>
          <w:ilvl w:val="0"/>
          <w:numId w:val="12"/>
        </w:numPr>
        <w:spacing w:after="0"/>
        <w:jc w:val="both"/>
        <w:rPr>
          <w:rFonts w:ascii="David" w:hAnsi="David" w:cs="David"/>
          <w:sz w:val="24"/>
          <w:szCs w:val="24"/>
        </w:rPr>
      </w:pPr>
      <w:r w:rsidRPr="004A5120">
        <w:rPr>
          <w:rFonts w:ascii="David" w:hAnsi="David" w:cs="David" w:hint="cs"/>
          <w:sz w:val="24"/>
          <w:szCs w:val="24"/>
          <w:rtl/>
        </w:rPr>
        <w:t>ההלכה בתלמוד אינה שלמה, ישנן הלכות שאבדו ולא נשמרו.</w:t>
      </w:r>
    </w:p>
    <w:p w14:paraId="20ACFC87" w14:textId="05AB219C" w:rsidR="006B4487" w:rsidRPr="004A5120" w:rsidRDefault="006B4487" w:rsidP="006B4487">
      <w:pPr>
        <w:spacing w:after="0"/>
        <w:jc w:val="both"/>
        <w:rPr>
          <w:rFonts w:ascii="David" w:hAnsi="David" w:cs="David"/>
          <w:sz w:val="24"/>
          <w:szCs w:val="24"/>
          <w:rtl/>
        </w:rPr>
      </w:pPr>
    </w:p>
    <w:p w14:paraId="40C628F4" w14:textId="77777777" w:rsidR="006B4487" w:rsidRPr="004A5120" w:rsidRDefault="006B4487" w:rsidP="006B4487">
      <w:pPr>
        <w:spacing w:after="0"/>
        <w:jc w:val="both"/>
        <w:rPr>
          <w:rFonts w:ascii="David" w:hAnsi="David" w:cs="David"/>
          <w:sz w:val="24"/>
          <w:szCs w:val="24"/>
          <w:u w:val="single"/>
          <w:rtl/>
        </w:rPr>
      </w:pPr>
    </w:p>
    <w:p w14:paraId="505C70D2" w14:textId="77777777" w:rsidR="006B4487" w:rsidRPr="004A5120" w:rsidRDefault="006B4487" w:rsidP="006B4487">
      <w:pPr>
        <w:spacing w:after="0"/>
        <w:jc w:val="both"/>
        <w:rPr>
          <w:rFonts w:ascii="David" w:hAnsi="David" w:cs="David"/>
          <w:sz w:val="24"/>
          <w:szCs w:val="24"/>
          <w:u w:val="single"/>
          <w:rtl/>
        </w:rPr>
      </w:pPr>
    </w:p>
    <w:p w14:paraId="77AC65DC" w14:textId="77777777" w:rsidR="006B4487" w:rsidRPr="004A5120" w:rsidRDefault="006B4487" w:rsidP="006B4487">
      <w:pPr>
        <w:spacing w:after="0"/>
        <w:jc w:val="both"/>
        <w:rPr>
          <w:rFonts w:ascii="David" w:hAnsi="David" w:cs="David"/>
          <w:sz w:val="24"/>
          <w:szCs w:val="24"/>
          <w:u w:val="single"/>
          <w:rtl/>
        </w:rPr>
      </w:pPr>
    </w:p>
    <w:p w14:paraId="66C8B3A0" w14:textId="77777777" w:rsidR="006B4487" w:rsidRPr="004A5120" w:rsidRDefault="006B4487" w:rsidP="006B4487">
      <w:pPr>
        <w:spacing w:after="0"/>
        <w:jc w:val="both"/>
        <w:rPr>
          <w:rFonts w:ascii="David" w:hAnsi="David" w:cs="David"/>
          <w:sz w:val="24"/>
          <w:szCs w:val="24"/>
          <w:u w:val="single"/>
          <w:rtl/>
        </w:rPr>
      </w:pPr>
    </w:p>
    <w:p w14:paraId="1135034A" w14:textId="2BCCB1AB" w:rsidR="006B4487" w:rsidRPr="004A5120" w:rsidRDefault="006B4487" w:rsidP="006B4487">
      <w:pPr>
        <w:spacing w:after="0"/>
        <w:jc w:val="both"/>
        <w:rPr>
          <w:rFonts w:ascii="David" w:hAnsi="David" w:cs="David"/>
          <w:sz w:val="24"/>
          <w:szCs w:val="24"/>
          <w:u w:val="single"/>
          <w:rtl/>
        </w:rPr>
      </w:pPr>
      <w:r w:rsidRPr="004A5120">
        <w:rPr>
          <w:rFonts w:ascii="David" w:hAnsi="David" w:cs="David" w:hint="cs"/>
          <w:sz w:val="24"/>
          <w:szCs w:val="24"/>
          <w:u w:val="single"/>
          <w:rtl/>
        </w:rPr>
        <w:t xml:space="preserve">הפאפירוסים (פאפירוס </w:t>
      </w:r>
      <w:r w:rsidRPr="004A5120">
        <w:rPr>
          <w:rFonts w:ascii="David" w:hAnsi="David" w:cs="David"/>
          <w:sz w:val="24"/>
          <w:szCs w:val="24"/>
          <w:u w:val="single"/>
          <w:rtl/>
        </w:rPr>
        <w:t>–</w:t>
      </w:r>
      <w:r w:rsidRPr="004A5120">
        <w:rPr>
          <w:rFonts w:ascii="David" w:hAnsi="David" w:cs="David" w:hint="cs"/>
          <w:sz w:val="24"/>
          <w:szCs w:val="24"/>
          <w:u w:val="single"/>
          <w:rtl/>
        </w:rPr>
        <w:t xml:space="preserve"> סוג של נייר):</w:t>
      </w:r>
    </w:p>
    <w:p w14:paraId="18FB9A92" w14:textId="2EF23AF3" w:rsidR="006B4487" w:rsidRPr="004A5120" w:rsidRDefault="006B4487" w:rsidP="006B4487">
      <w:pPr>
        <w:spacing w:after="0"/>
        <w:jc w:val="both"/>
        <w:rPr>
          <w:rFonts w:ascii="David" w:hAnsi="David" w:cs="David"/>
          <w:sz w:val="24"/>
          <w:szCs w:val="24"/>
          <w:rtl/>
        </w:rPr>
      </w:pPr>
      <w:r w:rsidRPr="004A5120">
        <w:rPr>
          <w:rFonts w:ascii="David" w:hAnsi="David" w:cs="David" w:hint="cs"/>
          <w:sz w:val="24"/>
          <w:szCs w:val="24"/>
          <w:rtl/>
        </w:rPr>
        <w:t>שם כולל למסמכים המלמדים על הספרות המשפטית והכללית. ידועים בתור "מסמכי יב", כתעודות הכתובות על גבי פאפירוסים ושייכות לראשית בית שני. התעודות כתובות בארמית ומלמדות על חיי המושבה היהודית הצבאית באותה התקופה. ניתן למצוא בתעודות חומר משפטי חשוב, דיני ממונות, אישות וירושה. מופיעות הלכות רבות שנמצאות בתלמוד והיו נהוגות שם בזמנו.</w:t>
      </w:r>
    </w:p>
    <w:p w14:paraId="6B8B35DE" w14:textId="569E670E" w:rsidR="00DD1B36" w:rsidRPr="004A5120" w:rsidRDefault="00DD1B36" w:rsidP="009E2894">
      <w:pPr>
        <w:spacing w:after="0"/>
        <w:jc w:val="both"/>
        <w:rPr>
          <w:rFonts w:ascii="David" w:hAnsi="David" w:cs="David"/>
          <w:sz w:val="24"/>
          <w:szCs w:val="24"/>
          <w:rtl/>
        </w:rPr>
      </w:pPr>
    </w:p>
    <w:p w14:paraId="15E46306" w14:textId="42ED034A" w:rsidR="00DD1B36" w:rsidRPr="004A5120" w:rsidRDefault="002B50EB" w:rsidP="009E2894">
      <w:pPr>
        <w:spacing w:after="0"/>
        <w:jc w:val="both"/>
        <w:rPr>
          <w:rFonts w:ascii="David" w:hAnsi="David" w:cs="David"/>
          <w:sz w:val="24"/>
          <w:szCs w:val="24"/>
          <w:u w:val="single"/>
          <w:rtl/>
        </w:rPr>
      </w:pPr>
      <w:r w:rsidRPr="004A5120">
        <w:rPr>
          <w:rFonts w:ascii="David" w:hAnsi="David" w:cs="David" w:hint="cs"/>
          <w:sz w:val="24"/>
          <w:szCs w:val="24"/>
          <w:u w:val="single"/>
          <w:rtl/>
        </w:rPr>
        <w:t>תרגום השבעים:</w:t>
      </w:r>
    </w:p>
    <w:p w14:paraId="19A3FA2A" w14:textId="413FE3FB" w:rsidR="002B50EB" w:rsidRPr="004A5120" w:rsidRDefault="002B50EB" w:rsidP="009E2894">
      <w:pPr>
        <w:spacing w:after="0"/>
        <w:jc w:val="both"/>
        <w:rPr>
          <w:rFonts w:ascii="David" w:hAnsi="David" w:cs="David"/>
          <w:sz w:val="24"/>
          <w:szCs w:val="24"/>
          <w:rtl/>
        </w:rPr>
      </w:pPr>
      <w:r w:rsidRPr="004A5120">
        <w:rPr>
          <w:rFonts w:ascii="David" w:hAnsi="David" w:cs="David" w:hint="cs"/>
          <w:sz w:val="24"/>
          <w:szCs w:val="24"/>
          <w:rtl/>
        </w:rPr>
        <w:t>שמו של תרגום התורה ליוונית, ממנו ניתן ללמוד על הנורמות במשפט העברי בתקופה זו. היתרון נובע מהעובדה שהתרגום אינו תרגום מילולי, אלא ענייני, מהותי, לפי המושגים באותו הזמן.</w:t>
      </w:r>
    </w:p>
    <w:p w14:paraId="4B19D944" w14:textId="144A8CA8" w:rsidR="002B50EB" w:rsidRPr="004A5120" w:rsidRDefault="002B50EB" w:rsidP="009E2894">
      <w:pPr>
        <w:spacing w:after="0"/>
        <w:jc w:val="both"/>
        <w:rPr>
          <w:rFonts w:ascii="David" w:hAnsi="David" w:cs="David"/>
          <w:sz w:val="24"/>
          <w:szCs w:val="24"/>
          <w:rtl/>
        </w:rPr>
      </w:pPr>
      <w:r w:rsidRPr="004A5120">
        <w:rPr>
          <w:rFonts w:ascii="David" w:hAnsi="David" w:cs="David" w:hint="cs"/>
          <w:sz w:val="24"/>
          <w:szCs w:val="24"/>
          <w:rtl/>
        </w:rPr>
        <w:t>דוגמאות:</w:t>
      </w:r>
    </w:p>
    <w:p w14:paraId="0B02D46A" w14:textId="4DBFDCBA" w:rsidR="002B50EB" w:rsidRPr="004A5120" w:rsidRDefault="002B50EB" w:rsidP="001A492B">
      <w:pPr>
        <w:pStyle w:val="a3"/>
        <w:numPr>
          <w:ilvl w:val="0"/>
          <w:numId w:val="13"/>
        </w:numPr>
        <w:spacing w:after="0"/>
        <w:jc w:val="both"/>
        <w:rPr>
          <w:rFonts w:ascii="David" w:hAnsi="David" w:cs="David"/>
          <w:sz w:val="24"/>
          <w:szCs w:val="24"/>
        </w:rPr>
      </w:pPr>
      <w:r w:rsidRPr="004A5120">
        <w:rPr>
          <w:rFonts w:ascii="David" w:hAnsi="David" w:cs="David" w:hint="cs"/>
          <w:sz w:val="24"/>
          <w:szCs w:val="24"/>
          <w:rtl/>
        </w:rPr>
        <w:t xml:space="preserve">אדם המוציא שם רע לאשתו </w:t>
      </w:r>
      <w:r w:rsidRPr="004A5120">
        <w:rPr>
          <w:rFonts w:ascii="David" w:hAnsi="David" w:cs="David"/>
          <w:sz w:val="24"/>
          <w:szCs w:val="24"/>
          <w:rtl/>
        </w:rPr>
        <w:t>–</w:t>
      </w:r>
      <w:r w:rsidRPr="004A5120">
        <w:rPr>
          <w:rFonts w:ascii="David" w:hAnsi="David" w:cs="David" w:hint="cs"/>
          <w:sz w:val="24"/>
          <w:szCs w:val="24"/>
          <w:rtl/>
        </w:rPr>
        <w:t xml:space="preserve"> ספר דברים: "ולקחו זקני העיר ההוא את האיש ויסרו אותו". תרגום השבעים: "וילקו אותו". כך פורשה המילה "יסרו" כ"מלקות".</w:t>
      </w:r>
    </w:p>
    <w:p w14:paraId="5483978C" w14:textId="53460ADC" w:rsidR="002B50EB" w:rsidRPr="004A5120" w:rsidRDefault="002B50EB" w:rsidP="001A492B">
      <w:pPr>
        <w:pStyle w:val="a3"/>
        <w:numPr>
          <w:ilvl w:val="0"/>
          <w:numId w:val="13"/>
        </w:numPr>
        <w:spacing w:after="0"/>
        <w:jc w:val="both"/>
        <w:rPr>
          <w:rFonts w:ascii="David" w:hAnsi="David" w:cs="David"/>
          <w:sz w:val="24"/>
          <w:szCs w:val="24"/>
        </w:rPr>
      </w:pPr>
      <w:r w:rsidRPr="004A5120">
        <w:rPr>
          <w:rFonts w:ascii="David" w:hAnsi="David" w:cs="David" w:hint="cs"/>
          <w:sz w:val="24"/>
          <w:szCs w:val="24"/>
          <w:rtl/>
        </w:rPr>
        <w:t xml:space="preserve">פרשת ייבום </w:t>
      </w:r>
      <w:r w:rsidRPr="004A5120">
        <w:rPr>
          <w:rFonts w:ascii="David" w:hAnsi="David" w:cs="David"/>
          <w:sz w:val="24"/>
          <w:szCs w:val="24"/>
          <w:rtl/>
        </w:rPr>
        <w:t>–</w:t>
      </w:r>
      <w:r w:rsidRPr="004A5120">
        <w:rPr>
          <w:rFonts w:ascii="David" w:hAnsi="David" w:cs="David" w:hint="cs"/>
          <w:sz w:val="24"/>
          <w:szCs w:val="24"/>
          <w:rtl/>
        </w:rPr>
        <w:t xml:space="preserve"> בתורה: "כי ישבו אחים ידו ומת אחד מהם ובן אין לו". תרגום השבעים: "וזרע אין לו". משמע, לאו דווקא בן זכר פוטר מייבום, אלא גם בת ובעצם כל שושלת, פוטרת את האישה מייבום </w:t>
      </w:r>
      <w:r w:rsidRPr="004A5120">
        <w:rPr>
          <w:rFonts w:ascii="David" w:hAnsi="David" w:cs="David"/>
          <w:sz w:val="24"/>
          <w:szCs w:val="24"/>
          <w:rtl/>
        </w:rPr>
        <w:t>–</w:t>
      </w:r>
      <w:r w:rsidRPr="004A5120">
        <w:rPr>
          <w:rFonts w:ascii="David" w:hAnsi="David" w:cs="David" w:hint="cs"/>
          <w:sz w:val="24"/>
          <w:szCs w:val="24"/>
          <w:rtl/>
        </w:rPr>
        <w:t xml:space="preserve"> זו אכן ההלכה בספרות התלמודית.</w:t>
      </w:r>
    </w:p>
    <w:p w14:paraId="411B70C4" w14:textId="40318D6C" w:rsidR="002B50EB" w:rsidRPr="004A5120" w:rsidRDefault="002B50EB" w:rsidP="001A492B">
      <w:pPr>
        <w:pStyle w:val="a3"/>
        <w:numPr>
          <w:ilvl w:val="0"/>
          <w:numId w:val="13"/>
        </w:numPr>
        <w:spacing w:after="0"/>
        <w:jc w:val="both"/>
        <w:rPr>
          <w:rFonts w:ascii="David" w:hAnsi="David" w:cs="David"/>
          <w:sz w:val="24"/>
          <w:szCs w:val="24"/>
        </w:rPr>
      </w:pPr>
      <w:r w:rsidRPr="004A5120">
        <w:rPr>
          <w:rFonts w:ascii="David" w:hAnsi="David" w:cs="David" w:hint="cs"/>
          <w:sz w:val="24"/>
          <w:szCs w:val="24"/>
          <w:rtl/>
        </w:rPr>
        <w:t xml:space="preserve">מצבים בהם התרגום לא תואם את ההלכה התלמודית </w:t>
      </w:r>
      <w:r w:rsidRPr="004A5120">
        <w:rPr>
          <w:rFonts w:ascii="David" w:hAnsi="David" w:cs="David"/>
          <w:sz w:val="24"/>
          <w:szCs w:val="24"/>
          <w:rtl/>
        </w:rPr>
        <w:t>–</w:t>
      </w:r>
      <w:r w:rsidRPr="004A5120">
        <w:rPr>
          <w:rFonts w:ascii="David" w:hAnsi="David" w:cs="David" w:hint="cs"/>
          <w:sz w:val="24"/>
          <w:szCs w:val="24"/>
          <w:rtl/>
        </w:rPr>
        <w:t xml:space="preserve"> דוג' לגבי שומרים. ספר שמות: "אם לא ימצא הגנב, 'ונקרב בעל הבית'(שבועה) אל האלוקים, אם לא שלח ידו במלאכת רעהו". תרגום השבעים: על בעל הבית להתקרב לפני ה' ולהישבע. ההלכה מפרשת את המילה אלוקים כדיין, שופט, בעוד התרגום מפרש אותה כאלוקות ממש. </w:t>
      </w:r>
    </w:p>
    <w:p w14:paraId="480B2E24" w14:textId="723D52F5" w:rsidR="00834F63" w:rsidRPr="004A5120" w:rsidRDefault="00834F63" w:rsidP="00834F63">
      <w:pPr>
        <w:spacing w:after="0"/>
        <w:jc w:val="both"/>
        <w:rPr>
          <w:rFonts w:ascii="David" w:hAnsi="David" w:cs="David"/>
          <w:sz w:val="24"/>
          <w:szCs w:val="24"/>
          <w:rtl/>
        </w:rPr>
      </w:pPr>
    </w:p>
    <w:p w14:paraId="35A47392" w14:textId="44EAF801" w:rsidR="00834F63" w:rsidRPr="004A5120" w:rsidRDefault="00834F63" w:rsidP="00834F63">
      <w:pPr>
        <w:spacing w:after="0"/>
        <w:jc w:val="both"/>
        <w:rPr>
          <w:rFonts w:ascii="David" w:hAnsi="David" w:cs="David"/>
          <w:sz w:val="24"/>
          <w:szCs w:val="24"/>
          <w:u w:val="single"/>
          <w:rtl/>
        </w:rPr>
      </w:pPr>
      <w:r w:rsidRPr="004A5120">
        <w:rPr>
          <w:rFonts w:ascii="David" w:hAnsi="David" w:cs="David" w:hint="cs"/>
          <w:sz w:val="24"/>
          <w:szCs w:val="24"/>
          <w:u w:val="single"/>
          <w:rtl/>
        </w:rPr>
        <w:t>כתבי פילון האלכסנדרוני:</w:t>
      </w:r>
    </w:p>
    <w:p w14:paraId="05390A1F" w14:textId="40BC6343"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פילוסוף יהודי שחי במצרים ורוב ספריו הם פירושים לתורה, בהם נמצא חומר משפטי רב שלעתים תואם להלכה ולעתים מנוגד לה.</w:t>
      </w:r>
    </w:p>
    <w:p w14:paraId="1638C59A" w14:textId="56D63328"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 xml:space="preserve">דוג' </w:t>
      </w:r>
      <w:r w:rsidRPr="004A5120">
        <w:rPr>
          <w:rFonts w:ascii="David" w:hAnsi="David" w:cs="David"/>
          <w:sz w:val="24"/>
          <w:szCs w:val="24"/>
          <w:rtl/>
        </w:rPr>
        <w:t>–</w:t>
      </w:r>
      <w:r w:rsidRPr="004A5120">
        <w:rPr>
          <w:rFonts w:ascii="David" w:hAnsi="David" w:cs="David" w:hint="cs"/>
          <w:sz w:val="24"/>
          <w:szCs w:val="24"/>
          <w:rtl/>
        </w:rPr>
        <w:t xml:space="preserve"> אונס אישה מאורסת:</w:t>
      </w:r>
    </w:p>
    <w:p w14:paraId="727579E4" w14:textId="42E9747A"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 xml:space="preserve">ספר דברים: אישה שנאנסה בעיר </w:t>
      </w:r>
      <w:r w:rsidRPr="004A5120">
        <w:rPr>
          <w:rFonts w:ascii="David" w:hAnsi="David" w:cs="David"/>
          <w:sz w:val="24"/>
          <w:szCs w:val="24"/>
          <w:rtl/>
        </w:rPr>
        <w:t>–</w:t>
      </w:r>
      <w:r w:rsidRPr="004A5120">
        <w:rPr>
          <w:rFonts w:ascii="David" w:hAnsi="David" w:cs="David" w:hint="cs"/>
          <w:sz w:val="24"/>
          <w:szCs w:val="24"/>
          <w:rtl/>
        </w:rPr>
        <w:t xml:space="preserve"> עונש מוות, נאנסה בשדה </w:t>
      </w:r>
      <w:r w:rsidRPr="004A5120">
        <w:rPr>
          <w:rFonts w:ascii="David" w:hAnsi="David" w:cs="David"/>
          <w:sz w:val="24"/>
          <w:szCs w:val="24"/>
          <w:rtl/>
        </w:rPr>
        <w:t>–</w:t>
      </w:r>
      <w:r w:rsidRPr="004A5120">
        <w:rPr>
          <w:rFonts w:ascii="David" w:hAnsi="David" w:cs="David" w:hint="cs"/>
          <w:sz w:val="24"/>
          <w:szCs w:val="24"/>
          <w:rtl/>
        </w:rPr>
        <w:t xml:space="preserve"> פטורה. ההנחה היא שאם היא בשדה, לא יכולה לקרוא לעזרה. אם נאנסה בעיר, לא קראה לעזרה, אחרת היו מצילים אותה.</w:t>
      </w:r>
    </w:p>
    <w:p w14:paraId="11263348" w14:textId="25AC9344"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פילון: הפירוש של התורה מאפשר לאישה למסור עצמה מרצון בשדה ולהיות פטורה מעונש.</w:t>
      </w:r>
    </w:p>
    <w:p w14:paraId="689A66D3" w14:textId="4DCE7A1A"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 xml:space="preserve">התורה דייקה: "צעקה הנערה ואין מושיעה לה" </w:t>
      </w:r>
      <w:r w:rsidRPr="004A5120">
        <w:rPr>
          <w:rFonts w:ascii="David" w:hAnsi="David" w:cs="David"/>
          <w:sz w:val="24"/>
          <w:szCs w:val="24"/>
          <w:rtl/>
        </w:rPr>
        <w:t>–</w:t>
      </w:r>
      <w:r w:rsidRPr="004A5120">
        <w:rPr>
          <w:rFonts w:ascii="David" w:hAnsi="David" w:cs="David" w:hint="cs"/>
          <w:sz w:val="24"/>
          <w:szCs w:val="24"/>
          <w:rtl/>
        </w:rPr>
        <w:t xml:space="preserve"> אם לא צעקה והלכה ברצון לשדה, חייבת בעונש, כן שנסמכה על מקום המעשה כראיה לאונס, למרות שזנתה. כנ"ל לגבי העיר, אם זעקה ולא היה מי שיעזור במקום, דינה כמי שנאנסה בשדה, אין עונש.</w:t>
      </w:r>
    </w:p>
    <w:p w14:paraId="052F182F" w14:textId="7FCF6CAF" w:rsidR="00834F63" w:rsidRPr="004A5120" w:rsidRDefault="00834F63" w:rsidP="00834F63">
      <w:pPr>
        <w:spacing w:after="0"/>
        <w:jc w:val="both"/>
        <w:rPr>
          <w:rFonts w:ascii="David" w:hAnsi="David" w:cs="David"/>
          <w:sz w:val="24"/>
          <w:szCs w:val="24"/>
          <w:rtl/>
        </w:rPr>
      </w:pPr>
      <w:r w:rsidRPr="004A5120">
        <w:rPr>
          <w:rFonts w:ascii="David" w:hAnsi="David" w:cs="David" w:hint="cs"/>
          <w:sz w:val="24"/>
          <w:szCs w:val="24"/>
          <w:rtl/>
        </w:rPr>
        <w:t>פילון: דין הנערה לא נחרץ לפי המקום אלא לפי הרצון, פירוש זה נמצא גם בספרי (מדרש הלכה).</w:t>
      </w:r>
      <w:r w:rsidR="00D70535" w:rsidRPr="004A5120">
        <w:rPr>
          <w:rFonts w:ascii="David" w:hAnsi="David" w:cs="David" w:hint="cs"/>
          <w:sz w:val="24"/>
          <w:szCs w:val="24"/>
          <w:rtl/>
        </w:rPr>
        <w:t xml:space="preserve"> </w:t>
      </w:r>
    </w:p>
    <w:p w14:paraId="53897B18" w14:textId="5C443BEE" w:rsidR="00D70535" w:rsidRPr="004A5120" w:rsidRDefault="00D70535" w:rsidP="00834F63">
      <w:pPr>
        <w:spacing w:after="0"/>
        <w:jc w:val="both"/>
        <w:rPr>
          <w:rFonts w:ascii="David" w:hAnsi="David" w:cs="David"/>
          <w:sz w:val="24"/>
          <w:szCs w:val="24"/>
          <w:rtl/>
        </w:rPr>
      </w:pPr>
    </w:p>
    <w:p w14:paraId="40BC0F19" w14:textId="2B27AEAE" w:rsidR="00D70535" w:rsidRPr="004A5120" w:rsidRDefault="00D70535" w:rsidP="00834F63">
      <w:pPr>
        <w:spacing w:after="0"/>
        <w:jc w:val="both"/>
        <w:rPr>
          <w:rFonts w:ascii="David" w:hAnsi="David" w:cs="David"/>
          <w:sz w:val="24"/>
          <w:szCs w:val="24"/>
          <w:u w:val="single"/>
          <w:rtl/>
        </w:rPr>
      </w:pPr>
      <w:r w:rsidRPr="004A5120">
        <w:rPr>
          <w:rFonts w:ascii="David" w:hAnsi="David" w:cs="David" w:hint="cs"/>
          <w:sz w:val="24"/>
          <w:szCs w:val="24"/>
          <w:u w:val="single"/>
          <w:rtl/>
        </w:rPr>
        <w:t xml:space="preserve">כתבי יוסף בן </w:t>
      </w:r>
      <w:r w:rsidR="00EA0426" w:rsidRPr="004A5120">
        <w:rPr>
          <w:rFonts w:ascii="David" w:hAnsi="David" w:cs="David" w:hint="cs"/>
          <w:sz w:val="24"/>
          <w:szCs w:val="24"/>
          <w:u w:val="single"/>
          <w:rtl/>
        </w:rPr>
        <w:t>מתתיהו</w:t>
      </w:r>
      <w:r w:rsidRPr="004A5120">
        <w:rPr>
          <w:rFonts w:ascii="David" w:hAnsi="David" w:cs="David" w:hint="cs"/>
          <w:sz w:val="24"/>
          <w:szCs w:val="24"/>
          <w:u w:val="single"/>
          <w:rtl/>
        </w:rPr>
        <w:t xml:space="preserve"> (יוספוס) </w:t>
      </w:r>
      <w:r w:rsidRPr="004A5120">
        <w:rPr>
          <w:rFonts w:ascii="David" w:hAnsi="David" w:cs="David"/>
          <w:sz w:val="24"/>
          <w:szCs w:val="24"/>
          <w:u w:val="single"/>
          <w:rtl/>
        </w:rPr>
        <w:t>–</w:t>
      </w:r>
      <w:r w:rsidRPr="004A5120">
        <w:rPr>
          <w:rFonts w:ascii="David" w:hAnsi="David" w:cs="David" w:hint="cs"/>
          <w:sz w:val="24"/>
          <w:szCs w:val="24"/>
          <w:u w:val="single"/>
          <w:rtl/>
        </w:rPr>
        <w:t xml:space="preserve"> דור חורבן הבית השני:</w:t>
      </w:r>
    </w:p>
    <w:p w14:paraId="46EE433E" w14:textId="085E48EC" w:rsidR="00D70535" w:rsidRPr="004A5120" w:rsidRDefault="00D70535" w:rsidP="00B11574">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דין עבד</w:t>
      </w:r>
    </w:p>
    <w:p w14:paraId="2F9D20C0" w14:textId="3B433248" w:rsidR="00D70535" w:rsidRPr="004A5120" w:rsidRDefault="00D70535" w:rsidP="00B11574">
      <w:pPr>
        <w:pStyle w:val="a3"/>
        <w:spacing w:after="0"/>
        <w:jc w:val="both"/>
        <w:rPr>
          <w:rFonts w:ascii="David" w:hAnsi="David" w:cs="David"/>
          <w:sz w:val="24"/>
          <w:szCs w:val="24"/>
          <w:rtl/>
        </w:rPr>
      </w:pPr>
      <w:r w:rsidRPr="004A5120">
        <w:rPr>
          <w:rFonts w:ascii="David" w:hAnsi="David" w:cs="David" w:hint="cs"/>
          <w:sz w:val="24"/>
          <w:szCs w:val="24"/>
          <w:rtl/>
        </w:rPr>
        <w:t xml:space="preserve">בתורה: אם העבד הקים משפחה ולא רוצה לצאת לחופשי בסוף שש שנים </w:t>
      </w:r>
      <w:r w:rsidRPr="004A5120">
        <w:rPr>
          <w:rFonts w:ascii="David" w:hAnsi="David" w:cs="David"/>
          <w:sz w:val="24"/>
          <w:szCs w:val="24"/>
          <w:rtl/>
        </w:rPr>
        <w:t>–</w:t>
      </w:r>
      <w:r w:rsidRPr="004A5120">
        <w:rPr>
          <w:rFonts w:ascii="David" w:hAnsi="David" w:cs="David" w:hint="cs"/>
          <w:sz w:val="24"/>
          <w:szCs w:val="24"/>
          <w:rtl/>
        </w:rPr>
        <w:t xml:space="preserve"> "ורצע אדונו את אזנו במרצעו ועבדו לעולם", משמע צריך לחורר לו את האוזן כאות לעבדות עולם.</w:t>
      </w:r>
    </w:p>
    <w:p w14:paraId="2D3728FC" w14:textId="076094DD" w:rsidR="00D70535" w:rsidRPr="004A5120" w:rsidRDefault="00D70535" w:rsidP="00B11574">
      <w:pPr>
        <w:pStyle w:val="a3"/>
        <w:spacing w:after="0"/>
        <w:jc w:val="both"/>
        <w:rPr>
          <w:rFonts w:ascii="David" w:hAnsi="David" w:cs="David"/>
          <w:sz w:val="24"/>
          <w:szCs w:val="24"/>
          <w:rtl/>
        </w:rPr>
      </w:pPr>
      <w:r w:rsidRPr="004A5120">
        <w:rPr>
          <w:rFonts w:ascii="David" w:hAnsi="David" w:cs="David" w:hint="cs"/>
          <w:sz w:val="24"/>
          <w:szCs w:val="24"/>
          <w:rtl/>
        </w:rPr>
        <w:t xml:space="preserve">יוספוס: נקודת מילוט נוספת </w:t>
      </w:r>
      <w:r w:rsidRPr="004A5120">
        <w:rPr>
          <w:rFonts w:ascii="David" w:hAnsi="David" w:cs="David"/>
          <w:sz w:val="24"/>
          <w:szCs w:val="24"/>
          <w:rtl/>
        </w:rPr>
        <w:t>–</w:t>
      </w:r>
      <w:r w:rsidRPr="004A5120">
        <w:rPr>
          <w:rFonts w:ascii="David" w:hAnsi="David" w:cs="David" w:hint="cs"/>
          <w:sz w:val="24"/>
          <w:szCs w:val="24"/>
          <w:rtl/>
        </w:rPr>
        <w:t xml:space="preserve"> גם בשנת היובל(50). מפרש את המילים "עבדו לעולם", לפרק זמן מוגבל, וכך באמת פורשה המילה בהלכה התלמודית.</w:t>
      </w:r>
    </w:p>
    <w:p w14:paraId="1F3BA679" w14:textId="7EC914EF" w:rsidR="00B11574" w:rsidRPr="004A5120" w:rsidRDefault="00B11574" w:rsidP="00B11574">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ניתן למצוא מגמה ברורה בתיאורים ההיסטוריים וההלכתיים שלו. </w:t>
      </w:r>
      <w:r w:rsidR="00F918E8" w:rsidRPr="004A5120">
        <w:rPr>
          <w:rFonts w:ascii="David" w:hAnsi="David" w:cs="David" w:hint="cs"/>
          <w:sz w:val="24"/>
          <w:szCs w:val="24"/>
          <w:rtl/>
        </w:rPr>
        <w:t>מעיד על עצמו כנשאר נאמן למקור, לתורה. אבל ניתן לראות שפעמים רבות הוא שואב הלכות ממקורות שאינם התורה. דוג': איסור ועונש מוות למי שמחזיק סם מוות (רעל). דבר שלא מוזכר בתורה כלל.</w:t>
      </w:r>
    </w:p>
    <w:p w14:paraId="03351183" w14:textId="14782C1B" w:rsidR="00F918E8" w:rsidRPr="004A5120" w:rsidRDefault="00F918E8" w:rsidP="00F918E8">
      <w:pPr>
        <w:spacing w:after="0"/>
        <w:jc w:val="both"/>
        <w:rPr>
          <w:rFonts w:ascii="David" w:hAnsi="David" w:cs="David"/>
          <w:sz w:val="24"/>
          <w:szCs w:val="24"/>
          <w:rtl/>
        </w:rPr>
      </w:pPr>
    </w:p>
    <w:p w14:paraId="6140C672" w14:textId="0BC26DE8" w:rsidR="00F918E8" w:rsidRPr="004A5120" w:rsidRDefault="00F918E8" w:rsidP="00F918E8">
      <w:pPr>
        <w:spacing w:after="0"/>
        <w:jc w:val="both"/>
        <w:rPr>
          <w:rFonts w:ascii="David" w:hAnsi="David" w:cs="David"/>
          <w:sz w:val="24"/>
          <w:szCs w:val="24"/>
          <w:u w:val="single"/>
          <w:rtl/>
        </w:rPr>
      </w:pPr>
      <w:r w:rsidRPr="004A5120">
        <w:rPr>
          <w:rFonts w:ascii="David" w:hAnsi="David" w:cs="David" w:hint="cs"/>
          <w:sz w:val="24"/>
          <w:szCs w:val="24"/>
          <w:u w:val="single"/>
          <w:rtl/>
        </w:rPr>
        <w:t>הספרים החיצוניים:</w:t>
      </w:r>
    </w:p>
    <w:p w14:paraId="3CFF17CD" w14:textId="057D993C" w:rsidR="00F918E8" w:rsidRPr="004A5120" w:rsidRDefault="00F918E8" w:rsidP="00F918E8">
      <w:pPr>
        <w:spacing w:after="0"/>
        <w:jc w:val="both"/>
        <w:rPr>
          <w:rFonts w:ascii="David" w:hAnsi="David" w:cs="David"/>
          <w:sz w:val="24"/>
          <w:szCs w:val="24"/>
          <w:rtl/>
        </w:rPr>
      </w:pPr>
      <w:r w:rsidRPr="004A5120">
        <w:rPr>
          <w:rFonts w:ascii="David" w:hAnsi="David" w:cs="David" w:hint="cs"/>
          <w:sz w:val="24"/>
          <w:szCs w:val="24"/>
          <w:rtl/>
        </w:rPr>
        <w:t>יצירות שלא השתלבו בכתבי הקודש משום שחכמי ההלכה לא הכירו בהם, לכן הם נגנזו. ספרים אלו ב</w:t>
      </w:r>
      <w:r w:rsidR="00EA0426" w:rsidRPr="004A5120">
        <w:rPr>
          <w:rFonts w:ascii="David" w:hAnsi="David" w:cs="David" w:hint="cs"/>
          <w:sz w:val="24"/>
          <w:szCs w:val="24"/>
          <w:rtl/>
        </w:rPr>
        <w:t>נו</w:t>
      </w:r>
      <w:r w:rsidRPr="004A5120">
        <w:rPr>
          <w:rFonts w:ascii="David" w:hAnsi="David" w:cs="David" w:hint="cs"/>
          <w:sz w:val="24"/>
          <w:szCs w:val="24"/>
          <w:rtl/>
        </w:rPr>
        <w:t>יים מסיפורים, אגדות, היסטוריה, מוסר, חכמה וכו, כאשר גם פה לעתים ההלכה דומה להלכה התלמודית, ולעתים שונה. השוני נובע מחילוקי דעות באותם זמנים או משום שההלכה המתוארת הייתה של כתות דתיות ספציפית</w:t>
      </w:r>
      <w:r w:rsidR="0002450A" w:rsidRPr="004A5120">
        <w:rPr>
          <w:rFonts w:ascii="David" w:hAnsi="David" w:cs="David" w:hint="cs"/>
          <w:sz w:val="24"/>
          <w:szCs w:val="24"/>
          <w:rtl/>
        </w:rPr>
        <w:t xml:space="preserve"> ולכן לא הייתה נהוגה באופן גורף על כל העם.</w:t>
      </w:r>
    </w:p>
    <w:p w14:paraId="5BD76972" w14:textId="4FE5C745" w:rsidR="0002450A" w:rsidRPr="004A5120" w:rsidRDefault="0002450A" w:rsidP="00F918E8">
      <w:pPr>
        <w:spacing w:after="0"/>
        <w:jc w:val="both"/>
        <w:rPr>
          <w:rFonts w:ascii="David" w:hAnsi="David" w:cs="David"/>
          <w:sz w:val="24"/>
          <w:szCs w:val="24"/>
          <w:rtl/>
        </w:rPr>
      </w:pPr>
      <w:r w:rsidRPr="004A5120">
        <w:rPr>
          <w:rFonts w:ascii="David" w:hAnsi="David" w:cs="David" w:hint="cs"/>
          <w:sz w:val="24"/>
          <w:szCs w:val="24"/>
          <w:rtl/>
        </w:rPr>
        <w:t>דוגמאות:</w:t>
      </w:r>
    </w:p>
    <w:p w14:paraId="3D1A7670" w14:textId="213D4C68" w:rsidR="0002450A" w:rsidRPr="004A5120" w:rsidRDefault="0002450A" w:rsidP="001A492B">
      <w:pPr>
        <w:pStyle w:val="a3"/>
        <w:numPr>
          <w:ilvl w:val="0"/>
          <w:numId w:val="14"/>
        </w:numPr>
        <w:spacing w:after="0"/>
        <w:jc w:val="both"/>
        <w:rPr>
          <w:rFonts w:ascii="David" w:hAnsi="David" w:cs="David"/>
          <w:sz w:val="24"/>
          <w:szCs w:val="24"/>
        </w:rPr>
      </w:pPr>
      <w:r w:rsidRPr="004A5120">
        <w:rPr>
          <w:rFonts w:ascii="David" w:hAnsi="David" w:cs="David" w:hint="cs"/>
          <w:sz w:val="24"/>
          <w:szCs w:val="24"/>
          <w:rtl/>
        </w:rPr>
        <w:t xml:space="preserve">ספר היובלות </w:t>
      </w:r>
      <w:r w:rsidRPr="004A5120">
        <w:rPr>
          <w:rFonts w:ascii="David" w:hAnsi="David" w:cs="David"/>
          <w:sz w:val="24"/>
          <w:szCs w:val="24"/>
          <w:rtl/>
        </w:rPr>
        <w:t>–</w:t>
      </w:r>
      <w:r w:rsidRPr="004A5120">
        <w:rPr>
          <w:rFonts w:ascii="David" w:hAnsi="David" w:cs="David" w:hint="cs"/>
          <w:sz w:val="24"/>
          <w:szCs w:val="24"/>
          <w:rtl/>
        </w:rPr>
        <w:t xml:space="preserve"> </w:t>
      </w:r>
    </w:p>
    <w:p w14:paraId="434722A0" w14:textId="6B492E5D" w:rsidR="0002450A" w:rsidRPr="004A5120" w:rsidRDefault="0002450A" w:rsidP="0002450A">
      <w:pPr>
        <w:pStyle w:val="a3"/>
        <w:spacing w:after="0"/>
        <w:jc w:val="both"/>
        <w:rPr>
          <w:rFonts w:ascii="David" w:hAnsi="David" w:cs="David"/>
          <w:sz w:val="24"/>
          <w:szCs w:val="24"/>
          <w:rtl/>
        </w:rPr>
      </w:pPr>
      <w:r w:rsidRPr="004A5120">
        <w:rPr>
          <w:rFonts w:ascii="David" w:hAnsi="David" w:cs="David" w:hint="cs"/>
          <w:sz w:val="24"/>
          <w:szCs w:val="24"/>
          <w:rtl/>
        </w:rPr>
        <w:t xml:space="preserve">המשנה בסנהדרין </w:t>
      </w:r>
      <w:r w:rsidRPr="004A5120">
        <w:rPr>
          <w:rFonts w:ascii="David" w:hAnsi="David" w:cs="David"/>
          <w:sz w:val="24"/>
          <w:szCs w:val="24"/>
          <w:rtl/>
        </w:rPr>
        <w:t>–</w:t>
      </w:r>
      <w:r w:rsidRPr="004A5120">
        <w:rPr>
          <w:rFonts w:ascii="David" w:hAnsi="David" w:cs="David" w:hint="cs"/>
          <w:sz w:val="24"/>
          <w:szCs w:val="24"/>
          <w:rtl/>
        </w:rPr>
        <w:t xml:space="preserve"> מי שדינו מוות, צריך להיות מוצא להורג בסיף.</w:t>
      </w:r>
    </w:p>
    <w:p w14:paraId="7184A217" w14:textId="4BACA774" w:rsidR="0002450A" w:rsidRPr="004A5120" w:rsidRDefault="0002450A" w:rsidP="0002450A">
      <w:pPr>
        <w:pStyle w:val="a3"/>
        <w:spacing w:after="0"/>
        <w:jc w:val="both"/>
        <w:rPr>
          <w:rFonts w:ascii="David" w:hAnsi="David" w:cs="David"/>
          <w:sz w:val="24"/>
          <w:szCs w:val="24"/>
          <w:rtl/>
        </w:rPr>
      </w:pPr>
      <w:r w:rsidRPr="004A5120">
        <w:rPr>
          <w:rFonts w:ascii="David" w:hAnsi="David" w:cs="David" w:hint="cs"/>
          <w:sz w:val="24"/>
          <w:szCs w:val="24"/>
          <w:rtl/>
        </w:rPr>
        <w:lastRenderedPageBreak/>
        <w:t xml:space="preserve">ספר היובלות </w:t>
      </w:r>
      <w:r w:rsidRPr="004A5120">
        <w:rPr>
          <w:rFonts w:ascii="David" w:hAnsi="David" w:cs="David"/>
          <w:sz w:val="24"/>
          <w:szCs w:val="24"/>
          <w:rtl/>
        </w:rPr>
        <w:t>–</w:t>
      </w:r>
      <w:r w:rsidRPr="004A5120">
        <w:rPr>
          <w:rFonts w:ascii="David" w:hAnsi="David" w:cs="David" w:hint="cs"/>
          <w:sz w:val="24"/>
          <w:szCs w:val="24"/>
          <w:rtl/>
        </w:rPr>
        <w:t xml:space="preserve"> מי שרצח ולכן דינו מוות, יש להורגו באותו הכלי ששימש אותו לרצח. הם לומדים זאת מסיפורם של קין והבל, שקין רצח את הבל באבן ומצא את מותו לבסוף גם ע"י אבן. </w:t>
      </w:r>
      <w:r w:rsidR="006859E0" w:rsidRPr="004A5120">
        <w:rPr>
          <w:rFonts w:ascii="David" w:hAnsi="David" w:cs="David" w:hint="cs"/>
          <w:sz w:val="24"/>
          <w:szCs w:val="24"/>
          <w:rtl/>
        </w:rPr>
        <w:t>היה דיון בתלמוד באם לקבל את ההלכה של ספר היובלות, אך לבסוף הוחלט לא.</w:t>
      </w:r>
    </w:p>
    <w:p w14:paraId="39A0E0FC" w14:textId="233953F3" w:rsidR="006859E0" w:rsidRPr="004A5120" w:rsidRDefault="006859E0" w:rsidP="001A492B">
      <w:pPr>
        <w:pStyle w:val="a3"/>
        <w:numPr>
          <w:ilvl w:val="0"/>
          <w:numId w:val="14"/>
        </w:numPr>
        <w:spacing w:after="0"/>
        <w:jc w:val="both"/>
        <w:rPr>
          <w:rFonts w:ascii="David" w:hAnsi="David" w:cs="David"/>
          <w:sz w:val="24"/>
          <w:szCs w:val="24"/>
        </w:rPr>
      </w:pPr>
      <w:r w:rsidRPr="004A5120">
        <w:rPr>
          <w:rFonts w:ascii="David" w:hAnsi="David" w:cs="David" w:hint="cs"/>
          <w:sz w:val="24"/>
          <w:szCs w:val="24"/>
          <w:rtl/>
        </w:rPr>
        <w:t xml:space="preserve">ספר טוביה </w:t>
      </w:r>
      <w:r w:rsidRPr="004A5120">
        <w:rPr>
          <w:rFonts w:ascii="David" w:hAnsi="David" w:cs="David"/>
          <w:sz w:val="24"/>
          <w:szCs w:val="24"/>
          <w:rtl/>
        </w:rPr>
        <w:t>–</w:t>
      </w:r>
      <w:r w:rsidRPr="004A5120">
        <w:rPr>
          <w:rFonts w:ascii="David" w:hAnsi="David" w:cs="David" w:hint="cs"/>
          <w:sz w:val="24"/>
          <w:szCs w:val="24"/>
          <w:rtl/>
        </w:rPr>
        <w:t xml:space="preserve"> </w:t>
      </w:r>
    </w:p>
    <w:p w14:paraId="6020C5F9" w14:textId="48BB1404" w:rsidR="006859E0" w:rsidRPr="004A5120" w:rsidRDefault="006859E0" w:rsidP="006859E0">
      <w:pPr>
        <w:pStyle w:val="a3"/>
        <w:spacing w:after="0"/>
        <w:jc w:val="both"/>
        <w:rPr>
          <w:rFonts w:ascii="David" w:hAnsi="David" w:cs="David"/>
          <w:sz w:val="24"/>
          <w:szCs w:val="24"/>
          <w:rtl/>
        </w:rPr>
      </w:pPr>
      <w:r w:rsidRPr="004A5120">
        <w:rPr>
          <w:rFonts w:ascii="David" w:hAnsi="David" w:cs="David" w:hint="cs"/>
          <w:sz w:val="24"/>
          <w:szCs w:val="24"/>
          <w:rtl/>
        </w:rPr>
        <w:t>דיני קידושין וכתובה. תיאור של נישואי טוביה עם שרה בת רעואל, שם נאמר כי לקח לו לאישה לפי תורת משה, ברך אותם וכתבו כתובה (מציג כתובה, ברכות נישואין).</w:t>
      </w:r>
    </w:p>
    <w:p w14:paraId="4BFBB438" w14:textId="055F296C" w:rsidR="006859E0" w:rsidRPr="004A5120" w:rsidRDefault="006859E0" w:rsidP="001A492B">
      <w:pPr>
        <w:pStyle w:val="a3"/>
        <w:numPr>
          <w:ilvl w:val="0"/>
          <w:numId w:val="14"/>
        </w:numPr>
        <w:spacing w:after="0"/>
        <w:jc w:val="both"/>
        <w:rPr>
          <w:rFonts w:ascii="David" w:hAnsi="David" w:cs="David"/>
          <w:sz w:val="24"/>
          <w:szCs w:val="24"/>
        </w:rPr>
      </w:pPr>
      <w:r w:rsidRPr="004A5120">
        <w:rPr>
          <w:rFonts w:ascii="David" w:hAnsi="David" w:cs="David" w:hint="cs"/>
          <w:sz w:val="24"/>
          <w:szCs w:val="24"/>
          <w:rtl/>
        </w:rPr>
        <w:t xml:space="preserve">ספר בן סירא </w:t>
      </w:r>
      <w:r w:rsidRPr="004A5120">
        <w:rPr>
          <w:rFonts w:ascii="David" w:hAnsi="David" w:cs="David"/>
          <w:sz w:val="24"/>
          <w:szCs w:val="24"/>
          <w:rtl/>
        </w:rPr>
        <w:t>–</w:t>
      </w:r>
      <w:r w:rsidRPr="004A5120">
        <w:rPr>
          <w:rFonts w:ascii="David" w:hAnsi="David" w:cs="David" w:hint="cs"/>
          <w:sz w:val="24"/>
          <w:szCs w:val="24"/>
          <w:rtl/>
        </w:rPr>
        <w:t xml:space="preserve"> </w:t>
      </w:r>
    </w:p>
    <w:p w14:paraId="1C0E6456" w14:textId="7C3C7875" w:rsidR="006859E0" w:rsidRPr="004A5120" w:rsidRDefault="006859E0" w:rsidP="006859E0">
      <w:pPr>
        <w:pStyle w:val="a3"/>
        <w:spacing w:after="0"/>
        <w:jc w:val="both"/>
        <w:rPr>
          <w:rFonts w:ascii="David" w:hAnsi="David" w:cs="David"/>
          <w:sz w:val="24"/>
          <w:szCs w:val="24"/>
          <w:rtl/>
        </w:rPr>
      </w:pPr>
      <w:r w:rsidRPr="004A5120">
        <w:rPr>
          <w:rFonts w:ascii="David" w:hAnsi="David" w:cs="David" w:hint="cs"/>
          <w:sz w:val="24"/>
          <w:szCs w:val="24"/>
          <w:rtl/>
        </w:rPr>
        <w:t xml:space="preserve">כולל בעיקר דברי חכמה, מוסר, הלכות ורמזי הלכות. </w:t>
      </w:r>
      <w:r w:rsidR="00C65D60" w:rsidRPr="004A5120">
        <w:rPr>
          <w:rFonts w:ascii="David" w:hAnsi="David" w:cs="David" w:hint="cs"/>
          <w:sz w:val="24"/>
          <w:szCs w:val="24"/>
          <w:rtl/>
        </w:rPr>
        <w:t xml:space="preserve">דוג': על קונה לדרוש מהמוכר לנקות את המאזניים טרק שקילת הסחורה, כדי שלא יפסיד בגין אבק וכו'. מוזכר גם במשנה </w:t>
      </w:r>
      <w:r w:rsidR="00C65D60" w:rsidRPr="004A5120">
        <w:rPr>
          <w:rFonts w:ascii="David" w:hAnsi="David" w:cs="David"/>
          <w:sz w:val="24"/>
          <w:szCs w:val="24"/>
          <w:rtl/>
        </w:rPr>
        <w:t>–</w:t>
      </w:r>
      <w:r w:rsidR="00C65D60" w:rsidRPr="004A5120">
        <w:rPr>
          <w:rFonts w:ascii="David" w:hAnsi="David" w:cs="David" w:hint="cs"/>
          <w:sz w:val="24"/>
          <w:szCs w:val="24"/>
          <w:rtl/>
        </w:rPr>
        <w:t xml:space="preserve"> על המוכר פעם בשבוע לנקות את המשקל.</w:t>
      </w:r>
    </w:p>
    <w:p w14:paraId="36E61804" w14:textId="242C4DAA" w:rsidR="00C65D60" w:rsidRPr="004A5120" w:rsidRDefault="00C65D60" w:rsidP="006859E0">
      <w:pPr>
        <w:pStyle w:val="a3"/>
        <w:spacing w:after="0"/>
        <w:jc w:val="both"/>
        <w:rPr>
          <w:rFonts w:ascii="David" w:hAnsi="David" w:cs="David"/>
          <w:sz w:val="24"/>
          <w:szCs w:val="24"/>
          <w:rtl/>
        </w:rPr>
      </w:pPr>
      <w:r w:rsidRPr="004A5120">
        <w:rPr>
          <w:rFonts w:ascii="David" w:hAnsi="David" w:cs="David" w:hint="cs"/>
          <w:sz w:val="24"/>
          <w:szCs w:val="24"/>
          <w:rtl/>
        </w:rPr>
        <w:t>גם נושא הערבות מוזכר, על אדם לקחת ערבות בסכום שיכול לעמוד בו (נושא משפטי).</w:t>
      </w:r>
    </w:p>
    <w:p w14:paraId="52AC2FC0" w14:textId="08D6E004" w:rsidR="00C65D60" w:rsidRPr="004A5120" w:rsidRDefault="00C65D60" w:rsidP="001A492B">
      <w:pPr>
        <w:pStyle w:val="a3"/>
        <w:numPr>
          <w:ilvl w:val="0"/>
          <w:numId w:val="14"/>
        </w:numPr>
        <w:spacing w:after="0"/>
        <w:jc w:val="both"/>
        <w:rPr>
          <w:rFonts w:ascii="David" w:hAnsi="David" w:cs="David"/>
          <w:sz w:val="24"/>
          <w:szCs w:val="24"/>
        </w:rPr>
      </w:pPr>
      <w:r w:rsidRPr="004A5120">
        <w:rPr>
          <w:rFonts w:ascii="David" w:hAnsi="David" w:cs="David" w:hint="cs"/>
          <w:sz w:val="24"/>
          <w:szCs w:val="24"/>
          <w:rtl/>
        </w:rPr>
        <w:t xml:space="preserve">ספר המקבים </w:t>
      </w:r>
      <w:r w:rsidRPr="004A5120">
        <w:rPr>
          <w:rFonts w:ascii="David" w:hAnsi="David" w:cs="David"/>
          <w:sz w:val="24"/>
          <w:szCs w:val="24"/>
          <w:rtl/>
        </w:rPr>
        <w:t>–</w:t>
      </w:r>
      <w:r w:rsidRPr="004A5120">
        <w:rPr>
          <w:rFonts w:ascii="David" w:hAnsi="David" w:cs="David" w:hint="cs"/>
          <w:sz w:val="24"/>
          <w:szCs w:val="24"/>
          <w:rtl/>
        </w:rPr>
        <w:t xml:space="preserve"> </w:t>
      </w:r>
    </w:p>
    <w:p w14:paraId="6BF6FBC0" w14:textId="47CDE11A" w:rsidR="00C65D60" w:rsidRPr="004A5120" w:rsidRDefault="00C65D60" w:rsidP="00C65D60">
      <w:pPr>
        <w:pStyle w:val="a3"/>
        <w:spacing w:after="0"/>
        <w:jc w:val="both"/>
        <w:rPr>
          <w:rFonts w:ascii="David" w:hAnsi="David" w:cs="David"/>
          <w:sz w:val="24"/>
          <w:szCs w:val="24"/>
          <w:rtl/>
        </w:rPr>
      </w:pPr>
      <w:r w:rsidRPr="004A5120">
        <w:rPr>
          <w:rFonts w:ascii="David" w:hAnsi="David" w:cs="David" w:hint="cs"/>
          <w:sz w:val="24"/>
          <w:szCs w:val="24"/>
          <w:rtl/>
        </w:rPr>
        <w:t xml:space="preserve">התפתחות בדין עשיית מלחמה בשבת. מוזכר כי הלכה קדומה הקובעת כי אסור להילחם בשבת, גרמה לאויביי ישראל להשתמש בזה נגדם ולתקוף דווקא בשבת. מספרי מקבים למדים שבימי מתתיהו </w:t>
      </w:r>
      <w:r w:rsidR="00065DE0" w:rsidRPr="004A5120">
        <w:rPr>
          <w:rFonts w:ascii="David" w:hAnsi="David" w:cs="David" w:hint="cs"/>
          <w:sz w:val="24"/>
          <w:szCs w:val="24"/>
          <w:rtl/>
        </w:rPr>
        <w:t>והחשמונאים</w:t>
      </w:r>
      <w:r w:rsidRPr="004A5120">
        <w:rPr>
          <w:rFonts w:ascii="David" w:hAnsi="David" w:cs="David" w:hint="cs"/>
          <w:sz w:val="24"/>
          <w:szCs w:val="24"/>
          <w:rtl/>
        </w:rPr>
        <w:t xml:space="preserve">, למרות שמיענו לעשות כן, בחרו היהודים להגן על עצמם גם בשבת. מאז ועד היום זה הנוהג. </w:t>
      </w:r>
    </w:p>
    <w:p w14:paraId="4C5C2DFD" w14:textId="3E7CA192" w:rsidR="00C65D60" w:rsidRPr="004A5120" w:rsidRDefault="00C65D60" w:rsidP="00C65D60">
      <w:pPr>
        <w:pStyle w:val="a3"/>
        <w:spacing w:after="0"/>
        <w:jc w:val="both"/>
        <w:rPr>
          <w:rFonts w:ascii="David" w:hAnsi="David" w:cs="David"/>
          <w:sz w:val="24"/>
          <w:szCs w:val="24"/>
          <w:rtl/>
        </w:rPr>
      </w:pPr>
      <w:r w:rsidRPr="004A5120">
        <w:rPr>
          <w:rFonts w:ascii="David" w:hAnsi="David" w:cs="David" w:hint="cs"/>
          <w:sz w:val="24"/>
          <w:szCs w:val="24"/>
          <w:rtl/>
        </w:rPr>
        <w:t xml:space="preserve">בתוספתא </w:t>
      </w:r>
      <w:r w:rsidRPr="004A5120">
        <w:rPr>
          <w:rFonts w:ascii="David" w:hAnsi="David" w:cs="David"/>
          <w:sz w:val="24"/>
          <w:szCs w:val="24"/>
          <w:rtl/>
        </w:rPr>
        <w:t>–</w:t>
      </w:r>
      <w:r w:rsidRPr="004A5120">
        <w:rPr>
          <w:rFonts w:ascii="David" w:hAnsi="David" w:cs="David" w:hint="cs"/>
          <w:sz w:val="24"/>
          <w:szCs w:val="24"/>
          <w:rtl/>
        </w:rPr>
        <w:t xml:space="preserve"> אין להתחיל מלחמת רשות שלושה ימים לפני שבת, אך מהרגע שהתחילה מלחמה, אין להפסיק, גם בשבת.</w:t>
      </w:r>
    </w:p>
    <w:p w14:paraId="4E4F424B" w14:textId="717BD7A7" w:rsidR="00C65D60" w:rsidRPr="004A5120" w:rsidRDefault="00C65D60" w:rsidP="001A492B">
      <w:pPr>
        <w:pStyle w:val="a3"/>
        <w:numPr>
          <w:ilvl w:val="0"/>
          <w:numId w:val="14"/>
        </w:numPr>
        <w:spacing w:after="0"/>
        <w:jc w:val="both"/>
        <w:rPr>
          <w:rFonts w:ascii="David" w:hAnsi="David" w:cs="David"/>
          <w:sz w:val="24"/>
          <w:szCs w:val="24"/>
        </w:rPr>
      </w:pPr>
      <w:r w:rsidRPr="004A5120">
        <w:rPr>
          <w:rFonts w:ascii="David" w:hAnsi="David" w:cs="David" w:hint="cs"/>
          <w:sz w:val="24"/>
          <w:szCs w:val="24"/>
          <w:rtl/>
        </w:rPr>
        <w:t xml:space="preserve">איגרת אריסטאס </w:t>
      </w:r>
      <w:r w:rsidRPr="004A5120">
        <w:rPr>
          <w:rFonts w:ascii="David" w:hAnsi="David" w:cs="David"/>
          <w:sz w:val="24"/>
          <w:szCs w:val="24"/>
          <w:rtl/>
        </w:rPr>
        <w:t>–</w:t>
      </w:r>
      <w:r w:rsidRPr="004A5120">
        <w:rPr>
          <w:rFonts w:ascii="David" w:hAnsi="David" w:cs="David" w:hint="cs"/>
          <w:sz w:val="24"/>
          <w:szCs w:val="24"/>
          <w:rtl/>
        </w:rPr>
        <w:t xml:space="preserve"> </w:t>
      </w:r>
    </w:p>
    <w:p w14:paraId="4EE109C0" w14:textId="6562C3ED" w:rsidR="00C65D60" w:rsidRPr="004A5120" w:rsidRDefault="00C65D60" w:rsidP="00C65D60">
      <w:pPr>
        <w:pStyle w:val="a3"/>
        <w:spacing w:after="0"/>
        <w:jc w:val="both"/>
        <w:rPr>
          <w:rFonts w:ascii="David" w:hAnsi="David" w:cs="David"/>
          <w:sz w:val="24"/>
          <w:szCs w:val="24"/>
          <w:rtl/>
        </w:rPr>
      </w:pPr>
      <w:r w:rsidRPr="004A5120">
        <w:rPr>
          <w:rFonts w:ascii="David" w:hAnsi="David" w:cs="David" w:hint="cs"/>
          <w:sz w:val="24"/>
          <w:szCs w:val="24"/>
          <w:rtl/>
        </w:rPr>
        <w:t>מתארת את התהוות תרגום השבעים. מזכירה מצוות מזוזה ותפילין</w:t>
      </w:r>
      <w:r w:rsidR="005176B0" w:rsidRPr="004A5120">
        <w:rPr>
          <w:rFonts w:ascii="David" w:hAnsi="David" w:cs="David" w:hint="cs"/>
          <w:sz w:val="24"/>
          <w:szCs w:val="24"/>
          <w:rtl/>
        </w:rPr>
        <w:t>, תיאור תואם להלכה.</w:t>
      </w:r>
    </w:p>
    <w:p w14:paraId="252AC88D" w14:textId="38978329" w:rsidR="005176B0" w:rsidRPr="004A5120" w:rsidRDefault="005176B0" w:rsidP="00C65D60">
      <w:pPr>
        <w:spacing w:after="0"/>
        <w:jc w:val="both"/>
        <w:rPr>
          <w:rFonts w:ascii="David" w:hAnsi="David" w:cs="David"/>
          <w:sz w:val="24"/>
          <w:szCs w:val="24"/>
          <w:rtl/>
        </w:rPr>
      </w:pPr>
    </w:p>
    <w:p w14:paraId="278F7B5D" w14:textId="3A9EF072" w:rsidR="005176B0" w:rsidRPr="004A5120" w:rsidRDefault="005176B0" w:rsidP="00C65D60">
      <w:pPr>
        <w:spacing w:after="0"/>
        <w:jc w:val="both"/>
        <w:rPr>
          <w:rFonts w:ascii="David" w:hAnsi="David" w:cs="David"/>
          <w:sz w:val="24"/>
          <w:szCs w:val="24"/>
          <w:rtl/>
        </w:rPr>
      </w:pPr>
      <w:r w:rsidRPr="004A5120">
        <w:rPr>
          <w:rFonts w:ascii="David" w:hAnsi="David" w:cs="David" w:hint="cs"/>
          <w:sz w:val="24"/>
          <w:szCs w:val="24"/>
          <w:rtl/>
        </w:rPr>
        <w:t>סיכום המאמר:</w:t>
      </w:r>
    </w:p>
    <w:p w14:paraId="7E7B0FE4" w14:textId="244B6E3B" w:rsidR="005176B0" w:rsidRPr="004A5120" w:rsidRDefault="005176B0" w:rsidP="00C65D60">
      <w:pPr>
        <w:spacing w:after="0"/>
        <w:jc w:val="both"/>
        <w:rPr>
          <w:rFonts w:ascii="David" w:hAnsi="David" w:cs="David"/>
          <w:sz w:val="24"/>
          <w:szCs w:val="24"/>
          <w:rtl/>
        </w:rPr>
      </w:pPr>
      <w:r w:rsidRPr="004A5120">
        <w:rPr>
          <w:rFonts w:ascii="David" w:hAnsi="David" w:cs="David" w:hint="cs"/>
          <w:sz w:val="24"/>
          <w:szCs w:val="24"/>
          <w:rtl/>
        </w:rPr>
        <w:t xml:space="preserve">מסקירת הספרות המשפטית מימי עזרא ונחמיה ועד תקופת התנאים, ניתן ללמוד כי לעתים ההלכה בספרות תואמת את ההלכה בספרות התלמודית, אך לעתים סותרת אותה. ישנם מצבים בהם זו מהווה שלב בדרך של התפתחות הלכתית או מהווה דעה מסוימת בתוך שלל דעות. בזמן סקירת הספרות הזו יש לנהוג במשנה זהירות, היא לוקה בחוסר אמינות, כן שאינה בהכרח מייצגת את ההלכה הנהוגה בפועל </w:t>
      </w:r>
      <w:r w:rsidR="004C38CC" w:rsidRPr="004A5120">
        <w:rPr>
          <w:rFonts w:ascii="David" w:hAnsi="David" w:cs="David" w:hint="cs"/>
          <w:sz w:val="24"/>
          <w:szCs w:val="24"/>
          <w:rtl/>
        </w:rPr>
        <w:t>ויש</w:t>
      </w:r>
      <w:r w:rsidRPr="004A5120">
        <w:rPr>
          <w:rFonts w:ascii="David" w:hAnsi="David" w:cs="David" w:hint="cs"/>
          <w:sz w:val="24"/>
          <w:szCs w:val="24"/>
          <w:rtl/>
        </w:rPr>
        <w:t xml:space="preserve"> </w:t>
      </w:r>
      <w:r w:rsidR="004C38CC" w:rsidRPr="004A5120">
        <w:rPr>
          <w:rFonts w:ascii="David" w:hAnsi="David" w:cs="David" w:hint="cs"/>
          <w:sz w:val="24"/>
          <w:szCs w:val="24"/>
          <w:rtl/>
        </w:rPr>
        <w:t>ש</w:t>
      </w:r>
      <w:r w:rsidRPr="004A5120">
        <w:rPr>
          <w:rFonts w:ascii="David" w:hAnsi="David" w:cs="David" w:hint="cs"/>
          <w:sz w:val="24"/>
          <w:szCs w:val="24"/>
          <w:rtl/>
        </w:rPr>
        <w:t xml:space="preserve">הוכנסו </w:t>
      </w:r>
      <w:r w:rsidR="004C38CC" w:rsidRPr="004A5120">
        <w:rPr>
          <w:rFonts w:ascii="David" w:hAnsi="David" w:cs="David" w:hint="cs"/>
          <w:sz w:val="24"/>
          <w:szCs w:val="24"/>
          <w:rtl/>
        </w:rPr>
        <w:t xml:space="preserve">בה </w:t>
      </w:r>
      <w:r w:rsidRPr="004A5120">
        <w:rPr>
          <w:rFonts w:ascii="David" w:hAnsi="David" w:cs="David" w:hint="cs"/>
          <w:sz w:val="24"/>
          <w:szCs w:val="24"/>
          <w:rtl/>
        </w:rPr>
        <w:t>יסודות משפט זרי</w:t>
      </w:r>
      <w:r w:rsidR="004C38CC" w:rsidRPr="004A5120">
        <w:rPr>
          <w:rFonts w:ascii="David" w:hAnsi="David" w:cs="David" w:hint="cs"/>
          <w:sz w:val="24"/>
          <w:szCs w:val="24"/>
          <w:rtl/>
        </w:rPr>
        <w:t>ם.</w:t>
      </w:r>
      <w:r w:rsidRPr="004A5120">
        <w:rPr>
          <w:rFonts w:ascii="David" w:hAnsi="David" w:cs="David" w:hint="cs"/>
          <w:sz w:val="24"/>
          <w:szCs w:val="24"/>
          <w:rtl/>
        </w:rPr>
        <w:t xml:space="preserve"> </w:t>
      </w:r>
    </w:p>
    <w:p w14:paraId="7CD0A2B3" w14:textId="6AFEA1FD" w:rsidR="004C38CC" w:rsidRPr="004A5120" w:rsidRDefault="004C38CC" w:rsidP="00C65D60">
      <w:pPr>
        <w:spacing w:after="0"/>
        <w:jc w:val="both"/>
        <w:rPr>
          <w:rFonts w:ascii="David" w:hAnsi="David" w:cs="David"/>
          <w:sz w:val="24"/>
          <w:szCs w:val="24"/>
          <w:rtl/>
        </w:rPr>
      </w:pPr>
    </w:p>
    <w:p w14:paraId="45995594" w14:textId="412A6AB9" w:rsidR="004C38CC" w:rsidRPr="004A5120" w:rsidRDefault="009D77FF" w:rsidP="00C65D60">
      <w:pPr>
        <w:spacing w:after="0"/>
        <w:jc w:val="both"/>
        <w:rPr>
          <w:rFonts w:ascii="David" w:hAnsi="David" w:cs="David"/>
          <w:b/>
          <w:bCs/>
          <w:sz w:val="24"/>
          <w:szCs w:val="24"/>
          <w:u w:val="single"/>
          <w:rtl/>
        </w:rPr>
      </w:pPr>
      <w:r w:rsidRPr="004A5120">
        <w:rPr>
          <w:rFonts w:ascii="David" w:hAnsi="David" w:cs="David" w:hint="cs"/>
          <w:b/>
          <w:bCs/>
          <w:sz w:val="24"/>
          <w:szCs w:val="24"/>
          <w:u w:val="single"/>
          <w:rtl/>
        </w:rPr>
        <w:t>מאמר 2:</w:t>
      </w:r>
    </w:p>
    <w:p w14:paraId="134D095C" w14:textId="0D6CD336" w:rsidR="009D77FF" w:rsidRPr="004A5120" w:rsidRDefault="009D77FF" w:rsidP="00C65D60">
      <w:pPr>
        <w:spacing w:after="0"/>
        <w:jc w:val="both"/>
        <w:rPr>
          <w:rFonts w:ascii="David" w:hAnsi="David" w:cs="David"/>
          <w:b/>
          <w:bCs/>
          <w:sz w:val="24"/>
          <w:szCs w:val="24"/>
          <w:u w:val="single"/>
          <w:rtl/>
        </w:rPr>
      </w:pPr>
    </w:p>
    <w:p w14:paraId="22EF685B" w14:textId="43EE699E" w:rsidR="009D77FF" w:rsidRPr="004A5120" w:rsidRDefault="009D77FF" w:rsidP="00C65D60">
      <w:pPr>
        <w:spacing w:after="0"/>
        <w:jc w:val="both"/>
        <w:rPr>
          <w:rFonts w:ascii="David" w:hAnsi="David" w:cs="David"/>
          <w:b/>
          <w:bCs/>
          <w:sz w:val="24"/>
          <w:szCs w:val="24"/>
          <w:u w:val="single"/>
          <w:rtl/>
        </w:rPr>
      </w:pPr>
      <w:r w:rsidRPr="004A5120">
        <w:rPr>
          <w:rFonts w:ascii="David" w:hAnsi="David" w:cs="David" w:hint="cs"/>
          <w:b/>
          <w:bCs/>
          <w:sz w:val="24"/>
          <w:szCs w:val="24"/>
          <w:u w:val="single"/>
          <w:rtl/>
        </w:rPr>
        <w:t>קובצי מדרשי ההלכה:</w:t>
      </w:r>
    </w:p>
    <w:p w14:paraId="646C4637" w14:textId="189606D0" w:rsidR="008A166F" w:rsidRPr="004A5120" w:rsidRDefault="009D77FF" w:rsidP="008A166F">
      <w:pPr>
        <w:spacing w:after="0"/>
        <w:jc w:val="both"/>
        <w:rPr>
          <w:rFonts w:ascii="David" w:hAnsi="David" w:cs="David"/>
          <w:sz w:val="24"/>
          <w:szCs w:val="24"/>
          <w:rtl/>
        </w:rPr>
      </w:pPr>
      <w:r w:rsidRPr="004A5120">
        <w:rPr>
          <w:rFonts w:ascii="David" w:hAnsi="David" w:cs="David" w:hint="cs"/>
          <w:sz w:val="24"/>
          <w:szCs w:val="24"/>
          <w:rtl/>
        </w:rPr>
        <w:t xml:space="preserve">בתקופה קדומה, נהגו חכמים לשלב בהלכות פסוקים מהתורה, על מנת ללמד את העם. דרך זו נקראה "המדרש" והיו לה שני יתרונות: 1. </w:t>
      </w:r>
      <w:r w:rsidR="008A166F" w:rsidRPr="004A5120">
        <w:rPr>
          <w:rFonts w:ascii="David" w:hAnsi="David" w:cs="David" w:hint="cs"/>
          <w:sz w:val="24"/>
          <w:szCs w:val="24"/>
          <w:rtl/>
        </w:rPr>
        <w:t>המקור של חלק מההלכות היה הפסוקים, לכן נלמדו ביחד. 2. יותר קל לזכור בעל פה. הסיבה השנייה הביאה את החכמים לשלב בפסוקים גם הלכות שלא נלמדו מהמדרש, אלא ממקורות אחרים. דרך זו הייתה רלוונטית בערך עד תקופת האמוראים.</w:t>
      </w:r>
    </w:p>
    <w:p w14:paraId="4E9012CF" w14:textId="082E605A" w:rsidR="008A166F" w:rsidRPr="004A5120" w:rsidRDefault="008A166F" w:rsidP="008A166F">
      <w:pPr>
        <w:spacing w:after="0"/>
        <w:jc w:val="both"/>
        <w:rPr>
          <w:rFonts w:ascii="David" w:hAnsi="David" w:cs="David"/>
          <w:sz w:val="24"/>
          <w:szCs w:val="24"/>
          <w:rtl/>
        </w:rPr>
      </w:pPr>
    </w:p>
    <w:p w14:paraId="7633054E" w14:textId="3AF6E097" w:rsidR="008A166F" w:rsidRPr="004A5120" w:rsidRDefault="008A166F" w:rsidP="008A166F">
      <w:pPr>
        <w:spacing w:after="0"/>
        <w:jc w:val="both"/>
        <w:rPr>
          <w:rFonts w:ascii="David" w:hAnsi="David" w:cs="David"/>
          <w:sz w:val="24"/>
          <w:szCs w:val="24"/>
          <w:rtl/>
        </w:rPr>
      </w:pPr>
      <w:r w:rsidRPr="004A5120">
        <w:rPr>
          <w:rFonts w:ascii="David" w:hAnsi="David" w:cs="David" w:hint="cs"/>
          <w:sz w:val="24"/>
          <w:szCs w:val="24"/>
          <w:rtl/>
        </w:rPr>
        <w:t xml:space="preserve">נקודת המפנה הייתה בימיהם של ר' עקיבא ורק ישמעאל, שיצרו שני בתי מדרש בעלי אסכולות שונות. </w:t>
      </w:r>
      <w:r w:rsidR="00AD782B" w:rsidRPr="004A5120">
        <w:rPr>
          <w:rFonts w:ascii="David" w:hAnsi="David" w:cs="David" w:hint="cs"/>
          <w:sz w:val="24"/>
          <w:szCs w:val="24"/>
          <w:rtl/>
        </w:rPr>
        <w:t>משני בתי מדרש נולדו מדרשי ההלכה - קבצים המכילים הלכות שנלמדו בדרך מדרש.</w:t>
      </w:r>
    </w:p>
    <w:p w14:paraId="2C12C232" w14:textId="66B0BAA0" w:rsidR="00AD782B" w:rsidRPr="004A5120" w:rsidRDefault="00AD782B" w:rsidP="008A166F">
      <w:pPr>
        <w:spacing w:after="0"/>
        <w:jc w:val="both"/>
        <w:rPr>
          <w:rFonts w:ascii="David" w:hAnsi="David" w:cs="David"/>
          <w:sz w:val="24"/>
          <w:szCs w:val="24"/>
          <w:rtl/>
        </w:rPr>
      </w:pPr>
    </w:p>
    <w:p w14:paraId="24F46A63" w14:textId="66CB6C7E" w:rsidR="00AD782B" w:rsidRPr="004A5120" w:rsidRDefault="00AD782B" w:rsidP="008A166F">
      <w:pPr>
        <w:spacing w:after="0"/>
        <w:jc w:val="both"/>
        <w:rPr>
          <w:rFonts w:ascii="David" w:hAnsi="David" w:cs="David"/>
          <w:b/>
          <w:bCs/>
          <w:sz w:val="24"/>
          <w:szCs w:val="24"/>
          <w:rtl/>
        </w:rPr>
      </w:pPr>
      <w:r w:rsidRPr="004A5120">
        <w:rPr>
          <w:rFonts w:ascii="David" w:hAnsi="David" w:cs="David" w:hint="cs"/>
          <w:b/>
          <w:bCs/>
          <w:sz w:val="24"/>
          <w:szCs w:val="24"/>
          <w:rtl/>
        </w:rPr>
        <w:t xml:space="preserve">               בית מדרשו של רבי ישמעאל                                                בית מדרשו של ר' עקיבא</w:t>
      </w:r>
    </w:p>
    <w:p w14:paraId="63A6A05D" w14:textId="0A6300EE" w:rsidR="00AD782B" w:rsidRPr="004A5120" w:rsidRDefault="00AD782B" w:rsidP="008A166F">
      <w:pPr>
        <w:spacing w:after="0"/>
        <w:jc w:val="both"/>
        <w:rPr>
          <w:rFonts w:ascii="David" w:hAnsi="David" w:cs="David"/>
          <w:sz w:val="24"/>
          <w:szCs w:val="24"/>
          <w:rtl/>
        </w:rPr>
      </w:pPr>
    </w:p>
    <w:p w14:paraId="12523F2A" w14:textId="77777777"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w:t>
      </w:r>
    </w:p>
    <w:p w14:paraId="293C3605" w14:textId="575D2D00"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מכילתא דר' ישמעאל </w:t>
      </w:r>
      <w:r w:rsidRPr="004A5120">
        <w:rPr>
          <w:rFonts w:ascii="David" w:hAnsi="David" w:cs="David"/>
          <w:sz w:val="24"/>
          <w:szCs w:val="24"/>
          <w:rtl/>
        </w:rPr>
        <w:t>–</w:t>
      </w:r>
      <w:r w:rsidRPr="004A5120">
        <w:rPr>
          <w:rFonts w:ascii="David" w:hAnsi="David" w:cs="David" w:hint="cs"/>
          <w:sz w:val="24"/>
          <w:szCs w:val="24"/>
          <w:rtl/>
        </w:rPr>
        <w:t xml:space="preserve"> מדרש הלכה שמות                           מכילתא דר' שמעון בר יוחאי </w:t>
      </w:r>
      <w:r w:rsidRPr="004A5120">
        <w:rPr>
          <w:rFonts w:ascii="David" w:hAnsi="David" w:cs="David"/>
          <w:sz w:val="24"/>
          <w:szCs w:val="24"/>
          <w:rtl/>
        </w:rPr>
        <w:t>–</w:t>
      </w:r>
      <w:r w:rsidRPr="004A5120">
        <w:rPr>
          <w:rFonts w:ascii="David" w:hAnsi="David" w:cs="David" w:hint="cs"/>
          <w:sz w:val="24"/>
          <w:szCs w:val="24"/>
          <w:rtl/>
        </w:rPr>
        <w:t xml:space="preserve"> שמות</w:t>
      </w:r>
    </w:p>
    <w:p w14:paraId="107E2A64" w14:textId="2C944D37" w:rsidR="00AD782B" w:rsidRPr="004A5120" w:rsidRDefault="00E0079E" w:rsidP="008A166F">
      <w:pPr>
        <w:spacing w:after="0"/>
        <w:jc w:val="both"/>
        <w:rPr>
          <w:rFonts w:ascii="David" w:hAnsi="David" w:cs="David"/>
          <w:sz w:val="24"/>
          <w:szCs w:val="24"/>
          <w:rtl/>
        </w:rPr>
      </w:pPr>
      <w:r w:rsidRPr="004A5120">
        <w:rPr>
          <w:rFonts w:ascii="David" w:hAnsi="David" w:cs="David"/>
          <w:noProof/>
          <w:sz w:val="24"/>
          <w:szCs w:val="24"/>
          <w:rtl/>
          <w:lang w:val="he-IL"/>
        </w:rPr>
        <mc:AlternateContent>
          <mc:Choice Requires="wps">
            <w:drawing>
              <wp:anchor distT="0" distB="0" distL="114300" distR="114300" simplePos="0" relativeHeight="251679744" behindDoc="0" locked="0" layoutInCell="1" allowOverlap="1" wp14:anchorId="5A6D82CA" wp14:editId="2DECE5C4">
                <wp:simplePos x="0" y="0"/>
                <wp:positionH relativeFrom="column">
                  <wp:posOffset>983663</wp:posOffset>
                </wp:positionH>
                <wp:positionV relativeFrom="paragraph">
                  <wp:posOffset>7034</wp:posOffset>
                </wp:positionV>
                <wp:extent cx="0" cy="239151"/>
                <wp:effectExtent l="76200" t="0" r="57150" b="66040"/>
                <wp:wrapNone/>
                <wp:docPr id="12" name="מחבר חץ ישר 12"/>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21553D" id="_x0000_t32" coordsize="21600,21600" o:spt="32" o:oned="t" path="m,l21600,21600e" filled="f">
                <v:path arrowok="t" fillok="f" o:connecttype="none"/>
                <o:lock v:ext="edit" shapetype="t"/>
              </v:shapetype>
              <v:shape id="מחבר חץ ישר 12" o:spid="_x0000_s1026" type="#_x0000_t32" style="position:absolute;left:0;text-align:left;margin-left:77.45pt;margin-top:.55pt;width:0;height:18.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" strokecolor="#4472c4 [3204]" strokeweight=".5pt">
                <v:stroke endarrow="block" joinstyle="miter"/>
              </v:shape>
            </w:pict>
          </mc:Fallback>
        </mc:AlternateContent>
      </w:r>
      <w:r w:rsidR="00D97B45" w:rsidRPr="004A5120">
        <w:rPr>
          <w:rFonts w:ascii="David" w:hAnsi="David" w:cs="David"/>
          <w:noProof/>
          <w:sz w:val="24"/>
          <w:szCs w:val="24"/>
          <w:rtl/>
          <w:lang w:val="he-IL"/>
        </w:rPr>
        <mc:AlternateContent>
          <mc:Choice Requires="wps">
            <w:drawing>
              <wp:anchor distT="0" distB="0" distL="114300" distR="114300" simplePos="0" relativeHeight="251673600" behindDoc="0" locked="0" layoutInCell="1" allowOverlap="1" wp14:anchorId="58D59B60" wp14:editId="4C6730A5">
                <wp:simplePos x="0" y="0"/>
                <wp:positionH relativeFrom="column">
                  <wp:posOffset>4012809</wp:posOffset>
                </wp:positionH>
                <wp:positionV relativeFrom="paragraph">
                  <wp:posOffset>90170</wp:posOffset>
                </wp:positionV>
                <wp:extent cx="0" cy="239151"/>
                <wp:effectExtent l="76200" t="0" r="57150" b="66040"/>
                <wp:wrapNone/>
                <wp:docPr id="6" name="מחבר חץ ישר 6"/>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B7427A" id="מחבר חץ ישר 6" o:spid="_x0000_s1026" type="#_x0000_t32" style="position:absolute;left:0;text-align:left;margin-left:315.95pt;margin-top:7.1pt;width:0;height:18.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" strokecolor="#4472c4 [3204]" strokeweight=".5pt">
                <v:stroke endarrow="block" joinstyle="miter"/>
              </v:shape>
            </w:pict>
          </mc:Fallback>
        </mc:AlternateContent>
      </w:r>
    </w:p>
    <w:p w14:paraId="7D6227B9" w14:textId="159CED86" w:rsidR="00AD782B" w:rsidRPr="004A5120" w:rsidRDefault="00AD782B" w:rsidP="008A166F">
      <w:pPr>
        <w:spacing w:after="0"/>
        <w:jc w:val="both"/>
        <w:rPr>
          <w:rFonts w:ascii="David" w:hAnsi="David" w:cs="David"/>
          <w:sz w:val="24"/>
          <w:szCs w:val="24"/>
          <w:rtl/>
        </w:rPr>
      </w:pPr>
    </w:p>
    <w:p w14:paraId="7495E724" w14:textId="13C9BE14"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ספרי </w:t>
      </w:r>
      <w:r w:rsidRPr="004A5120">
        <w:rPr>
          <w:rFonts w:ascii="David" w:hAnsi="David" w:cs="David"/>
          <w:sz w:val="24"/>
          <w:szCs w:val="24"/>
          <w:rtl/>
        </w:rPr>
        <w:t>–</w:t>
      </w:r>
      <w:r w:rsidRPr="004A5120">
        <w:rPr>
          <w:rFonts w:ascii="David" w:hAnsi="David" w:cs="David" w:hint="cs"/>
          <w:sz w:val="24"/>
          <w:szCs w:val="24"/>
          <w:rtl/>
        </w:rPr>
        <w:t xml:space="preserve"> מדרש הלכה במדבר                                      ספרא (תורת כהנים) </w:t>
      </w:r>
      <w:r w:rsidRPr="004A5120">
        <w:rPr>
          <w:rFonts w:ascii="David" w:hAnsi="David" w:cs="David"/>
          <w:sz w:val="24"/>
          <w:szCs w:val="24"/>
          <w:rtl/>
        </w:rPr>
        <w:t>–</w:t>
      </w:r>
      <w:r w:rsidRPr="004A5120">
        <w:rPr>
          <w:rFonts w:ascii="David" w:hAnsi="David" w:cs="David" w:hint="cs"/>
          <w:sz w:val="24"/>
          <w:szCs w:val="24"/>
          <w:rtl/>
        </w:rPr>
        <w:t xml:space="preserve"> על ספר ויקרא</w:t>
      </w:r>
    </w:p>
    <w:p w14:paraId="38669E53" w14:textId="7DB09D4E" w:rsidR="00AD782B" w:rsidRPr="004A5120" w:rsidRDefault="00E0079E" w:rsidP="008A166F">
      <w:pPr>
        <w:spacing w:after="0"/>
        <w:jc w:val="both"/>
        <w:rPr>
          <w:rFonts w:ascii="David" w:hAnsi="David" w:cs="David"/>
          <w:sz w:val="24"/>
          <w:szCs w:val="24"/>
          <w:rtl/>
        </w:rPr>
      </w:pPr>
      <w:r w:rsidRPr="004A5120">
        <w:rPr>
          <w:rFonts w:ascii="David" w:hAnsi="David" w:cs="David"/>
          <w:noProof/>
          <w:sz w:val="24"/>
          <w:szCs w:val="24"/>
          <w:rtl/>
          <w:lang w:val="he-IL"/>
        </w:rPr>
        <mc:AlternateContent>
          <mc:Choice Requires="wps">
            <w:drawing>
              <wp:anchor distT="0" distB="0" distL="114300" distR="114300" simplePos="0" relativeHeight="251681792" behindDoc="0" locked="0" layoutInCell="1" allowOverlap="1" wp14:anchorId="0951432F" wp14:editId="53BC75A8">
                <wp:simplePos x="0" y="0"/>
                <wp:positionH relativeFrom="column">
                  <wp:posOffset>983664</wp:posOffset>
                </wp:positionH>
                <wp:positionV relativeFrom="paragraph">
                  <wp:posOffset>62523</wp:posOffset>
                </wp:positionV>
                <wp:extent cx="0" cy="239151"/>
                <wp:effectExtent l="76200" t="0" r="57150" b="66040"/>
                <wp:wrapNone/>
                <wp:docPr id="13" name="מחבר חץ ישר 13"/>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6947B" id="מחבר חץ ישר 13" o:spid="_x0000_s1026" type="#_x0000_t32" style="position:absolute;left:0;text-align:left;margin-left:77.45pt;margin-top:4.9pt;width:0;height:18.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" strokecolor="#4472c4 [3204]" strokeweight=".5pt">
                <v:stroke endarrow="block" joinstyle="miter"/>
              </v:shape>
            </w:pict>
          </mc:Fallback>
        </mc:AlternateContent>
      </w:r>
      <w:r w:rsidRPr="004A5120">
        <w:rPr>
          <w:rFonts w:ascii="David" w:hAnsi="David" w:cs="David"/>
          <w:noProof/>
          <w:sz w:val="24"/>
          <w:szCs w:val="24"/>
          <w:rtl/>
          <w:lang w:val="he-IL"/>
        </w:rPr>
        <mc:AlternateContent>
          <mc:Choice Requires="wps">
            <w:drawing>
              <wp:anchor distT="0" distB="0" distL="114300" distR="114300" simplePos="0" relativeHeight="251675648" behindDoc="0" locked="0" layoutInCell="1" allowOverlap="1" wp14:anchorId="3A2635F2" wp14:editId="057ED235">
                <wp:simplePos x="0" y="0"/>
                <wp:positionH relativeFrom="column">
                  <wp:posOffset>4021064</wp:posOffset>
                </wp:positionH>
                <wp:positionV relativeFrom="paragraph">
                  <wp:posOffset>55245</wp:posOffset>
                </wp:positionV>
                <wp:extent cx="0" cy="239151"/>
                <wp:effectExtent l="76200" t="0" r="57150" b="66040"/>
                <wp:wrapNone/>
                <wp:docPr id="10" name="מחבר חץ ישר 10"/>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956F1A" id="מחבר חץ ישר 10" o:spid="_x0000_s1026" type="#_x0000_t32" style="position:absolute;left:0;text-align:left;margin-left:316.6pt;margin-top:4.35pt;width:0;height:18.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" strokecolor="#4472c4 [3204]" strokeweight=".5pt">
                <v:stroke endarrow="block" joinstyle="miter"/>
              </v:shape>
            </w:pict>
          </mc:Fallback>
        </mc:AlternateContent>
      </w:r>
    </w:p>
    <w:p w14:paraId="2E130C78" w14:textId="4029A4ED"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w:t>
      </w:r>
    </w:p>
    <w:p w14:paraId="292E2687" w14:textId="58A97746"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ספרי </w:t>
      </w:r>
      <w:r w:rsidRPr="004A5120">
        <w:rPr>
          <w:rFonts w:ascii="David" w:hAnsi="David" w:cs="David"/>
          <w:sz w:val="24"/>
          <w:szCs w:val="24"/>
          <w:rtl/>
        </w:rPr>
        <w:t>–</w:t>
      </w:r>
      <w:r w:rsidRPr="004A5120">
        <w:rPr>
          <w:rFonts w:ascii="David" w:hAnsi="David" w:cs="David" w:hint="cs"/>
          <w:sz w:val="24"/>
          <w:szCs w:val="24"/>
          <w:rtl/>
        </w:rPr>
        <w:t xml:space="preserve"> מדרש הלכה דברים (עד פרשת ראה)                               ספרי זוטא </w:t>
      </w:r>
      <w:r w:rsidRPr="004A5120">
        <w:rPr>
          <w:rFonts w:ascii="David" w:hAnsi="David" w:cs="David"/>
          <w:sz w:val="24"/>
          <w:szCs w:val="24"/>
          <w:rtl/>
        </w:rPr>
        <w:t>–</w:t>
      </w:r>
      <w:r w:rsidRPr="004A5120">
        <w:rPr>
          <w:rFonts w:ascii="David" w:hAnsi="David" w:cs="David" w:hint="cs"/>
          <w:sz w:val="24"/>
          <w:szCs w:val="24"/>
          <w:rtl/>
        </w:rPr>
        <w:t xml:space="preserve"> על ספר במדבר</w:t>
      </w:r>
    </w:p>
    <w:p w14:paraId="1FF92F56" w14:textId="3D8DC34F" w:rsidR="00AD782B" w:rsidRPr="004A5120" w:rsidRDefault="00E0079E" w:rsidP="008A166F">
      <w:pPr>
        <w:spacing w:after="0"/>
        <w:jc w:val="both"/>
        <w:rPr>
          <w:rFonts w:ascii="David" w:hAnsi="David" w:cs="David"/>
          <w:sz w:val="24"/>
          <w:szCs w:val="24"/>
          <w:rtl/>
        </w:rPr>
      </w:pPr>
      <w:r w:rsidRPr="004A5120">
        <w:rPr>
          <w:rFonts w:ascii="David" w:hAnsi="David" w:cs="David"/>
          <w:noProof/>
          <w:sz w:val="24"/>
          <w:szCs w:val="24"/>
          <w:rtl/>
          <w:lang w:val="he-IL"/>
        </w:rPr>
        <mc:AlternateContent>
          <mc:Choice Requires="wps">
            <w:drawing>
              <wp:anchor distT="0" distB="0" distL="114300" distR="114300" simplePos="0" relativeHeight="251683840" behindDoc="0" locked="0" layoutInCell="1" allowOverlap="1" wp14:anchorId="1B475070" wp14:editId="063388C2">
                <wp:simplePos x="0" y="0"/>
                <wp:positionH relativeFrom="column">
                  <wp:posOffset>997731</wp:posOffset>
                </wp:positionH>
                <wp:positionV relativeFrom="paragraph">
                  <wp:posOffset>55684</wp:posOffset>
                </wp:positionV>
                <wp:extent cx="0" cy="239151"/>
                <wp:effectExtent l="76200" t="0" r="57150" b="66040"/>
                <wp:wrapNone/>
                <wp:docPr id="14" name="מחבר חץ ישר 14"/>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A9E9F" id="מחבר חץ ישר 14" o:spid="_x0000_s1026" type="#_x0000_t32" style="position:absolute;left:0;text-align:left;margin-left:78.55pt;margin-top:4.4pt;width:0;height:18.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" strokecolor="#4472c4 [3204]" strokeweight=".5pt">
                <v:stroke endarrow="block" joinstyle="miter"/>
              </v:shape>
            </w:pict>
          </mc:Fallback>
        </mc:AlternateContent>
      </w:r>
      <w:r w:rsidRPr="004A5120">
        <w:rPr>
          <w:rFonts w:ascii="David" w:hAnsi="David" w:cs="David"/>
          <w:noProof/>
          <w:sz w:val="24"/>
          <w:szCs w:val="24"/>
          <w:rtl/>
          <w:lang w:val="he-IL"/>
        </w:rPr>
        <mc:AlternateContent>
          <mc:Choice Requires="wps">
            <w:drawing>
              <wp:anchor distT="0" distB="0" distL="114300" distR="114300" simplePos="0" relativeHeight="251677696" behindDoc="0" locked="0" layoutInCell="1" allowOverlap="1" wp14:anchorId="226F242B" wp14:editId="5BAA7079">
                <wp:simplePos x="0" y="0"/>
                <wp:positionH relativeFrom="column">
                  <wp:posOffset>4036353</wp:posOffset>
                </wp:positionH>
                <wp:positionV relativeFrom="paragraph">
                  <wp:posOffset>7180</wp:posOffset>
                </wp:positionV>
                <wp:extent cx="0" cy="239151"/>
                <wp:effectExtent l="76200" t="0" r="57150" b="66040"/>
                <wp:wrapNone/>
                <wp:docPr id="11" name="מחבר חץ ישר 11"/>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D44C3" id="מחבר חץ ישר 11" o:spid="_x0000_s1026" type="#_x0000_t32" style="position:absolute;left:0;text-align:left;margin-left:317.8pt;margin-top:.55pt;width:0;height:18.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" strokecolor="#4472c4 [3204]" strokeweight=".5pt">
                <v:stroke endarrow="block" joinstyle="miter"/>
              </v:shape>
            </w:pict>
          </mc:Fallback>
        </mc:AlternateContent>
      </w:r>
    </w:p>
    <w:p w14:paraId="668EC14B" w14:textId="0B2FA28B" w:rsidR="00AD782B" w:rsidRPr="004A5120" w:rsidRDefault="00AD782B" w:rsidP="008A166F">
      <w:pPr>
        <w:spacing w:after="0"/>
        <w:jc w:val="both"/>
        <w:rPr>
          <w:rFonts w:ascii="David" w:hAnsi="David" w:cs="David"/>
          <w:sz w:val="24"/>
          <w:szCs w:val="24"/>
          <w:rtl/>
        </w:rPr>
      </w:pPr>
    </w:p>
    <w:p w14:paraId="25B6BD7B" w14:textId="4B0EF0DC"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ברייתא דר' ישמעאל </w:t>
      </w:r>
      <w:r w:rsidRPr="004A5120">
        <w:rPr>
          <w:rFonts w:ascii="David" w:hAnsi="David" w:cs="David"/>
          <w:sz w:val="24"/>
          <w:szCs w:val="24"/>
          <w:rtl/>
        </w:rPr>
        <w:t>–</w:t>
      </w:r>
      <w:r w:rsidRPr="004A5120">
        <w:rPr>
          <w:rFonts w:ascii="David" w:hAnsi="David" w:cs="David" w:hint="cs"/>
          <w:sz w:val="24"/>
          <w:szCs w:val="24"/>
          <w:rtl/>
        </w:rPr>
        <w:t xml:space="preserve">                                                ספרי דברים (מפרשת ראה)</w:t>
      </w:r>
    </w:p>
    <w:p w14:paraId="61363AC9" w14:textId="52928870" w:rsidR="00AD782B" w:rsidRPr="004A5120" w:rsidRDefault="00AD782B" w:rsidP="008A166F">
      <w:pPr>
        <w:spacing w:after="0"/>
        <w:jc w:val="both"/>
        <w:rPr>
          <w:rFonts w:ascii="David" w:hAnsi="David" w:cs="David"/>
          <w:sz w:val="24"/>
          <w:szCs w:val="24"/>
          <w:rtl/>
        </w:rPr>
      </w:pPr>
      <w:r w:rsidRPr="004A5120">
        <w:rPr>
          <w:rFonts w:ascii="David" w:hAnsi="David" w:cs="David" w:hint="cs"/>
          <w:sz w:val="24"/>
          <w:szCs w:val="24"/>
          <w:rtl/>
        </w:rPr>
        <w:t xml:space="preserve">      עוסקת ב13 מידות שהתורה נדרשת בהן                     </w:t>
      </w:r>
    </w:p>
    <w:p w14:paraId="696B37C5" w14:textId="4C0BE6B0" w:rsidR="00B11574" w:rsidRPr="004A5120" w:rsidRDefault="00B11574" w:rsidP="00B11574">
      <w:pPr>
        <w:pStyle w:val="a3"/>
        <w:spacing w:after="0"/>
        <w:jc w:val="both"/>
        <w:rPr>
          <w:rFonts w:ascii="David" w:hAnsi="David" w:cs="David"/>
          <w:sz w:val="24"/>
          <w:szCs w:val="24"/>
          <w:rtl/>
        </w:rPr>
      </w:pPr>
    </w:p>
    <w:p w14:paraId="1F016586" w14:textId="2E23930D" w:rsidR="00DD1B36" w:rsidRPr="004A5120" w:rsidRDefault="007517BD" w:rsidP="009E2894">
      <w:pPr>
        <w:spacing w:after="0"/>
        <w:jc w:val="both"/>
        <w:rPr>
          <w:rFonts w:ascii="David" w:hAnsi="David" w:cs="David"/>
          <w:sz w:val="24"/>
          <w:szCs w:val="24"/>
          <w:rtl/>
        </w:rPr>
      </w:pPr>
      <w:r w:rsidRPr="004A5120">
        <w:rPr>
          <w:rFonts w:ascii="David" w:hAnsi="David" w:cs="David" w:hint="cs"/>
          <w:sz w:val="24"/>
          <w:szCs w:val="24"/>
          <w:rtl/>
        </w:rPr>
        <w:lastRenderedPageBreak/>
        <w:t>החומר ההלכתי במדרשים אלו מתייחס לתקופות שונות ולעתים קדומות מאד. עריכתם הייתה בתקופת עריכת המשנה או קצת אחריה, והיא התבצעה על ידי אנשים שונים. על ספר בראשית אין מדרש הלכה כיוון שהוא נעדר פרשיות הלכתיות.</w:t>
      </w:r>
    </w:p>
    <w:p w14:paraId="25CD14C5" w14:textId="47A28223" w:rsidR="007517BD" w:rsidRPr="004A5120" w:rsidRDefault="007517BD" w:rsidP="009E2894">
      <w:pPr>
        <w:spacing w:after="0"/>
        <w:jc w:val="both"/>
        <w:rPr>
          <w:rFonts w:ascii="David" w:hAnsi="David" w:cs="David"/>
          <w:sz w:val="24"/>
          <w:szCs w:val="24"/>
          <w:rtl/>
        </w:rPr>
      </w:pPr>
    </w:p>
    <w:p w14:paraId="406757E0" w14:textId="37C98E60" w:rsidR="007517BD" w:rsidRPr="004A5120" w:rsidRDefault="007517BD" w:rsidP="009E2894">
      <w:pPr>
        <w:spacing w:after="0"/>
        <w:jc w:val="both"/>
        <w:rPr>
          <w:rFonts w:ascii="David" w:hAnsi="David" w:cs="David"/>
          <w:b/>
          <w:bCs/>
          <w:sz w:val="24"/>
          <w:szCs w:val="24"/>
          <w:u w:val="single"/>
          <w:rtl/>
        </w:rPr>
      </w:pPr>
      <w:r w:rsidRPr="004A5120">
        <w:rPr>
          <w:rFonts w:ascii="David" w:hAnsi="David" w:cs="David" w:hint="cs"/>
          <w:b/>
          <w:bCs/>
          <w:sz w:val="24"/>
          <w:szCs w:val="24"/>
          <w:u w:val="single"/>
          <w:rtl/>
        </w:rPr>
        <w:t>המשנה:</w:t>
      </w:r>
    </w:p>
    <w:p w14:paraId="4A67DBC8" w14:textId="0D675882" w:rsidR="007517BD" w:rsidRPr="004A5120" w:rsidRDefault="007517BD" w:rsidP="009E2894">
      <w:pPr>
        <w:spacing w:after="0"/>
        <w:jc w:val="both"/>
        <w:rPr>
          <w:rFonts w:ascii="David" w:hAnsi="David" w:cs="David"/>
          <w:b/>
          <w:bCs/>
          <w:sz w:val="24"/>
          <w:szCs w:val="24"/>
          <w:u w:val="single"/>
          <w:rtl/>
        </w:rPr>
      </w:pPr>
    </w:p>
    <w:p w14:paraId="50BB2654" w14:textId="7F86793C" w:rsidR="007517BD" w:rsidRPr="004A5120" w:rsidRDefault="007517BD" w:rsidP="009E2894">
      <w:pPr>
        <w:spacing w:after="0"/>
        <w:jc w:val="both"/>
        <w:rPr>
          <w:rFonts w:ascii="David" w:hAnsi="David" w:cs="David"/>
          <w:sz w:val="24"/>
          <w:szCs w:val="24"/>
          <w:rtl/>
        </w:rPr>
      </w:pPr>
      <w:r w:rsidRPr="004A5120">
        <w:rPr>
          <w:rFonts w:ascii="David" w:hAnsi="David" w:cs="David" w:hint="cs"/>
          <w:sz w:val="24"/>
          <w:szCs w:val="24"/>
          <w:rtl/>
        </w:rPr>
        <w:t>הצורה הספרותית של ההלכה במשנה לעומת ההלכה במדרשי הלכה:</w:t>
      </w:r>
    </w:p>
    <w:p w14:paraId="64E5E5A9" w14:textId="1168A0FE" w:rsidR="007517BD" w:rsidRPr="004A5120" w:rsidRDefault="007517BD" w:rsidP="001A492B">
      <w:pPr>
        <w:pStyle w:val="a3"/>
        <w:numPr>
          <w:ilvl w:val="0"/>
          <w:numId w:val="15"/>
        </w:numPr>
        <w:spacing w:after="0"/>
        <w:jc w:val="both"/>
        <w:rPr>
          <w:rFonts w:ascii="David" w:hAnsi="David" w:cs="David"/>
          <w:sz w:val="24"/>
          <w:szCs w:val="24"/>
        </w:rPr>
      </w:pPr>
      <w:r w:rsidRPr="004A5120">
        <w:rPr>
          <w:rFonts w:ascii="David" w:hAnsi="David" w:cs="David" w:hint="cs"/>
          <w:sz w:val="24"/>
          <w:szCs w:val="24"/>
          <w:rtl/>
        </w:rPr>
        <w:t>ההלכות מובאות בנפרד מפסוקי התורה (לימוד דרך הלכה ולא דרך מדרש).</w:t>
      </w:r>
    </w:p>
    <w:p w14:paraId="75F4E385" w14:textId="4D69BF51" w:rsidR="007517BD" w:rsidRPr="004A5120" w:rsidRDefault="007517BD" w:rsidP="001A492B">
      <w:pPr>
        <w:pStyle w:val="a3"/>
        <w:numPr>
          <w:ilvl w:val="0"/>
          <w:numId w:val="15"/>
        </w:numPr>
        <w:spacing w:after="0"/>
        <w:jc w:val="both"/>
        <w:rPr>
          <w:rFonts w:ascii="David" w:hAnsi="David" w:cs="David"/>
          <w:sz w:val="24"/>
          <w:szCs w:val="24"/>
        </w:rPr>
      </w:pPr>
      <w:r w:rsidRPr="004A5120">
        <w:rPr>
          <w:rFonts w:ascii="David" w:hAnsi="David" w:cs="David" w:hint="cs"/>
          <w:sz w:val="24"/>
          <w:szCs w:val="24"/>
          <w:rtl/>
        </w:rPr>
        <w:t>המשנה מסודרת לפי נושאים.</w:t>
      </w:r>
    </w:p>
    <w:p w14:paraId="6CDD7697" w14:textId="0256F737" w:rsidR="007517BD" w:rsidRPr="004A5120" w:rsidRDefault="007517BD" w:rsidP="007517BD">
      <w:pPr>
        <w:spacing w:after="0"/>
        <w:jc w:val="both"/>
        <w:rPr>
          <w:rFonts w:ascii="David" w:hAnsi="David" w:cs="David"/>
          <w:sz w:val="24"/>
          <w:szCs w:val="24"/>
          <w:rtl/>
        </w:rPr>
      </w:pPr>
      <w:r w:rsidRPr="004A5120">
        <w:rPr>
          <w:rFonts w:ascii="David" w:hAnsi="David" w:cs="David" w:hint="cs"/>
          <w:sz w:val="24"/>
          <w:szCs w:val="24"/>
          <w:rtl/>
        </w:rPr>
        <w:t xml:space="preserve">מדובר בדרך נוספת ללימוד הלכה בצורה עצמאית ומופשטת, מבלי להישען על פסוקי התורה. יש קושי להצביע על נקודת הזמן המדויקת לשינוי זה </w:t>
      </w:r>
      <w:r w:rsidRPr="004A5120">
        <w:rPr>
          <w:rFonts w:ascii="David" w:hAnsi="David" w:cs="David"/>
          <w:sz w:val="24"/>
          <w:szCs w:val="24"/>
          <w:rtl/>
        </w:rPr>
        <w:t>–</w:t>
      </w:r>
      <w:r w:rsidRPr="004A5120">
        <w:rPr>
          <w:rFonts w:ascii="David" w:hAnsi="David" w:cs="David" w:hint="cs"/>
          <w:sz w:val="24"/>
          <w:szCs w:val="24"/>
          <w:rtl/>
        </w:rPr>
        <w:t xml:space="preserve"> אך הוא ודאי החל לפני תקופת הזוגות.</w:t>
      </w:r>
    </w:p>
    <w:p w14:paraId="5D56B572" w14:textId="627BC6A8" w:rsidR="007517BD" w:rsidRPr="004A5120" w:rsidRDefault="007517BD" w:rsidP="007517BD">
      <w:pPr>
        <w:spacing w:after="0"/>
        <w:jc w:val="both"/>
        <w:rPr>
          <w:rFonts w:ascii="David" w:hAnsi="David" w:cs="David"/>
          <w:sz w:val="24"/>
          <w:szCs w:val="24"/>
          <w:rtl/>
        </w:rPr>
      </w:pPr>
    </w:p>
    <w:p w14:paraId="41810F9F" w14:textId="4BE59F4A" w:rsidR="007517BD" w:rsidRPr="004A5120" w:rsidRDefault="007517BD" w:rsidP="007517BD">
      <w:pPr>
        <w:spacing w:after="0"/>
        <w:jc w:val="both"/>
        <w:rPr>
          <w:rFonts w:ascii="David" w:hAnsi="David" w:cs="David"/>
          <w:sz w:val="24"/>
          <w:szCs w:val="24"/>
          <w:u w:val="single"/>
          <w:rtl/>
        </w:rPr>
      </w:pPr>
      <w:r w:rsidRPr="004A5120">
        <w:rPr>
          <w:rFonts w:ascii="David" w:hAnsi="David" w:cs="David" w:hint="cs"/>
          <w:sz w:val="24"/>
          <w:szCs w:val="24"/>
          <w:u w:val="single"/>
          <w:rtl/>
        </w:rPr>
        <w:t>שתי סיבות עיקריות למעבר משיטת הלימוד "המדרשית" לשיטת הלימוד "המשנאית":</w:t>
      </w:r>
    </w:p>
    <w:p w14:paraId="431CC2B5" w14:textId="1A77424F" w:rsidR="007517BD" w:rsidRPr="004A5120" w:rsidRDefault="001E1A4B" w:rsidP="001A492B">
      <w:pPr>
        <w:pStyle w:val="a3"/>
        <w:numPr>
          <w:ilvl w:val="0"/>
          <w:numId w:val="16"/>
        </w:numPr>
        <w:spacing w:after="0"/>
        <w:jc w:val="both"/>
        <w:rPr>
          <w:rFonts w:ascii="David" w:hAnsi="David" w:cs="David"/>
          <w:sz w:val="24"/>
          <w:szCs w:val="24"/>
        </w:rPr>
      </w:pPr>
      <w:r w:rsidRPr="004A5120">
        <w:rPr>
          <w:rFonts w:ascii="David" w:hAnsi="David" w:cs="David" w:hint="cs"/>
          <w:sz w:val="24"/>
          <w:szCs w:val="24"/>
          <w:rtl/>
        </w:rPr>
        <w:t>יותר קל לרכז את כל ההלכות בנושא מסוים באותו המקום, כאשר לא מתאמצים לשלבן בפסוקים הרבים והשונים (לעתים נושא מסוים יכול להופיע ב10 פרקים שונים בתורה).</w:t>
      </w:r>
    </w:p>
    <w:p w14:paraId="6C379FF9" w14:textId="1D43FFA1" w:rsidR="001E1A4B" w:rsidRPr="004A5120" w:rsidRDefault="001E1A4B" w:rsidP="001A492B">
      <w:pPr>
        <w:pStyle w:val="a3"/>
        <w:numPr>
          <w:ilvl w:val="0"/>
          <w:numId w:val="16"/>
        </w:numPr>
        <w:spacing w:after="0"/>
        <w:jc w:val="both"/>
        <w:rPr>
          <w:rFonts w:ascii="David" w:hAnsi="David" w:cs="David"/>
          <w:sz w:val="24"/>
          <w:szCs w:val="24"/>
        </w:rPr>
      </w:pPr>
      <w:r w:rsidRPr="004A5120">
        <w:rPr>
          <w:rFonts w:ascii="David" w:hAnsi="David" w:cs="David" w:hint="cs"/>
          <w:sz w:val="24"/>
          <w:szCs w:val="24"/>
          <w:rtl/>
        </w:rPr>
        <w:t>דינים ממקורות משפטיים חיצוניים למדרש</w:t>
      </w:r>
      <w:r w:rsidR="0010604C" w:rsidRPr="004A5120">
        <w:rPr>
          <w:rFonts w:ascii="David" w:hAnsi="David" w:cs="David" w:hint="cs"/>
          <w:sz w:val="24"/>
          <w:szCs w:val="24"/>
          <w:rtl/>
        </w:rPr>
        <w:t>.</w:t>
      </w:r>
      <w:r w:rsidRPr="004A5120">
        <w:rPr>
          <w:rFonts w:ascii="David" w:hAnsi="David" w:cs="David" w:hint="cs"/>
          <w:sz w:val="24"/>
          <w:szCs w:val="24"/>
          <w:rtl/>
        </w:rPr>
        <w:t xml:space="preserve"> הגיעו מעולמות התקנה, הגזירה, המנהג, המעשה והסברא </w:t>
      </w:r>
      <w:r w:rsidRPr="004A5120">
        <w:rPr>
          <w:rFonts w:ascii="David" w:hAnsi="David" w:cs="David"/>
          <w:sz w:val="24"/>
          <w:szCs w:val="24"/>
          <w:rtl/>
        </w:rPr>
        <w:t>–</w:t>
      </w:r>
      <w:r w:rsidRPr="004A5120">
        <w:rPr>
          <w:rFonts w:ascii="David" w:hAnsi="David" w:cs="David" w:hint="cs"/>
          <w:sz w:val="24"/>
          <w:szCs w:val="24"/>
          <w:rtl/>
        </w:rPr>
        <w:t xml:space="preserve"> היה קושי בשילובן בפסוקי התורה, לכן נלמדו כהלכות בפני עצמ</w:t>
      </w:r>
      <w:r w:rsidR="0010604C" w:rsidRPr="004A5120">
        <w:rPr>
          <w:rFonts w:ascii="David" w:hAnsi="David" w:cs="David" w:hint="cs"/>
          <w:sz w:val="24"/>
          <w:szCs w:val="24"/>
          <w:rtl/>
        </w:rPr>
        <w:t>ן.</w:t>
      </w:r>
    </w:p>
    <w:p w14:paraId="54B27F5B" w14:textId="6D53479C" w:rsidR="0010604C" w:rsidRPr="004A5120" w:rsidRDefault="0010604C" w:rsidP="0010604C">
      <w:pPr>
        <w:spacing w:after="0"/>
        <w:jc w:val="both"/>
        <w:rPr>
          <w:rFonts w:ascii="David" w:hAnsi="David" w:cs="David"/>
          <w:sz w:val="24"/>
          <w:szCs w:val="24"/>
          <w:rtl/>
        </w:rPr>
      </w:pPr>
    </w:p>
    <w:p w14:paraId="2EEF19D1" w14:textId="20FF9727" w:rsidR="0010604C" w:rsidRPr="004A5120" w:rsidRDefault="0010604C" w:rsidP="0010604C">
      <w:pPr>
        <w:spacing w:after="0"/>
        <w:jc w:val="both"/>
        <w:rPr>
          <w:rFonts w:ascii="David" w:hAnsi="David" w:cs="David"/>
          <w:sz w:val="24"/>
          <w:szCs w:val="24"/>
          <w:u w:val="single"/>
          <w:rtl/>
        </w:rPr>
      </w:pPr>
      <w:r w:rsidRPr="004A5120">
        <w:rPr>
          <w:rFonts w:ascii="David" w:hAnsi="David" w:cs="David" w:hint="cs"/>
          <w:sz w:val="24"/>
          <w:szCs w:val="24"/>
          <w:u w:val="single"/>
          <w:rtl/>
        </w:rPr>
        <w:t>סיכום ההבדלים:</w:t>
      </w:r>
    </w:p>
    <w:p w14:paraId="085678A1" w14:textId="35861182" w:rsidR="0010604C" w:rsidRPr="004A5120" w:rsidRDefault="0010604C" w:rsidP="0010604C">
      <w:pPr>
        <w:pStyle w:val="a3"/>
        <w:numPr>
          <w:ilvl w:val="0"/>
          <w:numId w:val="1"/>
        </w:numPr>
        <w:spacing w:after="0"/>
        <w:jc w:val="both"/>
        <w:rPr>
          <w:rFonts w:ascii="David" w:hAnsi="David" w:cs="David"/>
          <w:sz w:val="24"/>
          <w:szCs w:val="24"/>
          <w:u w:val="single"/>
        </w:rPr>
      </w:pPr>
      <w:r w:rsidRPr="004A5120">
        <w:rPr>
          <w:rFonts w:ascii="David" w:hAnsi="David" w:cs="David" w:hint="cs"/>
          <w:sz w:val="24"/>
          <w:szCs w:val="24"/>
          <w:rtl/>
        </w:rPr>
        <w:t xml:space="preserve">ההלכה במדרש </w:t>
      </w:r>
      <w:r w:rsidRPr="004A5120">
        <w:rPr>
          <w:rFonts w:ascii="David" w:hAnsi="David" w:cs="David"/>
          <w:sz w:val="24"/>
          <w:szCs w:val="24"/>
          <w:rtl/>
        </w:rPr>
        <w:t>–</w:t>
      </w:r>
      <w:r w:rsidRPr="004A5120">
        <w:rPr>
          <w:rFonts w:ascii="David" w:hAnsi="David" w:cs="David" w:hint="cs"/>
          <w:sz w:val="24"/>
          <w:szCs w:val="24"/>
          <w:rtl/>
        </w:rPr>
        <w:t xml:space="preserve"> משולבת פסוק, ההלכות נלמדו ביחד עם הפסוק שצורף אליהן, יותר קל לזכור בעל פה (גם הלכות שלא נלמדו ספציפית מהמדרש).</w:t>
      </w:r>
    </w:p>
    <w:p w14:paraId="735A6A16" w14:textId="3D26A39F" w:rsidR="0010604C" w:rsidRPr="004A5120" w:rsidRDefault="0010604C" w:rsidP="0010604C">
      <w:pPr>
        <w:pStyle w:val="a3"/>
        <w:numPr>
          <w:ilvl w:val="0"/>
          <w:numId w:val="1"/>
        </w:numPr>
        <w:spacing w:after="0"/>
        <w:jc w:val="both"/>
        <w:rPr>
          <w:rFonts w:ascii="David" w:hAnsi="David" w:cs="David"/>
          <w:sz w:val="24"/>
          <w:szCs w:val="24"/>
          <w:u w:val="single"/>
        </w:rPr>
      </w:pPr>
      <w:r w:rsidRPr="004A5120">
        <w:rPr>
          <w:rFonts w:ascii="David" w:hAnsi="David" w:cs="David" w:hint="cs"/>
          <w:sz w:val="24"/>
          <w:szCs w:val="24"/>
          <w:rtl/>
        </w:rPr>
        <w:t xml:space="preserve">ההלכה במשנה </w:t>
      </w:r>
      <w:r w:rsidRPr="004A5120">
        <w:rPr>
          <w:rFonts w:ascii="David" w:hAnsi="David" w:cs="David"/>
          <w:sz w:val="24"/>
          <w:szCs w:val="24"/>
          <w:rtl/>
        </w:rPr>
        <w:t>–</w:t>
      </w:r>
      <w:r w:rsidRPr="004A5120">
        <w:rPr>
          <w:rFonts w:ascii="David" w:hAnsi="David" w:cs="David" w:hint="cs"/>
          <w:sz w:val="24"/>
          <w:szCs w:val="24"/>
          <w:rtl/>
        </w:rPr>
        <w:t xml:space="preserve"> עומדות בפני עצמן, מרכזות הלכות הנוגעות לנושא אחד, משלבות הלכות ממקורות חיצוניים כהלכות בפני עצמן, מסודרות לפי נושאים.</w:t>
      </w:r>
    </w:p>
    <w:p w14:paraId="0E5FEDAC" w14:textId="25BE4DFA" w:rsidR="0010604C" w:rsidRPr="004A5120" w:rsidRDefault="0010604C" w:rsidP="0010604C">
      <w:pPr>
        <w:spacing w:after="0"/>
        <w:jc w:val="both"/>
        <w:rPr>
          <w:rFonts w:ascii="David" w:hAnsi="David" w:cs="David"/>
          <w:sz w:val="24"/>
          <w:szCs w:val="24"/>
          <w:u w:val="single"/>
          <w:rtl/>
        </w:rPr>
      </w:pPr>
    </w:p>
    <w:p w14:paraId="10C22FBD" w14:textId="222CF143" w:rsidR="0010604C" w:rsidRPr="004A5120" w:rsidRDefault="0010604C" w:rsidP="0010604C">
      <w:pPr>
        <w:spacing w:after="0"/>
        <w:jc w:val="both"/>
        <w:rPr>
          <w:rFonts w:ascii="David" w:hAnsi="David" w:cs="David"/>
          <w:sz w:val="24"/>
          <w:szCs w:val="24"/>
          <w:u w:val="single"/>
          <w:rtl/>
        </w:rPr>
      </w:pPr>
      <w:r w:rsidRPr="004A5120">
        <w:rPr>
          <w:rFonts w:ascii="David" w:hAnsi="David" w:cs="David" w:hint="cs"/>
          <w:sz w:val="24"/>
          <w:szCs w:val="24"/>
          <w:u w:val="single"/>
          <w:rtl/>
        </w:rPr>
        <w:t>התהוות המשנה ועריכתה:</w:t>
      </w:r>
    </w:p>
    <w:p w14:paraId="31305442" w14:textId="357853DA" w:rsidR="0010604C"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צורת הלימוד של ההלכה במשנה התפשטה עד שהפכה לקבצים של משניות.</w:t>
      </w:r>
    </w:p>
    <w:p w14:paraId="6435B3AD" w14:textId="45B0A9FE" w:rsidR="0064351F"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ר' עקיבא </w:t>
      </w:r>
      <w:r w:rsidRPr="004A5120">
        <w:rPr>
          <w:rFonts w:ascii="David" w:hAnsi="David" w:cs="David"/>
          <w:sz w:val="24"/>
          <w:szCs w:val="24"/>
          <w:rtl/>
        </w:rPr>
        <w:t>–</w:t>
      </w:r>
      <w:r w:rsidRPr="004A5120">
        <w:rPr>
          <w:rFonts w:ascii="David" w:hAnsi="David" w:cs="David" w:hint="cs"/>
          <w:sz w:val="24"/>
          <w:szCs w:val="24"/>
          <w:rtl/>
        </w:rPr>
        <w:t xml:space="preserve"> ערך את ההלכה בקבצים משנאיים. עליו נכתב: "ר' עקיבא, עשה כל התורה טבעות </w:t>
      </w:r>
      <w:proofErr w:type="spellStart"/>
      <w:r w:rsidRPr="004A5120">
        <w:rPr>
          <w:rFonts w:ascii="David" w:hAnsi="David" w:cs="David" w:hint="cs"/>
          <w:sz w:val="24"/>
          <w:szCs w:val="24"/>
          <w:rtl/>
        </w:rPr>
        <w:t>טבעות</w:t>
      </w:r>
      <w:proofErr w:type="spellEnd"/>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כלו</w:t>
      </w:r>
      <w:r w:rsidR="00962D4E">
        <w:rPr>
          <w:rFonts w:ascii="David" w:hAnsi="David" w:cs="David" w:hint="cs"/>
          <w:sz w:val="24"/>
          <w:szCs w:val="24"/>
          <w:rtl/>
        </w:rPr>
        <w:t>מ</w:t>
      </w:r>
      <w:r w:rsidRPr="004A5120">
        <w:rPr>
          <w:rFonts w:ascii="David" w:hAnsi="David" w:cs="David" w:hint="cs"/>
          <w:sz w:val="24"/>
          <w:szCs w:val="24"/>
          <w:rtl/>
        </w:rPr>
        <w:t>ר סידר, ערך ולימד כל תחום בהלכה בנפרד. יצר קבצים של הגדות וקבצים של הלכות משניות.</w:t>
      </w:r>
    </w:p>
    <w:p w14:paraId="6F3D30CB" w14:textId="0989A0B8" w:rsidR="0064351F"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תלמידי ר' עקיבא </w:t>
      </w:r>
      <w:r w:rsidRPr="004A5120">
        <w:rPr>
          <w:rFonts w:ascii="David" w:hAnsi="David" w:cs="David"/>
          <w:sz w:val="24"/>
          <w:szCs w:val="24"/>
          <w:rtl/>
        </w:rPr>
        <w:t>–</w:t>
      </w:r>
      <w:r w:rsidRPr="004A5120">
        <w:rPr>
          <w:rFonts w:ascii="David" w:hAnsi="David" w:cs="David" w:hint="cs"/>
          <w:sz w:val="24"/>
          <w:szCs w:val="24"/>
          <w:rtl/>
        </w:rPr>
        <w:t xml:space="preserve"> יצרו על קובץ המשניות שלו קובצי משניות נוספים, שאיגדו התפתחות הלכתית בבתי מדרש שונים </w:t>
      </w:r>
      <w:r w:rsidRPr="004A5120">
        <w:rPr>
          <w:rFonts w:ascii="David" w:hAnsi="David" w:cs="David"/>
          <w:sz w:val="24"/>
          <w:szCs w:val="24"/>
          <w:rtl/>
        </w:rPr>
        <w:t>–</w:t>
      </w:r>
      <w:r w:rsidRPr="004A5120">
        <w:rPr>
          <w:rFonts w:ascii="David" w:hAnsi="David" w:cs="David" w:hint="cs"/>
          <w:sz w:val="24"/>
          <w:szCs w:val="24"/>
          <w:rtl/>
        </w:rPr>
        <w:t xml:space="preserve"> יצרו </w:t>
      </w:r>
      <w:r w:rsidRPr="004A5120">
        <w:rPr>
          <w:rFonts w:ascii="David" w:hAnsi="David" w:cs="David" w:hint="cs"/>
          <w:b/>
          <w:bCs/>
          <w:sz w:val="24"/>
          <w:szCs w:val="24"/>
          <w:rtl/>
        </w:rPr>
        <w:t>בלבול וחוסר אחידות בהלכה.</w:t>
      </w:r>
    </w:p>
    <w:p w14:paraId="7FE7632B" w14:textId="29C98038" w:rsidR="0064351F"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ר' יהודה הנשיא </w:t>
      </w:r>
      <w:r w:rsidRPr="004A5120">
        <w:rPr>
          <w:rFonts w:ascii="David" w:hAnsi="David" w:cs="David"/>
          <w:sz w:val="24"/>
          <w:szCs w:val="24"/>
          <w:rtl/>
        </w:rPr>
        <w:t>–</w:t>
      </w:r>
      <w:r w:rsidRPr="004A5120">
        <w:rPr>
          <w:rFonts w:ascii="David" w:hAnsi="David" w:cs="David" w:hint="cs"/>
          <w:sz w:val="24"/>
          <w:szCs w:val="24"/>
          <w:rtl/>
        </w:rPr>
        <w:t xml:space="preserve"> תלמידו של ר' עקיבא, ערך וסידר קובץ משנה אחד שהורכב מקבצי משניות רבים. העיקרי שבהם היה של ר' יעקב בן </w:t>
      </w:r>
      <w:proofErr w:type="spellStart"/>
      <w:r w:rsidRPr="004A5120">
        <w:rPr>
          <w:rFonts w:ascii="David" w:hAnsi="David" w:cs="David" w:hint="cs"/>
          <w:sz w:val="24"/>
          <w:szCs w:val="24"/>
          <w:rtl/>
        </w:rPr>
        <w:t>קורשאי</w:t>
      </w:r>
      <w:proofErr w:type="spellEnd"/>
      <w:r w:rsidRPr="004A5120">
        <w:rPr>
          <w:rFonts w:ascii="David" w:hAnsi="David" w:cs="David" w:hint="cs"/>
          <w:sz w:val="24"/>
          <w:szCs w:val="24"/>
          <w:rtl/>
        </w:rPr>
        <w:t>, מש</w:t>
      </w:r>
      <w:r w:rsidR="00962D4E">
        <w:rPr>
          <w:rFonts w:ascii="David" w:hAnsi="David" w:cs="David" w:hint="cs"/>
          <w:sz w:val="24"/>
          <w:szCs w:val="24"/>
          <w:rtl/>
        </w:rPr>
        <w:t>נת</w:t>
      </w:r>
      <w:r w:rsidRPr="004A5120">
        <w:rPr>
          <w:rFonts w:ascii="David" w:hAnsi="David" w:cs="David" w:hint="cs"/>
          <w:sz w:val="24"/>
          <w:szCs w:val="24"/>
          <w:rtl/>
        </w:rPr>
        <w:t>ו הייתה המשנה הרשמית של הנשיא ובני דינו.</w:t>
      </w:r>
    </w:p>
    <w:p w14:paraId="2A25E001" w14:textId="0CD2CE8A" w:rsidR="0064351F"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חכמי הדור שאחרי ר' יהודה הנשיא </w:t>
      </w:r>
      <w:r w:rsidRPr="004A5120">
        <w:rPr>
          <w:rFonts w:ascii="David" w:hAnsi="David" w:cs="David"/>
          <w:sz w:val="24"/>
          <w:szCs w:val="24"/>
          <w:rtl/>
        </w:rPr>
        <w:t>–</w:t>
      </w:r>
      <w:r w:rsidRPr="004A5120">
        <w:rPr>
          <w:rFonts w:ascii="David" w:hAnsi="David" w:cs="David" w:hint="cs"/>
          <w:sz w:val="24"/>
          <w:szCs w:val="24"/>
          <w:rtl/>
        </w:rPr>
        <w:t xml:space="preserve"> השלימו את המשנה והוסיפו את דבריו של ר' יהודה הנשיא עצמו, ואז היא נחתמה.</w:t>
      </w:r>
    </w:p>
    <w:p w14:paraId="0E4A2E19" w14:textId="47FAC0E0" w:rsidR="0064351F" w:rsidRPr="004A5120" w:rsidRDefault="0064351F" w:rsidP="0064351F">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המשנה של ר' יהודה הנשיא (בקיצור "רבי") </w:t>
      </w:r>
      <w:r w:rsidRPr="004A5120">
        <w:rPr>
          <w:rFonts w:ascii="David" w:hAnsi="David" w:cs="David"/>
          <w:sz w:val="24"/>
          <w:szCs w:val="24"/>
          <w:rtl/>
        </w:rPr>
        <w:t>–</w:t>
      </w:r>
      <w:r w:rsidRPr="004A5120">
        <w:rPr>
          <w:rFonts w:ascii="David" w:hAnsi="David" w:cs="David" w:hint="cs"/>
          <w:sz w:val="24"/>
          <w:szCs w:val="24"/>
          <w:rtl/>
        </w:rPr>
        <w:t xml:space="preserve"> הפכה להיות ה-משנה. כל שאר קבצי המשניות הפכו להיות "ברייתא" </w:t>
      </w:r>
      <w:r w:rsidRPr="004A5120">
        <w:rPr>
          <w:rFonts w:ascii="David" w:hAnsi="David" w:cs="David"/>
          <w:sz w:val="24"/>
          <w:szCs w:val="24"/>
          <w:rtl/>
        </w:rPr>
        <w:t>–</w:t>
      </w:r>
      <w:r w:rsidRPr="004A5120">
        <w:rPr>
          <w:rFonts w:ascii="David" w:hAnsi="David" w:cs="David" w:hint="cs"/>
          <w:sz w:val="24"/>
          <w:szCs w:val="24"/>
          <w:rtl/>
        </w:rPr>
        <w:t xml:space="preserve"> משנה חיצונית.</w:t>
      </w:r>
    </w:p>
    <w:p w14:paraId="79C63AF2" w14:textId="484B6FF3" w:rsidR="0064351F" w:rsidRPr="004A5120" w:rsidRDefault="0064351F" w:rsidP="0064351F">
      <w:pPr>
        <w:pStyle w:val="a3"/>
        <w:numPr>
          <w:ilvl w:val="0"/>
          <w:numId w:val="1"/>
        </w:numPr>
        <w:spacing w:after="0"/>
        <w:jc w:val="both"/>
        <w:rPr>
          <w:rFonts w:ascii="David" w:hAnsi="David" w:cs="David"/>
          <w:sz w:val="24"/>
          <w:szCs w:val="24"/>
          <w:u w:val="single"/>
          <w:rtl/>
        </w:rPr>
      </w:pPr>
      <w:r w:rsidRPr="004A5120">
        <w:rPr>
          <w:rFonts w:ascii="David" w:hAnsi="David" w:cs="David" w:hint="cs"/>
          <w:sz w:val="24"/>
          <w:szCs w:val="24"/>
          <w:rtl/>
        </w:rPr>
        <w:t xml:space="preserve">סיכום </w:t>
      </w:r>
      <w:r w:rsidRPr="004A5120">
        <w:rPr>
          <w:rFonts w:ascii="David" w:hAnsi="David" w:cs="David"/>
          <w:sz w:val="24"/>
          <w:szCs w:val="24"/>
          <w:rtl/>
        </w:rPr>
        <w:t>–</w:t>
      </w:r>
      <w:r w:rsidRPr="004A5120">
        <w:rPr>
          <w:rFonts w:ascii="David" w:hAnsi="David" w:cs="David" w:hint="cs"/>
          <w:sz w:val="24"/>
          <w:szCs w:val="24"/>
          <w:rtl/>
        </w:rPr>
        <w:t xml:space="preserve"> עד רבי יהודה הנשיא, היו נ</w:t>
      </w:r>
      <w:r w:rsidR="00A00BA5" w:rsidRPr="004A5120">
        <w:rPr>
          <w:rFonts w:ascii="David" w:hAnsi="David" w:cs="David" w:hint="cs"/>
          <w:sz w:val="24"/>
          <w:szCs w:val="24"/>
          <w:rtl/>
        </w:rPr>
        <w:t>י</w:t>
      </w:r>
      <w:r w:rsidRPr="004A5120">
        <w:rPr>
          <w:rFonts w:ascii="David" w:hAnsi="David" w:cs="David" w:hint="cs"/>
          <w:sz w:val="24"/>
          <w:szCs w:val="24"/>
          <w:rtl/>
        </w:rPr>
        <w:t xml:space="preserve">סיונות לייצר משנה מסודרת, אך אלו עלו בתוהו. רבי </w:t>
      </w:r>
      <w:r w:rsidR="00717FB6" w:rsidRPr="004A5120">
        <w:rPr>
          <w:rFonts w:ascii="David" w:hAnsi="David" w:cs="David" w:hint="cs"/>
          <w:sz w:val="24"/>
          <w:szCs w:val="24"/>
          <w:rtl/>
        </w:rPr>
        <w:t xml:space="preserve">איחד מספר קבצי משניות של חכמים שונים </w:t>
      </w:r>
      <w:r w:rsidR="00717FB6" w:rsidRPr="004A5120">
        <w:rPr>
          <w:rFonts w:ascii="David" w:hAnsi="David" w:cs="David" w:hint="cs"/>
          <w:sz w:val="24"/>
          <w:szCs w:val="24"/>
          <w:u w:val="single"/>
          <w:rtl/>
        </w:rPr>
        <w:t xml:space="preserve">ויצר קובץ מוגמר </w:t>
      </w:r>
      <w:r w:rsidR="00717FB6" w:rsidRPr="004A5120">
        <w:rPr>
          <w:rFonts w:ascii="David" w:hAnsi="David" w:cs="David"/>
          <w:sz w:val="24"/>
          <w:szCs w:val="24"/>
          <w:u w:val="single"/>
          <w:rtl/>
        </w:rPr>
        <w:t>–</w:t>
      </w:r>
      <w:r w:rsidR="00717FB6" w:rsidRPr="004A5120">
        <w:rPr>
          <w:rFonts w:ascii="David" w:hAnsi="David" w:cs="David" w:hint="cs"/>
          <w:sz w:val="24"/>
          <w:szCs w:val="24"/>
          <w:u w:val="single"/>
          <w:rtl/>
        </w:rPr>
        <w:t xml:space="preserve"> שהיה מקובל על כולם.</w:t>
      </w:r>
    </w:p>
    <w:p w14:paraId="106B6D27" w14:textId="474F2786" w:rsidR="00DD1B36" w:rsidRPr="004A5120" w:rsidRDefault="00DD1B36" w:rsidP="009E2894">
      <w:pPr>
        <w:spacing w:after="0"/>
        <w:jc w:val="both"/>
        <w:rPr>
          <w:rFonts w:ascii="David" w:hAnsi="David" w:cs="David"/>
          <w:sz w:val="24"/>
          <w:szCs w:val="24"/>
          <w:rtl/>
        </w:rPr>
      </w:pPr>
    </w:p>
    <w:p w14:paraId="42AC0EE1" w14:textId="7EB8F2D9" w:rsidR="00717FB6" w:rsidRPr="004A5120" w:rsidRDefault="00536D35" w:rsidP="009E2894">
      <w:pPr>
        <w:spacing w:after="0"/>
        <w:jc w:val="both"/>
        <w:rPr>
          <w:rFonts w:ascii="David" w:hAnsi="David" w:cs="David"/>
          <w:sz w:val="24"/>
          <w:szCs w:val="24"/>
          <w:u w:val="single"/>
          <w:rtl/>
        </w:rPr>
      </w:pPr>
      <w:r w:rsidRPr="004A5120">
        <w:rPr>
          <w:rFonts w:ascii="David" w:hAnsi="David" w:cs="David" w:hint="cs"/>
          <w:sz w:val="24"/>
          <w:szCs w:val="24"/>
          <w:u w:val="single"/>
          <w:rtl/>
        </w:rPr>
        <w:t>המבנה הספרותי של המשנה:</w:t>
      </w:r>
    </w:p>
    <w:p w14:paraId="1849740F" w14:textId="21038553" w:rsidR="00536D35" w:rsidRPr="004A5120" w:rsidRDefault="00536D35" w:rsidP="009E2894">
      <w:pPr>
        <w:spacing w:after="0"/>
        <w:jc w:val="both"/>
        <w:rPr>
          <w:rFonts w:ascii="David" w:hAnsi="David" w:cs="David"/>
          <w:sz w:val="24"/>
          <w:szCs w:val="24"/>
          <w:rtl/>
        </w:rPr>
      </w:pPr>
      <w:r w:rsidRPr="004A5120">
        <w:rPr>
          <w:rFonts w:ascii="David" w:hAnsi="David" w:cs="David" w:hint="cs"/>
          <w:sz w:val="24"/>
          <w:szCs w:val="24"/>
          <w:rtl/>
        </w:rPr>
        <w:t xml:space="preserve">פירוש המילה משנה </w:t>
      </w:r>
      <w:r w:rsidRPr="004A5120">
        <w:rPr>
          <w:rFonts w:ascii="David" w:hAnsi="David" w:cs="David"/>
          <w:sz w:val="24"/>
          <w:szCs w:val="24"/>
          <w:rtl/>
        </w:rPr>
        <w:t>–</w:t>
      </w:r>
      <w:r w:rsidRPr="004A5120">
        <w:rPr>
          <w:rFonts w:ascii="David" w:hAnsi="David" w:cs="David" w:hint="cs"/>
          <w:sz w:val="24"/>
          <w:szCs w:val="24"/>
          <w:rtl/>
        </w:rPr>
        <w:t xml:space="preserve"> חלק גורסים שמדובר בלחזור וללמוד, אחרים סבורים שהמקור במילה "שני", מטרתו של רבי הייתה ליצור יצירה שתהיה </w:t>
      </w:r>
      <w:r w:rsidRPr="004A5120">
        <w:rPr>
          <w:rFonts w:ascii="David" w:hAnsi="David" w:cs="David" w:hint="cs"/>
          <w:b/>
          <w:bCs/>
          <w:sz w:val="24"/>
          <w:szCs w:val="24"/>
          <w:rtl/>
        </w:rPr>
        <w:t>שנייה</w:t>
      </w:r>
      <w:r w:rsidRPr="004A5120">
        <w:rPr>
          <w:rFonts w:ascii="David" w:hAnsi="David" w:cs="David" w:hint="cs"/>
          <w:sz w:val="24"/>
          <w:szCs w:val="24"/>
          <w:rtl/>
        </w:rPr>
        <w:t xml:space="preserve"> לתורה.</w:t>
      </w:r>
    </w:p>
    <w:p w14:paraId="0B37E2F8" w14:textId="7A0AF192" w:rsidR="00536D35" w:rsidRPr="004A5120" w:rsidRDefault="00536D35" w:rsidP="009E2894">
      <w:pPr>
        <w:spacing w:after="0"/>
        <w:jc w:val="both"/>
        <w:rPr>
          <w:rFonts w:ascii="David" w:hAnsi="David" w:cs="David"/>
          <w:sz w:val="24"/>
          <w:szCs w:val="24"/>
          <w:rtl/>
        </w:rPr>
      </w:pPr>
    </w:p>
    <w:p w14:paraId="10E2780F" w14:textId="33E6611A" w:rsidR="00536D35" w:rsidRPr="004A5120" w:rsidRDefault="00536D35" w:rsidP="009E2894">
      <w:pPr>
        <w:spacing w:after="0"/>
        <w:jc w:val="both"/>
        <w:rPr>
          <w:rFonts w:ascii="David" w:hAnsi="David" w:cs="David"/>
          <w:sz w:val="24"/>
          <w:szCs w:val="24"/>
          <w:u w:val="single"/>
          <w:rtl/>
        </w:rPr>
      </w:pPr>
      <w:r w:rsidRPr="004A5120">
        <w:rPr>
          <w:rFonts w:ascii="David" w:hAnsi="David" w:cs="David" w:hint="cs"/>
          <w:sz w:val="24"/>
          <w:szCs w:val="24"/>
          <w:u w:val="single"/>
          <w:rtl/>
        </w:rPr>
        <w:t>2 משמעויות למושג "משנה":</w:t>
      </w:r>
    </w:p>
    <w:p w14:paraId="2827FC37" w14:textId="251B10E0" w:rsidR="00536D35" w:rsidRPr="004A5120" w:rsidRDefault="00907321" w:rsidP="001A492B">
      <w:pPr>
        <w:pStyle w:val="a3"/>
        <w:numPr>
          <w:ilvl w:val="0"/>
          <w:numId w:val="17"/>
        </w:numPr>
        <w:spacing w:after="0"/>
        <w:jc w:val="both"/>
        <w:rPr>
          <w:rFonts w:ascii="David" w:hAnsi="David" w:cs="David"/>
          <w:sz w:val="24"/>
          <w:szCs w:val="24"/>
        </w:rPr>
      </w:pPr>
      <w:r w:rsidRPr="004A5120">
        <w:rPr>
          <w:rFonts w:ascii="David" w:hAnsi="David" w:cs="David" w:hint="cs"/>
          <w:sz w:val="24"/>
          <w:szCs w:val="24"/>
          <w:rtl/>
        </w:rPr>
        <w:t>קבוץ ההלכות השלם של ר' יהודה הנשיא.</w:t>
      </w:r>
    </w:p>
    <w:p w14:paraId="1A631933" w14:textId="4EA0B8D6" w:rsidR="00907321" w:rsidRPr="004A5120" w:rsidRDefault="00907321" w:rsidP="001A492B">
      <w:pPr>
        <w:pStyle w:val="a3"/>
        <w:numPr>
          <w:ilvl w:val="0"/>
          <w:numId w:val="17"/>
        </w:numPr>
        <w:spacing w:after="0"/>
        <w:jc w:val="both"/>
        <w:rPr>
          <w:rFonts w:ascii="David" w:hAnsi="David" w:cs="David"/>
          <w:sz w:val="24"/>
          <w:szCs w:val="24"/>
        </w:rPr>
      </w:pPr>
      <w:r w:rsidRPr="004A5120">
        <w:rPr>
          <w:rFonts w:ascii="David" w:hAnsi="David" w:cs="David" w:hint="cs"/>
          <w:sz w:val="24"/>
          <w:szCs w:val="24"/>
          <w:rtl/>
        </w:rPr>
        <w:t>קטע אחד מתוך פרק במסכת מסוימת.</w:t>
      </w:r>
    </w:p>
    <w:p w14:paraId="06DFBB6B" w14:textId="172960F7" w:rsidR="00907321" w:rsidRPr="004A5120" w:rsidRDefault="00907321" w:rsidP="00907321">
      <w:pPr>
        <w:spacing w:after="0"/>
        <w:jc w:val="both"/>
        <w:rPr>
          <w:rFonts w:ascii="David" w:hAnsi="David" w:cs="David"/>
          <w:sz w:val="24"/>
          <w:szCs w:val="24"/>
          <w:rtl/>
        </w:rPr>
      </w:pPr>
    </w:p>
    <w:p w14:paraId="29799303" w14:textId="3644CCD7" w:rsidR="00907321" w:rsidRPr="004A5120" w:rsidRDefault="00907321" w:rsidP="00907321">
      <w:pPr>
        <w:spacing w:after="0"/>
        <w:jc w:val="both"/>
        <w:rPr>
          <w:rFonts w:ascii="David" w:hAnsi="David" w:cs="David"/>
          <w:sz w:val="24"/>
          <w:szCs w:val="24"/>
          <w:u w:val="single"/>
          <w:rtl/>
        </w:rPr>
      </w:pPr>
      <w:r w:rsidRPr="004A5120">
        <w:rPr>
          <w:rFonts w:ascii="David" w:hAnsi="David" w:cs="David" w:hint="cs"/>
          <w:sz w:val="24"/>
          <w:szCs w:val="24"/>
          <w:u w:val="single"/>
          <w:rtl/>
        </w:rPr>
        <w:t>חלוקת המשנה ותוכנה:</w:t>
      </w:r>
    </w:p>
    <w:p w14:paraId="087313E0" w14:textId="4CEFEE9F"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t xml:space="preserve">סדר זרעים </w:t>
      </w:r>
      <w:r w:rsidRPr="004A5120">
        <w:rPr>
          <w:rFonts w:ascii="David" w:hAnsi="David" w:cs="David"/>
          <w:sz w:val="24"/>
          <w:szCs w:val="24"/>
          <w:rtl/>
        </w:rPr>
        <w:t>–</w:t>
      </w:r>
      <w:r w:rsidRPr="004A5120">
        <w:rPr>
          <w:rFonts w:ascii="David" w:hAnsi="David" w:cs="David" w:hint="cs"/>
          <w:sz w:val="24"/>
          <w:szCs w:val="24"/>
          <w:rtl/>
        </w:rPr>
        <w:t xml:space="preserve"> הלכות שקשורות לאדמה ורלוונטיות רק בארץ ישראל.</w:t>
      </w:r>
    </w:p>
    <w:p w14:paraId="2BA216A4" w14:textId="4A2B2CCD"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t xml:space="preserve">סדר מועד </w:t>
      </w:r>
      <w:r w:rsidRPr="004A5120">
        <w:rPr>
          <w:rFonts w:ascii="David" w:hAnsi="David" w:cs="David"/>
          <w:sz w:val="24"/>
          <w:szCs w:val="24"/>
          <w:rtl/>
        </w:rPr>
        <w:t>–</w:t>
      </w:r>
      <w:r w:rsidRPr="004A5120">
        <w:rPr>
          <w:rFonts w:ascii="David" w:hAnsi="David" w:cs="David" w:hint="cs"/>
          <w:sz w:val="24"/>
          <w:szCs w:val="24"/>
          <w:rtl/>
        </w:rPr>
        <w:t xml:space="preserve"> דיני שבת ומועדים.</w:t>
      </w:r>
    </w:p>
    <w:p w14:paraId="75629367" w14:textId="505AF95E"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lastRenderedPageBreak/>
        <w:t xml:space="preserve">סדר נשים </w:t>
      </w:r>
      <w:r w:rsidRPr="004A5120">
        <w:rPr>
          <w:rFonts w:ascii="David" w:hAnsi="David" w:cs="David"/>
          <w:sz w:val="24"/>
          <w:szCs w:val="24"/>
          <w:rtl/>
        </w:rPr>
        <w:t>–</w:t>
      </w:r>
      <w:r w:rsidRPr="004A5120">
        <w:rPr>
          <w:rFonts w:ascii="David" w:hAnsi="David" w:cs="David" w:hint="cs"/>
          <w:sz w:val="24"/>
          <w:szCs w:val="24"/>
          <w:rtl/>
        </w:rPr>
        <w:t xml:space="preserve"> משפחה.</w:t>
      </w:r>
    </w:p>
    <w:p w14:paraId="4D1D74DF" w14:textId="00FDDBDF"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t xml:space="preserve">סדר נזיקין </w:t>
      </w:r>
      <w:r w:rsidRPr="004A5120">
        <w:rPr>
          <w:rFonts w:ascii="David" w:hAnsi="David" w:cs="David"/>
          <w:sz w:val="24"/>
          <w:szCs w:val="24"/>
          <w:rtl/>
        </w:rPr>
        <w:t>–</w:t>
      </w:r>
      <w:r w:rsidRPr="004A5120">
        <w:rPr>
          <w:rFonts w:ascii="David" w:hAnsi="David" w:cs="David" w:hint="cs"/>
          <w:sz w:val="24"/>
          <w:szCs w:val="24"/>
          <w:rtl/>
        </w:rPr>
        <w:t xml:space="preserve"> משפט אזרחי ופלילי.</w:t>
      </w:r>
    </w:p>
    <w:p w14:paraId="25E8AD90" w14:textId="477BB8CA"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t xml:space="preserve">סדר קשים </w:t>
      </w:r>
      <w:r w:rsidRPr="004A5120">
        <w:rPr>
          <w:rFonts w:ascii="David" w:hAnsi="David" w:cs="David"/>
          <w:sz w:val="24"/>
          <w:szCs w:val="24"/>
          <w:rtl/>
        </w:rPr>
        <w:t>–</w:t>
      </w:r>
      <w:r w:rsidRPr="004A5120">
        <w:rPr>
          <w:rFonts w:ascii="David" w:hAnsi="David" w:cs="David" w:hint="cs"/>
          <w:sz w:val="24"/>
          <w:szCs w:val="24"/>
          <w:rtl/>
        </w:rPr>
        <w:t xml:space="preserve"> דיני שחיטה, כשרות וקורבנות.</w:t>
      </w:r>
    </w:p>
    <w:p w14:paraId="706CEA2F" w14:textId="4E3EE01A" w:rsidR="00907321" w:rsidRPr="004A5120" w:rsidRDefault="00907321" w:rsidP="001A492B">
      <w:pPr>
        <w:pStyle w:val="a3"/>
        <w:numPr>
          <w:ilvl w:val="0"/>
          <w:numId w:val="18"/>
        </w:numPr>
        <w:spacing w:after="0"/>
        <w:jc w:val="both"/>
        <w:rPr>
          <w:rFonts w:ascii="David" w:hAnsi="David" w:cs="David"/>
          <w:sz w:val="24"/>
          <w:szCs w:val="24"/>
        </w:rPr>
      </w:pPr>
      <w:r w:rsidRPr="004A5120">
        <w:rPr>
          <w:rFonts w:ascii="David" w:hAnsi="David" w:cs="David" w:hint="cs"/>
          <w:sz w:val="24"/>
          <w:szCs w:val="24"/>
          <w:rtl/>
        </w:rPr>
        <w:t xml:space="preserve">סדר טהרות </w:t>
      </w:r>
      <w:r w:rsidRPr="004A5120">
        <w:rPr>
          <w:rFonts w:ascii="David" w:hAnsi="David" w:cs="David"/>
          <w:sz w:val="24"/>
          <w:szCs w:val="24"/>
          <w:rtl/>
        </w:rPr>
        <w:t>–</w:t>
      </w:r>
      <w:r w:rsidRPr="004A5120">
        <w:rPr>
          <w:rFonts w:ascii="David" w:hAnsi="David" w:cs="David" w:hint="cs"/>
          <w:sz w:val="24"/>
          <w:szCs w:val="24"/>
          <w:rtl/>
        </w:rPr>
        <w:t xml:space="preserve"> דיני טומאה וטהרה.</w:t>
      </w:r>
    </w:p>
    <w:p w14:paraId="085CFAEF" w14:textId="193DCC0D" w:rsidR="00907321" w:rsidRPr="004A5120" w:rsidRDefault="00907321" w:rsidP="00907321">
      <w:pPr>
        <w:spacing w:after="0"/>
        <w:jc w:val="both"/>
        <w:rPr>
          <w:rFonts w:ascii="David" w:hAnsi="David" w:cs="David"/>
          <w:sz w:val="24"/>
          <w:szCs w:val="24"/>
          <w:rtl/>
        </w:rPr>
      </w:pPr>
      <w:r w:rsidRPr="004A5120">
        <w:rPr>
          <w:rFonts w:ascii="David" w:hAnsi="David" w:cs="David" w:hint="cs"/>
          <w:sz w:val="24"/>
          <w:szCs w:val="24"/>
          <w:rtl/>
        </w:rPr>
        <w:t>סדר -&gt; מסכתות -&gt; פרקים -&gt; משניות בודדות.</w:t>
      </w:r>
    </w:p>
    <w:p w14:paraId="5054FB7B" w14:textId="1847F2DF" w:rsidR="00907321" w:rsidRPr="004A5120" w:rsidRDefault="00907321" w:rsidP="001E398C">
      <w:pPr>
        <w:spacing w:after="0"/>
        <w:jc w:val="both"/>
        <w:rPr>
          <w:rFonts w:ascii="David" w:hAnsi="David" w:cs="David"/>
          <w:sz w:val="24"/>
          <w:szCs w:val="24"/>
          <w:rtl/>
        </w:rPr>
      </w:pPr>
      <w:r w:rsidRPr="004A5120">
        <w:rPr>
          <w:rFonts w:ascii="David" w:hAnsi="David" w:cs="David" w:hint="cs"/>
          <w:sz w:val="24"/>
          <w:szCs w:val="24"/>
          <w:rtl/>
        </w:rPr>
        <w:t xml:space="preserve">משנה ארוכה </w:t>
      </w:r>
      <w:r w:rsidRPr="004A5120">
        <w:rPr>
          <w:rFonts w:ascii="David" w:hAnsi="David" w:cs="David"/>
          <w:sz w:val="24"/>
          <w:szCs w:val="24"/>
          <w:rtl/>
        </w:rPr>
        <w:t>–</w:t>
      </w:r>
      <w:r w:rsidRPr="004A5120">
        <w:rPr>
          <w:rFonts w:ascii="David" w:hAnsi="David" w:cs="David" w:hint="cs"/>
          <w:sz w:val="24"/>
          <w:szCs w:val="24"/>
          <w:rtl/>
        </w:rPr>
        <w:t xml:space="preserve"> מח</w:t>
      </w:r>
      <w:r w:rsidR="00962D4E">
        <w:rPr>
          <w:rFonts w:ascii="David" w:hAnsi="David" w:cs="David" w:hint="cs"/>
          <w:sz w:val="24"/>
          <w:szCs w:val="24"/>
          <w:rtl/>
        </w:rPr>
        <w:t>ול</w:t>
      </w:r>
      <w:r w:rsidRPr="004A5120">
        <w:rPr>
          <w:rFonts w:ascii="David" w:hAnsi="David" w:cs="David" w:hint="cs"/>
          <w:sz w:val="24"/>
          <w:szCs w:val="24"/>
          <w:rtl/>
        </w:rPr>
        <w:t xml:space="preserve">קת ל"בבות" (בבא </w:t>
      </w:r>
      <w:r w:rsidR="00962D4E">
        <w:rPr>
          <w:rFonts w:ascii="David" w:hAnsi="David" w:cs="David" w:hint="cs"/>
          <w:sz w:val="24"/>
          <w:szCs w:val="24"/>
          <w:rtl/>
        </w:rPr>
        <w:t xml:space="preserve">= </w:t>
      </w:r>
      <w:r w:rsidRPr="004A5120">
        <w:rPr>
          <w:rFonts w:ascii="David" w:hAnsi="David" w:cs="David" w:hint="cs"/>
          <w:sz w:val="24"/>
          <w:szCs w:val="24"/>
          <w:rtl/>
        </w:rPr>
        <w:t xml:space="preserve">שער), רישא, </w:t>
      </w:r>
      <w:proofErr w:type="spellStart"/>
      <w:r w:rsidRPr="004A5120">
        <w:rPr>
          <w:rFonts w:ascii="David" w:hAnsi="David" w:cs="David" w:hint="cs"/>
          <w:sz w:val="24"/>
          <w:szCs w:val="24"/>
          <w:rtl/>
        </w:rPr>
        <w:t>מציעתא</w:t>
      </w:r>
      <w:proofErr w:type="spellEnd"/>
      <w:r w:rsidRPr="004A5120">
        <w:rPr>
          <w:rFonts w:ascii="David" w:hAnsi="David" w:cs="David" w:hint="cs"/>
          <w:sz w:val="24"/>
          <w:szCs w:val="24"/>
          <w:rtl/>
        </w:rPr>
        <w:t xml:space="preserve"> וסיפא.</w:t>
      </w:r>
    </w:p>
    <w:p w14:paraId="60CB770B" w14:textId="78A2C074" w:rsidR="001E398C" w:rsidRPr="004A5120" w:rsidRDefault="001E398C" w:rsidP="001E398C">
      <w:pPr>
        <w:spacing w:after="0"/>
        <w:jc w:val="both"/>
        <w:rPr>
          <w:rFonts w:ascii="David" w:hAnsi="David" w:cs="David"/>
          <w:sz w:val="24"/>
          <w:szCs w:val="24"/>
          <w:rtl/>
        </w:rPr>
      </w:pPr>
    </w:p>
    <w:p w14:paraId="42FC6639" w14:textId="77777777" w:rsidR="001E398C" w:rsidRPr="004A5120" w:rsidRDefault="001E398C" w:rsidP="001E398C">
      <w:pPr>
        <w:spacing w:after="0"/>
        <w:jc w:val="both"/>
        <w:rPr>
          <w:rFonts w:ascii="David" w:hAnsi="David" w:cs="David"/>
          <w:sz w:val="24"/>
          <w:szCs w:val="24"/>
          <w:rtl/>
        </w:rPr>
      </w:pPr>
      <w:r w:rsidRPr="004A5120">
        <w:rPr>
          <w:rFonts w:ascii="David" w:hAnsi="David" w:cs="David" w:hint="cs"/>
          <w:sz w:val="24"/>
          <w:szCs w:val="24"/>
          <w:rtl/>
        </w:rPr>
        <w:t>המשנה נוגעת בנושאים הלכתיים, משפטיים, דברי מוסר, תוכחה והגות. המסכתות נקראות בד"כ לפי הנושא בו הן עוסקות. חריגים: בבא קמא, בבא מציעא ובבא בתרא, מסכת אחת שחולקה ל3.</w:t>
      </w:r>
    </w:p>
    <w:p w14:paraId="2550B807" w14:textId="77777777" w:rsidR="001E398C" w:rsidRPr="004A5120" w:rsidRDefault="001E398C" w:rsidP="001E398C">
      <w:pPr>
        <w:spacing w:after="0"/>
        <w:jc w:val="both"/>
        <w:rPr>
          <w:rFonts w:ascii="David" w:hAnsi="David" w:cs="David"/>
          <w:sz w:val="24"/>
          <w:szCs w:val="24"/>
          <w:rtl/>
        </w:rPr>
      </w:pPr>
    </w:p>
    <w:p w14:paraId="0CCBBC2B" w14:textId="77777777" w:rsidR="001E398C" w:rsidRPr="004A5120" w:rsidRDefault="001E398C" w:rsidP="001E398C">
      <w:pPr>
        <w:spacing w:after="0"/>
        <w:jc w:val="both"/>
        <w:rPr>
          <w:rFonts w:ascii="David" w:hAnsi="David" w:cs="David"/>
          <w:b/>
          <w:bCs/>
          <w:sz w:val="24"/>
          <w:szCs w:val="24"/>
          <w:u w:val="single"/>
          <w:rtl/>
        </w:rPr>
      </w:pPr>
      <w:r w:rsidRPr="004A5120">
        <w:rPr>
          <w:rFonts w:ascii="David" w:hAnsi="David" w:cs="David" w:hint="cs"/>
          <w:b/>
          <w:bCs/>
          <w:sz w:val="24"/>
          <w:szCs w:val="24"/>
          <w:u w:val="single"/>
          <w:rtl/>
        </w:rPr>
        <w:t>סדר הבאת ההלכות במשנה:</w:t>
      </w:r>
    </w:p>
    <w:p w14:paraId="2DF7475D" w14:textId="77777777" w:rsidR="001E398C" w:rsidRPr="004A5120" w:rsidRDefault="001E398C" w:rsidP="001E398C">
      <w:pPr>
        <w:spacing w:after="0"/>
        <w:jc w:val="both"/>
        <w:rPr>
          <w:rFonts w:ascii="David" w:hAnsi="David" w:cs="David"/>
          <w:sz w:val="24"/>
          <w:szCs w:val="24"/>
          <w:rtl/>
        </w:rPr>
      </w:pPr>
      <w:r w:rsidRPr="004A5120">
        <w:rPr>
          <w:rFonts w:ascii="David" w:hAnsi="David" w:cs="David" w:hint="cs"/>
          <w:sz w:val="24"/>
          <w:szCs w:val="24"/>
          <w:rtl/>
        </w:rPr>
        <w:t>אחת המגמות של המשנה היא ריכוז ההלכות לפי התוכן שלהן. הדבר גורם לעתים למשנה לצאת מהקשרו המקורי של מקום מסוים. דוגמאות:</w:t>
      </w:r>
    </w:p>
    <w:p w14:paraId="6CA3615C" w14:textId="77777777" w:rsidR="001E398C" w:rsidRPr="004A5120" w:rsidRDefault="001E398C" w:rsidP="001A492B">
      <w:pPr>
        <w:pStyle w:val="a3"/>
        <w:numPr>
          <w:ilvl w:val="0"/>
          <w:numId w:val="19"/>
        </w:numPr>
        <w:spacing w:after="0"/>
        <w:jc w:val="both"/>
        <w:rPr>
          <w:rFonts w:ascii="David" w:hAnsi="David" w:cs="David"/>
          <w:sz w:val="24"/>
          <w:szCs w:val="24"/>
        </w:rPr>
      </w:pPr>
      <w:r w:rsidRPr="004A5120">
        <w:rPr>
          <w:rFonts w:ascii="David" w:hAnsi="David" w:cs="David" w:hint="cs"/>
          <w:sz w:val="24"/>
          <w:szCs w:val="24"/>
          <w:rtl/>
        </w:rPr>
        <w:t xml:space="preserve">קידושין </w:t>
      </w:r>
      <w:r w:rsidRPr="004A5120">
        <w:rPr>
          <w:rFonts w:ascii="David" w:hAnsi="David" w:cs="David"/>
          <w:sz w:val="24"/>
          <w:szCs w:val="24"/>
          <w:rtl/>
        </w:rPr>
        <w:t>–</w:t>
      </w:r>
      <w:r w:rsidRPr="004A5120">
        <w:rPr>
          <w:rFonts w:ascii="David" w:hAnsi="David" w:cs="David" w:hint="cs"/>
          <w:sz w:val="24"/>
          <w:szCs w:val="24"/>
          <w:rtl/>
        </w:rPr>
        <w:t xml:space="preserve"> משנות ב עד ו נוגעות לדיני קניין, ענף שלא קשור לקידושין. המכנה המשותף של הקובץ הוא דרכי הקניין השונות, נושא הקניין מתחלף ממשנה למשנה.</w:t>
      </w:r>
    </w:p>
    <w:p w14:paraId="7395B074" w14:textId="77777777" w:rsidR="001E398C" w:rsidRPr="004A5120" w:rsidRDefault="001E398C" w:rsidP="001A492B">
      <w:pPr>
        <w:pStyle w:val="a3"/>
        <w:numPr>
          <w:ilvl w:val="0"/>
          <w:numId w:val="19"/>
        </w:numPr>
        <w:spacing w:after="0"/>
        <w:jc w:val="both"/>
        <w:rPr>
          <w:rFonts w:ascii="David" w:hAnsi="David" w:cs="David"/>
          <w:sz w:val="24"/>
          <w:szCs w:val="24"/>
        </w:rPr>
      </w:pPr>
      <w:r w:rsidRPr="004A5120">
        <w:rPr>
          <w:rFonts w:ascii="David" w:hAnsi="David" w:cs="David" w:hint="cs"/>
          <w:sz w:val="24"/>
          <w:szCs w:val="24"/>
          <w:rtl/>
        </w:rPr>
        <w:t xml:space="preserve">גיטין </w:t>
      </w:r>
      <w:r w:rsidRPr="004A5120">
        <w:rPr>
          <w:rFonts w:ascii="David" w:hAnsi="David" w:cs="David"/>
          <w:sz w:val="24"/>
          <w:szCs w:val="24"/>
          <w:rtl/>
        </w:rPr>
        <w:t>–</w:t>
      </w:r>
      <w:r w:rsidRPr="004A5120">
        <w:rPr>
          <w:rFonts w:ascii="David" w:hAnsi="David" w:cs="David" w:hint="cs"/>
          <w:sz w:val="24"/>
          <w:szCs w:val="24"/>
          <w:rtl/>
        </w:rPr>
        <w:t xml:space="preserve"> מובאות במשנה ב, פרק ד, שתי תקנות של רבן גמליאל בנושא ביטול וכתיבת גט, שנעשו לשם "תיקון עולם". בהמשך מובאות משניות בנושאים שונים ומגוונים, שהמשותף להם הוא שכולן תקנות שתוקנו מפני תיקון עולם.</w:t>
      </w:r>
    </w:p>
    <w:p w14:paraId="39CE99A9" w14:textId="77777777" w:rsidR="00956BD8" w:rsidRPr="004A5120" w:rsidRDefault="00956BD8" w:rsidP="001A492B">
      <w:pPr>
        <w:pStyle w:val="a3"/>
        <w:numPr>
          <w:ilvl w:val="0"/>
          <w:numId w:val="19"/>
        </w:numPr>
        <w:spacing w:after="0"/>
        <w:jc w:val="both"/>
        <w:rPr>
          <w:rFonts w:ascii="David" w:hAnsi="David" w:cs="David"/>
          <w:sz w:val="24"/>
          <w:szCs w:val="24"/>
        </w:rPr>
      </w:pPr>
      <w:r w:rsidRPr="004A5120">
        <w:rPr>
          <w:rFonts w:ascii="David" w:hAnsi="David" w:cs="David" w:hint="cs"/>
          <w:sz w:val="24"/>
          <w:szCs w:val="24"/>
          <w:rtl/>
        </w:rPr>
        <w:t xml:space="preserve">טהרות </w:t>
      </w:r>
      <w:r w:rsidRPr="004A5120">
        <w:rPr>
          <w:rFonts w:ascii="David" w:hAnsi="David" w:cs="David"/>
          <w:sz w:val="24"/>
          <w:szCs w:val="24"/>
          <w:rtl/>
        </w:rPr>
        <w:t>–</w:t>
      </w:r>
      <w:r w:rsidRPr="004A5120">
        <w:rPr>
          <w:rFonts w:ascii="David" w:hAnsi="David" w:cs="David" w:hint="cs"/>
          <w:sz w:val="24"/>
          <w:szCs w:val="24"/>
          <w:rtl/>
        </w:rPr>
        <w:t xml:space="preserve"> מסכת ידיים, הנוגעת לטומאה וטהרה. פרק ד, משנה ו, מובא ויכוח בין צדוקים לפרושים, בנוגע להאם\מתי חייב אדון לשלם על נזק שעשה עובדו. במשנה שלאחריה, מובא ויכוח אחר בין שני הצדדים, הפעם לגבי כתיבת תאריך בגט. </w:t>
      </w:r>
      <w:r w:rsidRPr="004A5120">
        <w:rPr>
          <w:rFonts w:ascii="David" w:hAnsi="David" w:cs="David" w:hint="cs"/>
          <w:b/>
          <w:bCs/>
          <w:sz w:val="24"/>
          <w:szCs w:val="24"/>
          <w:rtl/>
        </w:rPr>
        <w:t>המשותף - ממד ההיסטורי.</w:t>
      </w:r>
    </w:p>
    <w:p w14:paraId="08E93901" w14:textId="77777777" w:rsidR="00956BD8" w:rsidRPr="004A5120" w:rsidRDefault="00956BD8" w:rsidP="00956BD8">
      <w:pPr>
        <w:spacing w:after="0"/>
        <w:jc w:val="both"/>
        <w:rPr>
          <w:rFonts w:ascii="David" w:hAnsi="David" w:cs="David"/>
          <w:sz w:val="24"/>
          <w:szCs w:val="24"/>
          <w:rtl/>
        </w:rPr>
      </w:pPr>
    </w:p>
    <w:p w14:paraId="16BE0BB8" w14:textId="4BDFC1B0" w:rsidR="001E398C" w:rsidRPr="004A5120" w:rsidRDefault="00956BD8" w:rsidP="00956BD8">
      <w:pPr>
        <w:spacing w:after="0"/>
        <w:jc w:val="both"/>
        <w:rPr>
          <w:rFonts w:ascii="David" w:hAnsi="David" w:cs="David"/>
          <w:sz w:val="24"/>
          <w:szCs w:val="24"/>
          <w:rtl/>
        </w:rPr>
      </w:pPr>
      <w:r w:rsidRPr="004A5120">
        <w:rPr>
          <w:rFonts w:ascii="David" w:hAnsi="David" w:cs="David" w:hint="cs"/>
          <w:sz w:val="24"/>
          <w:szCs w:val="24"/>
          <w:rtl/>
        </w:rPr>
        <w:t xml:space="preserve">מכאן שלמרות הסדר שניסה רבי ליצור, משום שהתעקש לשמור יחד על קבצים שהיו מאוגדים יחד במקור, פעמים רבות המשנה נוטה לחרוג מהנושא המקורי של המסכת בה היא ממוקמת. </w:t>
      </w:r>
    </w:p>
    <w:p w14:paraId="38611F19" w14:textId="00F2CAFE" w:rsidR="00DD1B36" w:rsidRPr="004A5120" w:rsidRDefault="00DD1B36" w:rsidP="009E2894">
      <w:pPr>
        <w:spacing w:after="0"/>
        <w:jc w:val="both"/>
        <w:rPr>
          <w:rFonts w:ascii="David" w:hAnsi="David" w:cs="David"/>
          <w:sz w:val="24"/>
          <w:szCs w:val="24"/>
          <w:rtl/>
        </w:rPr>
      </w:pPr>
    </w:p>
    <w:p w14:paraId="7D621BA1" w14:textId="556688A0" w:rsidR="00DD1B36" w:rsidRPr="004A5120" w:rsidRDefault="00956BD8" w:rsidP="009E2894">
      <w:pPr>
        <w:spacing w:after="0"/>
        <w:jc w:val="both"/>
        <w:rPr>
          <w:rFonts w:ascii="David" w:hAnsi="David" w:cs="David"/>
          <w:b/>
          <w:bCs/>
          <w:sz w:val="24"/>
          <w:szCs w:val="24"/>
          <w:u w:val="single"/>
          <w:rtl/>
        </w:rPr>
      </w:pPr>
      <w:r w:rsidRPr="004A5120">
        <w:rPr>
          <w:rFonts w:ascii="David" w:hAnsi="David" w:cs="David" w:hint="cs"/>
          <w:b/>
          <w:bCs/>
          <w:sz w:val="24"/>
          <w:szCs w:val="24"/>
          <w:u w:val="single"/>
          <w:rtl/>
        </w:rPr>
        <w:t>מהותה הקודיפיאקיטיבית</w:t>
      </w:r>
      <w:r w:rsidR="001C035D" w:rsidRPr="004A5120">
        <w:rPr>
          <w:rFonts w:ascii="David" w:hAnsi="David" w:cs="David" w:hint="cs"/>
          <w:b/>
          <w:bCs/>
          <w:sz w:val="24"/>
          <w:szCs w:val="24"/>
          <w:u w:val="single"/>
          <w:rtl/>
        </w:rPr>
        <w:t>(כינוס ואיסוף חוקים)</w:t>
      </w:r>
      <w:r w:rsidRPr="004A5120">
        <w:rPr>
          <w:rFonts w:ascii="David" w:hAnsi="David" w:cs="David" w:hint="cs"/>
          <w:b/>
          <w:bCs/>
          <w:sz w:val="24"/>
          <w:szCs w:val="24"/>
          <w:u w:val="single"/>
          <w:rtl/>
        </w:rPr>
        <w:t xml:space="preserve"> של המשנה</w:t>
      </w:r>
      <w:r w:rsidR="001C035D" w:rsidRPr="004A5120">
        <w:rPr>
          <w:rFonts w:ascii="David" w:hAnsi="David" w:cs="David" w:hint="cs"/>
          <w:b/>
          <w:bCs/>
          <w:sz w:val="24"/>
          <w:szCs w:val="24"/>
          <w:u w:val="single"/>
          <w:rtl/>
        </w:rPr>
        <w:t>:</w:t>
      </w:r>
    </w:p>
    <w:p w14:paraId="599453DD" w14:textId="77777777" w:rsidR="001C035D" w:rsidRPr="004A5120" w:rsidRDefault="001C035D" w:rsidP="009E2894">
      <w:pPr>
        <w:spacing w:after="0"/>
        <w:jc w:val="both"/>
        <w:rPr>
          <w:rFonts w:ascii="David" w:hAnsi="David" w:cs="David"/>
          <w:b/>
          <w:bCs/>
          <w:sz w:val="24"/>
          <w:szCs w:val="24"/>
          <w:u w:val="single"/>
          <w:rtl/>
        </w:rPr>
      </w:pPr>
    </w:p>
    <w:p w14:paraId="5875EAB0" w14:textId="2BAB89CC" w:rsidR="00DD1B36" w:rsidRPr="004A5120" w:rsidRDefault="005E3BFE" w:rsidP="009E2894">
      <w:pPr>
        <w:spacing w:after="0"/>
        <w:jc w:val="both"/>
        <w:rPr>
          <w:rFonts w:ascii="David" w:hAnsi="David" w:cs="David"/>
          <w:sz w:val="24"/>
          <w:szCs w:val="24"/>
          <w:rtl/>
        </w:rPr>
      </w:pPr>
      <w:r w:rsidRPr="004A5120">
        <w:rPr>
          <w:rFonts w:ascii="David" w:hAnsi="David" w:cs="David" w:hint="cs"/>
          <w:sz w:val="24"/>
          <w:szCs w:val="24"/>
          <w:rtl/>
        </w:rPr>
        <w:t xml:space="preserve">חוקרים רבים נחלקו בשאלה, האם רבי יהודה הנשיא ביקש ליצור </w:t>
      </w:r>
      <w:r w:rsidR="00065DE0" w:rsidRPr="004A5120">
        <w:rPr>
          <w:rFonts w:ascii="David" w:hAnsi="David" w:cs="David" w:hint="cs"/>
          <w:sz w:val="24"/>
          <w:szCs w:val="24"/>
          <w:rtl/>
        </w:rPr>
        <w:t>אנציקלופדיה</w:t>
      </w:r>
      <w:r w:rsidRPr="004A5120">
        <w:rPr>
          <w:rFonts w:ascii="David" w:hAnsi="David" w:cs="David" w:hint="cs"/>
          <w:sz w:val="24"/>
          <w:szCs w:val="24"/>
          <w:rtl/>
        </w:rPr>
        <w:t xml:space="preserve"> הלכתית </w:t>
      </w:r>
      <w:r w:rsidRPr="004A5120">
        <w:rPr>
          <w:rFonts w:ascii="David" w:hAnsi="David" w:cs="David"/>
          <w:sz w:val="24"/>
          <w:szCs w:val="24"/>
          <w:rtl/>
        </w:rPr>
        <w:t>–</w:t>
      </w:r>
      <w:r w:rsidRPr="004A5120">
        <w:rPr>
          <w:rFonts w:ascii="David" w:hAnsi="David" w:cs="David" w:hint="cs"/>
          <w:sz w:val="24"/>
          <w:szCs w:val="24"/>
          <w:rtl/>
        </w:rPr>
        <w:t xml:space="preserve"> מבלי לפסוק הלכה, או שמא רצה ליצור קודקס (ספר חוקים מחייב), נקרא גם "קורפוס יוריס". </w:t>
      </w:r>
    </w:p>
    <w:p w14:paraId="4A10DA5B" w14:textId="166AA878" w:rsidR="005E3BFE" w:rsidRPr="004A5120" w:rsidRDefault="005E3BFE" w:rsidP="009E2894">
      <w:pPr>
        <w:spacing w:after="0"/>
        <w:jc w:val="both"/>
        <w:rPr>
          <w:rFonts w:ascii="David" w:hAnsi="David" w:cs="David"/>
          <w:sz w:val="24"/>
          <w:szCs w:val="24"/>
          <w:rtl/>
        </w:rPr>
      </w:pPr>
      <w:r w:rsidRPr="004A5120">
        <w:rPr>
          <w:rFonts w:ascii="David" w:hAnsi="David" w:cs="David" w:hint="cs"/>
          <w:sz w:val="24"/>
          <w:szCs w:val="24"/>
          <w:rtl/>
        </w:rPr>
        <w:t xml:space="preserve">התשבה היא מורכבת היות ולעתים ניתן להבין מהכתוב במשנה שמדובר בקובץ מחייב של הלכות פסוקות </w:t>
      </w:r>
      <w:r w:rsidRPr="004A5120">
        <w:rPr>
          <w:rFonts w:ascii="David" w:hAnsi="David" w:cs="David"/>
          <w:sz w:val="24"/>
          <w:szCs w:val="24"/>
          <w:rtl/>
        </w:rPr>
        <w:t>–</w:t>
      </w:r>
      <w:r w:rsidRPr="004A5120">
        <w:rPr>
          <w:rFonts w:ascii="David" w:hAnsi="David" w:cs="David" w:hint="cs"/>
          <w:sz w:val="24"/>
          <w:szCs w:val="24"/>
          <w:rtl/>
        </w:rPr>
        <w:t xml:space="preserve"> כך גם התייחסו אליה חכמי התלמוד. מנגד, ישנם חלקים רבים במשנה בהם מובאים חילוקי דעות </w:t>
      </w:r>
      <w:r w:rsidRPr="004A5120">
        <w:rPr>
          <w:rFonts w:ascii="David" w:hAnsi="David" w:cs="David"/>
          <w:sz w:val="24"/>
          <w:szCs w:val="24"/>
          <w:rtl/>
        </w:rPr>
        <w:t>–</w:t>
      </w:r>
      <w:r w:rsidRPr="004A5120">
        <w:rPr>
          <w:rFonts w:ascii="David" w:hAnsi="David" w:cs="David" w:hint="cs"/>
          <w:sz w:val="24"/>
          <w:szCs w:val="24"/>
          <w:rtl/>
        </w:rPr>
        <w:t xml:space="preserve"> דבר היוצר תחושה שלא מדובר בהלכה מחייבת, אלא הצגת וריכוז המחלוקות.</w:t>
      </w:r>
    </w:p>
    <w:p w14:paraId="14CDC2B0" w14:textId="34B28B2B" w:rsidR="005E3BFE" w:rsidRPr="004A5120" w:rsidRDefault="005E3BFE" w:rsidP="009E2894">
      <w:pPr>
        <w:spacing w:after="0"/>
        <w:jc w:val="both"/>
        <w:rPr>
          <w:rFonts w:ascii="David" w:hAnsi="David" w:cs="David"/>
          <w:sz w:val="24"/>
          <w:szCs w:val="24"/>
          <w:rtl/>
        </w:rPr>
      </w:pPr>
    </w:p>
    <w:p w14:paraId="4091B10F" w14:textId="7C74926D" w:rsidR="005E3BFE" w:rsidRPr="004A5120" w:rsidRDefault="005E3BFE" w:rsidP="009E2894">
      <w:pPr>
        <w:spacing w:after="0"/>
        <w:jc w:val="both"/>
        <w:rPr>
          <w:rFonts w:ascii="David" w:hAnsi="David" w:cs="David"/>
          <w:sz w:val="24"/>
          <w:szCs w:val="24"/>
          <w:u w:val="single"/>
          <w:rtl/>
        </w:rPr>
      </w:pPr>
      <w:r w:rsidRPr="004A5120">
        <w:rPr>
          <w:rFonts w:ascii="David" w:hAnsi="David" w:cs="David" w:hint="cs"/>
          <w:sz w:val="24"/>
          <w:szCs w:val="24"/>
          <w:u w:val="single"/>
          <w:rtl/>
        </w:rPr>
        <w:t>דוגמאות:</w:t>
      </w:r>
    </w:p>
    <w:p w14:paraId="454496A1" w14:textId="77777777" w:rsidR="0028208D" w:rsidRPr="004A5120" w:rsidRDefault="008F2D80" w:rsidP="001A492B">
      <w:pPr>
        <w:pStyle w:val="a3"/>
        <w:numPr>
          <w:ilvl w:val="0"/>
          <w:numId w:val="20"/>
        </w:numPr>
        <w:spacing w:after="0"/>
        <w:jc w:val="both"/>
        <w:rPr>
          <w:rFonts w:ascii="David" w:hAnsi="David" w:cs="David"/>
          <w:sz w:val="24"/>
          <w:szCs w:val="24"/>
        </w:rPr>
      </w:pPr>
      <w:r w:rsidRPr="004A5120">
        <w:rPr>
          <w:rFonts w:ascii="David" w:hAnsi="David" w:cs="David" w:hint="cs"/>
          <w:sz w:val="24"/>
          <w:szCs w:val="24"/>
          <w:rtl/>
        </w:rPr>
        <w:t xml:space="preserve">ישנה הלכה לפיה בשנת שמיטה, כל חוב של הלוואה מושמט. מנגד, במשנה כתוב שחוב שנוצר "בהקפה" (תשלום דחוי), לא נשמט אלא אם המוכר החשיבו כהלוואה. </w:t>
      </w:r>
    </w:p>
    <w:p w14:paraId="65869150" w14:textId="77777777" w:rsidR="0028208D" w:rsidRPr="004A5120" w:rsidRDefault="008F2D80" w:rsidP="0028208D">
      <w:pPr>
        <w:pStyle w:val="a3"/>
        <w:spacing w:after="0"/>
        <w:jc w:val="both"/>
        <w:rPr>
          <w:rFonts w:ascii="David" w:hAnsi="David" w:cs="David"/>
          <w:sz w:val="24"/>
          <w:szCs w:val="24"/>
          <w:rtl/>
        </w:rPr>
      </w:pPr>
      <w:r w:rsidRPr="004A5120">
        <w:rPr>
          <w:rFonts w:ascii="David" w:hAnsi="David" w:cs="David" w:hint="cs"/>
          <w:sz w:val="24"/>
          <w:szCs w:val="24"/>
          <w:rtl/>
        </w:rPr>
        <w:t xml:space="preserve">בתוספתא (קובץ הלכות חיצוני למשנה), מוזכרים חכמים הנחלקים בשאלה זו. </w:t>
      </w:r>
    </w:p>
    <w:p w14:paraId="2D776456" w14:textId="3B1A3899" w:rsidR="008F2D80" w:rsidRPr="004A5120" w:rsidRDefault="008F2D80" w:rsidP="0028208D">
      <w:pPr>
        <w:pStyle w:val="a3"/>
        <w:spacing w:after="0"/>
        <w:jc w:val="both"/>
        <w:rPr>
          <w:rFonts w:ascii="David" w:hAnsi="David" w:cs="David"/>
          <w:sz w:val="24"/>
          <w:szCs w:val="24"/>
        </w:rPr>
      </w:pPr>
      <w:r w:rsidRPr="004A5120">
        <w:rPr>
          <w:rFonts w:ascii="David" w:hAnsi="David" w:cs="David" w:hint="cs"/>
          <w:sz w:val="24"/>
          <w:szCs w:val="24"/>
          <w:rtl/>
        </w:rPr>
        <w:t>בפועל</w:t>
      </w:r>
      <w:r w:rsidR="0028208D" w:rsidRPr="004A5120">
        <w:rPr>
          <w:rFonts w:ascii="David" w:hAnsi="David" w:cs="David" w:hint="cs"/>
          <w:sz w:val="24"/>
          <w:szCs w:val="24"/>
          <w:rtl/>
        </w:rPr>
        <w:t xml:space="preserve"> </w:t>
      </w:r>
      <w:r w:rsidRPr="004A5120">
        <w:rPr>
          <w:rFonts w:ascii="David" w:hAnsi="David" w:cs="David" w:hint="cs"/>
          <w:sz w:val="24"/>
          <w:szCs w:val="24"/>
          <w:rtl/>
        </w:rPr>
        <w:t>רבי הכריע במחלוקת, הביא במשנה את ההלכה הפסוקה, מבלי לציין את המחלוקת.</w:t>
      </w:r>
    </w:p>
    <w:p w14:paraId="05553196" w14:textId="77FA1F6B" w:rsidR="0028208D" w:rsidRPr="004A5120" w:rsidRDefault="008F2D80" w:rsidP="001A492B">
      <w:pPr>
        <w:pStyle w:val="a3"/>
        <w:numPr>
          <w:ilvl w:val="0"/>
          <w:numId w:val="20"/>
        </w:numPr>
        <w:spacing w:after="0"/>
        <w:jc w:val="both"/>
        <w:rPr>
          <w:rFonts w:ascii="David" w:hAnsi="David" w:cs="David"/>
          <w:sz w:val="24"/>
          <w:szCs w:val="24"/>
        </w:rPr>
      </w:pPr>
      <w:r w:rsidRPr="004A5120">
        <w:rPr>
          <w:rFonts w:ascii="David" w:hAnsi="David" w:cs="David" w:hint="cs"/>
          <w:sz w:val="24"/>
          <w:szCs w:val="24"/>
          <w:rtl/>
        </w:rPr>
        <w:t xml:space="preserve">"מחיקת" דעות מסוימות במחלוקת </w:t>
      </w:r>
      <w:r w:rsidRPr="004A5120">
        <w:rPr>
          <w:rFonts w:ascii="David" w:hAnsi="David" w:cs="David"/>
          <w:sz w:val="24"/>
          <w:szCs w:val="24"/>
          <w:rtl/>
        </w:rPr>
        <w:t>–</w:t>
      </w:r>
      <w:r w:rsidRPr="004A5120">
        <w:rPr>
          <w:rFonts w:ascii="David" w:hAnsi="David" w:cs="David" w:hint="cs"/>
          <w:sz w:val="24"/>
          <w:szCs w:val="24"/>
          <w:rtl/>
        </w:rPr>
        <w:t xml:space="preserve"> במשנה "ברכות" דנים בזמני קריאת שמע בתפילת ערבית. התשובה </w:t>
      </w:r>
      <w:r w:rsidR="0028208D" w:rsidRPr="004A5120">
        <w:rPr>
          <w:rFonts w:ascii="David" w:hAnsi="David" w:cs="David" w:hint="cs"/>
          <w:sz w:val="24"/>
          <w:szCs w:val="24"/>
          <w:rtl/>
        </w:rPr>
        <w:t xml:space="preserve">- </w:t>
      </w:r>
      <w:r w:rsidRPr="004A5120">
        <w:rPr>
          <w:rFonts w:ascii="David" w:hAnsi="David" w:cs="David" w:hint="cs"/>
          <w:sz w:val="24"/>
          <w:szCs w:val="24"/>
          <w:rtl/>
        </w:rPr>
        <w:t xml:space="preserve">"משעה שכוהנים נכנסים לאכול בתרומתן" </w:t>
      </w:r>
      <w:r w:rsidRPr="004A5120">
        <w:rPr>
          <w:rFonts w:ascii="David" w:hAnsi="David" w:cs="David"/>
          <w:sz w:val="24"/>
          <w:szCs w:val="24"/>
          <w:rtl/>
        </w:rPr>
        <w:t>–</w:t>
      </w:r>
      <w:r w:rsidRPr="004A5120">
        <w:rPr>
          <w:rFonts w:ascii="David" w:hAnsi="David" w:cs="David" w:hint="cs"/>
          <w:sz w:val="24"/>
          <w:szCs w:val="24"/>
          <w:rtl/>
        </w:rPr>
        <w:t xml:space="preserve"> בערך זמן שקיעת השמש.</w:t>
      </w:r>
    </w:p>
    <w:p w14:paraId="519443E8" w14:textId="3BC29736" w:rsidR="0028208D" w:rsidRPr="004A5120" w:rsidRDefault="0028208D" w:rsidP="0028208D">
      <w:pPr>
        <w:pStyle w:val="a3"/>
        <w:spacing w:after="0"/>
        <w:jc w:val="both"/>
        <w:rPr>
          <w:rFonts w:ascii="David" w:hAnsi="David" w:cs="David"/>
          <w:sz w:val="24"/>
          <w:szCs w:val="24"/>
          <w:rtl/>
        </w:rPr>
      </w:pPr>
      <w:r w:rsidRPr="004A5120">
        <w:rPr>
          <w:rFonts w:ascii="David" w:hAnsi="David" w:cs="David" w:hint="cs"/>
          <w:sz w:val="24"/>
          <w:szCs w:val="24"/>
          <w:rtl/>
        </w:rPr>
        <w:t xml:space="preserve">בתוספתא "ברכות" </w:t>
      </w:r>
      <w:r w:rsidRPr="004A5120">
        <w:rPr>
          <w:rFonts w:ascii="David" w:hAnsi="David" w:cs="David"/>
          <w:sz w:val="24"/>
          <w:szCs w:val="24"/>
          <w:rtl/>
        </w:rPr>
        <w:t>–</w:t>
      </w:r>
      <w:r w:rsidRPr="004A5120">
        <w:rPr>
          <w:rFonts w:ascii="David" w:hAnsi="David" w:cs="David" w:hint="cs"/>
          <w:sz w:val="24"/>
          <w:szCs w:val="24"/>
          <w:rtl/>
        </w:rPr>
        <w:t xml:space="preserve"> מוצגת מחלוקת בתשובה בין ר' מאיר לחכמים.</w:t>
      </w:r>
    </w:p>
    <w:p w14:paraId="332FD646" w14:textId="73FA344B" w:rsidR="0028208D" w:rsidRPr="004A5120" w:rsidRDefault="0028208D" w:rsidP="0028208D">
      <w:pPr>
        <w:pStyle w:val="a3"/>
        <w:spacing w:after="0"/>
        <w:jc w:val="both"/>
        <w:rPr>
          <w:rFonts w:ascii="David" w:hAnsi="David" w:cs="David"/>
          <w:sz w:val="24"/>
          <w:szCs w:val="24"/>
          <w:rtl/>
        </w:rPr>
      </w:pPr>
      <w:r w:rsidRPr="004A5120">
        <w:rPr>
          <w:rFonts w:ascii="David" w:hAnsi="David" w:cs="David" w:hint="cs"/>
          <w:sz w:val="24"/>
          <w:szCs w:val="24"/>
          <w:rtl/>
        </w:rPr>
        <w:t>שוב, רבי יהודה הנשיא הביא במשנה רק את דעת החכמים וככה הכריע כדבריהם.</w:t>
      </w:r>
    </w:p>
    <w:p w14:paraId="60B52305" w14:textId="200D67BC" w:rsidR="0028208D" w:rsidRPr="004A5120" w:rsidRDefault="0028208D" w:rsidP="0028208D">
      <w:pPr>
        <w:pStyle w:val="a3"/>
        <w:spacing w:after="0"/>
        <w:jc w:val="both"/>
        <w:rPr>
          <w:rFonts w:ascii="David" w:hAnsi="David" w:cs="David"/>
          <w:sz w:val="24"/>
          <w:szCs w:val="24"/>
          <w:u w:val="single"/>
          <w:rtl/>
        </w:rPr>
      </w:pPr>
    </w:p>
    <w:p w14:paraId="3D5166DF" w14:textId="2B320695" w:rsidR="0028208D" w:rsidRPr="004A5120" w:rsidRDefault="0028208D" w:rsidP="0028208D">
      <w:pPr>
        <w:spacing w:after="0"/>
        <w:jc w:val="both"/>
        <w:rPr>
          <w:rFonts w:ascii="David" w:hAnsi="David" w:cs="David"/>
          <w:sz w:val="24"/>
          <w:szCs w:val="24"/>
          <w:u w:val="single"/>
          <w:rtl/>
        </w:rPr>
      </w:pPr>
      <w:r w:rsidRPr="004A5120">
        <w:rPr>
          <w:rFonts w:ascii="David" w:hAnsi="David" w:cs="David" w:hint="cs"/>
          <w:sz w:val="24"/>
          <w:szCs w:val="24"/>
          <w:u w:val="single"/>
          <w:rtl/>
        </w:rPr>
        <w:t>ניסוח ההלכה במשנה בסתם ובלשון חכמים:</w:t>
      </w:r>
    </w:p>
    <w:p w14:paraId="40AB8BFB" w14:textId="1A0BC4FC" w:rsidR="0016752A" w:rsidRPr="004A5120" w:rsidRDefault="009A0900" w:rsidP="0016752A">
      <w:pPr>
        <w:spacing w:after="0"/>
        <w:jc w:val="both"/>
        <w:rPr>
          <w:rFonts w:ascii="David" w:hAnsi="David" w:cs="David"/>
          <w:sz w:val="24"/>
          <w:szCs w:val="24"/>
          <w:rtl/>
        </w:rPr>
      </w:pPr>
      <w:r w:rsidRPr="004A5120">
        <w:rPr>
          <w:rFonts w:ascii="David" w:hAnsi="David" w:cs="David" w:hint="cs"/>
          <w:sz w:val="24"/>
          <w:szCs w:val="24"/>
          <w:rtl/>
        </w:rPr>
        <w:t xml:space="preserve">דרכו הייחודית של רבי יהודה הנשיא בניסוח ההלכות מאפשרת לקורא להבין מה ההלכה הנכונה, גם במצב בו מובאות כמה דעות שונות במשנה. את הדעה הקובעת מביא רבי בצורה אנונימית, סתמית לכאורה, מבלי לציין את שם החכם. כך בוחר רבי בדרך הראויה, בה לא נותנים ייחוס לחכם שההלכה נפסקה לפיו. </w:t>
      </w:r>
      <w:r w:rsidR="0016752A" w:rsidRPr="004A5120">
        <w:rPr>
          <w:rFonts w:ascii="David" w:hAnsi="David" w:cs="David" w:hint="cs"/>
          <w:sz w:val="24"/>
          <w:szCs w:val="24"/>
          <w:rtl/>
        </w:rPr>
        <w:t>דוג' לכך מעדותו של רבי יוחנן, לפיה כאשר רבי ביקש לפסוק הלכה כרבי מאיר וכדעת רבי שמעון, הביא את דבריהם באנונימיות.</w:t>
      </w:r>
    </w:p>
    <w:p w14:paraId="5090C060" w14:textId="5C3111FE" w:rsidR="0016752A" w:rsidRPr="004A5120" w:rsidRDefault="0016752A" w:rsidP="0016752A">
      <w:pPr>
        <w:spacing w:after="0"/>
        <w:jc w:val="both"/>
        <w:rPr>
          <w:rFonts w:ascii="David" w:hAnsi="David" w:cs="David"/>
          <w:sz w:val="24"/>
          <w:szCs w:val="24"/>
          <w:rtl/>
        </w:rPr>
      </w:pPr>
    </w:p>
    <w:p w14:paraId="618C256C" w14:textId="22588C0A" w:rsidR="0016752A" w:rsidRPr="004A5120" w:rsidRDefault="0016752A" w:rsidP="0016752A">
      <w:pPr>
        <w:spacing w:after="0"/>
        <w:jc w:val="both"/>
        <w:rPr>
          <w:rFonts w:ascii="David" w:hAnsi="David" w:cs="David"/>
          <w:sz w:val="24"/>
          <w:szCs w:val="24"/>
          <w:rtl/>
        </w:rPr>
      </w:pPr>
    </w:p>
    <w:p w14:paraId="3A012DC1" w14:textId="5A4521F3" w:rsidR="0016752A" w:rsidRPr="004A5120" w:rsidRDefault="0016752A" w:rsidP="0016752A">
      <w:pPr>
        <w:spacing w:after="0"/>
        <w:jc w:val="both"/>
        <w:rPr>
          <w:rFonts w:ascii="David" w:hAnsi="David" w:cs="David"/>
          <w:sz w:val="24"/>
          <w:szCs w:val="24"/>
          <w:rtl/>
        </w:rPr>
      </w:pPr>
    </w:p>
    <w:p w14:paraId="29344324" w14:textId="55008A14" w:rsidR="0016752A" w:rsidRPr="004A5120" w:rsidRDefault="0016752A" w:rsidP="0016752A">
      <w:pPr>
        <w:spacing w:after="0"/>
        <w:jc w:val="both"/>
        <w:rPr>
          <w:rFonts w:ascii="David" w:hAnsi="David" w:cs="David"/>
          <w:sz w:val="24"/>
          <w:szCs w:val="24"/>
          <w:rtl/>
        </w:rPr>
      </w:pPr>
    </w:p>
    <w:p w14:paraId="10BDFE7B" w14:textId="63D866A9" w:rsidR="0016752A" w:rsidRPr="004A5120" w:rsidRDefault="0016752A" w:rsidP="0016752A">
      <w:pPr>
        <w:spacing w:after="0"/>
        <w:jc w:val="both"/>
        <w:rPr>
          <w:rFonts w:ascii="David" w:hAnsi="David" w:cs="David"/>
          <w:sz w:val="24"/>
          <w:szCs w:val="24"/>
          <w:rtl/>
        </w:rPr>
      </w:pPr>
    </w:p>
    <w:p w14:paraId="7FE74126" w14:textId="65BB5440" w:rsidR="0016752A" w:rsidRPr="004A5120" w:rsidRDefault="0016752A" w:rsidP="0016752A">
      <w:pPr>
        <w:spacing w:after="0"/>
        <w:jc w:val="both"/>
        <w:rPr>
          <w:rFonts w:ascii="David" w:hAnsi="David" w:cs="David"/>
          <w:sz w:val="24"/>
          <w:szCs w:val="24"/>
          <w:rtl/>
        </w:rPr>
      </w:pPr>
    </w:p>
    <w:p w14:paraId="5E9C086B" w14:textId="22FBE3AA" w:rsidR="0016752A" w:rsidRPr="004A5120" w:rsidRDefault="0016752A" w:rsidP="0016752A">
      <w:pPr>
        <w:spacing w:after="0"/>
        <w:jc w:val="both"/>
        <w:rPr>
          <w:rFonts w:ascii="David" w:hAnsi="David" w:cs="David"/>
          <w:sz w:val="24"/>
          <w:szCs w:val="24"/>
          <w:rtl/>
        </w:rPr>
      </w:pPr>
    </w:p>
    <w:p w14:paraId="3459AEB9" w14:textId="6F90D15C" w:rsidR="0016752A" w:rsidRPr="004A5120" w:rsidRDefault="0016752A" w:rsidP="0016752A">
      <w:pPr>
        <w:spacing w:after="0"/>
        <w:jc w:val="both"/>
        <w:rPr>
          <w:rFonts w:ascii="David" w:hAnsi="David" w:cs="David"/>
          <w:sz w:val="24"/>
          <w:szCs w:val="24"/>
          <w:rtl/>
        </w:rPr>
      </w:pPr>
    </w:p>
    <w:p w14:paraId="21BCB4AE" w14:textId="77777777" w:rsidR="0016752A" w:rsidRPr="004A5120" w:rsidRDefault="0016752A" w:rsidP="0016752A">
      <w:pPr>
        <w:spacing w:after="0"/>
        <w:jc w:val="both"/>
        <w:rPr>
          <w:rFonts w:ascii="David" w:hAnsi="David" w:cs="David"/>
          <w:sz w:val="24"/>
          <w:szCs w:val="24"/>
          <w:rtl/>
        </w:rPr>
      </w:pPr>
    </w:p>
    <w:p w14:paraId="491A0FFB" w14:textId="59F1E6E6" w:rsidR="0016752A" w:rsidRPr="004A5120" w:rsidRDefault="0016752A" w:rsidP="0016752A">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מאמר 3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המקורות הרישומיים בתקופת התנאים:</w:t>
      </w:r>
    </w:p>
    <w:p w14:paraId="3033F4F9" w14:textId="5449D21E" w:rsidR="0016752A" w:rsidRPr="004A5120" w:rsidRDefault="0016752A" w:rsidP="0016752A">
      <w:pPr>
        <w:spacing w:after="0"/>
        <w:jc w:val="both"/>
        <w:rPr>
          <w:rFonts w:ascii="David" w:hAnsi="David" w:cs="David"/>
          <w:b/>
          <w:bCs/>
          <w:sz w:val="24"/>
          <w:szCs w:val="24"/>
          <w:u w:val="single"/>
          <w:rtl/>
        </w:rPr>
      </w:pPr>
    </w:p>
    <w:p w14:paraId="4134DC52" w14:textId="1C4C89B1" w:rsidR="0016752A" w:rsidRPr="004A5120" w:rsidRDefault="0016752A" w:rsidP="0016752A">
      <w:pPr>
        <w:spacing w:after="0"/>
        <w:jc w:val="both"/>
        <w:rPr>
          <w:rFonts w:ascii="David" w:hAnsi="David" w:cs="David"/>
          <w:sz w:val="24"/>
          <w:szCs w:val="24"/>
          <w:u w:val="single"/>
          <w:rtl/>
        </w:rPr>
      </w:pPr>
      <w:r w:rsidRPr="004A5120">
        <w:rPr>
          <w:rFonts w:ascii="David" w:hAnsi="David" w:cs="David" w:hint="cs"/>
          <w:sz w:val="24"/>
          <w:szCs w:val="24"/>
          <w:u w:val="single"/>
          <w:rtl/>
        </w:rPr>
        <w:t>מושגים:</w:t>
      </w:r>
    </w:p>
    <w:p w14:paraId="3F4B0E2D" w14:textId="7D6BA38C" w:rsidR="0016752A" w:rsidRPr="004A5120" w:rsidRDefault="0016752A" w:rsidP="0016752A">
      <w:pPr>
        <w:pStyle w:val="a3"/>
        <w:numPr>
          <w:ilvl w:val="0"/>
          <w:numId w:val="1"/>
        </w:numPr>
        <w:spacing w:after="0"/>
        <w:jc w:val="both"/>
        <w:rPr>
          <w:rFonts w:ascii="David" w:hAnsi="David" w:cs="David"/>
          <w:sz w:val="24"/>
          <w:szCs w:val="24"/>
        </w:rPr>
      </w:pPr>
      <w:r w:rsidRPr="004A5120">
        <w:rPr>
          <w:rFonts w:ascii="David" w:hAnsi="David" w:cs="David" w:hint="cs"/>
          <w:sz w:val="24"/>
          <w:szCs w:val="24"/>
          <w:rtl/>
        </w:rPr>
        <w:t xml:space="preserve">קזואיסטי </w:t>
      </w:r>
      <w:r w:rsidRPr="004A5120">
        <w:rPr>
          <w:rFonts w:ascii="David" w:hAnsi="David" w:cs="David"/>
          <w:sz w:val="24"/>
          <w:szCs w:val="24"/>
          <w:rtl/>
        </w:rPr>
        <w:t>–</w:t>
      </w:r>
      <w:r w:rsidRPr="004A5120">
        <w:rPr>
          <w:rFonts w:ascii="David" w:hAnsi="David" w:cs="David" w:hint="cs"/>
          <w:sz w:val="24"/>
          <w:szCs w:val="24"/>
          <w:rtl/>
        </w:rPr>
        <w:t xml:space="preserve"> שיטה של בחינת כל מקרה לגופו.</w:t>
      </w:r>
    </w:p>
    <w:p w14:paraId="256E1BA9" w14:textId="4F163769" w:rsidR="0016752A" w:rsidRPr="004A5120" w:rsidRDefault="0016752A" w:rsidP="0016752A">
      <w:pPr>
        <w:pStyle w:val="a3"/>
        <w:numPr>
          <w:ilvl w:val="0"/>
          <w:numId w:val="1"/>
        </w:numPr>
        <w:spacing w:after="0"/>
        <w:jc w:val="both"/>
        <w:rPr>
          <w:rFonts w:ascii="David" w:hAnsi="David" w:cs="David"/>
          <w:sz w:val="24"/>
          <w:szCs w:val="24"/>
          <w:rtl/>
        </w:rPr>
      </w:pPr>
      <w:r w:rsidRPr="004A5120">
        <w:rPr>
          <w:rFonts w:ascii="David" w:hAnsi="David" w:cs="David" w:hint="cs"/>
          <w:sz w:val="24"/>
          <w:szCs w:val="24"/>
          <w:rtl/>
        </w:rPr>
        <w:t xml:space="preserve">נורמטיבי </w:t>
      </w:r>
      <w:r w:rsidRPr="004A5120">
        <w:rPr>
          <w:rFonts w:ascii="David" w:hAnsi="David" w:cs="David"/>
          <w:sz w:val="24"/>
          <w:szCs w:val="24"/>
          <w:rtl/>
        </w:rPr>
        <w:t>–</w:t>
      </w:r>
      <w:r w:rsidRPr="004A5120">
        <w:rPr>
          <w:rFonts w:ascii="David" w:hAnsi="David" w:cs="David" w:hint="cs"/>
          <w:sz w:val="24"/>
          <w:szCs w:val="24"/>
          <w:rtl/>
        </w:rPr>
        <w:t xml:space="preserve"> עקרון משפטי כללי </w:t>
      </w:r>
      <w:r w:rsidRPr="004A5120">
        <w:rPr>
          <w:rFonts w:ascii="David" w:hAnsi="David" w:cs="David"/>
          <w:sz w:val="24"/>
          <w:szCs w:val="24"/>
          <w:rtl/>
        </w:rPr>
        <w:t>–</w:t>
      </w:r>
      <w:r w:rsidRPr="004A5120">
        <w:rPr>
          <w:rFonts w:ascii="David" w:hAnsi="David" w:cs="David" w:hint="cs"/>
          <w:sz w:val="24"/>
          <w:szCs w:val="24"/>
          <w:rtl/>
        </w:rPr>
        <w:t xml:space="preserve"> ניסוח מתומצת וחד.</w:t>
      </w:r>
    </w:p>
    <w:p w14:paraId="0B4B8654" w14:textId="6B927DAA" w:rsidR="0016752A" w:rsidRPr="004A5120" w:rsidRDefault="0016752A" w:rsidP="0016752A">
      <w:pPr>
        <w:spacing w:after="0"/>
        <w:jc w:val="both"/>
        <w:rPr>
          <w:rFonts w:ascii="David" w:hAnsi="David" w:cs="David"/>
          <w:sz w:val="24"/>
          <w:szCs w:val="24"/>
          <w:u w:val="single"/>
          <w:rtl/>
        </w:rPr>
      </w:pPr>
    </w:p>
    <w:p w14:paraId="750D9CC2" w14:textId="37FD3269" w:rsidR="0016752A" w:rsidRPr="004A5120" w:rsidRDefault="0016752A" w:rsidP="00E45441">
      <w:pPr>
        <w:spacing w:after="0"/>
        <w:jc w:val="both"/>
        <w:rPr>
          <w:rFonts w:ascii="David" w:hAnsi="David" w:cs="David"/>
          <w:sz w:val="24"/>
          <w:szCs w:val="24"/>
          <w:rtl/>
        </w:rPr>
      </w:pPr>
      <w:r w:rsidRPr="004A5120">
        <w:rPr>
          <w:rFonts w:ascii="David" w:hAnsi="David" w:cs="David" w:hint="cs"/>
          <w:sz w:val="24"/>
          <w:szCs w:val="24"/>
          <w:rtl/>
        </w:rPr>
        <w:t xml:space="preserve">יש להבין את המושגים היותר והמאמר בנוי בצורה בה הוא מביא דוגמאות לשני סוגי הניסוחים מהמשנה. </w:t>
      </w:r>
      <w:r w:rsidR="00E45441" w:rsidRPr="004A5120">
        <w:rPr>
          <w:rFonts w:ascii="David" w:hAnsi="David" w:cs="David" w:hint="cs"/>
          <w:sz w:val="24"/>
          <w:szCs w:val="24"/>
          <w:rtl/>
        </w:rPr>
        <w:t>כותב המאמר גורס באופן עקרוני כי השיטה הנהוגה במשנה היא הקזואיסטית.</w:t>
      </w:r>
    </w:p>
    <w:p w14:paraId="0F10F54F" w14:textId="77777777" w:rsidR="0016752A" w:rsidRPr="004A5120" w:rsidRDefault="0016752A" w:rsidP="0016752A">
      <w:pPr>
        <w:spacing w:after="0"/>
        <w:jc w:val="both"/>
        <w:rPr>
          <w:rFonts w:ascii="David" w:hAnsi="David" w:cs="David"/>
          <w:sz w:val="24"/>
          <w:szCs w:val="24"/>
          <w:u w:val="single"/>
          <w:rtl/>
        </w:rPr>
      </w:pPr>
    </w:p>
    <w:p w14:paraId="2F0EA4B0" w14:textId="23F50EF5" w:rsidR="0016752A" w:rsidRPr="004A5120" w:rsidRDefault="0016752A" w:rsidP="0016752A">
      <w:pPr>
        <w:spacing w:after="0"/>
        <w:jc w:val="both"/>
        <w:rPr>
          <w:rFonts w:ascii="David" w:hAnsi="David" w:cs="David"/>
          <w:sz w:val="24"/>
          <w:szCs w:val="24"/>
          <w:u w:val="single"/>
          <w:rtl/>
        </w:rPr>
      </w:pPr>
      <w:r w:rsidRPr="004A5120">
        <w:rPr>
          <w:rFonts w:ascii="David" w:hAnsi="David" w:cs="David" w:hint="cs"/>
          <w:sz w:val="24"/>
          <w:szCs w:val="24"/>
          <w:u w:val="single"/>
          <w:rtl/>
        </w:rPr>
        <w:t>דרך ניסוח המשנה:</w:t>
      </w:r>
    </w:p>
    <w:p w14:paraId="365B3F31" w14:textId="1E285DC5"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כדי להבין את המהות הקודיפיאקטיבית של המשנה, יש לשים לב לתופעת הניסוח המיוחד שלה.</w:t>
      </w:r>
    </w:p>
    <w:p w14:paraId="0DA20F75" w14:textId="3345DC72"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הוראת דין במשנה יכולה להיות מנוסחת בשתי דרכים: הקוזאיסטית או הנורמטיבית.</w:t>
      </w:r>
    </w:p>
    <w:p w14:paraId="1A26D410" w14:textId="0770FC2A"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 xml:space="preserve">בניסוח הקזואיסטי </w:t>
      </w:r>
      <w:r w:rsidRPr="004A5120">
        <w:rPr>
          <w:rFonts w:ascii="David" w:hAnsi="David" w:cs="David"/>
          <w:sz w:val="24"/>
          <w:szCs w:val="24"/>
          <w:rtl/>
        </w:rPr>
        <w:t>–</w:t>
      </w:r>
      <w:r w:rsidRPr="004A5120">
        <w:rPr>
          <w:rFonts w:ascii="David" w:hAnsi="David" w:cs="David" w:hint="cs"/>
          <w:sz w:val="24"/>
          <w:szCs w:val="24"/>
          <w:rtl/>
        </w:rPr>
        <w:t xml:space="preserve"> הדין מובא בצורת קייס, פירוט עובדתי וקונקרטי שבעקבותיו נקבעה הלכה.</w:t>
      </w:r>
    </w:p>
    <w:p w14:paraId="14867B4D" w14:textId="2CC2D073"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 xml:space="preserve">הניסוח הנורמטיבי </w:t>
      </w:r>
      <w:r w:rsidRPr="004A5120">
        <w:rPr>
          <w:rFonts w:ascii="David" w:hAnsi="David" w:cs="David"/>
          <w:sz w:val="24"/>
          <w:szCs w:val="24"/>
          <w:rtl/>
        </w:rPr>
        <w:t>–</w:t>
      </w:r>
      <w:r w:rsidRPr="004A5120">
        <w:rPr>
          <w:rFonts w:ascii="David" w:hAnsi="David" w:cs="David" w:hint="cs"/>
          <w:sz w:val="24"/>
          <w:szCs w:val="24"/>
          <w:rtl/>
        </w:rPr>
        <w:t xml:space="preserve"> מובעת הנורמה, הכלל המופשט של רעיון משפטי מסוים, ללא המחשה.</w:t>
      </w:r>
    </w:p>
    <w:p w14:paraId="48C3A312" w14:textId="1453B478" w:rsidR="00E45441" w:rsidRPr="004A5120" w:rsidRDefault="00E45441" w:rsidP="0016752A">
      <w:pPr>
        <w:spacing w:after="0"/>
        <w:jc w:val="both"/>
        <w:rPr>
          <w:rFonts w:ascii="David" w:hAnsi="David" w:cs="David"/>
          <w:sz w:val="24"/>
          <w:szCs w:val="24"/>
          <w:rtl/>
        </w:rPr>
      </w:pPr>
    </w:p>
    <w:p w14:paraId="6C755387" w14:textId="77777777"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 xml:space="preserve">כיום, אני רגילים לניסוח של חוקים בצורה נורמטיבית, ללא דוגמאות קזואיסטיות ספציפיות (חוקים יבשים). לעומת זאת, המשנה מנוסחת ברובה בצורה קזואיסטית (כמו פסיקה). דרך זו אופיינית להלכה מתחילתה ועד ימנו, היות וזו התפתחה בד בבד עם התקדמות הדורות, תוך הכרעות במחלוקות ספציפיות ומסירת ההלכה מדור לדור. </w:t>
      </w:r>
    </w:p>
    <w:p w14:paraId="6A3F2BA5" w14:textId="57576476" w:rsidR="00E45441" w:rsidRPr="004A5120" w:rsidRDefault="00E45441" w:rsidP="0016752A">
      <w:pPr>
        <w:spacing w:after="0"/>
        <w:jc w:val="both"/>
        <w:rPr>
          <w:rFonts w:ascii="David" w:hAnsi="David" w:cs="David"/>
          <w:sz w:val="24"/>
          <w:szCs w:val="24"/>
          <w:rtl/>
        </w:rPr>
      </w:pPr>
      <w:r w:rsidRPr="004A5120">
        <w:rPr>
          <w:rFonts w:ascii="David" w:hAnsi="David" w:cs="David" w:hint="cs"/>
          <w:sz w:val="24"/>
          <w:szCs w:val="24"/>
          <w:rtl/>
        </w:rPr>
        <w:t>לעתים ניתן למצוא במשנה גם ניסוחים מעורבים או נורמטיביי</w:t>
      </w:r>
      <w:r w:rsidRPr="004A5120">
        <w:rPr>
          <w:rFonts w:ascii="David" w:hAnsi="David" w:cs="David" w:hint="eastAsia"/>
          <w:sz w:val="24"/>
          <w:szCs w:val="24"/>
          <w:rtl/>
        </w:rPr>
        <w:t>ם</w:t>
      </w:r>
      <w:r w:rsidRPr="004A5120">
        <w:rPr>
          <w:rFonts w:ascii="David" w:hAnsi="David" w:cs="David" w:hint="cs"/>
          <w:sz w:val="24"/>
          <w:szCs w:val="24"/>
          <w:rtl/>
        </w:rPr>
        <w:t xml:space="preserve"> לחלוטין, אך זה נדיר למדי.</w:t>
      </w:r>
    </w:p>
    <w:p w14:paraId="4EB5EB3E" w14:textId="340E8456" w:rsidR="00E45441" w:rsidRPr="004A5120" w:rsidRDefault="00E45441" w:rsidP="0016752A">
      <w:pPr>
        <w:spacing w:after="0"/>
        <w:jc w:val="both"/>
        <w:rPr>
          <w:rFonts w:ascii="David" w:hAnsi="David" w:cs="David"/>
          <w:sz w:val="24"/>
          <w:szCs w:val="24"/>
          <w:rtl/>
        </w:rPr>
      </w:pPr>
    </w:p>
    <w:p w14:paraId="2BF7B6C7" w14:textId="67FEEA06" w:rsidR="00E45441" w:rsidRPr="004A5120" w:rsidRDefault="00E45441" w:rsidP="0016752A">
      <w:pPr>
        <w:spacing w:after="0"/>
        <w:jc w:val="both"/>
        <w:rPr>
          <w:rFonts w:ascii="David" w:hAnsi="David" w:cs="David"/>
          <w:sz w:val="24"/>
          <w:szCs w:val="24"/>
          <w:u w:val="single"/>
          <w:rtl/>
        </w:rPr>
      </w:pPr>
      <w:r w:rsidRPr="004A5120">
        <w:rPr>
          <w:rFonts w:ascii="David" w:hAnsi="David" w:cs="David" w:hint="cs"/>
          <w:sz w:val="24"/>
          <w:szCs w:val="24"/>
          <w:u w:val="single"/>
          <w:rtl/>
        </w:rPr>
        <w:t>ניסוח קוזאיסטי:</w:t>
      </w:r>
    </w:p>
    <w:p w14:paraId="3964CD69" w14:textId="489581A4" w:rsidR="00E45441" w:rsidRPr="004A5120" w:rsidRDefault="00B82AED" w:rsidP="0016752A">
      <w:pPr>
        <w:spacing w:after="0"/>
        <w:jc w:val="both"/>
        <w:rPr>
          <w:rFonts w:ascii="David" w:hAnsi="David" w:cs="David"/>
          <w:sz w:val="24"/>
          <w:szCs w:val="24"/>
          <w:rtl/>
        </w:rPr>
      </w:pPr>
      <w:r w:rsidRPr="004A5120">
        <w:rPr>
          <w:rFonts w:ascii="David" w:hAnsi="David" w:cs="David" w:hint="cs"/>
          <w:sz w:val="24"/>
          <w:szCs w:val="24"/>
          <w:rtl/>
        </w:rPr>
        <w:t>במסכת בבא בתרא נקבע שאדם לא יחפור בורות מים ותעלות בצמוד לבורות או תעלות של אחר, ומגדירה את המרחק הראוי. (בהמשך, מפרטת סוגי פסולת ומזיקים שצריך להרחיק מבור של אחר).</w:t>
      </w:r>
    </w:p>
    <w:p w14:paraId="4637A50E" w14:textId="16783AD5" w:rsidR="00B82AED" w:rsidRPr="004A5120" w:rsidRDefault="00B82AED" w:rsidP="0016752A">
      <w:pPr>
        <w:spacing w:after="0"/>
        <w:jc w:val="both"/>
        <w:rPr>
          <w:rFonts w:ascii="David" w:hAnsi="David" w:cs="David"/>
          <w:sz w:val="24"/>
          <w:szCs w:val="24"/>
          <w:rtl/>
        </w:rPr>
      </w:pPr>
      <w:r w:rsidRPr="004A5120">
        <w:rPr>
          <w:rFonts w:ascii="David" w:hAnsi="David" w:cs="David" w:hint="cs"/>
          <w:sz w:val="24"/>
          <w:szCs w:val="24"/>
          <w:rtl/>
        </w:rPr>
        <w:t xml:space="preserve">המשנה מונה רשימה של סוגי בורות ותעלות אליהם הדין מתייחס. בנוסף, קובעת עיקרון מהותי בדיני נזיקין </w:t>
      </w:r>
      <w:r w:rsidRPr="004A5120">
        <w:rPr>
          <w:rFonts w:ascii="David" w:hAnsi="David" w:cs="David"/>
          <w:sz w:val="24"/>
          <w:szCs w:val="24"/>
          <w:rtl/>
        </w:rPr>
        <w:t>–</w:t>
      </w:r>
      <w:r w:rsidRPr="004A5120">
        <w:rPr>
          <w:rFonts w:ascii="David" w:hAnsi="David" w:cs="David" w:hint="cs"/>
          <w:sz w:val="24"/>
          <w:szCs w:val="24"/>
          <w:rtl/>
        </w:rPr>
        <w:t xml:space="preserve"> גם כשאדם פועל מתוך השטח הפרטי שלו, חובה עליו להיזהר מפני גרימת נזק לשכן. </w:t>
      </w:r>
    </w:p>
    <w:p w14:paraId="1D75BB0C" w14:textId="77777777" w:rsidR="00B82AED" w:rsidRPr="004A5120" w:rsidRDefault="00B82AED" w:rsidP="0016752A">
      <w:pPr>
        <w:spacing w:after="0"/>
        <w:jc w:val="both"/>
        <w:rPr>
          <w:rFonts w:ascii="David" w:hAnsi="David" w:cs="David"/>
          <w:sz w:val="24"/>
          <w:szCs w:val="24"/>
          <w:rtl/>
        </w:rPr>
      </w:pPr>
    </w:p>
    <w:p w14:paraId="13D637EF" w14:textId="12ABDA2F" w:rsidR="0016752A" w:rsidRPr="004A5120" w:rsidRDefault="00B82AED" w:rsidP="0016752A">
      <w:pPr>
        <w:spacing w:after="0"/>
        <w:jc w:val="both"/>
        <w:rPr>
          <w:rFonts w:ascii="David" w:hAnsi="David" w:cs="David"/>
          <w:sz w:val="24"/>
          <w:szCs w:val="24"/>
          <w:rtl/>
        </w:rPr>
      </w:pPr>
      <w:r w:rsidRPr="004A5120">
        <w:rPr>
          <w:rFonts w:ascii="David" w:hAnsi="David" w:cs="David" w:hint="cs"/>
          <w:sz w:val="24"/>
          <w:szCs w:val="24"/>
          <w:rtl/>
        </w:rPr>
        <w:t>אנו עדים להסקת נורמה משפטית מתוך הניסוח הקזואיסטי: אסור לאדם להזיק לחברו, גם מתוך שטחו הפרטי. המשנה מביאה דוגמאות מחיי המציאות הממשיים, למרות שיכלה לחסוך אותן.</w:t>
      </w:r>
    </w:p>
    <w:p w14:paraId="65DE090D" w14:textId="120E189C" w:rsidR="00B82AED" w:rsidRPr="004A5120" w:rsidRDefault="00B82AED" w:rsidP="0016752A">
      <w:pPr>
        <w:spacing w:after="0"/>
        <w:jc w:val="both"/>
        <w:rPr>
          <w:rFonts w:ascii="David" w:hAnsi="David" w:cs="David"/>
          <w:sz w:val="24"/>
          <w:szCs w:val="24"/>
          <w:rtl/>
        </w:rPr>
      </w:pPr>
    </w:p>
    <w:p w14:paraId="41D2C6D4" w14:textId="55C8BFFD" w:rsidR="00B82AED" w:rsidRPr="004A5120" w:rsidRDefault="00B82AED" w:rsidP="0016752A">
      <w:pPr>
        <w:spacing w:after="0"/>
        <w:jc w:val="both"/>
        <w:rPr>
          <w:rFonts w:ascii="David" w:hAnsi="David" w:cs="David"/>
          <w:sz w:val="24"/>
          <w:szCs w:val="24"/>
          <w:u w:val="single"/>
          <w:rtl/>
        </w:rPr>
      </w:pPr>
      <w:r w:rsidRPr="004A5120">
        <w:rPr>
          <w:rFonts w:ascii="David" w:hAnsi="David" w:cs="David" w:hint="cs"/>
          <w:sz w:val="24"/>
          <w:szCs w:val="24"/>
          <w:u w:val="single"/>
          <w:rtl/>
        </w:rPr>
        <w:t xml:space="preserve">תרכובת של ניסוח קזואיסטי </w:t>
      </w:r>
      <w:r w:rsidR="00065DE0" w:rsidRPr="004A5120">
        <w:rPr>
          <w:rFonts w:ascii="David" w:hAnsi="David" w:cs="David" w:hint="cs"/>
          <w:sz w:val="24"/>
          <w:szCs w:val="24"/>
          <w:u w:val="single"/>
          <w:rtl/>
        </w:rPr>
        <w:t>ונורמטיב</w:t>
      </w:r>
      <w:r w:rsidR="00065DE0" w:rsidRPr="004A5120">
        <w:rPr>
          <w:rFonts w:ascii="David" w:hAnsi="David" w:cs="David" w:hint="eastAsia"/>
          <w:sz w:val="24"/>
          <w:szCs w:val="24"/>
          <w:u w:val="single"/>
          <w:rtl/>
        </w:rPr>
        <w:t>י</w:t>
      </w:r>
      <w:r w:rsidRPr="004A5120">
        <w:rPr>
          <w:rFonts w:ascii="David" w:hAnsi="David" w:cs="David" w:hint="cs"/>
          <w:sz w:val="24"/>
          <w:szCs w:val="24"/>
          <w:u w:val="single"/>
          <w:rtl/>
        </w:rPr>
        <w:t>:</w:t>
      </w:r>
    </w:p>
    <w:p w14:paraId="70747085" w14:textId="196D00A2" w:rsidR="00B82AED" w:rsidRPr="004A5120" w:rsidRDefault="00970A69" w:rsidP="0016752A">
      <w:pPr>
        <w:spacing w:after="0"/>
        <w:jc w:val="both"/>
        <w:rPr>
          <w:rFonts w:ascii="David" w:hAnsi="David" w:cs="David"/>
          <w:sz w:val="24"/>
          <w:szCs w:val="24"/>
          <w:rtl/>
        </w:rPr>
      </w:pPr>
      <w:r w:rsidRPr="004A5120">
        <w:rPr>
          <w:rFonts w:ascii="David" w:hAnsi="David" w:cs="David" w:hint="cs"/>
          <w:sz w:val="24"/>
          <w:szCs w:val="24"/>
          <w:rtl/>
        </w:rPr>
        <w:t xml:space="preserve">קורה </w:t>
      </w:r>
      <w:r w:rsidR="00B82AED" w:rsidRPr="004A5120">
        <w:rPr>
          <w:rFonts w:ascii="David" w:hAnsi="David" w:cs="David" w:hint="cs"/>
          <w:sz w:val="24"/>
          <w:szCs w:val="24"/>
          <w:rtl/>
        </w:rPr>
        <w:t>כ</w:t>
      </w:r>
      <w:r w:rsidRPr="004A5120">
        <w:rPr>
          <w:rFonts w:ascii="David" w:hAnsi="David" w:cs="David" w:hint="cs"/>
          <w:sz w:val="24"/>
          <w:szCs w:val="24"/>
          <w:rtl/>
        </w:rPr>
        <w:t xml:space="preserve">אשר </w:t>
      </w:r>
      <w:r w:rsidR="00B82AED" w:rsidRPr="004A5120">
        <w:rPr>
          <w:rFonts w:ascii="David" w:hAnsi="David" w:cs="David" w:hint="cs"/>
          <w:sz w:val="24"/>
          <w:szCs w:val="24"/>
          <w:rtl/>
        </w:rPr>
        <w:t>הנורמה באה לסכם ולהסיק עיקרון משפטי הנובע מהדוגמאות הקוזאיסטיות</w:t>
      </w:r>
      <w:r w:rsidRPr="004A5120">
        <w:rPr>
          <w:rFonts w:ascii="David" w:hAnsi="David" w:cs="David" w:hint="cs"/>
          <w:sz w:val="24"/>
          <w:szCs w:val="24"/>
          <w:rtl/>
        </w:rPr>
        <w:t>.</w:t>
      </w:r>
    </w:p>
    <w:p w14:paraId="05BDF8FC" w14:textId="77B0CEDF" w:rsidR="00970A69" w:rsidRPr="004A5120" w:rsidRDefault="00970A69" w:rsidP="0016752A">
      <w:pPr>
        <w:spacing w:after="0"/>
        <w:jc w:val="both"/>
        <w:rPr>
          <w:rFonts w:ascii="David" w:hAnsi="David" w:cs="David"/>
          <w:sz w:val="24"/>
          <w:szCs w:val="24"/>
          <w:rtl/>
        </w:rPr>
      </w:pPr>
      <w:r w:rsidRPr="004A5120">
        <w:rPr>
          <w:rFonts w:ascii="David" w:hAnsi="David" w:cs="David" w:hint="cs"/>
          <w:sz w:val="24"/>
          <w:szCs w:val="24"/>
          <w:rtl/>
        </w:rPr>
        <w:t>דוגמאות:</w:t>
      </w:r>
    </w:p>
    <w:p w14:paraId="54FD44F6" w14:textId="139A6363" w:rsidR="00970A69" w:rsidRPr="004A5120" w:rsidRDefault="00970A69" w:rsidP="001A492B">
      <w:pPr>
        <w:pStyle w:val="a3"/>
        <w:numPr>
          <w:ilvl w:val="0"/>
          <w:numId w:val="21"/>
        </w:numPr>
        <w:spacing w:after="0"/>
        <w:jc w:val="both"/>
        <w:rPr>
          <w:rFonts w:ascii="David" w:hAnsi="David" w:cs="David"/>
          <w:sz w:val="24"/>
          <w:szCs w:val="24"/>
        </w:rPr>
      </w:pPr>
      <w:r w:rsidRPr="004A5120">
        <w:rPr>
          <w:rFonts w:ascii="David" w:hAnsi="David" w:cs="David" w:hint="cs"/>
          <w:sz w:val="24"/>
          <w:szCs w:val="24"/>
          <w:rtl/>
        </w:rPr>
        <w:t>במשנה בבא בתרא מוזכ</w:t>
      </w:r>
      <w:r w:rsidR="008141A4" w:rsidRPr="004A5120">
        <w:rPr>
          <w:rFonts w:ascii="David" w:hAnsi="David" w:cs="David" w:hint="cs"/>
          <w:sz w:val="24"/>
          <w:szCs w:val="24"/>
          <w:rtl/>
        </w:rPr>
        <w:t>ר</w:t>
      </w:r>
      <w:r w:rsidRPr="004A5120">
        <w:rPr>
          <w:rFonts w:ascii="David" w:hAnsi="David" w:cs="David" w:hint="cs"/>
          <w:sz w:val="24"/>
          <w:szCs w:val="24"/>
          <w:rtl/>
        </w:rPr>
        <w:t>ות שתי תקופות לעניין חזקת נכסים: "חזקת הבתים והבורות והשיחין... וכל שהוא עושה פירות תדיר, חזקתן שלוש שנים מיום ליום. שדה הבעל חזקתה שלוש שנים ואינה מיום ליום".</w:t>
      </w:r>
      <w:r w:rsidR="00B71B6C" w:rsidRPr="004A5120">
        <w:rPr>
          <w:rFonts w:ascii="David" w:hAnsi="David" w:cs="David" w:hint="cs"/>
          <w:sz w:val="24"/>
          <w:szCs w:val="24"/>
          <w:rtl/>
        </w:rPr>
        <w:t xml:space="preserve"> </w:t>
      </w:r>
    </w:p>
    <w:p w14:paraId="29497499" w14:textId="4D97230A" w:rsidR="008E40D8" w:rsidRPr="004A5120" w:rsidRDefault="008E40D8" w:rsidP="008E40D8">
      <w:pPr>
        <w:pStyle w:val="a3"/>
        <w:spacing w:after="0"/>
        <w:jc w:val="both"/>
        <w:rPr>
          <w:rFonts w:ascii="David" w:hAnsi="David" w:cs="David"/>
          <w:sz w:val="24"/>
          <w:szCs w:val="24"/>
        </w:rPr>
      </w:pPr>
      <w:r w:rsidRPr="004A5120">
        <w:rPr>
          <w:rFonts w:ascii="David" w:hAnsi="David" w:cs="David" w:hint="cs"/>
          <w:sz w:val="24"/>
          <w:szCs w:val="24"/>
          <w:rtl/>
        </w:rPr>
        <w:t xml:space="preserve">מדובר בהוכחת בעלות על נכס. </w:t>
      </w:r>
      <w:r w:rsidR="008141A4" w:rsidRPr="004A5120">
        <w:rPr>
          <w:rFonts w:ascii="David" w:hAnsi="David" w:cs="David" w:hint="cs"/>
          <w:sz w:val="24"/>
          <w:szCs w:val="24"/>
          <w:rtl/>
        </w:rPr>
        <w:t xml:space="preserve">"עושה פירות תדיר" </w:t>
      </w:r>
      <w:r w:rsidR="008141A4" w:rsidRPr="004A5120">
        <w:rPr>
          <w:rFonts w:ascii="David" w:hAnsi="David" w:cs="David"/>
          <w:sz w:val="24"/>
          <w:szCs w:val="24"/>
          <w:rtl/>
        </w:rPr>
        <w:t>–</w:t>
      </w:r>
      <w:r w:rsidR="008141A4" w:rsidRPr="004A5120">
        <w:rPr>
          <w:rFonts w:ascii="David" w:hAnsi="David" w:cs="David" w:hint="cs"/>
          <w:sz w:val="24"/>
          <w:szCs w:val="24"/>
          <w:rtl/>
        </w:rPr>
        <w:t xml:space="preserve"> משתמש בנכס באופן קבוע. </w:t>
      </w:r>
      <w:r w:rsidRPr="004A5120">
        <w:rPr>
          <w:rFonts w:ascii="David" w:hAnsi="David" w:cs="David" w:hint="cs"/>
          <w:sz w:val="24"/>
          <w:szCs w:val="24"/>
          <w:rtl/>
        </w:rPr>
        <w:t>לפי ההלכה הזו, יש לשמור את שטר הנכס שלוש שנים מיום רכישתו. לאחר שלוש שנים, מספיק שיש עדים לכך שהנכס שלו.</w:t>
      </w:r>
      <w:r w:rsidR="008141A4" w:rsidRPr="004A5120">
        <w:rPr>
          <w:rFonts w:ascii="David" w:hAnsi="David" w:cs="David" w:hint="cs"/>
          <w:sz w:val="24"/>
          <w:szCs w:val="24"/>
          <w:rtl/>
        </w:rPr>
        <w:t xml:space="preserve"> </w:t>
      </w:r>
    </w:p>
    <w:p w14:paraId="230CBE1E" w14:textId="4861F59A" w:rsidR="00B71B6C" w:rsidRPr="004A5120" w:rsidRDefault="00B71B6C" w:rsidP="00B71B6C">
      <w:pPr>
        <w:pStyle w:val="a3"/>
        <w:spacing w:after="0"/>
        <w:jc w:val="both"/>
        <w:rPr>
          <w:rFonts w:ascii="David" w:hAnsi="David" w:cs="David"/>
          <w:sz w:val="24"/>
          <w:szCs w:val="24"/>
          <w:rtl/>
        </w:rPr>
      </w:pPr>
      <w:r w:rsidRPr="004A5120">
        <w:rPr>
          <w:rFonts w:ascii="David" w:hAnsi="David" w:cs="David" w:hint="cs"/>
          <w:sz w:val="24"/>
          <w:szCs w:val="24"/>
          <w:rtl/>
        </w:rPr>
        <w:t xml:space="preserve">נכס שעושה פירות תדיר </w:t>
      </w:r>
      <w:r w:rsidRPr="004A5120">
        <w:rPr>
          <w:rFonts w:ascii="David" w:hAnsi="David" w:cs="David"/>
          <w:sz w:val="24"/>
          <w:szCs w:val="24"/>
          <w:rtl/>
        </w:rPr>
        <w:t>–</w:t>
      </w:r>
      <w:r w:rsidRPr="004A5120">
        <w:rPr>
          <w:rFonts w:ascii="David" w:hAnsi="David" w:cs="David" w:hint="cs"/>
          <w:sz w:val="24"/>
          <w:szCs w:val="24"/>
          <w:rtl/>
        </w:rPr>
        <w:t xml:space="preserve"> תקופת החזקה שלוש שנים, מיום ליום.</w:t>
      </w:r>
    </w:p>
    <w:p w14:paraId="7117EC89" w14:textId="10E00EEA" w:rsidR="00B71B6C" w:rsidRPr="004A5120" w:rsidRDefault="00B71B6C" w:rsidP="00B71B6C">
      <w:pPr>
        <w:pStyle w:val="a3"/>
        <w:spacing w:after="0"/>
        <w:jc w:val="both"/>
        <w:rPr>
          <w:rFonts w:ascii="David" w:hAnsi="David" w:cs="David"/>
          <w:sz w:val="24"/>
          <w:szCs w:val="24"/>
          <w:rtl/>
        </w:rPr>
      </w:pPr>
      <w:r w:rsidRPr="004A5120">
        <w:rPr>
          <w:rFonts w:ascii="David" w:hAnsi="David" w:cs="David" w:hint="cs"/>
          <w:sz w:val="24"/>
          <w:szCs w:val="24"/>
          <w:rtl/>
        </w:rPr>
        <w:t xml:space="preserve">נכס שאינו עושה פירות תדיר </w:t>
      </w:r>
      <w:r w:rsidR="008141A4" w:rsidRPr="004A5120">
        <w:rPr>
          <w:rFonts w:ascii="David" w:hAnsi="David" w:cs="David"/>
          <w:sz w:val="24"/>
          <w:szCs w:val="24"/>
          <w:rtl/>
        </w:rPr>
        <w:t>–</w:t>
      </w:r>
      <w:r w:rsidRPr="004A5120">
        <w:rPr>
          <w:rFonts w:ascii="David" w:hAnsi="David" w:cs="David" w:hint="cs"/>
          <w:sz w:val="24"/>
          <w:szCs w:val="24"/>
          <w:rtl/>
        </w:rPr>
        <w:t xml:space="preserve"> </w:t>
      </w:r>
      <w:r w:rsidR="008141A4" w:rsidRPr="004A5120">
        <w:rPr>
          <w:rFonts w:ascii="David" w:hAnsi="David" w:cs="David" w:hint="cs"/>
          <w:sz w:val="24"/>
          <w:szCs w:val="24"/>
          <w:rtl/>
        </w:rPr>
        <w:t>תקופת החזקה שלוש שנים, לא מיום ליום.</w:t>
      </w:r>
    </w:p>
    <w:p w14:paraId="7EA8F322" w14:textId="08CFADE5" w:rsidR="008141A4" w:rsidRPr="004A5120" w:rsidRDefault="008141A4" w:rsidP="00B71B6C">
      <w:pPr>
        <w:pStyle w:val="a3"/>
        <w:spacing w:after="0"/>
        <w:jc w:val="both"/>
        <w:rPr>
          <w:rFonts w:ascii="David" w:hAnsi="David" w:cs="David"/>
          <w:sz w:val="24"/>
          <w:szCs w:val="24"/>
          <w:rtl/>
        </w:rPr>
      </w:pPr>
      <w:r w:rsidRPr="004A5120">
        <w:rPr>
          <w:rFonts w:ascii="David" w:hAnsi="David" w:cs="David" w:hint="cs"/>
          <w:sz w:val="24"/>
          <w:szCs w:val="24"/>
          <w:rtl/>
        </w:rPr>
        <w:t>בסוף המשנה כתוב העיקרון בצורה מפורשת, ולמרות זאת בהתחלה יש רצף דוגמאות.</w:t>
      </w:r>
    </w:p>
    <w:p w14:paraId="224EDB46" w14:textId="2BB0442F" w:rsidR="008141A4" w:rsidRPr="004A5120" w:rsidRDefault="008141A4" w:rsidP="001A492B">
      <w:pPr>
        <w:pStyle w:val="a3"/>
        <w:numPr>
          <w:ilvl w:val="0"/>
          <w:numId w:val="21"/>
        </w:numPr>
        <w:spacing w:after="0"/>
        <w:jc w:val="both"/>
        <w:rPr>
          <w:rFonts w:ascii="David" w:hAnsi="David" w:cs="David"/>
          <w:sz w:val="24"/>
          <w:szCs w:val="24"/>
        </w:rPr>
      </w:pPr>
      <w:r w:rsidRPr="004A5120">
        <w:rPr>
          <w:rFonts w:ascii="David" w:hAnsi="David" w:cs="David" w:hint="cs"/>
          <w:sz w:val="24"/>
          <w:szCs w:val="24"/>
          <w:rtl/>
        </w:rPr>
        <w:t xml:space="preserve">משנה נוספת בבא בתרא: אם שני אנשים שותפים במגרש, ניתן לכפות את חלוקתו על השותף, רק אם ישארו לכל הפחות ארבע אמות לאחר החלוקה. בשדה </w:t>
      </w:r>
      <w:r w:rsidRPr="004A5120">
        <w:rPr>
          <w:rFonts w:ascii="David" w:hAnsi="David" w:cs="David"/>
          <w:sz w:val="24"/>
          <w:szCs w:val="24"/>
          <w:rtl/>
        </w:rPr>
        <w:t>–</w:t>
      </w:r>
      <w:r w:rsidRPr="004A5120">
        <w:rPr>
          <w:rFonts w:ascii="David" w:hAnsi="David" w:cs="David" w:hint="cs"/>
          <w:sz w:val="24"/>
          <w:szCs w:val="24"/>
          <w:rtl/>
        </w:rPr>
        <w:t xml:space="preserve"> עד שנשאר שטח לזריעת תשעה קבין כל אחד (ר' יהודה סובר שזה תשע וחצי). גינה </w:t>
      </w:r>
      <w:r w:rsidRPr="004A5120">
        <w:rPr>
          <w:rFonts w:ascii="David" w:hAnsi="David" w:cs="David"/>
          <w:sz w:val="24"/>
          <w:szCs w:val="24"/>
          <w:rtl/>
        </w:rPr>
        <w:t>–</w:t>
      </w:r>
      <w:r w:rsidRPr="004A5120">
        <w:rPr>
          <w:rFonts w:ascii="David" w:hAnsi="David" w:cs="David" w:hint="cs"/>
          <w:sz w:val="24"/>
          <w:szCs w:val="24"/>
          <w:rtl/>
        </w:rPr>
        <w:t xml:space="preserve"> חצי קב לכל אחד. </w:t>
      </w:r>
      <w:r w:rsidR="006848F2" w:rsidRPr="004A5120">
        <w:rPr>
          <w:rFonts w:ascii="David" w:hAnsi="David" w:cs="David" w:hint="cs"/>
          <w:sz w:val="24"/>
          <w:szCs w:val="24"/>
          <w:rtl/>
        </w:rPr>
        <w:t xml:space="preserve">רשימת הדוגמאות ממשיכה (טרקלין, שובך, טלית וכו'), ואז המשנה מסכמת: "זה הכלל: כל שיחלק ושמו עליו </w:t>
      </w:r>
      <w:r w:rsidR="006848F2" w:rsidRPr="004A5120">
        <w:rPr>
          <w:rFonts w:ascii="David" w:hAnsi="David" w:cs="David"/>
          <w:sz w:val="24"/>
          <w:szCs w:val="24"/>
          <w:rtl/>
        </w:rPr>
        <w:t>–</w:t>
      </w:r>
      <w:r w:rsidR="006848F2" w:rsidRPr="004A5120">
        <w:rPr>
          <w:rFonts w:ascii="David" w:hAnsi="David" w:cs="David" w:hint="cs"/>
          <w:sz w:val="24"/>
          <w:szCs w:val="24"/>
          <w:rtl/>
        </w:rPr>
        <w:t xml:space="preserve"> חולקין, ואם לאו, אין חולקין". שוב, דוגמאות רבות בהתחלה ובסוף הכלל באופן ברוב </w:t>
      </w:r>
      <w:r w:rsidR="006848F2" w:rsidRPr="004A5120">
        <w:rPr>
          <w:rFonts w:ascii="David" w:hAnsi="David" w:cs="David"/>
          <w:sz w:val="24"/>
          <w:szCs w:val="24"/>
          <w:rtl/>
        </w:rPr>
        <w:t>–</w:t>
      </w:r>
      <w:r w:rsidR="006848F2" w:rsidRPr="004A5120">
        <w:rPr>
          <w:rFonts w:ascii="David" w:hAnsi="David" w:cs="David" w:hint="cs"/>
          <w:sz w:val="24"/>
          <w:szCs w:val="24"/>
          <w:rtl/>
        </w:rPr>
        <w:t xml:space="preserve"> לא ניתן להכריח אדם לחלק את נכסו, אם החצי שישאר בידו לא ראוי לשימוש המקורי בנכס. </w:t>
      </w:r>
    </w:p>
    <w:p w14:paraId="243489EE" w14:textId="5802CAC2" w:rsidR="006848F2" w:rsidRPr="004A5120" w:rsidRDefault="006848F2" w:rsidP="006848F2">
      <w:pPr>
        <w:pStyle w:val="a3"/>
        <w:spacing w:after="0"/>
        <w:jc w:val="both"/>
        <w:rPr>
          <w:rFonts w:ascii="David" w:hAnsi="David" w:cs="David"/>
          <w:sz w:val="24"/>
          <w:szCs w:val="24"/>
          <w:rtl/>
        </w:rPr>
      </w:pPr>
      <w:r w:rsidRPr="004A5120">
        <w:rPr>
          <w:rFonts w:ascii="David" w:hAnsi="David" w:cs="David" w:hint="cs"/>
          <w:sz w:val="24"/>
          <w:szCs w:val="24"/>
          <w:rtl/>
        </w:rPr>
        <w:t>הויכוח בנוגע לתשע או תשע וחצי מיותר, כאשר מבינים את העיקרון המהותי של ההלכה.</w:t>
      </w:r>
    </w:p>
    <w:p w14:paraId="7E294C4A" w14:textId="5503115A" w:rsidR="006848F2" w:rsidRPr="004A5120" w:rsidRDefault="006848F2" w:rsidP="006848F2">
      <w:pPr>
        <w:spacing w:after="0"/>
        <w:jc w:val="both"/>
        <w:rPr>
          <w:rFonts w:ascii="David" w:hAnsi="David" w:cs="David"/>
          <w:sz w:val="24"/>
          <w:szCs w:val="24"/>
          <w:rtl/>
        </w:rPr>
      </w:pPr>
    </w:p>
    <w:p w14:paraId="42DC105E" w14:textId="77777777" w:rsidR="00916E21" w:rsidRPr="004A5120" w:rsidRDefault="00916E21" w:rsidP="006848F2">
      <w:pPr>
        <w:spacing w:after="0"/>
        <w:jc w:val="both"/>
        <w:rPr>
          <w:rFonts w:ascii="David" w:hAnsi="David" w:cs="David"/>
          <w:sz w:val="24"/>
          <w:szCs w:val="24"/>
          <w:u w:val="single"/>
          <w:rtl/>
        </w:rPr>
      </w:pPr>
    </w:p>
    <w:p w14:paraId="5859323D" w14:textId="77777777" w:rsidR="00916E21" w:rsidRPr="004A5120" w:rsidRDefault="00916E21" w:rsidP="006848F2">
      <w:pPr>
        <w:spacing w:after="0"/>
        <w:jc w:val="both"/>
        <w:rPr>
          <w:rFonts w:ascii="David" w:hAnsi="David" w:cs="David"/>
          <w:sz w:val="24"/>
          <w:szCs w:val="24"/>
          <w:u w:val="single"/>
          <w:rtl/>
        </w:rPr>
      </w:pPr>
    </w:p>
    <w:p w14:paraId="3D8204B9" w14:textId="77777777" w:rsidR="00916E21" w:rsidRPr="004A5120" w:rsidRDefault="00916E21" w:rsidP="006848F2">
      <w:pPr>
        <w:spacing w:after="0"/>
        <w:jc w:val="both"/>
        <w:rPr>
          <w:rFonts w:ascii="David" w:hAnsi="David" w:cs="David"/>
          <w:sz w:val="24"/>
          <w:szCs w:val="24"/>
          <w:u w:val="single"/>
          <w:rtl/>
        </w:rPr>
      </w:pPr>
    </w:p>
    <w:p w14:paraId="71BD9F08" w14:textId="70E93423" w:rsidR="006848F2" w:rsidRPr="004A5120" w:rsidRDefault="006848F2" w:rsidP="006848F2">
      <w:pPr>
        <w:spacing w:after="0"/>
        <w:jc w:val="both"/>
        <w:rPr>
          <w:rFonts w:ascii="David" w:hAnsi="David" w:cs="David"/>
          <w:sz w:val="24"/>
          <w:szCs w:val="24"/>
          <w:u w:val="single"/>
          <w:rtl/>
        </w:rPr>
      </w:pPr>
      <w:r w:rsidRPr="004A5120">
        <w:rPr>
          <w:rFonts w:ascii="David" w:hAnsi="David" w:cs="David" w:hint="cs"/>
          <w:sz w:val="24"/>
          <w:szCs w:val="24"/>
          <w:u w:val="single"/>
          <w:rtl/>
        </w:rPr>
        <w:t>ניסוח נורמטיבי(נדיר) - דוגמאות:</w:t>
      </w:r>
    </w:p>
    <w:p w14:paraId="2E326794" w14:textId="5CEDB478" w:rsidR="006848F2" w:rsidRPr="004A5120" w:rsidRDefault="006848F2" w:rsidP="00D1615C">
      <w:pPr>
        <w:spacing w:after="0"/>
        <w:jc w:val="both"/>
        <w:rPr>
          <w:rFonts w:ascii="David" w:hAnsi="David" w:cs="David"/>
          <w:sz w:val="24"/>
          <w:szCs w:val="24"/>
        </w:rPr>
      </w:pPr>
      <w:r w:rsidRPr="004A5120">
        <w:rPr>
          <w:rFonts w:ascii="David" w:hAnsi="David" w:cs="David" w:hint="cs"/>
          <w:sz w:val="24"/>
          <w:szCs w:val="24"/>
          <w:rtl/>
        </w:rPr>
        <w:t xml:space="preserve">בבא קמא: "כל שחובתי בשמירתו </w:t>
      </w:r>
      <w:r w:rsidRPr="004A5120">
        <w:rPr>
          <w:rFonts w:ascii="David" w:hAnsi="David" w:cs="David"/>
          <w:sz w:val="24"/>
          <w:szCs w:val="24"/>
          <w:rtl/>
        </w:rPr>
        <w:t>–</w:t>
      </w:r>
      <w:r w:rsidRPr="004A5120">
        <w:rPr>
          <w:rFonts w:ascii="David" w:hAnsi="David" w:cs="David" w:hint="cs"/>
          <w:sz w:val="24"/>
          <w:szCs w:val="24"/>
          <w:rtl/>
        </w:rPr>
        <w:t xml:space="preserve"> הכשרתי את נזקו. הכשרתי במקצת נזקו, חבתי בתשלומין כהכשר כל נזקו" </w:t>
      </w:r>
      <w:r w:rsidRPr="004A5120">
        <w:rPr>
          <w:rFonts w:ascii="David" w:hAnsi="David" w:cs="David"/>
          <w:sz w:val="24"/>
          <w:szCs w:val="24"/>
          <w:rtl/>
        </w:rPr>
        <w:t>–</w:t>
      </w:r>
      <w:r w:rsidRPr="004A5120">
        <w:rPr>
          <w:rFonts w:ascii="David" w:hAnsi="David" w:cs="David" w:hint="cs"/>
          <w:sz w:val="24"/>
          <w:szCs w:val="24"/>
          <w:rtl/>
        </w:rPr>
        <w:t xml:space="preserve"> על השומר מוטלת האחריות לחפצים שהוא שומר עליהם ועל הנזקים שאותם חפצים יגרמו, באם יהיו כאלה. נלמדים שני עקרונות נזיקיים מהותיים:</w:t>
      </w:r>
    </w:p>
    <w:p w14:paraId="263141C0" w14:textId="0CF50DC9" w:rsidR="006848F2" w:rsidRPr="004A5120" w:rsidRDefault="006848F2"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על אדם ששומר על חפץ, מוטלת האחריות לשמור עליו והוא יישא בתשלום לנזק.</w:t>
      </w:r>
    </w:p>
    <w:p w14:paraId="4269CF91" w14:textId="77777777" w:rsidR="00D1615C" w:rsidRPr="004A5120" w:rsidRDefault="006848F2"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אין אחריות חלקית, השומר חייב בכל הנזק גם אם אחראי לחלקו. </w:t>
      </w:r>
    </w:p>
    <w:p w14:paraId="473520AC" w14:textId="217C8E3F" w:rsidR="006848F2" w:rsidRPr="004A5120" w:rsidRDefault="006848F2" w:rsidP="00D1615C">
      <w:pPr>
        <w:pStyle w:val="a3"/>
        <w:spacing w:after="0"/>
        <w:jc w:val="both"/>
        <w:rPr>
          <w:rFonts w:ascii="David" w:hAnsi="David" w:cs="David"/>
          <w:sz w:val="24"/>
          <w:szCs w:val="24"/>
        </w:rPr>
      </w:pPr>
      <w:r w:rsidRPr="004A5120">
        <w:rPr>
          <w:rFonts w:ascii="David" w:hAnsi="David" w:cs="David" w:hint="cs"/>
          <w:sz w:val="24"/>
          <w:szCs w:val="24"/>
          <w:rtl/>
        </w:rPr>
        <w:t>דוג': לפי הגמרא, אין לחפור בור בעומק עשרה טפחים, אדם שחפר בור עמוק יותר יעמוד אחראי לנזק.</w:t>
      </w:r>
      <w:r w:rsidR="00D1615C" w:rsidRPr="004A5120">
        <w:rPr>
          <w:rFonts w:ascii="David" w:hAnsi="David" w:cs="David" w:hint="cs"/>
          <w:sz w:val="24"/>
          <w:szCs w:val="24"/>
          <w:rtl/>
        </w:rPr>
        <w:t xml:space="preserve"> לפי העיקרון במשנה, גם אם פלוני חפר בור בעומק תשעה טפחים, פלוני שני הגיע והוסיף טפח אחד. אם יפול שור לבור וימות, יהיה השני חייב בכל עשרת הטפחים כאילו חפר את כולם.</w:t>
      </w:r>
    </w:p>
    <w:p w14:paraId="1D031DE9" w14:textId="77777777" w:rsidR="00D1615C" w:rsidRPr="004A5120" w:rsidRDefault="008F2D80" w:rsidP="00D1615C">
      <w:pPr>
        <w:pStyle w:val="a3"/>
        <w:spacing w:after="0"/>
        <w:jc w:val="both"/>
        <w:rPr>
          <w:rFonts w:ascii="David" w:hAnsi="David" w:cs="David"/>
          <w:sz w:val="24"/>
          <w:szCs w:val="24"/>
          <w:rtl/>
        </w:rPr>
      </w:pPr>
      <w:r w:rsidRPr="004A5120">
        <w:rPr>
          <w:rFonts w:ascii="David" w:hAnsi="David" w:cs="David" w:hint="cs"/>
          <w:sz w:val="24"/>
          <w:szCs w:val="24"/>
          <w:rtl/>
        </w:rPr>
        <w:t xml:space="preserve"> </w:t>
      </w:r>
    </w:p>
    <w:p w14:paraId="328BBAED" w14:textId="7D85383C" w:rsidR="0028208D" w:rsidRPr="004A5120" w:rsidRDefault="00D1615C" w:rsidP="00D1615C">
      <w:pPr>
        <w:spacing w:after="0"/>
        <w:jc w:val="both"/>
        <w:rPr>
          <w:rFonts w:ascii="David" w:hAnsi="David" w:cs="David"/>
          <w:sz w:val="24"/>
          <w:szCs w:val="24"/>
          <w:rtl/>
        </w:rPr>
      </w:pPr>
      <w:r w:rsidRPr="004A5120">
        <w:rPr>
          <w:rFonts w:ascii="David" w:hAnsi="David" w:cs="David" w:hint="cs"/>
          <w:sz w:val="24"/>
          <w:szCs w:val="24"/>
          <w:rtl/>
        </w:rPr>
        <w:t xml:space="preserve">במשנה זו אין קזואיסטיקה בכלל </w:t>
      </w:r>
      <w:r w:rsidRPr="004A5120">
        <w:rPr>
          <w:rFonts w:ascii="David" w:hAnsi="David" w:cs="David"/>
          <w:sz w:val="24"/>
          <w:szCs w:val="24"/>
          <w:rtl/>
        </w:rPr>
        <w:t>–</w:t>
      </w:r>
      <w:r w:rsidRPr="004A5120">
        <w:rPr>
          <w:rFonts w:ascii="David" w:hAnsi="David" w:cs="David" w:hint="cs"/>
          <w:sz w:val="24"/>
          <w:szCs w:val="24"/>
          <w:rtl/>
        </w:rPr>
        <w:t xml:space="preserve"> מדובר בשני עקרונות משפטיים המובעים בצורה נורמטיבית, שמהם ניתן לפסוק כל מקרה לגופו. </w:t>
      </w:r>
    </w:p>
    <w:p w14:paraId="7ACB61FC" w14:textId="1260D857" w:rsidR="00D1615C" w:rsidRPr="004A5120" w:rsidRDefault="00D1615C" w:rsidP="00D1615C">
      <w:pPr>
        <w:spacing w:after="0"/>
        <w:jc w:val="both"/>
        <w:rPr>
          <w:rFonts w:ascii="David" w:hAnsi="David" w:cs="David"/>
          <w:sz w:val="24"/>
          <w:szCs w:val="24"/>
          <w:rtl/>
        </w:rPr>
      </w:pPr>
      <w:r w:rsidRPr="004A5120">
        <w:rPr>
          <w:rFonts w:ascii="David" w:hAnsi="David" w:cs="David" w:hint="cs"/>
          <w:sz w:val="24"/>
          <w:szCs w:val="24"/>
          <w:u w:val="single"/>
          <w:rtl/>
        </w:rPr>
        <w:t>מאוחר יותר,</w:t>
      </w:r>
      <w:r w:rsidRPr="004A5120">
        <w:rPr>
          <w:rFonts w:ascii="David" w:hAnsi="David" w:cs="David" w:hint="cs"/>
          <w:sz w:val="24"/>
          <w:szCs w:val="24"/>
          <w:rtl/>
        </w:rPr>
        <w:t xml:space="preserve"> יקחו האמוראים את המשנה הזו ויצקו לתוכה דוגמאות מחיי היום יום, ידונו במקרי קצה בהם אדם "הכשיר במקצת" את הנזק שנגרם (לדוג' חמישה אנשים יושבים על ספסל, בא שישי ומתיישב, הספסל נשב, השישי חייב במלוא הנזק). </w:t>
      </w:r>
    </w:p>
    <w:p w14:paraId="285846D7" w14:textId="6965D10A" w:rsidR="00D1615C" w:rsidRPr="004A5120" w:rsidRDefault="00D1615C" w:rsidP="00D1615C">
      <w:pPr>
        <w:spacing w:after="0"/>
        <w:jc w:val="both"/>
        <w:rPr>
          <w:rFonts w:ascii="David" w:hAnsi="David" w:cs="David"/>
          <w:sz w:val="24"/>
          <w:szCs w:val="24"/>
          <w:rtl/>
        </w:rPr>
      </w:pPr>
    </w:p>
    <w:p w14:paraId="021149C6" w14:textId="7B87CAAB" w:rsidR="00C37644" w:rsidRPr="004A5120" w:rsidRDefault="00C37644" w:rsidP="00D1615C">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לסיכום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שלוש צורות לניסוח המשנה:</w:t>
      </w:r>
    </w:p>
    <w:p w14:paraId="2376FC68" w14:textId="173EE053" w:rsidR="00C37644" w:rsidRPr="004A5120" w:rsidRDefault="00C37644" w:rsidP="001A492B">
      <w:pPr>
        <w:pStyle w:val="a3"/>
        <w:numPr>
          <w:ilvl w:val="0"/>
          <w:numId w:val="23"/>
        </w:numPr>
        <w:spacing w:after="0"/>
        <w:jc w:val="both"/>
        <w:rPr>
          <w:rFonts w:ascii="David" w:hAnsi="David" w:cs="David"/>
          <w:sz w:val="24"/>
          <w:szCs w:val="24"/>
        </w:rPr>
      </w:pPr>
      <w:r w:rsidRPr="004A5120">
        <w:rPr>
          <w:rFonts w:ascii="David" w:hAnsi="David" w:cs="David" w:hint="cs"/>
          <w:sz w:val="24"/>
          <w:szCs w:val="24"/>
          <w:rtl/>
        </w:rPr>
        <w:t xml:space="preserve">הצורה הרווחת </w:t>
      </w:r>
      <w:r w:rsidRPr="004A5120">
        <w:rPr>
          <w:rFonts w:ascii="David" w:hAnsi="David" w:cs="David"/>
          <w:sz w:val="24"/>
          <w:szCs w:val="24"/>
          <w:rtl/>
        </w:rPr>
        <w:t>–</w:t>
      </w:r>
      <w:r w:rsidRPr="004A5120">
        <w:rPr>
          <w:rFonts w:ascii="David" w:hAnsi="David" w:cs="David" w:hint="cs"/>
          <w:sz w:val="24"/>
          <w:szCs w:val="24"/>
          <w:rtl/>
        </w:rPr>
        <w:t xml:space="preserve"> ניסוח קזואיסטי בלבד.</w:t>
      </w:r>
    </w:p>
    <w:p w14:paraId="62308799" w14:textId="1638246B" w:rsidR="00C37644" w:rsidRPr="004A5120" w:rsidRDefault="00C37644" w:rsidP="001A492B">
      <w:pPr>
        <w:pStyle w:val="a3"/>
        <w:numPr>
          <w:ilvl w:val="0"/>
          <w:numId w:val="23"/>
        </w:numPr>
        <w:spacing w:after="0"/>
        <w:jc w:val="both"/>
        <w:rPr>
          <w:rFonts w:ascii="David" w:hAnsi="David" w:cs="David"/>
          <w:sz w:val="24"/>
          <w:szCs w:val="24"/>
        </w:rPr>
      </w:pPr>
      <w:r w:rsidRPr="004A5120">
        <w:rPr>
          <w:rFonts w:ascii="David" w:hAnsi="David" w:cs="David" w:hint="cs"/>
          <w:sz w:val="24"/>
          <w:szCs w:val="24"/>
          <w:rtl/>
        </w:rPr>
        <w:t xml:space="preserve">צורה שנראה לעתים, ניסוח משולב </w:t>
      </w:r>
      <w:r w:rsidRPr="004A5120">
        <w:rPr>
          <w:rFonts w:ascii="David" w:hAnsi="David" w:cs="David"/>
          <w:sz w:val="24"/>
          <w:szCs w:val="24"/>
          <w:rtl/>
        </w:rPr>
        <w:t>–</w:t>
      </w:r>
      <w:r w:rsidRPr="004A5120">
        <w:rPr>
          <w:rFonts w:ascii="David" w:hAnsi="David" w:cs="David" w:hint="cs"/>
          <w:sz w:val="24"/>
          <w:szCs w:val="24"/>
          <w:rtl/>
        </w:rPr>
        <w:t xml:space="preserve"> קזואיסטי-נורמטיבי.</w:t>
      </w:r>
    </w:p>
    <w:p w14:paraId="02D9D153" w14:textId="38A1879F" w:rsidR="00C37644" w:rsidRPr="004A5120" w:rsidRDefault="00C37644" w:rsidP="001A492B">
      <w:pPr>
        <w:pStyle w:val="a3"/>
        <w:numPr>
          <w:ilvl w:val="0"/>
          <w:numId w:val="23"/>
        </w:numPr>
        <w:spacing w:after="0"/>
        <w:jc w:val="both"/>
        <w:rPr>
          <w:rFonts w:ascii="David" w:hAnsi="David" w:cs="David"/>
          <w:sz w:val="24"/>
          <w:szCs w:val="24"/>
        </w:rPr>
      </w:pPr>
      <w:r w:rsidRPr="004A5120">
        <w:rPr>
          <w:rFonts w:ascii="David" w:hAnsi="David" w:cs="David" w:hint="cs"/>
          <w:sz w:val="24"/>
          <w:szCs w:val="24"/>
          <w:rtl/>
        </w:rPr>
        <w:t xml:space="preserve">צורה נדירה </w:t>
      </w:r>
      <w:r w:rsidRPr="004A5120">
        <w:rPr>
          <w:rFonts w:ascii="David" w:hAnsi="David" w:cs="David"/>
          <w:sz w:val="24"/>
          <w:szCs w:val="24"/>
          <w:rtl/>
        </w:rPr>
        <w:t>–</w:t>
      </w:r>
      <w:r w:rsidRPr="004A5120">
        <w:rPr>
          <w:rFonts w:ascii="David" w:hAnsi="David" w:cs="David" w:hint="cs"/>
          <w:sz w:val="24"/>
          <w:szCs w:val="24"/>
          <w:rtl/>
        </w:rPr>
        <w:t xml:space="preserve"> ניסוח נורמטיבי בלבד.</w:t>
      </w:r>
    </w:p>
    <w:p w14:paraId="27DCC39E" w14:textId="334A85FE" w:rsidR="00C37644" w:rsidRPr="004A5120" w:rsidRDefault="00C37644" w:rsidP="00C37644">
      <w:pPr>
        <w:spacing w:after="0"/>
        <w:jc w:val="both"/>
        <w:rPr>
          <w:rFonts w:ascii="David" w:hAnsi="David" w:cs="David"/>
          <w:sz w:val="24"/>
          <w:szCs w:val="24"/>
          <w:rtl/>
        </w:rPr>
      </w:pPr>
    </w:p>
    <w:p w14:paraId="4D0323BC" w14:textId="47FC6E13" w:rsidR="00C37644" w:rsidRPr="004A5120" w:rsidRDefault="00C37644" w:rsidP="00C37644">
      <w:pPr>
        <w:spacing w:after="0"/>
        <w:jc w:val="both"/>
        <w:rPr>
          <w:rFonts w:ascii="David" w:hAnsi="David" w:cs="David"/>
          <w:sz w:val="24"/>
          <w:szCs w:val="24"/>
          <w:u w:val="single"/>
          <w:rtl/>
        </w:rPr>
      </w:pPr>
      <w:r w:rsidRPr="004A5120">
        <w:rPr>
          <w:rFonts w:ascii="David" w:hAnsi="David" w:cs="David" w:hint="cs"/>
          <w:sz w:val="24"/>
          <w:szCs w:val="24"/>
          <w:u w:val="single"/>
          <w:rtl/>
        </w:rPr>
        <w:t>סגנון המשנה:</w:t>
      </w:r>
    </w:p>
    <w:p w14:paraId="3A17A6DE" w14:textId="2D02BC26" w:rsidR="00C37644" w:rsidRPr="004A5120" w:rsidRDefault="00C37644" w:rsidP="00C37644">
      <w:pPr>
        <w:spacing w:after="0"/>
        <w:jc w:val="both"/>
        <w:rPr>
          <w:rFonts w:ascii="David" w:hAnsi="David" w:cs="David"/>
          <w:sz w:val="24"/>
          <w:szCs w:val="24"/>
          <w:rtl/>
        </w:rPr>
      </w:pPr>
      <w:r w:rsidRPr="004A5120">
        <w:rPr>
          <w:rFonts w:ascii="David" w:hAnsi="David" w:cs="David" w:hint="cs"/>
          <w:sz w:val="24"/>
          <w:szCs w:val="24"/>
          <w:rtl/>
        </w:rPr>
        <w:t xml:space="preserve">מאפיין נוסף מיוחד הוא סגנון העריכה, מצד אחד תמציתי ומצד שני מאד ברור (בניגוד לציפייה מתמציתיות שתביא לעמימות, המשנה ידועה בבהירות הגדולה שבה). </w:t>
      </w:r>
    </w:p>
    <w:p w14:paraId="5CF8D5EB" w14:textId="0AEB37D9" w:rsidR="00AF4935" w:rsidRPr="004A5120" w:rsidRDefault="00AF4935" w:rsidP="00C37644">
      <w:pPr>
        <w:spacing w:after="0"/>
        <w:jc w:val="both"/>
        <w:rPr>
          <w:rFonts w:ascii="David" w:hAnsi="David" w:cs="David"/>
          <w:sz w:val="24"/>
          <w:szCs w:val="24"/>
          <w:rtl/>
        </w:rPr>
      </w:pPr>
      <w:r w:rsidRPr="004A5120">
        <w:rPr>
          <w:rFonts w:ascii="David" w:hAnsi="David" w:cs="David" w:hint="cs"/>
          <w:sz w:val="24"/>
          <w:szCs w:val="24"/>
          <w:rtl/>
        </w:rPr>
        <w:t>הרמב"ם מסביר למה בחר בסגנון המשנה לכתיבת החיבור הגדול ביותר שלו, "משנה תורה", משום שלטענתו זו הלקון הקלה לרוב בני האדם (בניגוד לתורה או ללשון התלמוד הארמית).</w:t>
      </w:r>
    </w:p>
    <w:p w14:paraId="20958BFF" w14:textId="242867D7" w:rsidR="00AF4935" w:rsidRPr="004A5120" w:rsidRDefault="00AF4935" w:rsidP="00C37644">
      <w:pPr>
        <w:spacing w:after="0"/>
        <w:jc w:val="both"/>
        <w:rPr>
          <w:rFonts w:ascii="David" w:hAnsi="David" w:cs="David"/>
          <w:sz w:val="24"/>
          <w:szCs w:val="24"/>
          <w:rtl/>
        </w:rPr>
      </w:pPr>
    </w:p>
    <w:p w14:paraId="3D247168" w14:textId="734DC453" w:rsidR="00AF4935" w:rsidRPr="004A5120" w:rsidRDefault="00AF4935" w:rsidP="00C37644">
      <w:pPr>
        <w:spacing w:after="0"/>
        <w:jc w:val="both"/>
        <w:rPr>
          <w:rFonts w:ascii="David" w:hAnsi="David" w:cs="David"/>
          <w:sz w:val="24"/>
          <w:szCs w:val="24"/>
          <w:u w:val="single"/>
          <w:rtl/>
        </w:rPr>
      </w:pPr>
      <w:r w:rsidRPr="004A5120">
        <w:rPr>
          <w:rFonts w:ascii="David" w:hAnsi="David" w:cs="David" w:hint="cs"/>
          <w:sz w:val="24"/>
          <w:szCs w:val="24"/>
          <w:u w:val="single"/>
          <w:rtl/>
        </w:rPr>
        <w:t>התוספתא:</w:t>
      </w:r>
    </w:p>
    <w:p w14:paraId="09719D2A" w14:textId="36C03931" w:rsidR="00AF4935" w:rsidRPr="004A5120" w:rsidRDefault="00AF4935" w:rsidP="00C37644">
      <w:pPr>
        <w:spacing w:after="0"/>
        <w:jc w:val="both"/>
        <w:rPr>
          <w:rFonts w:ascii="David" w:hAnsi="David" w:cs="David"/>
          <w:sz w:val="24"/>
          <w:szCs w:val="24"/>
          <w:rtl/>
        </w:rPr>
      </w:pPr>
      <w:r w:rsidRPr="004A5120">
        <w:rPr>
          <w:rFonts w:ascii="David" w:hAnsi="David" w:cs="David" w:hint="cs"/>
          <w:sz w:val="24"/>
          <w:szCs w:val="24"/>
          <w:rtl/>
        </w:rPr>
        <w:t>מקור הלכה נוסף מתקופת התנאים, תוספת למשנה ובעל אותו מעמד הלכתי מחייב.</w:t>
      </w:r>
    </w:p>
    <w:p w14:paraId="075ED663" w14:textId="60B1068A" w:rsidR="00AF4935" w:rsidRPr="004A5120" w:rsidRDefault="00AF4935" w:rsidP="00C37644">
      <w:pPr>
        <w:spacing w:after="0"/>
        <w:jc w:val="both"/>
        <w:rPr>
          <w:rFonts w:ascii="David" w:hAnsi="David" w:cs="David"/>
          <w:sz w:val="24"/>
          <w:szCs w:val="24"/>
          <w:rtl/>
        </w:rPr>
      </w:pPr>
      <w:r w:rsidRPr="004A5120">
        <w:rPr>
          <w:rFonts w:ascii="David" w:hAnsi="David" w:cs="David" w:hint="cs"/>
          <w:sz w:val="24"/>
          <w:szCs w:val="24"/>
          <w:rtl/>
        </w:rPr>
        <w:t>דוגמאות להוספות והשלמות של התוספתא על המשנה:</w:t>
      </w:r>
    </w:p>
    <w:p w14:paraId="0D0CAD53" w14:textId="19184AB5" w:rsidR="00AF4935" w:rsidRPr="004A5120" w:rsidRDefault="00AF4935" w:rsidP="001A492B">
      <w:pPr>
        <w:pStyle w:val="a3"/>
        <w:numPr>
          <w:ilvl w:val="0"/>
          <w:numId w:val="24"/>
        </w:numPr>
        <w:spacing w:after="0"/>
        <w:jc w:val="both"/>
        <w:rPr>
          <w:rFonts w:ascii="David" w:hAnsi="David" w:cs="David"/>
          <w:sz w:val="24"/>
          <w:szCs w:val="24"/>
        </w:rPr>
      </w:pPr>
      <w:r w:rsidRPr="004A5120">
        <w:rPr>
          <w:rFonts w:ascii="David" w:hAnsi="David" w:cs="David" w:hint="cs"/>
          <w:sz w:val="24"/>
          <w:szCs w:val="24"/>
          <w:rtl/>
        </w:rPr>
        <w:t xml:space="preserve">העתקת קטעים והסברתם או הוספת נימוקים במשנה </w:t>
      </w:r>
      <w:r w:rsidRPr="004A5120">
        <w:rPr>
          <w:rFonts w:ascii="David" w:hAnsi="David" w:cs="David"/>
          <w:sz w:val="24"/>
          <w:szCs w:val="24"/>
          <w:rtl/>
        </w:rPr>
        <w:t>–</w:t>
      </w:r>
      <w:r w:rsidRPr="004A5120">
        <w:rPr>
          <w:rFonts w:ascii="David" w:hAnsi="David" w:cs="David" w:hint="cs"/>
          <w:sz w:val="24"/>
          <w:szCs w:val="24"/>
          <w:rtl/>
        </w:rPr>
        <w:t xml:space="preserve"> לדוג': במסכת בבא קמא כתוב: "שום כסף ושווה כסף, בפני בין דין, ועל פי עדין בני חורין בני ברית, והנשים בכלל הנזק, והנזק המזיק בתשלומין" </w:t>
      </w:r>
      <w:r w:rsidRPr="004A5120">
        <w:rPr>
          <w:rFonts w:ascii="David" w:hAnsi="David" w:cs="David"/>
          <w:sz w:val="24"/>
          <w:szCs w:val="24"/>
          <w:rtl/>
        </w:rPr>
        <w:t>–</w:t>
      </w:r>
      <w:r w:rsidRPr="004A5120">
        <w:rPr>
          <w:rFonts w:ascii="David" w:hAnsi="David" w:cs="David" w:hint="cs"/>
          <w:sz w:val="24"/>
          <w:szCs w:val="24"/>
          <w:rtl/>
        </w:rPr>
        <w:t xml:space="preserve"> משנה קצרה, עם כללים לא ברורים. </w:t>
      </w:r>
    </w:p>
    <w:p w14:paraId="30E2E2B9" w14:textId="3A4EA1E0" w:rsidR="00AF4935" w:rsidRPr="004A5120" w:rsidRDefault="00AF4935" w:rsidP="00AF4935">
      <w:pPr>
        <w:pStyle w:val="a3"/>
        <w:spacing w:after="0"/>
        <w:jc w:val="both"/>
        <w:rPr>
          <w:rFonts w:ascii="David" w:hAnsi="David" w:cs="David"/>
          <w:sz w:val="24"/>
          <w:szCs w:val="24"/>
          <w:rtl/>
        </w:rPr>
      </w:pPr>
      <w:r w:rsidRPr="004A5120">
        <w:rPr>
          <w:rFonts w:ascii="David" w:hAnsi="David" w:cs="David" w:hint="cs"/>
          <w:sz w:val="24"/>
          <w:szCs w:val="24"/>
          <w:rtl/>
        </w:rPr>
        <w:t xml:space="preserve">פירוש התוספתא: "שום כסף-אין אומרין תצא פרה בטלית ולא טלית בפרה, אלא שמין אותם בכספים" </w:t>
      </w:r>
      <w:r w:rsidRPr="004A5120">
        <w:rPr>
          <w:rFonts w:ascii="David" w:hAnsi="David" w:cs="David"/>
          <w:sz w:val="24"/>
          <w:szCs w:val="24"/>
          <w:rtl/>
        </w:rPr>
        <w:t>–</w:t>
      </w:r>
      <w:r w:rsidRPr="004A5120">
        <w:rPr>
          <w:rFonts w:ascii="David" w:hAnsi="David" w:cs="David" w:hint="cs"/>
          <w:sz w:val="24"/>
          <w:szCs w:val="24"/>
          <w:rtl/>
        </w:rPr>
        <w:t xml:space="preserve"> משמע, יש לאמוד את הנזק בכסף ולא לעשות "החלפות" (השבה העין).</w:t>
      </w:r>
    </w:p>
    <w:p w14:paraId="75A4E451" w14:textId="556FA578" w:rsidR="00AF4935" w:rsidRPr="004A5120" w:rsidRDefault="009D586C" w:rsidP="001A492B">
      <w:pPr>
        <w:pStyle w:val="a3"/>
        <w:numPr>
          <w:ilvl w:val="0"/>
          <w:numId w:val="24"/>
        </w:numPr>
        <w:spacing w:after="0"/>
        <w:jc w:val="both"/>
        <w:rPr>
          <w:rFonts w:ascii="David" w:hAnsi="David" w:cs="David"/>
          <w:sz w:val="24"/>
          <w:szCs w:val="24"/>
        </w:rPr>
      </w:pPr>
      <w:r w:rsidRPr="004A5120">
        <w:rPr>
          <w:rFonts w:ascii="David" w:hAnsi="David" w:cs="David" w:hint="cs"/>
          <w:sz w:val="24"/>
          <w:szCs w:val="24"/>
          <w:rtl/>
        </w:rPr>
        <w:t xml:space="preserve">הוספת מחלוקות ודעות מיעוט </w:t>
      </w:r>
      <w:r w:rsidRPr="004A5120">
        <w:rPr>
          <w:rFonts w:ascii="David" w:hAnsi="David" w:cs="David"/>
          <w:sz w:val="24"/>
          <w:szCs w:val="24"/>
          <w:rtl/>
        </w:rPr>
        <w:t>–</w:t>
      </w:r>
      <w:r w:rsidR="00AF4935" w:rsidRPr="004A5120">
        <w:rPr>
          <w:rFonts w:ascii="David" w:hAnsi="David" w:cs="David" w:hint="cs"/>
          <w:sz w:val="24"/>
          <w:szCs w:val="24"/>
          <w:rtl/>
        </w:rPr>
        <w:t xml:space="preserve">הלכות שמוזכרות במשנה בצורה סתמית, ניתן למצוא בתוספתא בתוך הקשר </w:t>
      </w:r>
      <w:r w:rsidR="00AF4935" w:rsidRPr="004A5120">
        <w:rPr>
          <w:rFonts w:ascii="David" w:hAnsi="David" w:cs="David"/>
          <w:sz w:val="24"/>
          <w:szCs w:val="24"/>
          <w:rtl/>
        </w:rPr>
        <w:t>–</w:t>
      </w:r>
      <w:r w:rsidR="00AF4935" w:rsidRPr="004A5120">
        <w:rPr>
          <w:rFonts w:ascii="David" w:hAnsi="David" w:cs="David" w:hint="cs"/>
          <w:sz w:val="24"/>
          <w:szCs w:val="24"/>
          <w:rtl/>
        </w:rPr>
        <w:t xml:space="preserve"> בתוך מחלוקת בין תנאים שונים. </w:t>
      </w:r>
    </w:p>
    <w:p w14:paraId="372BDA11" w14:textId="42DDBF22" w:rsidR="009D586C" w:rsidRPr="004A5120" w:rsidRDefault="009D586C" w:rsidP="001A492B">
      <w:pPr>
        <w:pStyle w:val="a3"/>
        <w:numPr>
          <w:ilvl w:val="0"/>
          <w:numId w:val="24"/>
        </w:numPr>
        <w:spacing w:after="0"/>
        <w:jc w:val="both"/>
        <w:rPr>
          <w:rFonts w:ascii="David" w:hAnsi="David" w:cs="David"/>
          <w:sz w:val="24"/>
          <w:szCs w:val="24"/>
        </w:rPr>
      </w:pPr>
      <w:r w:rsidRPr="004A5120">
        <w:rPr>
          <w:rFonts w:ascii="David" w:hAnsi="David" w:cs="David" w:hint="cs"/>
          <w:sz w:val="24"/>
          <w:szCs w:val="24"/>
          <w:rtl/>
        </w:rPr>
        <w:t xml:space="preserve">הרחבת הלכה והוספת דינים </w:t>
      </w:r>
      <w:r w:rsidRPr="004A5120">
        <w:rPr>
          <w:rFonts w:ascii="David" w:hAnsi="David" w:cs="David"/>
          <w:sz w:val="24"/>
          <w:szCs w:val="24"/>
          <w:rtl/>
        </w:rPr>
        <w:t>–</w:t>
      </w:r>
      <w:r w:rsidRPr="004A5120">
        <w:rPr>
          <w:rFonts w:ascii="David" w:hAnsi="David" w:cs="David" w:hint="cs"/>
          <w:sz w:val="24"/>
          <w:szCs w:val="24"/>
          <w:rtl/>
        </w:rPr>
        <w:t xml:space="preserve"> דוג' במסכת בבא מציעא: מי ששומר על פירות של אדם אחר, גם אם הם נרקבים ונהרסים, אין לו זכות למכור אותם.</w:t>
      </w:r>
    </w:p>
    <w:p w14:paraId="4FFA55F0" w14:textId="08E1A5BE" w:rsidR="009D586C" w:rsidRPr="004A5120" w:rsidRDefault="009D586C" w:rsidP="009D586C">
      <w:pPr>
        <w:pStyle w:val="a3"/>
        <w:spacing w:after="0"/>
        <w:jc w:val="both"/>
        <w:rPr>
          <w:rFonts w:ascii="David" w:hAnsi="David" w:cs="David"/>
          <w:sz w:val="24"/>
          <w:szCs w:val="24"/>
          <w:rtl/>
        </w:rPr>
      </w:pPr>
      <w:r w:rsidRPr="004A5120">
        <w:rPr>
          <w:rFonts w:ascii="David" w:hAnsi="David" w:cs="David" w:hint="cs"/>
          <w:sz w:val="24"/>
          <w:szCs w:val="24"/>
          <w:rtl/>
        </w:rPr>
        <w:t xml:space="preserve">רבן שמעון בן גמליאל אומר שימכור אל מול בית הדין, בגלל שהוא כמו מי שמחזיר אבדה לבעליה (אם לא ימכור, הם צפויים "להיאבד" כי יהרסו). </w:t>
      </w:r>
    </w:p>
    <w:p w14:paraId="53A0200C" w14:textId="65781ED1" w:rsidR="009D586C" w:rsidRPr="004A5120" w:rsidRDefault="009D586C" w:rsidP="009D586C">
      <w:pPr>
        <w:pStyle w:val="a3"/>
        <w:spacing w:after="0"/>
        <w:jc w:val="both"/>
        <w:rPr>
          <w:rFonts w:ascii="David" w:hAnsi="David" w:cs="David"/>
          <w:sz w:val="24"/>
          <w:szCs w:val="24"/>
          <w:rtl/>
        </w:rPr>
      </w:pPr>
      <w:r w:rsidRPr="004A5120">
        <w:rPr>
          <w:rFonts w:ascii="David" w:hAnsi="David" w:cs="David" w:hint="cs"/>
          <w:sz w:val="24"/>
          <w:szCs w:val="24"/>
          <w:rtl/>
        </w:rPr>
        <w:t xml:space="preserve">בתוספתא: אותה הלכה בדיוק עם תוספת, בעל הבית רשאי להפריש את הפירות האלה, שנרקבים, כתרומה (מעשר), על פירות אחרים שיש לו, כי חברו לא ישתמש בהם. אותה הלכה מופיעה בנוסח אחר בתוספתא, מה שמצביע על היות ההלכה ממקור אחר. </w:t>
      </w:r>
    </w:p>
    <w:p w14:paraId="4C432732" w14:textId="1F1AA985" w:rsidR="009D586C" w:rsidRPr="004A5120" w:rsidRDefault="009D586C" w:rsidP="009D586C">
      <w:pPr>
        <w:pStyle w:val="a3"/>
        <w:spacing w:after="0"/>
        <w:jc w:val="both"/>
        <w:rPr>
          <w:rFonts w:ascii="David" w:hAnsi="David" w:cs="David"/>
          <w:sz w:val="24"/>
          <w:szCs w:val="24"/>
          <w:rtl/>
        </w:rPr>
      </w:pPr>
      <w:r w:rsidRPr="004A5120">
        <w:rPr>
          <w:rFonts w:ascii="David" w:hAnsi="David" w:cs="David" w:hint="cs"/>
          <w:sz w:val="24"/>
          <w:szCs w:val="24"/>
          <w:rtl/>
        </w:rPr>
        <w:t>מכך משתמע שיש הלכות בתוספתא שאינן נמצאות כלל במשנה.</w:t>
      </w:r>
    </w:p>
    <w:p w14:paraId="5CE627E9" w14:textId="71CC270A" w:rsidR="009D586C" w:rsidRPr="004A5120" w:rsidRDefault="009D586C" w:rsidP="009D586C">
      <w:pPr>
        <w:pStyle w:val="a3"/>
        <w:spacing w:after="0"/>
        <w:jc w:val="both"/>
        <w:rPr>
          <w:rFonts w:ascii="David" w:hAnsi="David" w:cs="David"/>
          <w:sz w:val="24"/>
          <w:szCs w:val="24"/>
          <w:rtl/>
        </w:rPr>
      </w:pPr>
      <w:r w:rsidRPr="004A5120">
        <w:rPr>
          <w:rFonts w:ascii="David" w:hAnsi="David" w:cs="David" w:hint="cs"/>
          <w:sz w:val="24"/>
          <w:szCs w:val="24"/>
          <w:rtl/>
        </w:rPr>
        <w:t xml:space="preserve">דוג' נוספת: מסכת כתובות, המשנה מביאה נוסח של כתובה. בתוספתא הובאו נוסחים של מסמכים מגוונים </w:t>
      </w:r>
      <w:r w:rsidRPr="004A5120">
        <w:rPr>
          <w:rFonts w:ascii="David" w:hAnsi="David" w:cs="David"/>
          <w:sz w:val="24"/>
          <w:szCs w:val="24"/>
          <w:rtl/>
        </w:rPr>
        <w:t>–</w:t>
      </w:r>
      <w:r w:rsidRPr="004A5120">
        <w:rPr>
          <w:rFonts w:ascii="David" w:hAnsi="David" w:cs="David" w:hint="cs"/>
          <w:sz w:val="24"/>
          <w:szCs w:val="24"/>
          <w:rtl/>
        </w:rPr>
        <w:t xml:space="preserve"> כתובה, שטר משכון וכו'.</w:t>
      </w:r>
    </w:p>
    <w:p w14:paraId="1A45494D" w14:textId="0FFC4665" w:rsidR="009D586C" w:rsidRPr="004A5120" w:rsidRDefault="009D586C" w:rsidP="009D586C">
      <w:pPr>
        <w:spacing w:after="0"/>
        <w:jc w:val="both"/>
        <w:rPr>
          <w:rFonts w:ascii="David" w:hAnsi="David" w:cs="David"/>
          <w:sz w:val="24"/>
          <w:szCs w:val="24"/>
          <w:rtl/>
        </w:rPr>
      </w:pPr>
      <w:r w:rsidRPr="004A5120">
        <w:rPr>
          <w:rFonts w:ascii="David" w:hAnsi="David" w:cs="David" w:hint="cs"/>
          <w:sz w:val="24"/>
          <w:szCs w:val="24"/>
          <w:rtl/>
        </w:rPr>
        <w:t>לעתים יש חוסר תיאום סידורי בין המשנה והתוספתא</w:t>
      </w:r>
      <w:r w:rsidR="000374E5" w:rsidRPr="004A5120">
        <w:rPr>
          <w:rFonts w:ascii="David" w:hAnsi="David" w:cs="David" w:hint="cs"/>
          <w:sz w:val="24"/>
          <w:szCs w:val="24"/>
          <w:rtl/>
        </w:rPr>
        <w:t xml:space="preserve">, חלוקת הפרקים עשויה להשתנות וכך גם סדר ההלכות בכל פרק. הסיבה נוגעת לכך שמי שערך את התוספתא השתמש בקובץ קדום, שהיה </w:t>
      </w:r>
      <w:r w:rsidR="000374E5" w:rsidRPr="004A5120">
        <w:rPr>
          <w:rFonts w:ascii="David" w:hAnsi="David" w:cs="David" w:hint="cs"/>
          <w:sz w:val="24"/>
          <w:szCs w:val="24"/>
          <w:rtl/>
        </w:rPr>
        <w:lastRenderedPageBreak/>
        <w:t xml:space="preserve">קשור לקבוץ משניות אחר מזה שחילק וסידר רבי. זמן עריכת התוספתא מיוחס לדור שמיד לאחר רבי יהודה הנשיא </w:t>
      </w:r>
      <w:r w:rsidR="000374E5" w:rsidRPr="004A5120">
        <w:rPr>
          <w:rFonts w:ascii="David" w:hAnsi="David" w:cs="David"/>
          <w:sz w:val="24"/>
          <w:szCs w:val="24"/>
          <w:rtl/>
        </w:rPr>
        <w:t>–</w:t>
      </w:r>
      <w:r w:rsidR="000374E5" w:rsidRPr="004A5120">
        <w:rPr>
          <w:rFonts w:ascii="David" w:hAnsi="David" w:cs="David" w:hint="cs"/>
          <w:sz w:val="24"/>
          <w:szCs w:val="24"/>
          <w:rtl/>
        </w:rPr>
        <w:t xml:space="preserve"> דור המעבר מתקופת התנאים לתקופת האמוראים.</w:t>
      </w:r>
    </w:p>
    <w:p w14:paraId="46911A0E" w14:textId="77777777" w:rsidR="00D1615C" w:rsidRPr="004A5120" w:rsidRDefault="00D1615C" w:rsidP="00D1615C">
      <w:pPr>
        <w:spacing w:after="0"/>
        <w:jc w:val="both"/>
        <w:rPr>
          <w:rFonts w:ascii="David" w:hAnsi="David" w:cs="David"/>
          <w:sz w:val="24"/>
          <w:szCs w:val="24"/>
          <w:rtl/>
        </w:rPr>
      </w:pPr>
    </w:p>
    <w:p w14:paraId="5CB8B495" w14:textId="34F4980A" w:rsidR="00DD1B36" w:rsidRPr="004A5120" w:rsidRDefault="00DD1B36" w:rsidP="009E2894">
      <w:pPr>
        <w:spacing w:after="0"/>
        <w:jc w:val="both"/>
        <w:rPr>
          <w:rFonts w:ascii="David" w:hAnsi="David" w:cs="David"/>
          <w:sz w:val="24"/>
          <w:szCs w:val="24"/>
          <w:rtl/>
        </w:rPr>
      </w:pPr>
    </w:p>
    <w:p w14:paraId="26797E4B" w14:textId="77777777" w:rsidR="00DD1B36" w:rsidRPr="004A5120" w:rsidRDefault="00DD1B36" w:rsidP="009E2894">
      <w:pPr>
        <w:spacing w:after="0"/>
        <w:jc w:val="both"/>
        <w:rPr>
          <w:rFonts w:ascii="David" w:hAnsi="David" w:cs="David"/>
          <w:sz w:val="24"/>
          <w:szCs w:val="24"/>
          <w:rtl/>
        </w:rPr>
      </w:pPr>
    </w:p>
    <w:p w14:paraId="05BF8442" w14:textId="130CC57F" w:rsidR="0048448B" w:rsidRPr="00D606EF" w:rsidRDefault="008D481F" w:rsidP="008D481F">
      <w:pPr>
        <w:spacing w:after="0"/>
        <w:jc w:val="center"/>
        <w:rPr>
          <w:rFonts w:ascii="David" w:hAnsi="David" w:cs="David"/>
          <w:b/>
          <w:bCs/>
          <w:sz w:val="28"/>
          <w:szCs w:val="28"/>
          <w:rtl/>
        </w:rPr>
      </w:pPr>
      <w:r w:rsidRPr="00D606EF">
        <w:rPr>
          <w:rFonts w:ascii="David" w:hAnsi="David" w:cs="David" w:hint="cs"/>
          <w:b/>
          <w:bCs/>
          <w:sz w:val="28"/>
          <w:szCs w:val="28"/>
          <w:rtl/>
        </w:rPr>
        <w:t>סיכום קובץ 4</w:t>
      </w:r>
    </w:p>
    <w:p w14:paraId="6C0143C5" w14:textId="0791C3F9" w:rsidR="008D481F" w:rsidRPr="004A5120" w:rsidRDefault="008D481F" w:rsidP="008D481F">
      <w:pPr>
        <w:spacing w:after="0"/>
        <w:jc w:val="both"/>
        <w:rPr>
          <w:rFonts w:ascii="David" w:hAnsi="David" w:cs="David"/>
          <w:sz w:val="24"/>
          <w:szCs w:val="24"/>
          <w:rtl/>
        </w:rPr>
      </w:pPr>
    </w:p>
    <w:p w14:paraId="7E17CE0B" w14:textId="75DA126B" w:rsidR="008D481F" w:rsidRPr="004A5120" w:rsidRDefault="008D481F" w:rsidP="008D481F">
      <w:pPr>
        <w:spacing w:after="0"/>
        <w:jc w:val="both"/>
        <w:rPr>
          <w:rFonts w:ascii="David" w:hAnsi="David" w:cs="David"/>
          <w:b/>
          <w:bCs/>
          <w:sz w:val="24"/>
          <w:szCs w:val="24"/>
          <w:u w:val="single"/>
          <w:rtl/>
        </w:rPr>
      </w:pPr>
      <w:r w:rsidRPr="004A5120">
        <w:rPr>
          <w:rFonts w:ascii="David" w:hAnsi="David" w:cs="David" w:hint="cs"/>
          <w:b/>
          <w:bCs/>
          <w:sz w:val="24"/>
          <w:szCs w:val="24"/>
          <w:u w:val="single"/>
          <w:rtl/>
        </w:rPr>
        <w:t>הקדמה:</w:t>
      </w:r>
    </w:p>
    <w:p w14:paraId="4A017ACC" w14:textId="666882A4" w:rsidR="008D481F" w:rsidRPr="004A5120" w:rsidRDefault="008D481F" w:rsidP="008D481F">
      <w:pPr>
        <w:spacing w:after="0"/>
        <w:jc w:val="both"/>
        <w:rPr>
          <w:rFonts w:ascii="David" w:hAnsi="David" w:cs="David"/>
          <w:sz w:val="24"/>
          <w:szCs w:val="24"/>
          <w:rtl/>
        </w:rPr>
      </w:pPr>
      <w:r w:rsidRPr="004A5120">
        <w:rPr>
          <w:rFonts w:ascii="David" w:hAnsi="David" w:cs="David" w:hint="cs"/>
          <w:sz w:val="24"/>
          <w:szCs w:val="24"/>
          <w:rtl/>
        </w:rPr>
        <w:t xml:space="preserve">אנו עוברים מתקופת המשנה, בה החכמים נקראו תנאים </w:t>
      </w:r>
      <w:r w:rsidRPr="004A5120">
        <w:rPr>
          <w:rFonts w:ascii="David" w:hAnsi="David" w:cs="David"/>
          <w:sz w:val="24"/>
          <w:szCs w:val="24"/>
          <w:rtl/>
        </w:rPr>
        <w:t>–</w:t>
      </w:r>
      <w:r w:rsidRPr="004A5120">
        <w:rPr>
          <w:rFonts w:ascii="David" w:hAnsi="David" w:cs="David" w:hint="cs"/>
          <w:sz w:val="24"/>
          <w:szCs w:val="24"/>
          <w:rtl/>
        </w:rPr>
        <w:t xml:space="preserve"> לתקופת הגמרא, מיצירת התלמוד ועד חתימתו. </w:t>
      </w:r>
    </w:p>
    <w:p w14:paraId="5268BCFF" w14:textId="78ECB8AD" w:rsidR="008D481F" w:rsidRPr="004A5120" w:rsidRDefault="008D481F" w:rsidP="008D481F">
      <w:pPr>
        <w:spacing w:after="0"/>
        <w:jc w:val="both"/>
        <w:rPr>
          <w:rFonts w:ascii="David" w:hAnsi="David" w:cs="David"/>
          <w:sz w:val="24"/>
          <w:szCs w:val="24"/>
          <w:rtl/>
        </w:rPr>
      </w:pPr>
      <w:r w:rsidRPr="004A5120">
        <w:rPr>
          <w:rFonts w:ascii="David" w:hAnsi="David" w:cs="David" w:hint="cs"/>
          <w:sz w:val="24"/>
          <w:szCs w:val="24"/>
          <w:rtl/>
        </w:rPr>
        <w:t>סדר החכמים בתקופת הגמרא: אמוראים -&gt;</w:t>
      </w:r>
      <w:r w:rsidR="00665E0E" w:rsidRPr="004A5120">
        <w:rPr>
          <w:rFonts w:ascii="David" w:hAnsi="David" w:cs="David" w:hint="cs"/>
          <w:sz w:val="24"/>
          <w:szCs w:val="24"/>
          <w:rtl/>
        </w:rPr>
        <w:t xml:space="preserve"> סבוראים -&gt;</w:t>
      </w:r>
      <w:r w:rsidRPr="004A5120">
        <w:rPr>
          <w:rFonts w:ascii="David" w:hAnsi="David" w:cs="David" w:hint="cs"/>
          <w:sz w:val="24"/>
          <w:szCs w:val="24"/>
          <w:rtl/>
        </w:rPr>
        <w:t xml:space="preserve"> גאונים -&gt; ראשונים -&gt; אחרונים.</w:t>
      </w:r>
    </w:p>
    <w:p w14:paraId="6141294F" w14:textId="1BDA93AB" w:rsidR="008D481F" w:rsidRPr="004A5120" w:rsidRDefault="008D481F" w:rsidP="008D481F">
      <w:pPr>
        <w:spacing w:after="0"/>
        <w:jc w:val="both"/>
        <w:rPr>
          <w:rFonts w:ascii="David" w:hAnsi="David" w:cs="David"/>
          <w:sz w:val="24"/>
          <w:szCs w:val="24"/>
          <w:rtl/>
        </w:rPr>
      </w:pPr>
    </w:p>
    <w:p w14:paraId="2B5FC40A" w14:textId="4ADB95A9" w:rsidR="008D481F" w:rsidRPr="004A5120" w:rsidRDefault="008D481F" w:rsidP="008D481F">
      <w:pPr>
        <w:spacing w:after="0"/>
        <w:jc w:val="both"/>
        <w:rPr>
          <w:rFonts w:ascii="David" w:hAnsi="David" w:cs="David"/>
          <w:b/>
          <w:bCs/>
          <w:sz w:val="24"/>
          <w:szCs w:val="24"/>
          <w:u w:val="single"/>
          <w:rtl/>
        </w:rPr>
      </w:pPr>
      <w:r w:rsidRPr="004A5120">
        <w:rPr>
          <w:rFonts w:ascii="David" w:hAnsi="David" w:cs="David" w:hint="cs"/>
          <w:b/>
          <w:bCs/>
          <w:sz w:val="24"/>
          <w:szCs w:val="24"/>
          <w:u w:val="single"/>
          <w:rtl/>
        </w:rPr>
        <w:t>המקורות הרישומיים בתקופת האמוראים:</w:t>
      </w:r>
    </w:p>
    <w:p w14:paraId="4AB2DD2B" w14:textId="30194008" w:rsidR="008D481F" w:rsidRPr="004A5120" w:rsidRDefault="009815EC" w:rsidP="008D481F">
      <w:pPr>
        <w:spacing w:after="0"/>
        <w:jc w:val="both"/>
        <w:rPr>
          <w:rFonts w:ascii="David" w:hAnsi="David" w:cs="David"/>
          <w:sz w:val="24"/>
          <w:szCs w:val="24"/>
          <w:rtl/>
        </w:rPr>
      </w:pPr>
      <w:r w:rsidRPr="004A5120">
        <w:rPr>
          <w:rFonts w:ascii="David" w:hAnsi="David" w:cs="David" w:hint="cs"/>
          <w:sz w:val="24"/>
          <w:szCs w:val="24"/>
          <w:rtl/>
        </w:rPr>
        <w:t xml:space="preserve">שני התלמודים: הירושלמי והבבלי. שני אלו ובעיקר הבבלי, כוללים בעיקר את יצירתם של האמוראים </w:t>
      </w:r>
      <w:r w:rsidRPr="004A5120">
        <w:rPr>
          <w:rFonts w:ascii="David" w:hAnsi="David" w:cs="David"/>
          <w:sz w:val="24"/>
          <w:szCs w:val="24"/>
          <w:rtl/>
        </w:rPr>
        <w:t>–</w:t>
      </w:r>
      <w:r w:rsidRPr="004A5120">
        <w:rPr>
          <w:rFonts w:ascii="David" w:hAnsi="David" w:cs="David" w:hint="cs"/>
          <w:sz w:val="24"/>
          <w:szCs w:val="24"/>
          <w:rtl/>
        </w:rPr>
        <w:t xml:space="preserve"> עד ימנו הם המקור המוסמך החשוב ביותר במקורות הרישומיים של המשפט העברי.</w:t>
      </w:r>
    </w:p>
    <w:p w14:paraId="53BA524A" w14:textId="2DF3C37D" w:rsidR="009815EC" w:rsidRPr="004A5120" w:rsidRDefault="009815EC" w:rsidP="008D481F">
      <w:pPr>
        <w:spacing w:after="0"/>
        <w:jc w:val="both"/>
        <w:rPr>
          <w:rFonts w:ascii="David" w:hAnsi="David" w:cs="David"/>
          <w:sz w:val="24"/>
          <w:szCs w:val="24"/>
          <w:rtl/>
        </w:rPr>
      </w:pPr>
    </w:p>
    <w:p w14:paraId="7B9F6DBF" w14:textId="52A6639E" w:rsidR="009815EC" w:rsidRPr="004A5120" w:rsidRDefault="009815EC" w:rsidP="008D481F">
      <w:pPr>
        <w:spacing w:after="0"/>
        <w:jc w:val="both"/>
        <w:rPr>
          <w:rFonts w:ascii="David" w:hAnsi="David" w:cs="David"/>
          <w:b/>
          <w:bCs/>
          <w:sz w:val="24"/>
          <w:szCs w:val="24"/>
          <w:u w:val="single"/>
          <w:rtl/>
        </w:rPr>
      </w:pPr>
      <w:r w:rsidRPr="004A5120">
        <w:rPr>
          <w:rFonts w:ascii="David" w:hAnsi="David" w:cs="David" w:hint="cs"/>
          <w:b/>
          <w:bCs/>
          <w:sz w:val="24"/>
          <w:szCs w:val="24"/>
          <w:u w:val="single"/>
          <w:rtl/>
        </w:rPr>
        <w:t>ביאור מונחים:</w:t>
      </w:r>
    </w:p>
    <w:p w14:paraId="5448901B" w14:textId="7B3BB8E9" w:rsidR="009815EC" w:rsidRPr="004A5120" w:rsidRDefault="009815EC" w:rsidP="001A492B">
      <w:pPr>
        <w:pStyle w:val="a3"/>
        <w:numPr>
          <w:ilvl w:val="0"/>
          <w:numId w:val="25"/>
        </w:numPr>
        <w:spacing w:after="0"/>
        <w:jc w:val="both"/>
        <w:rPr>
          <w:rFonts w:ascii="David" w:hAnsi="David" w:cs="David"/>
          <w:sz w:val="24"/>
          <w:szCs w:val="24"/>
        </w:rPr>
      </w:pPr>
      <w:r w:rsidRPr="004A5120">
        <w:rPr>
          <w:rFonts w:ascii="David" w:hAnsi="David" w:cs="David" w:hint="cs"/>
          <w:sz w:val="24"/>
          <w:szCs w:val="24"/>
          <w:rtl/>
        </w:rPr>
        <w:t xml:space="preserve">אמורא </w:t>
      </w:r>
      <w:r w:rsidRPr="004A5120">
        <w:rPr>
          <w:rFonts w:ascii="David" w:hAnsi="David" w:cs="David"/>
          <w:sz w:val="24"/>
          <w:szCs w:val="24"/>
          <w:rtl/>
        </w:rPr>
        <w:t>–</w:t>
      </w:r>
      <w:r w:rsidRPr="004A5120">
        <w:rPr>
          <w:rFonts w:ascii="David" w:hAnsi="David" w:cs="David" w:hint="cs"/>
          <w:sz w:val="24"/>
          <w:szCs w:val="24"/>
          <w:rtl/>
        </w:rPr>
        <w:t xml:space="preserve"> </w:t>
      </w:r>
    </w:p>
    <w:p w14:paraId="09BE9ECE" w14:textId="6D55C813" w:rsidR="00BD4E5D" w:rsidRPr="004A5120" w:rsidRDefault="009815EC" w:rsidP="009815EC">
      <w:pPr>
        <w:pStyle w:val="a3"/>
        <w:spacing w:after="0"/>
        <w:jc w:val="both"/>
        <w:rPr>
          <w:rFonts w:ascii="David" w:hAnsi="David" w:cs="David"/>
          <w:sz w:val="24"/>
          <w:szCs w:val="24"/>
          <w:rtl/>
        </w:rPr>
      </w:pPr>
      <w:r w:rsidRPr="004A5120">
        <w:rPr>
          <w:rFonts w:ascii="David" w:hAnsi="David" w:cs="David" w:hint="cs"/>
          <w:sz w:val="24"/>
          <w:szCs w:val="24"/>
          <w:rtl/>
        </w:rPr>
        <w:t>מארמית, "אמר" = לפרש, לתרגם. האמוראים עסקו בעיקר בפירוש והסברת המשנה. משמעות נוספת היא מתורגמן שעמד ליד הדרשן בדרשה בציבור (פירקא).</w:t>
      </w:r>
    </w:p>
    <w:p w14:paraId="0EE983A8" w14:textId="25740955" w:rsidR="009815EC" w:rsidRPr="004A5120" w:rsidRDefault="009815EC" w:rsidP="001A492B">
      <w:pPr>
        <w:pStyle w:val="a3"/>
        <w:numPr>
          <w:ilvl w:val="0"/>
          <w:numId w:val="25"/>
        </w:numPr>
        <w:spacing w:after="0"/>
        <w:jc w:val="both"/>
        <w:rPr>
          <w:rFonts w:ascii="David" w:hAnsi="David" w:cs="David"/>
          <w:sz w:val="24"/>
          <w:szCs w:val="24"/>
        </w:rPr>
      </w:pPr>
      <w:r w:rsidRPr="004A5120">
        <w:rPr>
          <w:rFonts w:ascii="David" w:hAnsi="David" w:cs="David" w:hint="cs"/>
          <w:sz w:val="24"/>
          <w:szCs w:val="24"/>
          <w:rtl/>
        </w:rPr>
        <w:t xml:space="preserve">תלמוד </w:t>
      </w:r>
      <w:r w:rsidRPr="004A5120">
        <w:rPr>
          <w:rFonts w:ascii="David" w:hAnsi="David" w:cs="David"/>
          <w:sz w:val="24"/>
          <w:szCs w:val="24"/>
          <w:rtl/>
        </w:rPr>
        <w:t>–</w:t>
      </w:r>
      <w:r w:rsidRPr="004A5120">
        <w:rPr>
          <w:rFonts w:ascii="David" w:hAnsi="David" w:cs="David" w:hint="cs"/>
          <w:sz w:val="24"/>
          <w:szCs w:val="24"/>
          <w:rtl/>
        </w:rPr>
        <w:t xml:space="preserve"> </w:t>
      </w:r>
    </w:p>
    <w:p w14:paraId="1BFF788E" w14:textId="0DF14D35" w:rsidR="009815EC" w:rsidRPr="004A5120" w:rsidRDefault="009815EC" w:rsidP="009815EC">
      <w:pPr>
        <w:pStyle w:val="a3"/>
        <w:spacing w:after="0"/>
        <w:jc w:val="both"/>
        <w:rPr>
          <w:rFonts w:ascii="David" w:hAnsi="David" w:cs="David"/>
          <w:sz w:val="24"/>
          <w:szCs w:val="24"/>
          <w:rtl/>
        </w:rPr>
      </w:pPr>
      <w:r w:rsidRPr="004A5120">
        <w:rPr>
          <w:rFonts w:ascii="David" w:hAnsi="David" w:cs="David" w:hint="cs"/>
          <w:sz w:val="24"/>
          <w:szCs w:val="24"/>
          <w:rtl/>
        </w:rPr>
        <w:t xml:space="preserve">יש כמה משמעויות, 2 רלוונטיות לנו: 1. דיוני האמוראים במשנה של רבי יהודה הנשיא.   2. שם שכולל את משנת רבי ואת דיוני האמוראים </w:t>
      </w:r>
      <w:r w:rsidRPr="004A5120">
        <w:rPr>
          <w:rFonts w:ascii="David" w:hAnsi="David" w:cs="David"/>
          <w:sz w:val="24"/>
          <w:szCs w:val="24"/>
          <w:rtl/>
        </w:rPr>
        <w:t>–</w:t>
      </w:r>
      <w:r w:rsidRPr="004A5120">
        <w:rPr>
          <w:rFonts w:ascii="David" w:hAnsi="David" w:cs="David" w:hint="cs"/>
          <w:sz w:val="24"/>
          <w:szCs w:val="24"/>
          <w:rtl/>
        </w:rPr>
        <w:t xml:space="preserve"> המשמעות המקובלת היום.</w:t>
      </w:r>
    </w:p>
    <w:p w14:paraId="7D2B987B" w14:textId="7F5F3A98" w:rsidR="009815EC" w:rsidRPr="004A5120" w:rsidRDefault="009815EC" w:rsidP="001A492B">
      <w:pPr>
        <w:pStyle w:val="a3"/>
        <w:numPr>
          <w:ilvl w:val="0"/>
          <w:numId w:val="25"/>
        </w:numPr>
        <w:spacing w:after="0"/>
        <w:jc w:val="both"/>
        <w:rPr>
          <w:rFonts w:ascii="David" w:hAnsi="David" w:cs="David"/>
          <w:sz w:val="24"/>
          <w:szCs w:val="24"/>
        </w:rPr>
      </w:pPr>
      <w:r w:rsidRPr="004A5120">
        <w:rPr>
          <w:rFonts w:ascii="David" w:hAnsi="David" w:cs="David" w:hint="cs"/>
          <w:sz w:val="24"/>
          <w:szCs w:val="24"/>
          <w:rtl/>
        </w:rPr>
        <w:t xml:space="preserve">גמרא </w:t>
      </w:r>
      <w:r w:rsidRPr="004A5120">
        <w:rPr>
          <w:rFonts w:ascii="David" w:hAnsi="David" w:cs="David"/>
          <w:sz w:val="24"/>
          <w:szCs w:val="24"/>
          <w:rtl/>
        </w:rPr>
        <w:t>–</w:t>
      </w:r>
      <w:r w:rsidRPr="004A5120">
        <w:rPr>
          <w:rFonts w:ascii="David" w:hAnsi="David" w:cs="David" w:hint="cs"/>
          <w:sz w:val="24"/>
          <w:szCs w:val="24"/>
          <w:rtl/>
        </w:rPr>
        <w:t xml:space="preserve"> </w:t>
      </w:r>
    </w:p>
    <w:p w14:paraId="1E6EBDDF" w14:textId="0D43F9FB" w:rsidR="009815EC" w:rsidRPr="004A5120" w:rsidRDefault="009815EC" w:rsidP="009815EC">
      <w:pPr>
        <w:pStyle w:val="a3"/>
        <w:spacing w:after="0"/>
        <w:jc w:val="both"/>
        <w:rPr>
          <w:rFonts w:ascii="David" w:hAnsi="David" w:cs="David"/>
          <w:sz w:val="24"/>
          <w:szCs w:val="24"/>
          <w:rtl/>
        </w:rPr>
      </w:pPr>
      <w:r w:rsidRPr="004A5120">
        <w:rPr>
          <w:rFonts w:ascii="David" w:hAnsi="David" w:cs="David" w:hint="cs"/>
          <w:sz w:val="24"/>
          <w:szCs w:val="24"/>
          <w:rtl/>
        </w:rPr>
        <w:t>מחלוקת בין חוקרים בנוגע למקור המילה. חלק מהפירושים: 1. "גמר"-השלים. 2. לימוד. 3. קבלה ומסורת. המשמעות המקובלת היום היא הלימוד, הדיון והדברים של האמוראים.</w:t>
      </w:r>
    </w:p>
    <w:p w14:paraId="03D9DA58" w14:textId="0BDFB041" w:rsidR="009815EC" w:rsidRPr="004A5120" w:rsidRDefault="009815EC" w:rsidP="009815EC">
      <w:pPr>
        <w:spacing w:after="0"/>
        <w:jc w:val="both"/>
        <w:rPr>
          <w:rFonts w:ascii="David" w:hAnsi="David" w:cs="David"/>
          <w:sz w:val="24"/>
          <w:szCs w:val="24"/>
          <w:rtl/>
        </w:rPr>
      </w:pPr>
    </w:p>
    <w:p w14:paraId="1F7963F0" w14:textId="5A638CB8" w:rsidR="009815EC" w:rsidRPr="004A5120" w:rsidRDefault="009815EC" w:rsidP="009815EC">
      <w:pPr>
        <w:spacing w:after="0"/>
        <w:jc w:val="both"/>
        <w:rPr>
          <w:rFonts w:ascii="David" w:hAnsi="David" w:cs="David"/>
          <w:b/>
          <w:bCs/>
          <w:sz w:val="24"/>
          <w:szCs w:val="24"/>
          <w:u w:val="single"/>
          <w:rtl/>
        </w:rPr>
      </w:pPr>
      <w:r w:rsidRPr="004A5120">
        <w:rPr>
          <w:rFonts w:ascii="David" w:hAnsi="David" w:cs="David" w:hint="cs"/>
          <w:b/>
          <w:bCs/>
          <w:sz w:val="24"/>
          <w:szCs w:val="24"/>
          <w:u w:val="single"/>
          <w:rtl/>
        </w:rPr>
        <w:t>ראשי האמוראים לדורותיהם:</w:t>
      </w:r>
    </w:p>
    <w:p w14:paraId="381A4F94" w14:textId="7BF31265" w:rsidR="009815EC" w:rsidRPr="004A5120" w:rsidRDefault="009815EC" w:rsidP="001A492B">
      <w:pPr>
        <w:pStyle w:val="a3"/>
        <w:numPr>
          <w:ilvl w:val="0"/>
          <w:numId w:val="22"/>
        </w:numPr>
        <w:spacing w:after="0"/>
        <w:jc w:val="both"/>
        <w:rPr>
          <w:rFonts w:ascii="David" w:hAnsi="David" w:cs="David"/>
          <w:b/>
          <w:bCs/>
          <w:sz w:val="24"/>
          <w:szCs w:val="24"/>
          <w:u w:val="single"/>
        </w:rPr>
      </w:pPr>
      <w:r w:rsidRPr="004A5120">
        <w:rPr>
          <w:rFonts w:ascii="David" w:hAnsi="David" w:cs="David" w:hint="cs"/>
          <w:sz w:val="24"/>
          <w:szCs w:val="24"/>
          <w:rtl/>
        </w:rPr>
        <w:t xml:space="preserve">אמוראי בבל </w:t>
      </w:r>
      <w:r w:rsidRPr="004A5120">
        <w:rPr>
          <w:rFonts w:ascii="David" w:hAnsi="David" w:cs="David"/>
          <w:sz w:val="24"/>
          <w:szCs w:val="24"/>
          <w:rtl/>
        </w:rPr>
        <w:t>–</w:t>
      </w:r>
      <w:r w:rsidRPr="004A5120">
        <w:rPr>
          <w:rFonts w:ascii="David" w:hAnsi="David" w:cs="David" w:hint="cs"/>
          <w:sz w:val="24"/>
          <w:szCs w:val="24"/>
          <w:rtl/>
        </w:rPr>
        <w:t xml:space="preserve"> 7 דורות - 300 שנים. במהלך שנים 220-500 לספירה.</w:t>
      </w:r>
    </w:p>
    <w:p w14:paraId="41E0C0DB" w14:textId="36E5E6C8" w:rsidR="009815EC" w:rsidRPr="004A5120" w:rsidRDefault="009815EC" w:rsidP="001A492B">
      <w:pPr>
        <w:pStyle w:val="a3"/>
        <w:numPr>
          <w:ilvl w:val="0"/>
          <w:numId w:val="22"/>
        </w:numPr>
        <w:spacing w:after="0"/>
        <w:jc w:val="both"/>
        <w:rPr>
          <w:rFonts w:ascii="David" w:hAnsi="David" w:cs="David"/>
          <w:b/>
          <w:bCs/>
          <w:sz w:val="24"/>
          <w:szCs w:val="24"/>
          <w:u w:val="single"/>
        </w:rPr>
      </w:pPr>
      <w:r w:rsidRPr="004A5120">
        <w:rPr>
          <w:rFonts w:ascii="David" w:hAnsi="David" w:cs="David" w:hint="cs"/>
          <w:sz w:val="24"/>
          <w:szCs w:val="24"/>
          <w:rtl/>
        </w:rPr>
        <w:t xml:space="preserve">אמוראי ארץ ישראל </w:t>
      </w:r>
      <w:r w:rsidRPr="004A5120">
        <w:rPr>
          <w:rFonts w:ascii="David" w:hAnsi="David" w:cs="David"/>
          <w:sz w:val="24"/>
          <w:szCs w:val="24"/>
          <w:rtl/>
        </w:rPr>
        <w:t>–</w:t>
      </w:r>
      <w:r w:rsidRPr="004A5120">
        <w:rPr>
          <w:rFonts w:ascii="David" w:hAnsi="David" w:cs="David" w:hint="cs"/>
          <w:sz w:val="24"/>
          <w:szCs w:val="24"/>
          <w:rtl/>
        </w:rPr>
        <w:t xml:space="preserve"> כתבו את הלמוד הירושלמי, 5 דורות - 200 שנים. במהלך שנים 220-400 לספירה. </w:t>
      </w:r>
    </w:p>
    <w:p w14:paraId="2CD3552F" w14:textId="663ED5EA"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 xml:space="preserve">מסוף תקופת אמוראי בבל </w:t>
      </w:r>
      <w:r w:rsidRPr="004A5120">
        <w:rPr>
          <w:rFonts w:ascii="David" w:hAnsi="David" w:cs="David"/>
          <w:sz w:val="24"/>
          <w:szCs w:val="24"/>
          <w:rtl/>
        </w:rPr>
        <w:t>–</w:t>
      </w:r>
      <w:r w:rsidRPr="004A5120">
        <w:rPr>
          <w:rFonts w:ascii="David" w:hAnsi="David" w:cs="David" w:hint="cs"/>
          <w:sz w:val="24"/>
          <w:szCs w:val="24"/>
          <w:rtl/>
        </w:rPr>
        <w:t xml:space="preserve"> מתחילה תקופת המעבר מאמוראים לסבוראים. </w:t>
      </w:r>
    </w:p>
    <w:p w14:paraId="13A16699" w14:textId="6BB2C978"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 xml:space="preserve">בתחילת התקופה </w:t>
      </w:r>
      <w:r w:rsidRPr="004A5120">
        <w:rPr>
          <w:rFonts w:ascii="David" w:hAnsi="David" w:cs="David"/>
          <w:sz w:val="24"/>
          <w:szCs w:val="24"/>
          <w:rtl/>
        </w:rPr>
        <w:t>–</w:t>
      </w:r>
      <w:r w:rsidRPr="004A5120">
        <w:rPr>
          <w:rFonts w:ascii="David" w:hAnsi="David" w:cs="David" w:hint="cs"/>
          <w:sz w:val="24"/>
          <w:szCs w:val="24"/>
          <w:rtl/>
        </w:rPr>
        <w:t xml:space="preserve"> האמורא רבינא, השלים את עריכת התלמוד. בסוף התקופה </w:t>
      </w:r>
      <w:r w:rsidRPr="004A5120">
        <w:rPr>
          <w:rFonts w:ascii="David" w:hAnsi="David" w:cs="David"/>
          <w:sz w:val="24"/>
          <w:szCs w:val="24"/>
          <w:rtl/>
        </w:rPr>
        <w:t>–</w:t>
      </w:r>
      <w:r w:rsidRPr="004A5120">
        <w:rPr>
          <w:rFonts w:ascii="David" w:hAnsi="David" w:cs="David" w:hint="cs"/>
          <w:sz w:val="24"/>
          <w:szCs w:val="24"/>
          <w:rtl/>
        </w:rPr>
        <w:t xml:space="preserve"> ר' יוסי, מחותמי התלמוד וראשוני הסבוראים.</w:t>
      </w:r>
    </w:p>
    <w:p w14:paraId="44E7E36D" w14:textId="0F0C968E" w:rsidR="003344D4" w:rsidRPr="004A5120" w:rsidRDefault="003344D4" w:rsidP="003344D4">
      <w:pPr>
        <w:spacing w:after="0"/>
        <w:jc w:val="both"/>
        <w:rPr>
          <w:rFonts w:ascii="David" w:hAnsi="David" w:cs="David"/>
          <w:sz w:val="24"/>
          <w:szCs w:val="24"/>
          <w:rtl/>
        </w:rPr>
      </w:pPr>
    </w:p>
    <w:p w14:paraId="51C04B68" w14:textId="522FB618" w:rsidR="003344D4" w:rsidRPr="004A5120" w:rsidRDefault="003344D4" w:rsidP="003344D4">
      <w:pPr>
        <w:spacing w:after="0"/>
        <w:jc w:val="both"/>
        <w:rPr>
          <w:rFonts w:ascii="David" w:hAnsi="David" w:cs="David"/>
          <w:b/>
          <w:bCs/>
          <w:sz w:val="24"/>
          <w:szCs w:val="24"/>
          <w:u w:val="single"/>
          <w:rtl/>
        </w:rPr>
      </w:pPr>
      <w:r w:rsidRPr="004A5120">
        <w:rPr>
          <w:rFonts w:ascii="David" w:hAnsi="David" w:cs="David" w:hint="cs"/>
          <w:b/>
          <w:bCs/>
          <w:sz w:val="24"/>
          <w:szCs w:val="24"/>
          <w:u w:val="single"/>
          <w:rtl/>
        </w:rPr>
        <w:t>התלמוד הבבלי:</w:t>
      </w:r>
    </w:p>
    <w:p w14:paraId="0B69A7CA" w14:textId="600FC28D"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אחרי שבני ישראל הוצאו לגלות, הגיעו לבבל המון יהודית. חלק השתקעו בה וחלק עלו לארץ ישראל בתקופות שונות. הכינוי "גולה" הפך לכינוי היישוב היהודי בבבל, ושם היה המרכז היהודי הגדול ביותר מחוץ לישראל.</w:t>
      </w:r>
    </w:p>
    <w:p w14:paraId="57A7980D" w14:textId="38382813"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עד תחילת המאה השלישית, מרכז התורה העיק היה עדיין בארץ ישראל. בתקופה זו פקד את המכרז היהודי בארץ משבר מדיני וכלכלי, אשר השפיעו רבות על לימוד התורה והפצתה.</w:t>
      </w:r>
    </w:p>
    <w:p w14:paraId="5D663306" w14:textId="49D86AA7"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 xml:space="preserve">לאחר שרב ושמואל, תלמידיו של רבי יהוד הנשיא, חזרו לבבל </w:t>
      </w:r>
      <w:r w:rsidRPr="004A5120">
        <w:rPr>
          <w:rFonts w:ascii="David" w:hAnsi="David" w:cs="David"/>
          <w:sz w:val="24"/>
          <w:szCs w:val="24"/>
          <w:rtl/>
        </w:rPr>
        <w:t>–</w:t>
      </w:r>
      <w:r w:rsidRPr="004A5120">
        <w:rPr>
          <w:rFonts w:ascii="David" w:hAnsi="David" w:cs="David" w:hint="cs"/>
          <w:sz w:val="24"/>
          <w:szCs w:val="24"/>
          <w:rtl/>
        </w:rPr>
        <w:t xml:space="preserve"> הפכה בבל למרכז תורה והלכה.</w:t>
      </w:r>
    </w:p>
    <w:p w14:paraId="0E806475" w14:textId="1811D795" w:rsidR="003344D4" w:rsidRPr="004A5120" w:rsidRDefault="003344D4" w:rsidP="003344D4">
      <w:pPr>
        <w:spacing w:after="0"/>
        <w:jc w:val="both"/>
        <w:rPr>
          <w:rFonts w:ascii="David" w:hAnsi="David" w:cs="David"/>
          <w:sz w:val="24"/>
          <w:szCs w:val="24"/>
          <w:rtl/>
        </w:rPr>
      </w:pPr>
      <w:r w:rsidRPr="004A5120">
        <w:rPr>
          <w:rFonts w:ascii="David" w:hAnsi="David" w:cs="David" w:hint="cs"/>
          <w:sz w:val="24"/>
          <w:szCs w:val="24"/>
          <w:rtl/>
        </w:rPr>
        <w:t>שני החכמים האלו היה ראשוני אמוראי בבל ועמדו בראש שתי ישיבות מרכזיות בבבל:</w:t>
      </w:r>
      <w:r w:rsidR="00BA37D5" w:rsidRPr="004A5120">
        <w:rPr>
          <w:rFonts w:ascii="David" w:hAnsi="David" w:cs="David" w:hint="cs"/>
          <w:sz w:val="24"/>
          <w:szCs w:val="24"/>
          <w:rtl/>
        </w:rPr>
        <w:t xml:space="preserve"> </w:t>
      </w:r>
    </w:p>
    <w:p w14:paraId="7F883EA0" w14:textId="51137150" w:rsidR="00BA37D5" w:rsidRPr="004A5120" w:rsidRDefault="00BA37D5" w:rsidP="003344D4">
      <w:pPr>
        <w:spacing w:after="0"/>
        <w:jc w:val="both"/>
        <w:rPr>
          <w:rFonts w:ascii="David" w:hAnsi="David" w:cs="David"/>
          <w:sz w:val="24"/>
          <w:szCs w:val="24"/>
          <w:rtl/>
        </w:rPr>
      </w:pPr>
      <w:r w:rsidRPr="004A5120">
        <w:rPr>
          <w:rFonts w:ascii="David" w:hAnsi="David" w:cs="David" w:hint="cs"/>
          <w:sz w:val="24"/>
          <w:szCs w:val="24"/>
          <w:rtl/>
        </w:rPr>
        <w:t xml:space="preserve">רב עמד בראש ישיבה בעיר סורא, שמואל בעיר נהרדעא. הם היוו את נקודת המפנה במעמדה של בבל כמרכז ההלכה </w:t>
      </w:r>
      <w:r w:rsidRPr="004A5120">
        <w:rPr>
          <w:rFonts w:ascii="David" w:hAnsi="David" w:cs="David"/>
          <w:sz w:val="24"/>
          <w:szCs w:val="24"/>
          <w:rtl/>
        </w:rPr>
        <w:t>–</w:t>
      </w:r>
      <w:r w:rsidRPr="004A5120">
        <w:rPr>
          <w:rFonts w:ascii="David" w:hAnsi="David" w:cs="David" w:hint="cs"/>
          <w:sz w:val="24"/>
          <w:szCs w:val="24"/>
          <w:rtl/>
        </w:rPr>
        <w:t xml:space="preserve"> שממנו יוצא לאחר 300 שנים המקור העיקרי במקורות הרישומיים של ההלכה </w:t>
      </w:r>
      <w:r w:rsidRPr="004A5120">
        <w:rPr>
          <w:rFonts w:ascii="David" w:hAnsi="David" w:cs="David"/>
          <w:sz w:val="24"/>
          <w:szCs w:val="24"/>
          <w:rtl/>
        </w:rPr>
        <w:t>–</w:t>
      </w:r>
      <w:r w:rsidRPr="004A5120">
        <w:rPr>
          <w:rFonts w:ascii="David" w:hAnsi="David" w:cs="David" w:hint="cs"/>
          <w:sz w:val="24"/>
          <w:szCs w:val="24"/>
          <w:rtl/>
        </w:rPr>
        <w:t xml:space="preserve"> התלמוד הבבלי.</w:t>
      </w:r>
    </w:p>
    <w:p w14:paraId="71EEDFDA" w14:textId="740EAD92" w:rsidR="00F74F6D" w:rsidRPr="004A5120" w:rsidRDefault="00F74F6D" w:rsidP="003344D4">
      <w:pPr>
        <w:spacing w:after="0"/>
        <w:jc w:val="both"/>
        <w:rPr>
          <w:rFonts w:ascii="David" w:hAnsi="David" w:cs="David"/>
          <w:sz w:val="24"/>
          <w:szCs w:val="24"/>
          <w:rtl/>
        </w:rPr>
      </w:pPr>
    </w:p>
    <w:p w14:paraId="7225B225" w14:textId="32C60589" w:rsidR="00F74F6D" w:rsidRPr="004A5120" w:rsidRDefault="00F74F6D" w:rsidP="003344D4">
      <w:pPr>
        <w:spacing w:after="0"/>
        <w:jc w:val="both"/>
        <w:rPr>
          <w:rFonts w:ascii="David" w:hAnsi="David" w:cs="David"/>
          <w:b/>
          <w:bCs/>
          <w:sz w:val="24"/>
          <w:szCs w:val="24"/>
          <w:u w:val="single"/>
          <w:rtl/>
        </w:rPr>
      </w:pPr>
      <w:r w:rsidRPr="004A5120">
        <w:rPr>
          <w:rFonts w:ascii="David" w:hAnsi="David" w:cs="David" w:hint="cs"/>
          <w:b/>
          <w:bCs/>
          <w:sz w:val="24"/>
          <w:szCs w:val="24"/>
          <w:u w:val="single"/>
          <w:rtl/>
        </w:rPr>
        <w:t>לימודם של אמוראי בבל והכלול בתלמוד הבבלי:</w:t>
      </w:r>
    </w:p>
    <w:p w14:paraId="71CF23FF" w14:textId="2B76B97A" w:rsidR="00F74F6D" w:rsidRPr="004A5120" w:rsidRDefault="00F74F6D" w:rsidP="003344D4">
      <w:pPr>
        <w:spacing w:after="0"/>
        <w:jc w:val="both"/>
        <w:rPr>
          <w:rFonts w:ascii="David" w:hAnsi="David" w:cs="David"/>
          <w:sz w:val="24"/>
          <w:szCs w:val="24"/>
          <w:rtl/>
        </w:rPr>
      </w:pPr>
      <w:r w:rsidRPr="004A5120">
        <w:rPr>
          <w:rFonts w:ascii="David" w:hAnsi="David" w:cs="David" w:hint="cs"/>
          <w:sz w:val="24"/>
          <w:szCs w:val="24"/>
          <w:rtl/>
        </w:rPr>
        <w:t xml:space="preserve">רב ושמואל הביאו איתם לבבל את משנתו של רבי יהודה הנשיא, שהייתה ל"מתניתין" </w:t>
      </w:r>
      <w:r w:rsidRPr="004A5120">
        <w:rPr>
          <w:rFonts w:ascii="David" w:hAnsi="David" w:cs="David"/>
          <w:sz w:val="24"/>
          <w:szCs w:val="24"/>
          <w:rtl/>
        </w:rPr>
        <w:t>–</w:t>
      </w:r>
      <w:r w:rsidRPr="004A5120">
        <w:rPr>
          <w:rFonts w:ascii="David" w:hAnsi="David" w:cs="David" w:hint="cs"/>
          <w:sz w:val="24"/>
          <w:szCs w:val="24"/>
          <w:rtl/>
        </w:rPr>
        <w:t xml:space="preserve"> "משנתנו" (מארמית), של אמוראי בבל. המשנה הפכה לספר החוקים של ההלכה, בעוד המשניות שלא הוכנסו לתוכה הפכו לברייתות חיצוניות.</w:t>
      </w:r>
    </w:p>
    <w:p w14:paraId="79DE7EA0" w14:textId="77777777" w:rsidR="00682C99" w:rsidRPr="004A5120" w:rsidRDefault="00682C99" w:rsidP="003344D4">
      <w:pPr>
        <w:spacing w:after="0"/>
        <w:jc w:val="both"/>
        <w:rPr>
          <w:rFonts w:ascii="David" w:hAnsi="David" w:cs="David"/>
          <w:sz w:val="24"/>
          <w:szCs w:val="24"/>
          <w:rtl/>
        </w:rPr>
      </w:pPr>
    </w:p>
    <w:p w14:paraId="04B64B2D" w14:textId="50C6E8D1" w:rsidR="00F74F6D" w:rsidRPr="004A5120" w:rsidRDefault="00F74F6D" w:rsidP="003344D4">
      <w:pPr>
        <w:spacing w:after="0"/>
        <w:jc w:val="both"/>
        <w:rPr>
          <w:rFonts w:ascii="David" w:hAnsi="David" w:cs="David"/>
          <w:sz w:val="24"/>
          <w:szCs w:val="24"/>
          <w:rtl/>
        </w:rPr>
      </w:pPr>
      <w:r w:rsidRPr="004A5120">
        <w:rPr>
          <w:rFonts w:ascii="David" w:hAnsi="David" w:cs="David" w:hint="cs"/>
          <w:sz w:val="24"/>
          <w:szCs w:val="24"/>
          <w:rtl/>
        </w:rPr>
        <w:lastRenderedPageBreak/>
        <w:t xml:space="preserve">האמוראים החלו לפרש ולבאר את המשנה, לתרץ את הסתירות בתוכה או בין הלכות בה להלכות אחרות בברייתות ובתוספתא. הלימוד המעמיק של האמוראים הביא לעתים ליצירת הלכות חדשות </w:t>
      </w:r>
      <w:r w:rsidRPr="004A5120">
        <w:rPr>
          <w:rFonts w:ascii="David" w:hAnsi="David" w:cs="David"/>
          <w:sz w:val="24"/>
          <w:szCs w:val="24"/>
          <w:rtl/>
        </w:rPr>
        <w:t>–</w:t>
      </w:r>
      <w:r w:rsidRPr="004A5120">
        <w:rPr>
          <w:rFonts w:ascii="David" w:hAnsi="David" w:cs="David" w:hint="cs"/>
          <w:sz w:val="24"/>
          <w:szCs w:val="24"/>
          <w:rtl/>
        </w:rPr>
        <w:t xml:space="preserve"> "מימרות". </w:t>
      </w:r>
      <w:r w:rsidR="00682C99" w:rsidRPr="004A5120">
        <w:rPr>
          <w:rFonts w:ascii="David" w:hAnsi="David" w:cs="David" w:hint="cs"/>
          <w:sz w:val="24"/>
          <w:szCs w:val="24"/>
          <w:rtl/>
        </w:rPr>
        <w:t>עוד הוסיפו פס"דים שניתנו על ידי האמוראים, שהיו מקור לעקרונות והלכות חדשים.</w:t>
      </w:r>
    </w:p>
    <w:p w14:paraId="018B56B9" w14:textId="4B736778" w:rsidR="00F74F6D" w:rsidRPr="004A5120" w:rsidRDefault="00F74F6D" w:rsidP="003344D4">
      <w:pPr>
        <w:spacing w:after="0"/>
        <w:jc w:val="both"/>
        <w:rPr>
          <w:rFonts w:ascii="David" w:hAnsi="David" w:cs="David"/>
          <w:sz w:val="24"/>
          <w:szCs w:val="24"/>
          <w:rtl/>
        </w:rPr>
      </w:pPr>
      <w:r w:rsidRPr="004A5120">
        <w:rPr>
          <w:rFonts w:ascii="David" w:hAnsi="David" w:cs="David" w:hint="cs"/>
          <w:sz w:val="24"/>
          <w:szCs w:val="24"/>
          <w:rtl/>
        </w:rPr>
        <w:t xml:space="preserve">לרוב התפתחות ההלכה על ידי האמוראים נעשתה בדומה לדרך התנאים, כלומר בצורת המדרש, האינטרפטציה. </w:t>
      </w:r>
      <w:r w:rsidR="00682C99" w:rsidRPr="004A5120">
        <w:rPr>
          <w:rFonts w:ascii="David" w:hAnsi="David" w:cs="David" w:hint="cs"/>
          <w:sz w:val="24"/>
          <w:szCs w:val="24"/>
          <w:rtl/>
        </w:rPr>
        <w:t xml:space="preserve">האמוראים פירשו את המשנה, כשם שהתנאים פירשו את התורה </w:t>
      </w:r>
      <w:r w:rsidR="00682C99" w:rsidRPr="004A5120">
        <w:rPr>
          <w:rFonts w:ascii="David" w:hAnsi="David" w:cs="David"/>
          <w:sz w:val="24"/>
          <w:szCs w:val="24"/>
          <w:rtl/>
        </w:rPr>
        <w:t>–</w:t>
      </w:r>
      <w:r w:rsidR="00682C99" w:rsidRPr="004A5120">
        <w:rPr>
          <w:rFonts w:ascii="David" w:hAnsi="David" w:cs="David" w:hint="cs"/>
          <w:sz w:val="24"/>
          <w:szCs w:val="24"/>
          <w:rtl/>
        </w:rPr>
        <w:t xml:space="preserve"> כדין סמכות סופית ומחייבת שאין לחלוק עליה. בנוסף, המשיכו לפתח את ההלכה ע"י חקיקה </w:t>
      </w:r>
      <w:r w:rsidR="00682C99" w:rsidRPr="004A5120">
        <w:rPr>
          <w:rFonts w:ascii="David" w:hAnsi="David" w:cs="David"/>
          <w:sz w:val="24"/>
          <w:szCs w:val="24"/>
          <w:rtl/>
        </w:rPr>
        <w:t>–</w:t>
      </w:r>
      <w:r w:rsidR="00682C99" w:rsidRPr="004A5120">
        <w:rPr>
          <w:rFonts w:ascii="David" w:hAnsi="David" w:cs="David" w:hint="cs"/>
          <w:sz w:val="24"/>
          <w:szCs w:val="24"/>
          <w:rtl/>
        </w:rPr>
        <w:t xml:space="preserve"> תקנות וגזירות.</w:t>
      </w:r>
    </w:p>
    <w:p w14:paraId="4A7E340D" w14:textId="4045C473" w:rsidR="00682C99" w:rsidRPr="004A5120" w:rsidRDefault="00682C99" w:rsidP="003344D4">
      <w:pPr>
        <w:spacing w:after="0"/>
        <w:jc w:val="both"/>
        <w:rPr>
          <w:rFonts w:ascii="David" w:hAnsi="David" w:cs="David"/>
          <w:sz w:val="24"/>
          <w:szCs w:val="24"/>
          <w:rtl/>
        </w:rPr>
      </w:pPr>
      <w:r w:rsidRPr="004A5120">
        <w:rPr>
          <w:rFonts w:ascii="David" w:hAnsi="David" w:cs="David" w:hint="cs"/>
          <w:sz w:val="24"/>
          <w:szCs w:val="24"/>
          <w:rtl/>
        </w:rPr>
        <w:t xml:space="preserve"> </w:t>
      </w:r>
    </w:p>
    <w:p w14:paraId="1A5332CF" w14:textId="0BAC876B" w:rsidR="00682C99" w:rsidRPr="004A5120" w:rsidRDefault="00682C99" w:rsidP="003344D4">
      <w:pPr>
        <w:spacing w:after="0"/>
        <w:jc w:val="both"/>
        <w:rPr>
          <w:rFonts w:ascii="David" w:hAnsi="David" w:cs="David"/>
          <w:sz w:val="24"/>
          <w:szCs w:val="24"/>
          <w:rtl/>
        </w:rPr>
      </w:pPr>
      <w:r w:rsidRPr="004A5120">
        <w:rPr>
          <w:rFonts w:ascii="David" w:hAnsi="David" w:cs="David" w:hint="cs"/>
          <w:sz w:val="24"/>
          <w:szCs w:val="24"/>
          <w:u w:val="single"/>
          <w:rtl/>
        </w:rPr>
        <w:t>תופעה ספרותית נוספת</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w:t>
      </w:r>
      <w:r w:rsidRPr="004A5120">
        <w:rPr>
          <w:rFonts w:ascii="David" w:hAnsi="David" w:cs="David" w:hint="cs"/>
          <w:b/>
          <w:bCs/>
          <w:sz w:val="24"/>
          <w:szCs w:val="24"/>
          <w:rtl/>
        </w:rPr>
        <w:t>כללי הפסיקה</w:t>
      </w:r>
      <w:r w:rsidRPr="004A5120">
        <w:rPr>
          <w:rFonts w:ascii="David" w:hAnsi="David" w:cs="David" w:hint="cs"/>
          <w:sz w:val="24"/>
          <w:szCs w:val="24"/>
          <w:rtl/>
        </w:rPr>
        <w:t xml:space="preserve">. כיצד וכמו מי צריכה להיפסק ההלכה. משפטים כגון: "רבי יהודה ורבי יוסי </w:t>
      </w:r>
      <w:r w:rsidRPr="004A5120">
        <w:rPr>
          <w:rFonts w:ascii="David" w:hAnsi="David" w:cs="David"/>
          <w:sz w:val="24"/>
          <w:szCs w:val="24"/>
          <w:rtl/>
        </w:rPr>
        <w:t>–</w:t>
      </w:r>
      <w:r w:rsidRPr="004A5120">
        <w:rPr>
          <w:rFonts w:ascii="David" w:hAnsi="David" w:cs="David" w:hint="cs"/>
          <w:sz w:val="24"/>
          <w:szCs w:val="24"/>
          <w:rtl/>
        </w:rPr>
        <w:t xml:space="preserve"> הלכה כרבי יוסי. </w:t>
      </w:r>
    </w:p>
    <w:p w14:paraId="74D3D608" w14:textId="7DC6D9A7" w:rsidR="00682C99" w:rsidRPr="004A5120" w:rsidRDefault="00682C99" w:rsidP="003344D4">
      <w:pPr>
        <w:spacing w:after="0"/>
        <w:jc w:val="both"/>
        <w:rPr>
          <w:rFonts w:ascii="David" w:hAnsi="David" w:cs="David"/>
          <w:sz w:val="24"/>
          <w:szCs w:val="24"/>
          <w:rtl/>
        </w:rPr>
      </w:pPr>
    </w:p>
    <w:p w14:paraId="5098D979" w14:textId="03182F8E" w:rsidR="00682C99" w:rsidRPr="004A5120" w:rsidRDefault="00682C99" w:rsidP="003344D4">
      <w:pPr>
        <w:spacing w:after="0"/>
        <w:jc w:val="both"/>
        <w:rPr>
          <w:rFonts w:ascii="David" w:hAnsi="David" w:cs="David"/>
          <w:sz w:val="24"/>
          <w:szCs w:val="24"/>
          <w:rtl/>
        </w:rPr>
      </w:pPr>
      <w:r w:rsidRPr="004A5120">
        <w:rPr>
          <w:rFonts w:ascii="David" w:hAnsi="David" w:cs="David" w:hint="cs"/>
          <w:sz w:val="24"/>
          <w:szCs w:val="24"/>
          <w:rtl/>
        </w:rPr>
        <w:t>ישנו קשר בין אמוראי א"י לאמוראי בבל, זאת משום שהם נטו לנדוד מפה לשם, תוך שהם מביאים איתם את התורה מהמקום ממנו באו. קשרים אלו מתבטאים בכמה דברים:</w:t>
      </w:r>
    </w:p>
    <w:p w14:paraId="51E51A20" w14:textId="2EB0D852" w:rsidR="00682C99" w:rsidRPr="004A5120" w:rsidRDefault="00682C99" w:rsidP="001A492B">
      <w:pPr>
        <w:pStyle w:val="a3"/>
        <w:numPr>
          <w:ilvl w:val="0"/>
          <w:numId w:val="26"/>
        </w:numPr>
        <w:spacing w:after="0"/>
        <w:jc w:val="both"/>
        <w:rPr>
          <w:rFonts w:ascii="David" w:hAnsi="David" w:cs="David"/>
          <w:sz w:val="24"/>
          <w:szCs w:val="24"/>
        </w:rPr>
      </w:pPr>
      <w:r w:rsidRPr="004A5120">
        <w:rPr>
          <w:rFonts w:ascii="David" w:hAnsi="David" w:cs="David" w:hint="cs"/>
          <w:sz w:val="24"/>
          <w:szCs w:val="24"/>
          <w:rtl/>
        </w:rPr>
        <w:t xml:space="preserve">הבאת שאלות ותשובות </w:t>
      </w:r>
      <w:r w:rsidRPr="004A5120">
        <w:rPr>
          <w:rFonts w:ascii="David" w:hAnsi="David" w:cs="David"/>
          <w:sz w:val="24"/>
          <w:szCs w:val="24"/>
          <w:rtl/>
        </w:rPr>
        <w:t>–</w:t>
      </w:r>
      <w:r w:rsidRPr="004A5120">
        <w:rPr>
          <w:rFonts w:ascii="David" w:hAnsi="David" w:cs="David" w:hint="cs"/>
          <w:sz w:val="24"/>
          <w:szCs w:val="24"/>
          <w:rtl/>
        </w:rPr>
        <w:t xml:space="preserve"> שנשלחו מ"הכא להתם" </w:t>
      </w:r>
      <w:r w:rsidRPr="004A5120">
        <w:rPr>
          <w:rFonts w:ascii="David" w:hAnsi="David" w:cs="David"/>
          <w:sz w:val="24"/>
          <w:szCs w:val="24"/>
          <w:rtl/>
        </w:rPr>
        <w:t>–</w:t>
      </w:r>
      <w:r w:rsidRPr="004A5120">
        <w:rPr>
          <w:rFonts w:ascii="David" w:hAnsi="David" w:cs="David" w:hint="cs"/>
          <w:sz w:val="24"/>
          <w:szCs w:val="24"/>
          <w:rtl/>
        </w:rPr>
        <w:t xml:space="preserve"> משם לפה, ולהפך.</w:t>
      </w:r>
    </w:p>
    <w:p w14:paraId="51678CDE" w14:textId="63527791" w:rsidR="00682C99" w:rsidRPr="004A5120" w:rsidRDefault="00CB4D85" w:rsidP="001A492B">
      <w:pPr>
        <w:pStyle w:val="a3"/>
        <w:numPr>
          <w:ilvl w:val="0"/>
          <w:numId w:val="26"/>
        </w:numPr>
        <w:spacing w:after="0"/>
        <w:jc w:val="both"/>
        <w:rPr>
          <w:rFonts w:ascii="David" w:hAnsi="David" w:cs="David"/>
          <w:sz w:val="24"/>
          <w:szCs w:val="24"/>
        </w:rPr>
      </w:pPr>
      <w:r w:rsidRPr="004A5120">
        <w:rPr>
          <w:rFonts w:ascii="David" w:hAnsi="David" w:cs="David" w:hint="cs"/>
          <w:sz w:val="24"/>
          <w:szCs w:val="24"/>
          <w:rtl/>
        </w:rPr>
        <w:t>הבאת דעות של חכמי א"י בתלמוד הבבלי ודעות של חכמי בבל בתלמוד הירושלמי.</w:t>
      </w:r>
    </w:p>
    <w:p w14:paraId="6DC1E8D7" w14:textId="414B6326" w:rsidR="00CB4D85" w:rsidRPr="004A5120" w:rsidRDefault="00CB4D85" w:rsidP="001A492B">
      <w:pPr>
        <w:pStyle w:val="a3"/>
        <w:numPr>
          <w:ilvl w:val="0"/>
          <w:numId w:val="26"/>
        </w:numPr>
        <w:spacing w:after="0"/>
        <w:jc w:val="both"/>
        <w:rPr>
          <w:rFonts w:ascii="David" w:hAnsi="David" w:cs="David"/>
          <w:sz w:val="24"/>
          <w:szCs w:val="24"/>
        </w:rPr>
      </w:pPr>
      <w:r w:rsidRPr="004A5120">
        <w:rPr>
          <w:rFonts w:ascii="David" w:hAnsi="David" w:cs="David" w:hint="cs"/>
          <w:sz w:val="24"/>
          <w:szCs w:val="24"/>
          <w:rtl/>
        </w:rPr>
        <w:t xml:space="preserve">חלק גדול מ"השקלא וטריא" </w:t>
      </w:r>
      <w:r w:rsidRPr="004A5120">
        <w:rPr>
          <w:rFonts w:ascii="David" w:hAnsi="David" w:cs="David"/>
          <w:sz w:val="24"/>
          <w:szCs w:val="24"/>
          <w:rtl/>
        </w:rPr>
        <w:t>–</w:t>
      </w:r>
      <w:r w:rsidRPr="004A5120">
        <w:rPr>
          <w:rFonts w:ascii="David" w:hAnsi="David" w:cs="David" w:hint="cs"/>
          <w:sz w:val="24"/>
          <w:szCs w:val="24"/>
          <w:rtl/>
        </w:rPr>
        <w:t xml:space="preserve"> המו"מ של האמוראים סבבו סביב דבריהם של מקבילהם.</w:t>
      </w:r>
    </w:p>
    <w:p w14:paraId="0427857F" w14:textId="51EEB06E" w:rsidR="00CB4D85" w:rsidRPr="004A5120" w:rsidRDefault="00CB4D85" w:rsidP="00CB4D85">
      <w:pPr>
        <w:spacing w:after="0"/>
        <w:jc w:val="both"/>
        <w:rPr>
          <w:rFonts w:ascii="David" w:hAnsi="David" w:cs="David"/>
          <w:sz w:val="24"/>
          <w:szCs w:val="24"/>
          <w:rtl/>
        </w:rPr>
      </w:pPr>
    </w:p>
    <w:p w14:paraId="4CF35263" w14:textId="08417555" w:rsidR="00CB4D85" w:rsidRPr="004A5120" w:rsidRDefault="00CB4D85" w:rsidP="00CB4D85">
      <w:pPr>
        <w:spacing w:after="0"/>
        <w:jc w:val="both"/>
        <w:rPr>
          <w:rFonts w:ascii="David" w:hAnsi="David" w:cs="David"/>
          <w:sz w:val="24"/>
          <w:szCs w:val="24"/>
          <w:rtl/>
        </w:rPr>
      </w:pPr>
      <w:r w:rsidRPr="004A5120">
        <w:rPr>
          <w:rFonts w:ascii="David" w:hAnsi="David" w:cs="David" w:hint="cs"/>
          <w:sz w:val="24"/>
          <w:szCs w:val="24"/>
          <w:u w:val="single"/>
          <w:rtl/>
        </w:rPr>
        <w:t>דרך הדיונים, משא ומתן וההשוואות של ההלכות השונות- נוצרה תופעה ספרותית מהותית בהלכה</w:t>
      </w:r>
      <w:r w:rsidR="00A02B5B" w:rsidRPr="004A5120">
        <w:rPr>
          <w:rFonts w:ascii="David" w:hAnsi="David" w:cs="David" w:hint="cs"/>
          <w:sz w:val="24"/>
          <w:szCs w:val="24"/>
          <w:rtl/>
        </w:rPr>
        <w:t>:</w:t>
      </w:r>
    </w:p>
    <w:p w14:paraId="04F36656" w14:textId="5DEA9BFA" w:rsidR="00CB4D85" w:rsidRPr="004A5120" w:rsidRDefault="00CB4D85" w:rsidP="00CB4D85">
      <w:pPr>
        <w:spacing w:after="0"/>
        <w:jc w:val="both"/>
        <w:rPr>
          <w:rFonts w:ascii="David" w:hAnsi="David" w:cs="David"/>
          <w:sz w:val="24"/>
          <w:szCs w:val="24"/>
          <w:rtl/>
        </w:rPr>
      </w:pPr>
      <w:r w:rsidRPr="004A5120">
        <w:rPr>
          <w:rFonts w:ascii="David" w:hAnsi="David" w:cs="David" w:hint="cs"/>
          <w:sz w:val="24"/>
          <w:szCs w:val="24"/>
          <w:rtl/>
        </w:rPr>
        <w:t xml:space="preserve">מגמתם של האמוראים הייתה גיבוש </w:t>
      </w:r>
      <w:r w:rsidRPr="004A5120">
        <w:rPr>
          <w:rFonts w:ascii="David" w:hAnsi="David" w:cs="David" w:hint="cs"/>
          <w:b/>
          <w:bCs/>
          <w:sz w:val="24"/>
          <w:szCs w:val="24"/>
          <w:rtl/>
        </w:rPr>
        <w:t>כללים ועקרונות.</w:t>
      </w:r>
      <w:r w:rsidRPr="004A5120">
        <w:rPr>
          <w:rFonts w:ascii="David" w:hAnsi="David" w:cs="David" w:hint="cs"/>
          <w:sz w:val="24"/>
          <w:szCs w:val="24"/>
          <w:rtl/>
        </w:rPr>
        <w:t xml:space="preserve"> האמוראים עסקו בקביעת כללים הלכתיים ומשפטיים כלליים ובהסקת מסקנות מתוך פסיקות דומות. </w:t>
      </w:r>
    </w:p>
    <w:p w14:paraId="0C6EA069" w14:textId="555CE281" w:rsidR="00CB4D85" w:rsidRPr="004A5120" w:rsidRDefault="00CB4D85" w:rsidP="00CB4D85">
      <w:pPr>
        <w:spacing w:after="0"/>
        <w:jc w:val="both"/>
        <w:rPr>
          <w:rFonts w:ascii="David" w:hAnsi="David" w:cs="David"/>
          <w:sz w:val="24"/>
          <w:szCs w:val="24"/>
          <w:rtl/>
        </w:rPr>
      </w:pPr>
      <w:r w:rsidRPr="004A5120">
        <w:rPr>
          <w:rFonts w:ascii="David" w:hAnsi="David" w:cs="David" w:hint="cs"/>
          <w:sz w:val="24"/>
          <w:szCs w:val="24"/>
          <w:rtl/>
        </w:rPr>
        <w:t>בעקבות ניסיון האמוראים לבאר את המשנה, בעיקר במקומות בהם כתובה בצורה קונקרטית</w:t>
      </w:r>
      <w:r w:rsidR="00A02B5B" w:rsidRPr="004A5120">
        <w:rPr>
          <w:rFonts w:ascii="David" w:hAnsi="David" w:cs="David" w:hint="cs"/>
          <w:sz w:val="24"/>
          <w:szCs w:val="24"/>
          <w:rtl/>
        </w:rPr>
        <w:t xml:space="preserve">-קזואיסטית, נולדו מושגים רבים. מטרת מושגים אלו הייתה ליצור סדר ברצף המקרים הקזואיסטי כפי שמובא בהלכה, על כן ניתן לראות בגמרא רצף של עקרונות, היגיון, חשיבה משפטית הלכתית </w:t>
      </w:r>
      <w:r w:rsidR="00A02B5B" w:rsidRPr="004A5120">
        <w:rPr>
          <w:rFonts w:ascii="David" w:hAnsi="David" w:cs="David"/>
          <w:sz w:val="24"/>
          <w:szCs w:val="24"/>
          <w:rtl/>
        </w:rPr>
        <w:t>–</w:t>
      </w:r>
      <w:r w:rsidR="00A02B5B" w:rsidRPr="004A5120">
        <w:rPr>
          <w:rFonts w:ascii="David" w:hAnsi="David" w:cs="David" w:hint="cs"/>
          <w:sz w:val="24"/>
          <w:szCs w:val="24"/>
          <w:rtl/>
        </w:rPr>
        <w:t xml:space="preserve"> בשונה מהמשנה. </w:t>
      </w:r>
    </w:p>
    <w:p w14:paraId="13DD437E" w14:textId="33B1F99D" w:rsidR="00A02B5B" w:rsidRPr="004A5120" w:rsidRDefault="00A02B5B" w:rsidP="00A02B5B">
      <w:pPr>
        <w:spacing w:after="0"/>
        <w:jc w:val="both"/>
        <w:rPr>
          <w:rFonts w:ascii="David" w:hAnsi="David" w:cs="David"/>
          <w:sz w:val="24"/>
          <w:szCs w:val="24"/>
          <w:rtl/>
        </w:rPr>
      </w:pPr>
      <w:r w:rsidRPr="004A5120">
        <w:rPr>
          <w:rFonts w:ascii="David" w:hAnsi="David" w:cs="David" w:hint="cs"/>
          <w:sz w:val="24"/>
          <w:szCs w:val="24"/>
          <w:rtl/>
        </w:rPr>
        <w:t xml:space="preserve">לסיכום, התלמוד משלב בתוכו חומר משפטי רב, פירושים וביאורים למשנה, מימרות, תקנות, מנהגים, מעשים, שו"ת, כללי פסיקה ופרשנות ועקרונות משפטיים רבים. בנוסף מכיל בתוכו המון מההלכה שקדמה לו - ברייתות, מאמרים, תקנות ומעשים שנמסרו ועברו מדורות קודמים והשתלבו בדבריהם. </w:t>
      </w:r>
      <w:r w:rsidRPr="004A5120">
        <w:rPr>
          <w:rFonts w:ascii="David" w:hAnsi="David" w:cs="David" w:hint="cs"/>
          <w:b/>
          <w:bCs/>
          <w:sz w:val="24"/>
          <w:szCs w:val="24"/>
          <w:rtl/>
        </w:rPr>
        <w:t>המשקל הרב לצורה זו ניתן בשל היותה מסדרת ומקבעת עקרונות משפטיים מנחים.</w:t>
      </w:r>
    </w:p>
    <w:p w14:paraId="72E7B870" w14:textId="35296DA4" w:rsidR="006B532E" w:rsidRPr="004A5120" w:rsidRDefault="006B532E" w:rsidP="00A02B5B">
      <w:pPr>
        <w:spacing w:after="0"/>
        <w:jc w:val="both"/>
        <w:rPr>
          <w:rFonts w:ascii="David" w:hAnsi="David" w:cs="David"/>
          <w:sz w:val="24"/>
          <w:szCs w:val="24"/>
          <w:rtl/>
        </w:rPr>
      </w:pPr>
      <w:r w:rsidRPr="004A5120">
        <w:rPr>
          <w:rFonts w:ascii="David" w:hAnsi="David" w:cs="David"/>
          <w:sz w:val="24"/>
          <w:szCs w:val="24"/>
          <w:rtl/>
        </w:rPr>
        <w:t xml:space="preserve">                                                                                 </w:t>
      </w:r>
    </w:p>
    <w:p w14:paraId="362CC30E" w14:textId="73FDBFF8" w:rsidR="006B532E" w:rsidRPr="004A5120" w:rsidRDefault="00A02B5B">
      <w:pPr>
        <w:spacing w:after="0"/>
        <w:rPr>
          <w:rFonts w:ascii="David" w:hAnsi="David" w:cs="David"/>
          <w:b/>
          <w:bCs/>
          <w:sz w:val="24"/>
          <w:szCs w:val="24"/>
          <w:u w:val="single"/>
          <w:rtl/>
        </w:rPr>
      </w:pPr>
      <w:r w:rsidRPr="004A5120">
        <w:rPr>
          <w:rFonts w:ascii="David" w:hAnsi="David" w:cs="David" w:hint="cs"/>
          <w:b/>
          <w:bCs/>
          <w:sz w:val="24"/>
          <w:szCs w:val="24"/>
          <w:u w:val="single"/>
          <w:rtl/>
        </w:rPr>
        <w:t>עריכת התלמוד הבבלי וחתימתו:</w:t>
      </w:r>
    </w:p>
    <w:p w14:paraId="68BA7983" w14:textId="2F9AC732" w:rsidR="00A02B5B"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בעקבות החומר הרב, עבר מספר עריכות ובנוי משכבות של תקופות ומחברים שונים.</w:t>
      </w:r>
    </w:p>
    <w:p w14:paraId="5FD89D4F" w14:textId="356D40C2" w:rsidR="00AB3A9A"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הדעה הרווחת בקרב החוקרים </w:t>
      </w:r>
      <w:r w:rsidRPr="004A5120">
        <w:rPr>
          <w:rFonts w:ascii="David" w:hAnsi="David" w:cs="David"/>
          <w:sz w:val="24"/>
          <w:szCs w:val="24"/>
          <w:rtl/>
        </w:rPr>
        <w:t>–</w:t>
      </w:r>
      <w:r w:rsidRPr="004A5120">
        <w:rPr>
          <w:rFonts w:ascii="David" w:hAnsi="David" w:cs="David" w:hint="cs"/>
          <w:sz w:val="24"/>
          <w:szCs w:val="24"/>
          <w:rtl/>
        </w:rPr>
        <w:t xml:space="preserve"> עריכת התלמוד החלה באמצע תקופת האמוראים.</w:t>
      </w:r>
    </w:p>
    <w:p w14:paraId="3B5A304A" w14:textId="082B13FA" w:rsidR="00AB3A9A"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העריכה הגדולה והמסכמת נעשתה ע"י רב אשי ורבינא </w:t>
      </w:r>
      <w:r w:rsidRPr="004A5120">
        <w:rPr>
          <w:rFonts w:ascii="David" w:hAnsi="David" w:cs="David"/>
          <w:sz w:val="24"/>
          <w:szCs w:val="24"/>
          <w:rtl/>
        </w:rPr>
        <w:t>–</w:t>
      </w:r>
      <w:r w:rsidRPr="004A5120">
        <w:rPr>
          <w:rFonts w:ascii="David" w:hAnsi="David" w:cs="David" w:hint="cs"/>
          <w:sz w:val="24"/>
          <w:szCs w:val="24"/>
          <w:rtl/>
        </w:rPr>
        <w:t xml:space="preserve"> הם היום "סוף הוראה".</w:t>
      </w:r>
    </w:p>
    <w:p w14:paraId="77AA1D95" w14:textId="259172F1" w:rsidR="00AB3A9A"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רש"י, פירש את המושג "סוף הוראה" </w:t>
      </w:r>
      <w:r w:rsidRPr="004A5120">
        <w:rPr>
          <w:rFonts w:ascii="David" w:hAnsi="David" w:cs="David"/>
          <w:sz w:val="24"/>
          <w:szCs w:val="24"/>
          <w:rtl/>
        </w:rPr>
        <w:t>–</w:t>
      </w:r>
      <w:r w:rsidRPr="004A5120">
        <w:rPr>
          <w:rFonts w:ascii="David" w:hAnsi="David" w:cs="David" w:hint="cs"/>
          <w:sz w:val="24"/>
          <w:szCs w:val="24"/>
          <w:rtl/>
        </w:rPr>
        <w:t xml:space="preserve"> שעד סוף ימיהם של רב אשי ורבינא לא הייתה גמרא מוסדרת, אלא כל חכם היה אומר את ההלכה שהוא מכיר.</w:t>
      </w:r>
    </w:p>
    <w:p w14:paraId="57F352C7" w14:textId="389C5A29" w:rsidR="00AB3A9A"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רב אשי ורבינא </w:t>
      </w:r>
      <w:r w:rsidRPr="004A5120">
        <w:rPr>
          <w:rFonts w:ascii="David" w:hAnsi="David" w:cs="David"/>
          <w:sz w:val="24"/>
          <w:szCs w:val="24"/>
          <w:rtl/>
        </w:rPr>
        <w:t>–</w:t>
      </w:r>
      <w:r w:rsidRPr="004A5120">
        <w:rPr>
          <w:rFonts w:ascii="David" w:hAnsi="David" w:cs="David" w:hint="cs"/>
          <w:sz w:val="24"/>
          <w:szCs w:val="24"/>
          <w:rtl/>
        </w:rPr>
        <w:t xml:space="preserve"> סידרו את דעות החכמים, שיבצו לפי סדרי המסכתות, התאימו הלכה למשנה המתאימה </w:t>
      </w:r>
      <w:r w:rsidRPr="004A5120">
        <w:rPr>
          <w:rFonts w:ascii="David" w:hAnsi="David" w:cs="David"/>
          <w:sz w:val="24"/>
          <w:szCs w:val="24"/>
          <w:rtl/>
        </w:rPr>
        <w:t>–</w:t>
      </w:r>
      <w:r w:rsidRPr="004A5120">
        <w:rPr>
          <w:rFonts w:ascii="David" w:hAnsi="David" w:cs="David" w:hint="cs"/>
          <w:sz w:val="24"/>
          <w:szCs w:val="24"/>
          <w:rtl/>
        </w:rPr>
        <w:t xml:space="preserve"> וקבעו הכל בגמרא, לפי סידורה של משנת רבי יהודה הנשיא.</w:t>
      </w:r>
    </w:p>
    <w:p w14:paraId="613BA50B" w14:textId="08F47433" w:rsidR="00AB3A9A" w:rsidRPr="004A5120" w:rsidRDefault="00AB3A9A"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לאחר כל משנה הוכנס החומר הנוגע לאותה משנה </w:t>
      </w:r>
      <w:r w:rsidRPr="004A5120">
        <w:rPr>
          <w:rFonts w:ascii="David" w:hAnsi="David" w:cs="David"/>
          <w:sz w:val="24"/>
          <w:szCs w:val="24"/>
          <w:rtl/>
        </w:rPr>
        <w:t>–</w:t>
      </w:r>
      <w:r w:rsidRPr="004A5120">
        <w:rPr>
          <w:rFonts w:ascii="David" w:hAnsi="David" w:cs="David" w:hint="cs"/>
          <w:sz w:val="24"/>
          <w:szCs w:val="24"/>
          <w:rtl/>
        </w:rPr>
        <w:t xml:space="preserve"> דיון האמוראים בנושא, מעשים ודוגמאות קשורות וכו'.</w:t>
      </w:r>
    </w:p>
    <w:p w14:paraId="251A7CE7" w14:textId="1B113314" w:rsidR="009868B4" w:rsidRPr="004A5120" w:rsidRDefault="009868B4"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הרמב"ם מציג 4 מטרות שעמדו לנגד רב אשי:</w:t>
      </w:r>
    </w:p>
    <w:p w14:paraId="7DE136E4" w14:textId="20B422B5" w:rsidR="009868B4" w:rsidRPr="004A5120" w:rsidRDefault="009868B4" w:rsidP="001A492B">
      <w:pPr>
        <w:pStyle w:val="a3"/>
        <w:numPr>
          <w:ilvl w:val="0"/>
          <w:numId w:val="27"/>
        </w:numPr>
        <w:spacing w:after="0"/>
        <w:jc w:val="both"/>
        <w:rPr>
          <w:rFonts w:ascii="David" w:hAnsi="David" w:cs="David"/>
          <w:sz w:val="24"/>
          <w:szCs w:val="24"/>
        </w:rPr>
      </w:pPr>
      <w:r w:rsidRPr="004A5120">
        <w:rPr>
          <w:rFonts w:ascii="David" w:hAnsi="David" w:cs="David" w:hint="cs"/>
          <w:sz w:val="24"/>
          <w:szCs w:val="24"/>
          <w:rtl/>
        </w:rPr>
        <w:t xml:space="preserve">ביאור המשנה וכל הפירושים השונים, תוך בירור הטענה הצודקת. </w:t>
      </w:r>
      <w:r w:rsidRPr="004A5120">
        <w:rPr>
          <w:rFonts w:ascii="David" w:hAnsi="David" w:cs="David"/>
          <w:sz w:val="24"/>
          <w:szCs w:val="24"/>
          <w:rtl/>
        </w:rPr>
        <w:t>–</w:t>
      </w:r>
      <w:r w:rsidRPr="004A5120">
        <w:rPr>
          <w:rFonts w:ascii="David" w:hAnsi="David" w:cs="David" w:hint="cs"/>
          <w:sz w:val="24"/>
          <w:szCs w:val="24"/>
          <w:rtl/>
        </w:rPr>
        <w:t xml:space="preserve"> המטרה העיקרית.</w:t>
      </w:r>
    </w:p>
    <w:p w14:paraId="39A449C7" w14:textId="7529E404" w:rsidR="009868B4" w:rsidRPr="004A5120" w:rsidRDefault="009868B4" w:rsidP="001A492B">
      <w:pPr>
        <w:pStyle w:val="a3"/>
        <w:numPr>
          <w:ilvl w:val="0"/>
          <w:numId w:val="27"/>
        </w:numPr>
        <w:spacing w:after="0"/>
        <w:jc w:val="both"/>
        <w:rPr>
          <w:rFonts w:ascii="David" w:hAnsi="David" w:cs="David"/>
          <w:sz w:val="24"/>
          <w:szCs w:val="24"/>
        </w:rPr>
      </w:pPr>
      <w:r w:rsidRPr="004A5120">
        <w:rPr>
          <w:rFonts w:ascii="David" w:hAnsi="David" w:cs="David" w:hint="cs"/>
          <w:sz w:val="24"/>
          <w:szCs w:val="24"/>
          <w:rtl/>
        </w:rPr>
        <w:t>פסיקת הלכה כדברי אחד החולקים במשנה או כאחד הפירושים.</w:t>
      </w:r>
    </w:p>
    <w:p w14:paraId="7D5D08DC" w14:textId="0E2D1A0E" w:rsidR="009868B4" w:rsidRPr="004A5120" w:rsidRDefault="002F3F6E" w:rsidP="001A492B">
      <w:pPr>
        <w:pStyle w:val="a3"/>
        <w:numPr>
          <w:ilvl w:val="0"/>
          <w:numId w:val="27"/>
        </w:numPr>
        <w:spacing w:after="0"/>
        <w:jc w:val="both"/>
        <w:rPr>
          <w:rFonts w:ascii="David" w:hAnsi="David" w:cs="David"/>
          <w:sz w:val="24"/>
          <w:szCs w:val="24"/>
        </w:rPr>
      </w:pPr>
      <w:r w:rsidRPr="004A5120">
        <w:rPr>
          <w:rFonts w:ascii="David" w:hAnsi="David" w:cs="David" w:hint="cs"/>
          <w:sz w:val="24"/>
          <w:szCs w:val="24"/>
          <w:rtl/>
        </w:rPr>
        <w:t xml:space="preserve">הצגת החידושים שחכמי כל דור חדשו מן המשנה </w:t>
      </w:r>
      <w:r w:rsidRPr="004A5120">
        <w:rPr>
          <w:rFonts w:ascii="David" w:hAnsi="David" w:cs="David"/>
          <w:sz w:val="24"/>
          <w:szCs w:val="24"/>
          <w:rtl/>
        </w:rPr>
        <w:t>–</w:t>
      </w:r>
      <w:r w:rsidRPr="004A5120">
        <w:rPr>
          <w:rFonts w:ascii="David" w:hAnsi="David" w:cs="David" w:hint="cs"/>
          <w:sz w:val="24"/>
          <w:szCs w:val="24"/>
          <w:rtl/>
        </w:rPr>
        <w:t xml:space="preserve"> הגזירות והתקנות.</w:t>
      </w:r>
    </w:p>
    <w:p w14:paraId="734D34D1" w14:textId="54849E46" w:rsidR="002F3F6E" w:rsidRPr="004A5120" w:rsidRDefault="002F3F6E" w:rsidP="001A492B">
      <w:pPr>
        <w:pStyle w:val="a3"/>
        <w:numPr>
          <w:ilvl w:val="0"/>
          <w:numId w:val="27"/>
        </w:numPr>
        <w:spacing w:after="0"/>
        <w:jc w:val="both"/>
        <w:rPr>
          <w:rFonts w:ascii="David" w:hAnsi="David" w:cs="David"/>
          <w:sz w:val="24"/>
          <w:szCs w:val="24"/>
        </w:rPr>
      </w:pPr>
      <w:r w:rsidRPr="004A5120">
        <w:rPr>
          <w:rFonts w:ascii="David" w:hAnsi="David" w:cs="David" w:hint="cs"/>
          <w:sz w:val="24"/>
          <w:szCs w:val="24"/>
          <w:rtl/>
        </w:rPr>
        <w:t>דרשות המתאימות לעניין כל פרק.</w:t>
      </w:r>
    </w:p>
    <w:p w14:paraId="7EB8B732" w14:textId="39B61B55" w:rsidR="002F3F6E" w:rsidRPr="004A5120" w:rsidRDefault="002F3F6E"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חוקרים סבורים שחתימת התלמוד נעשתה ע"י רבינא(השני). </w:t>
      </w:r>
      <w:r w:rsidRPr="004A5120">
        <w:rPr>
          <w:rFonts w:ascii="David" w:hAnsi="David" w:cs="David" w:hint="cs"/>
          <w:b/>
          <w:bCs/>
          <w:sz w:val="24"/>
          <w:szCs w:val="24"/>
          <w:rtl/>
        </w:rPr>
        <w:t>חתם את תקופת האמוראים.</w:t>
      </w:r>
    </w:p>
    <w:p w14:paraId="1A43633F" w14:textId="7822533D" w:rsidR="002F3F6E" w:rsidRPr="004A5120" w:rsidRDefault="002F3F6E" w:rsidP="002F3F6E">
      <w:pPr>
        <w:spacing w:after="0"/>
        <w:jc w:val="both"/>
        <w:rPr>
          <w:rFonts w:ascii="David" w:hAnsi="David" w:cs="David"/>
          <w:sz w:val="24"/>
          <w:szCs w:val="24"/>
          <w:rtl/>
        </w:rPr>
      </w:pPr>
    </w:p>
    <w:p w14:paraId="57E0352F" w14:textId="54F51DCB" w:rsidR="002F3F6E" w:rsidRPr="004A5120" w:rsidRDefault="002F3F6E" w:rsidP="002F3F6E">
      <w:pPr>
        <w:spacing w:after="0"/>
        <w:jc w:val="both"/>
        <w:rPr>
          <w:rFonts w:ascii="David" w:hAnsi="David" w:cs="David"/>
          <w:b/>
          <w:bCs/>
          <w:sz w:val="24"/>
          <w:szCs w:val="24"/>
          <w:u w:val="single"/>
          <w:rtl/>
        </w:rPr>
      </w:pPr>
      <w:r w:rsidRPr="004A5120">
        <w:rPr>
          <w:rFonts w:ascii="David" w:hAnsi="David" w:cs="David" w:hint="cs"/>
          <w:b/>
          <w:bCs/>
          <w:sz w:val="24"/>
          <w:szCs w:val="24"/>
          <w:u w:val="single"/>
          <w:rtl/>
        </w:rPr>
        <w:t>הסבוראים:</w:t>
      </w:r>
    </w:p>
    <w:p w14:paraId="5A84CECF" w14:textId="7CD7938C" w:rsidR="002F3F6E" w:rsidRPr="004A5120" w:rsidRDefault="002F3F6E" w:rsidP="002F3F6E">
      <w:pPr>
        <w:spacing w:after="0"/>
        <w:jc w:val="both"/>
        <w:rPr>
          <w:rFonts w:ascii="David" w:hAnsi="David" w:cs="David"/>
          <w:sz w:val="24"/>
          <w:szCs w:val="24"/>
          <w:rtl/>
        </w:rPr>
      </w:pPr>
      <w:r w:rsidRPr="004A5120">
        <w:rPr>
          <w:rFonts w:ascii="David" w:hAnsi="David" w:cs="David" w:hint="cs"/>
          <w:sz w:val="24"/>
          <w:szCs w:val="24"/>
          <w:rtl/>
        </w:rPr>
        <w:t>חכמי ההלכה שלאחר האמוראים, הכניסו תופסות והשלמות לתלמוד. הכרעות ופירושים שונים שלהם נכנסו לתלמוד ומיוחסת להם קביעה של כמה כללי פסיקה והשלמות שונות בעריכת וסידור התלמוד. יש אף שמייחסים להם את העלאת המשנה והתלמוד על הכתב. (נגיעות מהותיות)</w:t>
      </w:r>
    </w:p>
    <w:p w14:paraId="634441B5" w14:textId="36E4B51F" w:rsidR="002F3F6E" w:rsidRPr="004A5120" w:rsidRDefault="002F3F6E" w:rsidP="002F3F6E">
      <w:pPr>
        <w:spacing w:after="0"/>
        <w:jc w:val="both"/>
        <w:rPr>
          <w:rFonts w:ascii="David" w:hAnsi="David" w:cs="David"/>
          <w:sz w:val="24"/>
          <w:szCs w:val="24"/>
          <w:rtl/>
        </w:rPr>
      </w:pPr>
      <w:r w:rsidRPr="004A5120">
        <w:rPr>
          <w:rFonts w:ascii="David" w:hAnsi="David" w:cs="David" w:hint="cs"/>
          <w:sz w:val="24"/>
          <w:szCs w:val="24"/>
          <w:rtl/>
        </w:rPr>
        <w:t xml:space="preserve">בתחילת הגאונים (אחרי הסבוראים), נכנסו שינויים טכניים קלים לתוך התלמוד הבבלי </w:t>
      </w:r>
      <w:r w:rsidRPr="004A5120">
        <w:rPr>
          <w:rFonts w:ascii="David" w:hAnsi="David" w:cs="David" w:hint="cs"/>
          <w:b/>
          <w:bCs/>
          <w:sz w:val="24"/>
          <w:szCs w:val="24"/>
          <w:rtl/>
        </w:rPr>
        <w:t>וכך נחתם.</w:t>
      </w:r>
    </w:p>
    <w:p w14:paraId="7F05445E" w14:textId="754452B3" w:rsidR="002F3F6E" w:rsidRPr="004A5120" w:rsidRDefault="002F3F6E" w:rsidP="002F3F6E">
      <w:pPr>
        <w:spacing w:after="0"/>
        <w:jc w:val="both"/>
        <w:rPr>
          <w:rFonts w:ascii="David" w:hAnsi="David" w:cs="David"/>
          <w:sz w:val="24"/>
          <w:szCs w:val="24"/>
          <w:rtl/>
        </w:rPr>
      </w:pPr>
    </w:p>
    <w:p w14:paraId="59258C25" w14:textId="1C6267AD" w:rsidR="002F3F6E" w:rsidRPr="004A5120" w:rsidRDefault="00014962" w:rsidP="002F3F6E">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עריכת התלמוד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על חלק מהמשנה:</w:t>
      </w:r>
    </w:p>
    <w:p w14:paraId="063018F7" w14:textId="4EC365FB" w:rsidR="00014962" w:rsidRPr="004A5120" w:rsidRDefault="00014962"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lastRenderedPageBreak/>
        <w:t>התלמוד הבבלי נערך רק על 36 מתוך 63 המסכתות במשנה.</w:t>
      </w:r>
    </w:p>
    <w:p w14:paraId="392C3AD5" w14:textId="2DC410DD" w:rsidR="00014962" w:rsidRPr="004A5120" w:rsidRDefault="00014962"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לא הוכנס: סדר זרעים (חוץ מברכות), סדר טהרות (חוץ מנידה), חלק מקדשים ועוד.</w:t>
      </w:r>
    </w:p>
    <w:p w14:paraId="55C7A7E7" w14:textId="0453B61C" w:rsidR="00014962" w:rsidRPr="004A5120" w:rsidRDefault="00014962" w:rsidP="001A492B">
      <w:pPr>
        <w:pStyle w:val="a3"/>
        <w:numPr>
          <w:ilvl w:val="0"/>
          <w:numId w:val="22"/>
        </w:numPr>
        <w:spacing w:after="0"/>
        <w:jc w:val="both"/>
        <w:rPr>
          <w:rFonts w:ascii="David" w:hAnsi="David" w:cs="David"/>
          <w:sz w:val="24"/>
          <w:szCs w:val="24"/>
        </w:rPr>
      </w:pPr>
      <w:r w:rsidRPr="004A5120">
        <w:rPr>
          <w:rFonts w:ascii="David" w:hAnsi="David" w:cs="David" w:hint="cs"/>
          <w:b/>
          <w:bCs/>
          <w:sz w:val="24"/>
          <w:szCs w:val="24"/>
          <w:rtl/>
        </w:rPr>
        <w:t xml:space="preserve">תופעה זו מבליטה את הקשר ההדוק בין התפתחות ההלכה מבחינה עניינית וספרותית </w:t>
      </w:r>
      <w:r w:rsidRPr="004A5120">
        <w:rPr>
          <w:rFonts w:ascii="David" w:hAnsi="David" w:cs="David"/>
          <w:b/>
          <w:bCs/>
          <w:sz w:val="24"/>
          <w:szCs w:val="24"/>
          <w:rtl/>
        </w:rPr>
        <w:t>–</w:t>
      </w:r>
      <w:r w:rsidRPr="004A5120">
        <w:rPr>
          <w:rFonts w:ascii="David" w:hAnsi="David" w:cs="David" w:hint="cs"/>
          <w:b/>
          <w:bCs/>
          <w:sz w:val="24"/>
          <w:szCs w:val="24"/>
          <w:rtl/>
        </w:rPr>
        <w:t xml:space="preserve"> לבין חיי המעשה במציאות.</w:t>
      </w:r>
    </w:p>
    <w:p w14:paraId="1A7E054C" w14:textId="6126D8FD" w:rsidR="00EF0F31" w:rsidRPr="004A5120" w:rsidRDefault="00EF0F31"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לדוג': זרעים לא רלוונטי לבבל, כי מדובר בדינים  הרלוונטים רק לא"י.</w:t>
      </w:r>
    </w:p>
    <w:p w14:paraId="2A5F40EC" w14:textId="6D25B0A0" w:rsidR="00EF0F31" w:rsidRPr="004A5120" w:rsidRDefault="00EF0F31"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כך המשיכו הפוסקים הגדולים (הריף, הראש וכו'), לצמצם את היקף הקודיפיקציות שלהם ל"</w:t>
      </w:r>
      <w:r w:rsidRPr="004A5120">
        <w:rPr>
          <w:rFonts w:ascii="David" w:hAnsi="David" w:cs="David" w:hint="cs"/>
          <w:b/>
          <w:bCs/>
          <w:sz w:val="24"/>
          <w:szCs w:val="24"/>
          <w:rtl/>
        </w:rPr>
        <w:t xml:space="preserve">מצוות הנהוגות בזמן הזה" </w:t>
      </w:r>
      <w:r w:rsidRPr="004A5120">
        <w:rPr>
          <w:rFonts w:ascii="David" w:hAnsi="David" w:cs="David"/>
          <w:b/>
          <w:bCs/>
          <w:sz w:val="24"/>
          <w:szCs w:val="24"/>
          <w:rtl/>
        </w:rPr>
        <w:t>–</w:t>
      </w:r>
      <w:r w:rsidRPr="004A5120">
        <w:rPr>
          <w:rFonts w:ascii="David" w:hAnsi="David" w:cs="David" w:hint="cs"/>
          <w:b/>
          <w:bCs/>
          <w:sz w:val="24"/>
          <w:szCs w:val="24"/>
          <w:rtl/>
        </w:rPr>
        <w:t xml:space="preserve"> מצוות הרלוונטיות מבחינת מקום וזמן.</w:t>
      </w:r>
    </w:p>
    <w:p w14:paraId="59F5CE74" w14:textId="50CFDD2A" w:rsidR="00EF0F31" w:rsidRPr="004A5120" w:rsidRDefault="00EF0F31"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הרמב"ם </w:t>
      </w:r>
      <w:r w:rsidRPr="004A5120">
        <w:rPr>
          <w:rFonts w:ascii="David" w:hAnsi="David" w:cs="David"/>
          <w:sz w:val="24"/>
          <w:szCs w:val="24"/>
          <w:rtl/>
        </w:rPr>
        <w:t>–</w:t>
      </w:r>
      <w:r w:rsidRPr="004A5120">
        <w:rPr>
          <w:rFonts w:ascii="David" w:hAnsi="David" w:cs="David" w:hint="cs"/>
          <w:sz w:val="24"/>
          <w:szCs w:val="24"/>
          <w:rtl/>
        </w:rPr>
        <w:t xml:space="preserve"> ביקש לתקן את התופעה האמורה, לכן בקודקס שלו משנה תורה" כלל את כל מערכת ההלכה </w:t>
      </w:r>
      <w:r w:rsidRPr="004A5120">
        <w:rPr>
          <w:rFonts w:ascii="David" w:hAnsi="David" w:cs="David"/>
          <w:sz w:val="24"/>
          <w:szCs w:val="24"/>
          <w:rtl/>
        </w:rPr>
        <w:t>–</w:t>
      </w:r>
      <w:r w:rsidRPr="004A5120">
        <w:rPr>
          <w:rFonts w:ascii="David" w:hAnsi="David" w:cs="David" w:hint="cs"/>
          <w:sz w:val="24"/>
          <w:szCs w:val="24"/>
          <w:rtl/>
        </w:rPr>
        <w:t xml:space="preserve"> מדובר בדוג' יוצאת דופן והוא </w:t>
      </w:r>
      <w:r w:rsidRPr="004A5120">
        <w:rPr>
          <w:rFonts w:ascii="David" w:hAnsi="David" w:cs="David" w:hint="cs"/>
          <w:b/>
          <w:bCs/>
          <w:sz w:val="24"/>
          <w:szCs w:val="24"/>
          <w:rtl/>
        </w:rPr>
        <w:t xml:space="preserve">היחיד </w:t>
      </w:r>
      <w:r w:rsidRPr="004A5120">
        <w:rPr>
          <w:rFonts w:ascii="David" w:hAnsi="David" w:cs="David" w:hint="cs"/>
          <w:sz w:val="24"/>
          <w:szCs w:val="24"/>
          <w:rtl/>
        </w:rPr>
        <w:t>שעשה את זה.</w:t>
      </w:r>
    </w:p>
    <w:p w14:paraId="51647956" w14:textId="0DD63EED" w:rsidR="00EF0F31" w:rsidRPr="004A5120" w:rsidRDefault="00EF0F31" w:rsidP="00EF0F31">
      <w:pPr>
        <w:spacing w:after="0"/>
        <w:jc w:val="both"/>
        <w:rPr>
          <w:rFonts w:ascii="David" w:hAnsi="David" w:cs="David"/>
          <w:sz w:val="24"/>
          <w:szCs w:val="24"/>
          <w:rtl/>
        </w:rPr>
      </w:pPr>
    </w:p>
    <w:p w14:paraId="6F38BFF8" w14:textId="072D7DF8" w:rsidR="00EF0F31" w:rsidRPr="004A5120" w:rsidRDefault="00EF0F31" w:rsidP="00EF0F31">
      <w:pPr>
        <w:spacing w:after="0"/>
        <w:jc w:val="both"/>
        <w:rPr>
          <w:rFonts w:ascii="David" w:hAnsi="David" w:cs="David"/>
          <w:b/>
          <w:bCs/>
          <w:sz w:val="24"/>
          <w:szCs w:val="24"/>
          <w:u w:val="single"/>
          <w:rtl/>
        </w:rPr>
      </w:pPr>
      <w:r w:rsidRPr="004A5120">
        <w:rPr>
          <w:rFonts w:ascii="David" w:hAnsi="David" w:cs="David" w:hint="cs"/>
          <w:b/>
          <w:bCs/>
          <w:sz w:val="24"/>
          <w:szCs w:val="24"/>
          <w:u w:val="single"/>
          <w:rtl/>
        </w:rPr>
        <w:t>התלמוד הירושלמי:</w:t>
      </w:r>
    </w:p>
    <w:p w14:paraId="7746576D" w14:textId="7ABE3F33" w:rsidR="00EF0F31" w:rsidRPr="004A5120" w:rsidRDefault="00EF0F31" w:rsidP="00EF0F31">
      <w:pPr>
        <w:spacing w:after="0"/>
        <w:jc w:val="both"/>
        <w:rPr>
          <w:rFonts w:ascii="David" w:hAnsi="David" w:cs="David"/>
          <w:sz w:val="24"/>
          <w:szCs w:val="24"/>
          <w:rtl/>
        </w:rPr>
      </w:pPr>
      <w:r w:rsidRPr="004A5120">
        <w:rPr>
          <w:rFonts w:ascii="David" w:hAnsi="David" w:cs="David" w:hint="cs"/>
          <w:sz w:val="24"/>
          <w:szCs w:val="24"/>
          <w:rtl/>
        </w:rPr>
        <w:t>התפתח במקביל לתלמוד הבבלי, גם כן בעיקר סב סביב משנתו של רבי. כולל ברובו את אותם הסוגים הספרותיים של התלמוד הבבלי, שימוש בהלכות מתקופות קדומות שהובאו בדיון של אמוראי א"י. ישבו בעיקר בטבריה, ציפורי, קיסרין ולוד.</w:t>
      </w:r>
    </w:p>
    <w:p w14:paraId="6F8B6F60" w14:textId="533CACC9" w:rsidR="00464BA0" w:rsidRPr="004A5120" w:rsidRDefault="00464BA0" w:rsidP="00EF0F31">
      <w:pPr>
        <w:spacing w:after="0"/>
        <w:jc w:val="both"/>
        <w:rPr>
          <w:rFonts w:ascii="David" w:hAnsi="David" w:cs="David"/>
          <w:sz w:val="24"/>
          <w:szCs w:val="24"/>
          <w:rtl/>
        </w:rPr>
      </w:pPr>
    </w:p>
    <w:p w14:paraId="4E1115B0" w14:textId="0AA690CE" w:rsidR="00464BA0" w:rsidRPr="004A5120" w:rsidRDefault="00464BA0" w:rsidP="00464BA0">
      <w:pPr>
        <w:spacing w:after="0"/>
        <w:jc w:val="both"/>
        <w:rPr>
          <w:rFonts w:ascii="David" w:hAnsi="David" w:cs="David"/>
          <w:sz w:val="24"/>
          <w:szCs w:val="24"/>
          <w:u w:val="single"/>
          <w:rtl/>
        </w:rPr>
      </w:pPr>
      <w:r w:rsidRPr="004A5120">
        <w:rPr>
          <w:rFonts w:ascii="David" w:hAnsi="David" w:cs="David" w:hint="cs"/>
          <w:sz w:val="24"/>
          <w:szCs w:val="24"/>
          <w:rtl/>
        </w:rPr>
        <w:t xml:space="preserve">ההבדלים בין התלמודים לפי החוקרים </w:t>
      </w:r>
      <w:r w:rsidRPr="004A5120">
        <w:rPr>
          <w:rFonts w:ascii="David" w:hAnsi="David" w:cs="David"/>
          <w:sz w:val="24"/>
          <w:szCs w:val="24"/>
          <w:rtl/>
        </w:rPr>
        <w:t>–</w:t>
      </w:r>
      <w:r w:rsidRPr="004A5120">
        <w:rPr>
          <w:rFonts w:ascii="David" w:hAnsi="David" w:cs="David" w:hint="cs"/>
          <w:sz w:val="24"/>
          <w:szCs w:val="24"/>
          <w:rtl/>
        </w:rPr>
        <w:t xml:space="preserve"> העיקרי הוא היקף המשא ומתן, הדיון, ירושלמי הדיון הרבה יותר קצר ותמציתי. הבדל נוסף הוא הלשון, השפה הארמית הא"י שונה מהארמית הבבלי. שינוי תוכני </w:t>
      </w:r>
      <w:r w:rsidRPr="004A5120">
        <w:rPr>
          <w:rFonts w:ascii="David" w:hAnsi="David" w:cs="David"/>
          <w:sz w:val="24"/>
          <w:szCs w:val="24"/>
          <w:rtl/>
        </w:rPr>
        <w:t>–</w:t>
      </w:r>
      <w:r w:rsidRPr="004A5120">
        <w:rPr>
          <w:rFonts w:ascii="David" w:hAnsi="David" w:cs="David" w:hint="cs"/>
          <w:sz w:val="24"/>
          <w:szCs w:val="24"/>
          <w:rtl/>
        </w:rPr>
        <w:t xml:space="preserve"> מסקנות שונות לאותן סוגיות. </w:t>
      </w:r>
    </w:p>
    <w:p w14:paraId="330DDEDE" w14:textId="362BAEAF" w:rsidR="00464BA0" w:rsidRPr="004A5120" w:rsidRDefault="00464BA0" w:rsidP="00464BA0">
      <w:pPr>
        <w:spacing w:after="0"/>
        <w:jc w:val="both"/>
        <w:rPr>
          <w:rFonts w:ascii="David" w:hAnsi="David" w:cs="David"/>
          <w:sz w:val="24"/>
          <w:szCs w:val="24"/>
          <w:u w:val="single"/>
          <w:rtl/>
        </w:rPr>
      </w:pPr>
    </w:p>
    <w:p w14:paraId="44D946B7" w14:textId="74EDB74E" w:rsidR="00464BA0" w:rsidRPr="004A5120" w:rsidRDefault="00464BA0" w:rsidP="00464BA0">
      <w:pPr>
        <w:spacing w:after="0"/>
        <w:jc w:val="both"/>
        <w:rPr>
          <w:rFonts w:ascii="David" w:hAnsi="David" w:cs="David"/>
          <w:sz w:val="24"/>
          <w:szCs w:val="24"/>
          <w:u w:val="single"/>
          <w:rtl/>
        </w:rPr>
      </w:pPr>
      <w:r w:rsidRPr="004A5120">
        <w:rPr>
          <w:rFonts w:ascii="David" w:hAnsi="David" w:cs="David" w:hint="cs"/>
          <w:sz w:val="24"/>
          <w:szCs w:val="24"/>
          <w:u w:val="single"/>
          <w:rtl/>
        </w:rPr>
        <w:t>עריכת התלמוד הירושלמי:</w:t>
      </w:r>
    </w:p>
    <w:p w14:paraId="7D985A12" w14:textId="0A095293" w:rsidR="00464BA0" w:rsidRPr="004A5120" w:rsidRDefault="00464BA0"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רוב העריכה נעשתה בטבריה.</w:t>
      </w:r>
    </w:p>
    <w:p w14:paraId="5E9E240B" w14:textId="22B17572" w:rsidR="00464BA0" w:rsidRPr="004A5120" w:rsidRDefault="00464BA0"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שלבים שונים של עריכה, פחות טובה מזו של הבבלי (תנאים קשים בא"י).</w:t>
      </w:r>
    </w:p>
    <w:p w14:paraId="0CF3580E" w14:textId="78E7FB45" w:rsidR="00464BA0" w:rsidRPr="004A5120" w:rsidRDefault="00464BA0" w:rsidP="001A492B">
      <w:pPr>
        <w:pStyle w:val="a3"/>
        <w:numPr>
          <w:ilvl w:val="0"/>
          <w:numId w:val="22"/>
        </w:numPr>
        <w:spacing w:after="0"/>
        <w:jc w:val="both"/>
        <w:rPr>
          <w:rFonts w:ascii="David" w:hAnsi="David" w:cs="David"/>
          <w:sz w:val="24"/>
          <w:szCs w:val="24"/>
        </w:rPr>
      </w:pPr>
      <w:r w:rsidRPr="004A5120">
        <w:rPr>
          <w:rFonts w:ascii="David" w:hAnsi="David" w:cs="David" w:hint="cs"/>
          <w:sz w:val="24"/>
          <w:szCs w:val="24"/>
          <w:rtl/>
        </w:rPr>
        <w:t xml:space="preserve">עכב כוחות פוליטיים וטיב העריכה </w:t>
      </w:r>
      <w:r w:rsidRPr="004A5120">
        <w:rPr>
          <w:rFonts w:ascii="David" w:hAnsi="David" w:cs="David"/>
          <w:sz w:val="24"/>
          <w:szCs w:val="24"/>
          <w:rtl/>
        </w:rPr>
        <w:t>–</w:t>
      </w:r>
      <w:r w:rsidRPr="004A5120">
        <w:rPr>
          <w:rFonts w:ascii="David" w:hAnsi="David" w:cs="David" w:hint="cs"/>
          <w:sz w:val="24"/>
          <w:szCs w:val="24"/>
          <w:rtl/>
        </w:rPr>
        <w:t xml:space="preserve"> סמכותו הייתה פחותה משל הבבלי.</w:t>
      </w:r>
    </w:p>
    <w:p w14:paraId="769F7DF3" w14:textId="5F8E0B5D" w:rsidR="00464BA0" w:rsidRPr="004A5120" w:rsidRDefault="00464BA0" w:rsidP="001A492B">
      <w:pPr>
        <w:pStyle w:val="a3"/>
        <w:numPr>
          <w:ilvl w:val="0"/>
          <w:numId w:val="22"/>
        </w:numPr>
        <w:spacing w:after="0"/>
        <w:jc w:val="both"/>
        <w:rPr>
          <w:rFonts w:ascii="David" w:hAnsi="David" w:cs="David"/>
          <w:sz w:val="24"/>
          <w:szCs w:val="24"/>
        </w:rPr>
      </w:pPr>
      <w:r w:rsidRPr="004A5120">
        <w:rPr>
          <w:rFonts w:ascii="David" w:hAnsi="David" w:cs="David" w:hint="cs"/>
          <w:b/>
          <w:bCs/>
          <w:sz w:val="24"/>
          <w:szCs w:val="24"/>
          <w:rtl/>
        </w:rPr>
        <w:t xml:space="preserve">כאשר יש מחלוקת בין התלמודים </w:t>
      </w:r>
      <w:r w:rsidRPr="004A5120">
        <w:rPr>
          <w:rFonts w:ascii="David" w:hAnsi="David" w:cs="David"/>
          <w:b/>
          <w:bCs/>
          <w:sz w:val="24"/>
          <w:szCs w:val="24"/>
          <w:rtl/>
        </w:rPr>
        <w:t>–</w:t>
      </w:r>
      <w:r w:rsidRPr="004A5120">
        <w:rPr>
          <w:rFonts w:ascii="David" w:hAnsi="David" w:cs="David" w:hint="cs"/>
          <w:b/>
          <w:bCs/>
          <w:sz w:val="24"/>
          <w:szCs w:val="24"/>
          <w:rtl/>
        </w:rPr>
        <w:t xml:space="preserve"> הכרעה לפי הבבלי.</w:t>
      </w:r>
    </w:p>
    <w:p w14:paraId="6756CB9F" w14:textId="466B0774" w:rsidR="00464BA0" w:rsidRPr="004A5120" w:rsidRDefault="00464BA0" w:rsidP="00464BA0">
      <w:pPr>
        <w:spacing w:after="0"/>
        <w:jc w:val="both"/>
        <w:rPr>
          <w:rFonts w:ascii="David" w:hAnsi="David" w:cs="David"/>
          <w:sz w:val="24"/>
          <w:szCs w:val="24"/>
          <w:rtl/>
        </w:rPr>
      </w:pPr>
    </w:p>
    <w:p w14:paraId="03F7EA10" w14:textId="4A4E107F" w:rsidR="00464BA0" w:rsidRPr="004A5120" w:rsidRDefault="00464BA0" w:rsidP="00464BA0">
      <w:pPr>
        <w:spacing w:after="0"/>
        <w:jc w:val="both"/>
        <w:rPr>
          <w:rFonts w:ascii="David" w:hAnsi="David" w:cs="David"/>
          <w:sz w:val="24"/>
          <w:szCs w:val="24"/>
          <w:u w:val="single"/>
          <w:rtl/>
        </w:rPr>
      </w:pPr>
      <w:r w:rsidRPr="004A5120">
        <w:rPr>
          <w:rFonts w:ascii="David" w:hAnsi="David" w:cs="David" w:hint="cs"/>
          <w:sz w:val="24"/>
          <w:szCs w:val="24"/>
          <w:u w:val="single"/>
          <w:rtl/>
        </w:rPr>
        <w:t>מבנה:</w:t>
      </w:r>
    </w:p>
    <w:p w14:paraId="2FDBAB29" w14:textId="2A82286B" w:rsidR="00464BA0" w:rsidRPr="004A5120" w:rsidRDefault="00464BA0" w:rsidP="001A492B">
      <w:pPr>
        <w:pStyle w:val="a3"/>
        <w:numPr>
          <w:ilvl w:val="0"/>
          <w:numId w:val="22"/>
        </w:numPr>
        <w:spacing w:after="0"/>
        <w:jc w:val="both"/>
        <w:rPr>
          <w:rFonts w:ascii="David" w:hAnsi="David" w:cs="David"/>
          <w:sz w:val="24"/>
          <w:szCs w:val="24"/>
          <w:u w:val="single"/>
        </w:rPr>
      </w:pPr>
      <w:r w:rsidRPr="004A5120">
        <w:rPr>
          <w:rFonts w:ascii="David" w:hAnsi="David" w:cs="David" w:hint="cs"/>
          <w:sz w:val="24"/>
          <w:szCs w:val="24"/>
          <w:rtl/>
        </w:rPr>
        <w:t xml:space="preserve">ארבעת הסדרים הראשונים של המשנה </w:t>
      </w:r>
      <w:r w:rsidRPr="004A5120">
        <w:rPr>
          <w:rFonts w:ascii="David" w:hAnsi="David" w:cs="David"/>
          <w:sz w:val="24"/>
          <w:szCs w:val="24"/>
          <w:rtl/>
        </w:rPr>
        <w:t>–</w:t>
      </w:r>
      <w:r w:rsidRPr="004A5120">
        <w:rPr>
          <w:rFonts w:ascii="David" w:hAnsi="David" w:cs="David" w:hint="cs"/>
          <w:sz w:val="24"/>
          <w:szCs w:val="24"/>
          <w:rtl/>
        </w:rPr>
        <w:t xml:space="preserve"> זרעים, מועד, נשים ונזיקין, וקצת נידה.</w:t>
      </w:r>
    </w:p>
    <w:p w14:paraId="5E554C36" w14:textId="6D05E627" w:rsidR="00464BA0" w:rsidRPr="004A5120" w:rsidRDefault="00464BA0" w:rsidP="001A492B">
      <w:pPr>
        <w:pStyle w:val="a3"/>
        <w:numPr>
          <w:ilvl w:val="0"/>
          <w:numId w:val="22"/>
        </w:numPr>
        <w:spacing w:after="0"/>
        <w:jc w:val="both"/>
        <w:rPr>
          <w:rFonts w:ascii="David" w:hAnsi="David" w:cs="David"/>
          <w:sz w:val="24"/>
          <w:szCs w:val="24"/>
          <w:u w:val="single"/>
        </w:rPr>
      </w:pPr>
      <w:r w:rsidRPr="004A5120">
        <w:rPr>
          <w:rFonts w:ascii="David" w:hAnsi="David" w:cs="David" w:hint="cs"/>
          <w:sz w:val="24"/>
          <w:szCs w:val="24"/>
          <w:rtl/>
        </w:rPr>
        <w:t xml:space="preserve">נערך על 39 מסכתות (לעומת 36 בבבלי), אבל </w:t>
      </w:r>
      <w:r w:rsidR="00E06408" w:rsidRPr="004A5120">
        <w:rPr>
          <w:rFonts w:ascii="David" w:hAnsi="David" w:cs="David" w:hint="cs"/>
          <w:sz w:val="24"/>
          <w:szCs w:val="24"/>
          <w:rtl/>
        </w:rPr>
        <w:t>קצר מהבבלי ב2\3, בגלל ניסוח קצר.</w:t>
      </w:r>
    </w:p>
    <w:p w14:paraId="165B66D3" w14:textId="07F9B1E5" w:rsidR="00E06408" w:rsidRPr="004A5120" w:rsidRDefault="00E06408" w:rsidP="00E06408">
      <w:pPr>
        <w:spacing w:after="0"/>
        <w:jc w:val="both"/>
        <w:rPr>
          <w:rFonts w:ascii="David" w:hAnsi="David" w:cs="David"/>
          <w:sz w:val="24"/>
          <w:szCs w:val="24"/>
          <w:u w:val="single"/>
          <w:rtl/>
        </w:rPr>
      </w:pPr>
    </w:p>
    <w:p w14:paraId="525B2BED" w14:textId="4C71F323" w:rsidR="00E06408" w:rsidRPr="004A5120" w:rsidRDefault="00E06408" w:rsidP="00E06408">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מהותו הספרותית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משפטית של התלמוד ומקומו במערכת ההלכה:</w:t>
      </w:r>
    </w:p>
    <w:p w14:paraId="3DBF080F" w14:textId="141D3AEE" w:rsidR="00E06408" w:rsidRPr="004A5120" w:rsidRDefault="00E06408" w:rsidP="001A492B">
      <w:pPr>
        <w:pStyle w:val="a3"/>
        <w:numPr>
          <w:ilvl w:val="0"/>
          <w:numId w:val="28"/>
        </w:numPr>
        <w:spacing w:after="0"/>
        <w:jc w:val="both"/>
        <w:rPr>
          <w:rFonts w:ascii="David" w:hAnsi="David" w:cs="David"/>
          <w:sz w:val="24"/>
          <w:szCs w:val="24"/>
          <w:rtl/>
        </w:rPr>
      </w:pPr>
      <w:r w:rsidRPr="004A5120">
        <w:rPr>
          <w:rFonts w:ascii="David" w:hAnsi="David" w:cs="David" w:hint="cs"/>
          <w:sz w:val="24"/>
          <w:szCs w:val="24"/>
          <w:rtl/>
        </w:rPr>
        <w:t>החוקרים דנו בשאלה באם התלמוד מהווה ספר מפרש למשנה, או ספר חוקים בפני עצמו?</w:t>
      </w:r>
    </w:p>
    <w:p w14:paraId="544137DA" w14:textId="7D4B4A65" w:rsidR="00E06408" w:rsidRPr="004A5120" w:rsidRDefault="00E06408" w:rsidP="001A492B">
      <w:pPr>
        <w:pStyle w:val="a3"/>
        <w:numPr>
          <w:ilvl w:val="0"/>
          <w:numId w:val="28"/>
        </w:numPr>
        <w:spacing w:after="0"/>
        <w:jc w:val="both"/>
        <w:rPr>
          <w:rFonts w:ascii="David" w:hAnsi="David" w:cs="David"/>
          <w:sz w:val="24"/>
          <w:szCs w:val="24"/>
          <w:rtl/>
        </w:rPr>
      </w:pPr>
      <w:r w:rsidRPr="004A5120">
        <w:rPr>
          <w:rFonts w:ascii="David" w:hAnsi="David" w:cs="David" w:hint="cs"/>
          <w:sz w:val="24"/>
          <w:szCs w:val="24"/>
          <w:rtl/>
        </w:rPr>
        <w:t xml:space="preserve">לכאורה קשה להניח שהתלמוד מהווה ספר חוקים, היות והוא בנוי בצורה של הצגת "ויכוחים" רבים, כאשר רק לעתים מובאות הלכת מוכרעות או כללי פסיקה. אולם, חלק מהחוקרים טוענים שאף שהתלמוד לא נראה בעניינו כספר חוקים, כפי שהיינו מצפים לראות היום, אך יש ובתקופה ההיא זו הייתה מטרתו. </w:t>
      </w:r>
    </w:p>
    <w:p w14:paraId="2712DDDF" w14:textId="4A8955AA" w:rsidR="00E06408" w:rsidRPr="004A5120" w:rsidRDefault="00E0640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לדעת בלאו (חוקר), התלמוד תפס את מקומה של המשנה כספר החוקים המחייב. למרות שהמשנה נשארה יסוד לתלמוד </w:t>
      </w:r>
      <w:r w:rsidRPr="004A5120">
        <w:rPr>
          <w:rFonts w:ascii="David" w:hAnsi="David" w:cs="David"/>
          <w:sz w:val="24"/>
          <w:szCs w:val="24"/>
          <w:rtl/>
        </w:rPr>
        <w:t>–</w:t>
      </w:r>
      <w:r w:rsidRPr="004A5120">
        <w:rPr>
          <w:rFonts w:ascii="David" w:hAnsi="David" w:cs="David" w:hint="cs"/>
          <w:sz w:val="24"/>
          <w:szCs w:val="24"/>
          <w:rtl/>
        </w:rPr>
        <w:t xml:space="preserve"> פסיקת דין תיעשה רק על ידי התלמוד.</w:t>
      </w:r>
    </w:p>
    <w:p w14:paraId="11A82D55" w14:textId="2B090864" w:rsidR="00E06408" w:rsidRPr="004A5120" w:rsidRDefault="00E0640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גנצבורג (חוקר), סובר שהתלמוד נועד להיות ספר טקסטים ופירוש לספר חוקים </w:t>
      </w:r>
      <w:r w:rsidRPr="004A5120">
        <w:rPr>
          <w:rFonts w:ascii="David" w:hAnsi="David" w:cs="David"/>
          <w:sz w:val="24"/>
          <w:szCs w:val="24"/>
          <w:rtl/>
        </w:rPr>
        <w:t>–</w:t>
      </w:r>
      <w:r w:rsidRPr="004A5120">
        <w:rPr>
          <w:rFonts w:ascii="David" w:hAnsi="David" w:cs="David" w:hint="cs"/>
          <w:sz w:val="24"/>
          <w:szCs w:val="24"/>
          <w:rtl/>
        </w:rPr>
        <w:t xml:space="preserve"> המשנה.</w:t>
      </w:r>
    </w:p>
    <w:p w14:paraId="1493B794" w14:textId="6B287AFD" w:rsidR="00E06408" w:rsidRPr="004A5120" w:rsidRDefault="004F3869"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כך או כך, ישנה הסכמה גורפת שהתלמוד הפך להיות המקור המוסמך והיחיד של כל ההלכה העברית. </w:t>
      </w:r>
    </w:p>
    <w:p w14:paraId="0B032676" w14:textId="600D3609" w:rsidR="004F3869" w:rsidRPr="004A5120" w:rsidRDefault="004F3869"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הגאונים </w:t>
      </w:r>
      <w:r w:rsidRPr="004A5120">
        <w:rPr>
          <w:rFonts w:ascii="David" w:hAnsi="David" w:cs="David"/>
          <w:sz w:val="24"/>
          <w:szCs w:val="24"/>
          <w:rtl/>
        </w:rPr>
        <w:t>–</w:t>
      </w:r>
      <w:r w:rsidRPr="004A5120">
        <w:rPr>
          <w:rFonts w:ascii="David" w:hAnsi="David" w:cs="David" w:hint="cs"/>
          <w:sz w:val="24"/>
          <w:szCs w:val="24"/>
          <w:rtl/>
        </w:rPr>
        <w:t xml:space="preserve"> הם היו שהפכו את מעמדו של התלמוד מספר פירוש לספר חוקים.</w:t>
      </w:r>
    </w:p>
    <w:p w14:paraId="75DEDD65" w14:textId="2CC1C183" w:rsidR="004F3869" w:rsidRPr="004A5120" w:rsidRDefault="004F3869"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לפי הרמב"ם </w:t>
      </w:r>
      <w:r w:rsidRPr="004A5120">
        <w:rPr>
          <w:rFonts w:ascii="David" w:hAnsi="David" w:cs="David"/>
          <w:sz w:val="24"/>
          <w:szCs w:val="24"/>
          <w:rtl/>
        </w:rPr>
        <w:t>–</w:t>
      </w:r>
      <w:r w:rsidRPr="004A5120">
        <w:rPr>
          <w:rFonts w:ascii="David" w:hAnsi="David" w:cs="David" w:hint="cs"/>
          <w:sz w:val="24"/>
          <w:szCs w:val="24"/>
          <w:rtl/>
        </w:rPr>
        <w:t xml:space="preserve"> כל מה שכתוב בתלמוד הבבלי, חייבים כל ישראל לציית לו.</w:t>
      </w:r>
    </w:p>
    <w:p w14:paraId="202987B9" w14:textId="44678906" w:rsidR="004F3869" w:rsidRPr="004A5120" w:rsidRDefault="004F3869" w:rsidP="004F3869">
      <w:pPr>
        <w:spacing w:after="0"/>
        <w:jc w:val="both"/>
        <w:rPr>
          <w:rFonts w:ascii="David" w:hAnsi="David" w:cs="David"/>
          <w:sz w:val="24"/>
          <w:szCs w:val="24"/>
          <w:rtl/>
        </w:rPr>
      </w:pPr>
    </w:p>
    <w:p w14:paraId="53008D2F" w14:textId="57353464" w:rsidR="004F3869" w:rsidRPr="004A5120" w:rsidRDefault="004F3869" w:rsidP="004F3869">
      <w:pPr>
        <w:spacing w:after="0"/>
        <w:jc w:val="both"/>
        <w:rPr>
          <w:rFonts w:ascii="David" w:hAnsi="David" w:cs="David"/>
          <w:sz w:val="24"/>
          <w:szCs w:val="24"/>
          <w:rtl/>
        </w:rPr>
      </w:pPr>
    </w:p>
    <w:p w14:paraId="2F27C4E2" w14:textId="6FB25450" w:rsidR="004F3869" w:rsidRPr="004A5120" w:rsidRDefault="004F3869" w:rsidP="004F3869">
      <w:pPr>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מאמר 2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ספרות הפירושים לתלמוד הבבלי:</w:t>
      </w:r>
    </w:p>
    <w:p w14:paraId="27597E1F" w14:textId="2F4824E2" w:rsidR="004F3869" w:rsidRPr="004A5120" w:rsidRDefault="004F3869" w:rsidP="004F3869">
      <w:pPr>
        <w:spacing w:after="0"/>
        <w:jc w:val="both"/>
        <w:rPr>
          <w:rFonts w:ascii="David" w:hAnsi="David" w:cs="David"/>
          <w:b/>
          <w:bCs/>
          <w:sz w:val="24"/>
          <w:szCs w:val="24"/>
          <w:u w:val="single"/>
          <w:rtl/>
        </w:rPr>
      </w:pPr>
    </w:p>
    <w:p w14:paraId="7DBBBFB9" w14:textId="7DAB144D" w:rsidR="004F3869" w:rsidRPr="004A5120" w:rsidRDefault="004F3869"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u w:val="single"/>
          <w:rtl/>
        </w:rPr>
        <w:t>בתקופת הגאונים:</w:t>
      </w:r>
    </w:p>
    <w:p w14:paraId="2736C424" w14:textId="79FAF999" w:rsidR="004F3869" w:rsidRPr="004A5120" w:rsidRDefault="004F3869" w:rsidP="004F3869">
      <w:pPr>
        <w:pStyle w:val="a3"/>
        <w:spacing w:after="0"/>
        <w:jc w:val="both"/>
        <w:rPr>
          <w:rFonts w:ascii="David" w:hAnsi="David" w:cs="David"/>
          <w:sz w:val="24"/>
          <w:szCs w:val="24"/>
          <w:rtl/>
        </w:rPr>
      </w:pPr>
      <w:r w:rsidRPr="004A5120">
        <w:rPr>
          <w:rFonts w:ascii="David" w:hAnsi="David" w:cs="David" w:hint="cs"/>
          <w:sz w:val="24"/>
          <w:szCs w:val="24"/>
          <w:rtl/>
        </w:rPr>
        <w:t xml:space="preserve">בתקופה זו הספרות החלה כפירוש מילים וביטויים קשים, כשהם מכוונים בעיקר לאנשים מארצות אחרות. בני בבל לא היו זקוקים לפירושים, הגמרא הייתה כתובה בשפתם וגם </w:t>
      </w:r>
      <w:r w:rsidRPr="004A5120">
        <w:rPr>
          <w:rFonts w:ascii="David" w:hAnsi="David" w:cs="David" w:hint="cs"/>
          <w:sz w:val="24"/>
          <w:szCs w:val="24"/>
          <w:rtl/>
        </w:rPr>
        <w:lastRenderedPageBreak/>
        <w:t>שנים לאחר מכן, תלמידים חכמים ידעו לקרוא ולא נזקקו לפירוש. פירושי הגאונים הגיעו כתשובה לבקשת חכמים מחוץ לבבל, הם הגיעו במפוזר ולא מסודרים לפי סדר המסכתות.</w:t>
      </w:r>
    </w:p>
    <w:p w14:paraId="2C4655E6" w14:textId="1E956418" w:rsidR="004F3869" w:rsidRPr="004A5120" w:rsidRDefault="004F3869"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u w:val="single"/>
          <w:rtl/>
        </w:rPr>
        <w:t>פירוש רבנו חננאל</w:t>
      </w:r>
      <w:r w:rsidR="00ED6EB7" w:rsidRPr="004A5120">
        <w:rPr>
          <w:rFonts w:ascii="David" w:hAnsi="David" w:cs="David" w:hint="cs"/>
          <w:sz w:val="24"/>
          <w:szCs w:val="24"/>
          <w:u w:val="single"/>
          <w:rtl/>
        </w:rPr>
        <w:t xml:space="preserve"> (צפון אפריקה)</w:t>
      </w:r>
      <w:r w:rsidRPr="004A5120">
        <w:rPr>
          <w:rFonts w:ascii="David" w:hAnsi="David" w:cs="David" w:hint="cs"/>
          <w:sz w:val="24"/>
          <w:szCs w:val="24"/>
          <w:u w:val="single"/>
          <w:rtl/>
        </w:rPr>
        <w:t>:</w:t>
      </w:r>
    </w:p>
    <w:p w14:paraId="5B19781C" w14:textId="2441C979" w:rsidR="004F3869" w:rsidRPr="004A5120" w:rsidRDefault="004F3869" w:rsidP="004F3869">
      <w:pPr>
        <w:pStyle w:val="a3"/>
        <w:spacing w:after="0"/>
        <w:jc w:val="both"/>
        <w:rPr>
          <w:rFonts w:ascii="David" w:hAnsi="David" w:cs="David"/>
          <w:sz w:val="24"/>
          <w:szCs w:val="24"/>
          <w:rtl/>
        </w:rPr>
      </w:pPr>
      <w:r w:rsidRPr="004A5120">
        <w:rPr>
          <w:rFonts w:ascii="David" w:hAnsi="David" w:cs="David" w:hint="cs"/>
          <w:sz w:val="24"/>
          <w:szCs w:val="24"/>
          <w:rtl/>
        </w:rPr>
        <w:t xml:space="preserve">הפרשנות הפכה מפרשנות מילולית לפרשנות על תוכן הסוגיה. רבנו חננאל הביא את הניצנים הראשונים של פרשנות זו. פירוש בהיר ופשוט, לעתים מביא את דברי הירושלמי ומתאפיין בתמצות תוכן הסוגיה. </w:t>
      </w:r>
      <w:r w:rsidR="00E84CE5" w:rsidRPr="004A5120">
        <w:rPr>
          <w:rFonts w:ascii="David" w:hAnsi="David" w:cs="David" w:hint="cs"/>
          <w:sz w:val="24"/>
          <w:szCs w:val="24"/>
          <w:rtl/>
        </w:rPr>
        <w:t xml:space="preserve">מבאר את החלקים הקשים יותר ומדלג על חלקים ברורים. </w:t>
      </w:r>
      <w:r w:rsidR="00E84CE5" w:rsidRPr="004A5120">
        <w:rPr>
          <w:rFonts w:ascii="David" w:hAnsi="David" w:cs="David" w:hint="cs"/>
          <w:b/>
          <w:bCs/>
          <w:sz w:val="24"/>
          <w:szCs w:val="24"/>
          <w:rtl/>
        </w:rPr>
        <w:t>מגמת הפסיקה שלו חריגה</w:t>
      </w:r>
      <w:r w:rsidR="00520A40">
        <w:rPr>
          <w:rFonts w:ascii="David" w:hAnsi="David" w:cs="David" w:hint="cs"/>
          <w:b/>
          <w:bCs/>
          <w:sz w:val="24"/>
          <w:szCs w:val="24"/>
          <w:rtl/>
        </w:rPr>
        <w:t>,</w:t>
      </w:r>
      <w:r w:rsidR="00E84CE5" w:rsidRPr="004A5120">
        <w:rPr>
          <w:rFonts w:ascii="David" w:hAnsi="David" w:cs="David" w:hint="cs"/>
          <w:b/>
          <w:bCs/>
          <w:sz w:val="24"/>
          <w:szCs w:val="24"/>
          <w:rtl/>
        </w:rPr>
        <w:t xml:space="preserve"> </w:t>
      </w:r>
      <w:r w:rsidR="00E84CE5" w:rsidRPr="004A5120">
        <w:rPr>
          <w:rFonts w:ascii="David" w:hAnsi="David" w:cs="David" w:hint="cs"/>
          <w:sz w:val="24"/>
          <w:szCs w:val="24"/>
          <w:rtl/>
        </w:rPr>
        <w:t>היות ולעתים רבות קובע את ההלכה בסוף הסוגיה. יש שבגלל זה פירושו מקיף רק חלקים אקטואליים - סדרי מועד, נשים ונזיקין בעיקר.</w:t>
      </w:r>
    </w:p>
    <w:p w14:paraId="44819620" w14:textId="31F9B298" w:rsidR="00E84CE5" w:rsidRPr="004A5120" w:rsidRDefault="00E84CE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u w:val="single"/>
          <w:rtl/>
        </w:rPr>
        <w:t>רבינו גרשום מאור הגולה</w:t>
      </w:r>
      <w:r w:rsidR="00ED6EB7" w:rsidRPr="004A5120">
        <w:rPr>
          <w:rFonts w:ascii="David" w:hAnsi="David" w:cs="David" w:hint="cs"/>
          <w:sz w:val="24"/>
          <w:szCs w:val="24"/>
          <w:u w:val="single"/>
          <w:rtl/>
        </w:rPr>
        <w:t xml:space="preserve"> (אשכנז)</w:t>
      </w:r>
      <w:r w:rsidRPr="004A5120">
        <w:rPr>
          <w:rFonts w:ascii="David" w:hAnsi="David" w:cs="David" w:hint="cs"/>
          <w:sz w:val="24"/>
          <w:szCs w:val="24"/>
          <w:u w:val="single"/>
          <w:rtl/>
        </w:rPr>
        <w:t>:</w:t>
      </w:r>
    </w:p>
    <w:p w14:paraId="1F998785" w14:textId="5984B0FD" w:rsidR="00E84CE5" w:rsidRPr="004A5120" w:rsidRDefault="00ED6EB7" w:rsidP="00E84CE5">
      <w:pPr>
        <w:pStyle w:val="a3"/>
        <w:spacing w:after="0"/>
        <w:jc w:val="both"/>
        <w:rPr>
          <w:rFonts w:ascii="David" w:hAnsi="David" w:cs="David"/>
          <w:sz w:val="24"/>
          <w:szCs w:val="24"/>
          <w:rtl/>
        </w:rPr>
      </w:pPr>
      <w:r w:rsidRPr="004A5120">
        <w:rPr>
          <w:rFonts w:ascii="David" w:hAnsi="David" w:cs="David" w:hint="cs"/>
          <w:sz w:val="24"/>
          <w:szCs w:val="24"/>
          <w:rtl/>
        </w:rPr>
        <w:t xml:space="preserve">הפרשנות הגיעה לשיא דווקא בארצות אשכנז וצרפת. בסוף המאה ה10 התפתח מרכז תורה באשכנז, שם עמד רבינו גרשום מאור הגולה </w:t>
      </w:r>
      <w:r w:rsidRPr="004A5120">
        <w:rPr>
          <w:rFonts w:ascii="David" w:hAnsi="David" w:cs="David"/>
          <w:sz w:val="24"/>
          <w:szCs w:val="24"/>
          <w:rtl/>
        </w:rPr>
        <w:t>–</w:t>
      </w:r>
      <w:r w:rsidRPr="004A5120">
        <w:rPr>
          <w:rFonts w:ascii="David" w:hAnsi="David" w:cs="David" w:hint="cs"/>
          <w:sz w:val="24"/>
          <w:szCs w:val="24"/>
          <w:rtl/>
        </w:rPr>
        <w:t xml:space="preserve"> גדול חכמי אשכנז.</w:t>
      </w:r>
    </w:p>
    <w:p w14:paraId="5286CF06" w14:textId="7CDE1C02" w:rsidR="00ED6EB7" w:rsidRPr="004A5120" w:rsidRDefault="00ED6EB7"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u w:val="single"/>
          <w:rtl/>
        </w:rPr>
        <w:t>רש"י ופירושו על התלמוד:</w:t>
      </w:r>
    </w:p>
    <w:p w14:paraId="6FE57D7F" w14:textId="5B7A742C" w:rsidR="00ED6EB7" w:rsidRPr="004A5120" w:rsidRDefault="00ED6EB7" w:rsidP="00ED6EB7">
      <w:pPr>
        <w:pStyle w:val="a3"/>
        <w:spacing w:after="0"/>
        <w:jc w:val="both"/>
        <w:rPr>
          <w:rFonts w:ascii="David" w:hAnsi="David" w:cs="David"/>
          <w:sz w:val="24"/>
          <w:szCs w:val="24"/>
          <w:rtl/>
        </w:rPr>
      </w:pPr>
      <w:r w:rsidRPr="004A5120">
        <w:rPr>
          <w:rFonts w:ascii="David" w:hAnsi="David" w:cs="David" w:hint="cs"/>
          <w:sz w:val="24"/>
          <w:szCs w:val="24"/>
          <w:rtl/>
        </w:rPr>
        <w:t xml:space="preserve">ראש מפרשי ההלכה והיהדות ואולי הגדול שבהם. עסק בעיקר בפירוש התורה והתלמוד הבבלי. </w:t>
      </w:r>
      <w:r w:rsidRPr="004A5120">
        <w:rPr>
          <w:rFonts w:ascii="David" w:hAnsi="David" w:cs="David" w:hint="cs"/>
          <w:b/>
          <w:bCs/>
          <w:sz w:val="24"/>
          <w:szCs w:val="24"/>
          <w:rtl/>
        </w:rPr>
        <w:t>בזכותו הפך התלמוד הבבלי נגיש לכל אדם</w:t>
      </w:r>
      <w:r w:rsidR="000B0FAE" w:rsidRPr="004A5120">
        <w:rPr>
          <w:rFonts w:ascii="David" w:hAnsi="David" w:cs="David" w:hint="cs"/>
          <w:b/>
          <w:bCs/>
          <w:sz w:val="24"/>
          <w:szCs w:val="24"/>
          <w:rtl/>
        </w:rPr>
        <w:t>, לתלמידים חכמים וגם ל"פשוטי העם"</w:t>
      </w:r>
      <w:r w:rsidRPr="004A5120">
        <w:rPr>
          <w:rFonts w:ascii="David" w:hAnsi="David" w:cs="David" w:hint="cs"/>
          <w:b/>
          <w:bCs/>
          <w:sz w:val="24"/>
          <w:szCs w:val="24"/>
          <w:rtl/>
        </w:rPr>
        <w:t>.</w:t>
      </w:r>
      <w:r w:rsidRPr="004A5120">
        <w:rPr>
          <w:rFonts w:ascii="David" w:hAnsi="David" w:cs="David" w:hint="cs"/>
          <w:sz w:val="24"/>
          <w:szCs w:val="24"/>
          <w:rtl/>
        </w:rPr>
        <w:t xml:space="preserve"> יכולתו המיוחדת הייתה להכניס את פירושו בין שורות הסוגייה, כך שנראה כאילו היה חלק ממנה במקור. פירושו קצר וקולע. פירושו הפך לחלק בלתי נפרד מהתלמוד. </w:t>
      </w:r>
    </w:p>
    <w:p w14:paraId="3E74B3B4" w14:textId="77777777" w:rsidR="004F3869" w:rsidRPr="004A5120" w:rsidRDefault="004F3869" w:rsidP="004F3869">
      <w:pPr>
        <w:spacing w:after="0"/>
        <w:jc w:val="both"/>
        <w:rPr>
          <w:rFonts w:ascii="David" w:hAnsi="David" w:cs="David"/>
          <w:sz w:val="24"/>
          <w:szCs w:val="24"/>
          <w:rtl/>
        </w:rPr>
      </w:pPr>
    </w:p>
    <w:p w14:paraId="470FB318" w14:textId="1CFBB9AE" w:rsidR="00E06408" w:rsidRPr="004A5120" w:rsidRDefault="006E29D1" w:rsidP="00E06408">
      <w:pPr>
        <w:spacing w:after="0"/>
        <w:jc w:val="both"/>
        <w:rPr>
          <w:rFonts w:ascii="David" w:hAnsi="David" w:cs="David"/>
          <w:sz w:val="24"/>
          <w:szCs w:val="24"/>
          <w:u w:val="single"/>
          <w:rtl/>
        </w:rPr>
      </w:pPr>
      <w:r w:rsidRPr="004A5120">
        <w:rPr>
          <w:rFonts w:ascii="David" w:hAnsi="David" w:cs="David" w:hint="cs"/>
          <w:sz w:val="24"/>
          <w:szCs w:val="24"/>
          <w:u w:val="single"/>
          <w:rtl/>
        </w:rPr>
        <w:t>התהוות פירושו של רש"י:</w:t>
      </w:r>
    </w:p>
    <w:p w14:paraId="1D8588F2" w14:textId="77777777" w:rsidR="006E29D1" w:rsidRPr="004A5120" w:rsidRDefault="006E29D1" w:rsidP="00E06408">
      <w:pPr>
        <w:spacing w:after="0"/>
        <w:jc w:val="both"/>
        <w:rPr>
          <w:rFonts w:ascii="David" w:hAnsi="David" w:cs="David"/>
          <w:sz w:val="24"/>
          <w:szCs w:val="24"/>
          <w:rtl/>
        </w:rPr>
      </w:pPr>
      <w:r w:rsidRPr="004A5120">
        <w:rPr>
          <w:rFonts w:ascii="David" w:hAnsi="David" w:cs="David" w:hint="cs"/>
          <w:sz w:val="24"/>
          <w:szCs w:val="24"/>
          <w:rtl/>
        </w:rPr>
        <w:t>בתקופה ההיא, היה נהוג שתלמידים ישבו וכתבו את דברי רבם, תוך הוספת הערות על דבריהם. כך גם רש"י, כתב ניסח ועיבד לפי פירושים שהיו מבוססים על פירושו של רבינו גרשום (רשי היה תלמיד של תלמידו). כך שניתן לראות בפירושו של רשי פירושים שונים של מספר חכמים, אך בחוכמתו הרבה הצליח רשי לסדר אותם כך שיראו כיצירה אחידה, שלמה ובהירה. פירושו התקבל כפירוש הקלאסי של התלמוד ותמיד מודפס לצידו.</w:t>
      </w:r>
    </w:p>
    <w:p w14:paraId="008C5A6E" w14:textId="77777777" w:rsidR="006E29D1" w:rsidRPr="004A5120" w:rsidRDefault="006E29D1" w:rsidP="00E06408">
      <w:pPr>
        <w:spacing w:after="0"/>
        <w:jc w:val="both"/>
        <w:rPr>
          <w:rFonts w:ascii="David" w:hAnsi="David" w:cs="David"/>
          <w:sz w:val="24"/>
          <w:szCs w:val="24"/>
          <w:rtl/>
        </w:rPr>
      </w:pPr>
    </w:p>
    <w:p w14:paraId="5EB6293F" w14:textId="77777777" w:rsidR="006E29D1" w:rsidRPr="004A5120" w:rsidRDefault="006E29D1" w:rsidP="00E06408">
      <w:pPr>
        <w:spacing w:after="0"/>
        <w:jc w:val="both"/>
        <w:rPr>
          <w:rFonts w:ascii="David" w:hAnsi="David" w:cs="David"/>
          <w:b/>
          <w:bCs/>
          <w:sz w:val="24"/>
          <w:szCs w:val="24"/>
          <w:u w:val="single"/>
          <w:rtl/>
        </w:rPr>
      </w:pPr>
      <w:r w:rsidRPr="004A5120">
        <w:rPr>
          <w:rFonts w:ascii="David" w:hAnsi="David" w:cs="David" w:hint="cs"/>
          <w:b/>
          <w:bCs/>
          <w:sz w:val="24"/>
          <w:szCs w:val="24"/>
          <w:u w:val="single"/>
          <w:rtl/>
        </w:rPr>
        <w:t>ספרות החידושים לתלמוד הבבלי:</w:t>
      </w:r>
    </w:p>
    <w:p w14:paraId="35F2716B" w14:textId="77777777" w:rsidR="006E29D1" w:rsidRPr="004A5120" w:rsidRDefault="006E29D1" w:rsidP="00E06408">
      <w:pPr>
        <w:spacing w:after="0"/>
        <w:jc w:val="both"/>
        <w:rPr>
          <w:rFonts w:ascii="David" w:hAnsi="David" w:cs="David"/>
          <w:b/>
          <w:bCs/>
          <w:sz w:val="24"/>
          <w:szCs w:val="24"/>
          <w:u w:val="single"/>
          <w:rtl/>
        </w:rPr>
      </w:pPr>
    </w:p>
    <w:p w14:paraId="6DEA715F" w14:textId="77777777" w:rsidR="006E29D1" w:rsidRPr="004A5120" w:rsidRDefault="006E29D1" w:rsidP="00E06408">
      <w:pPr>
        <w:spacing w:after="0"/>
        <w:jc w:val="both"/>
        <w:rPr>
          <w:rFonts w:ascii="David" w:hAnsi="David" w:cs="David"/>
          <w:sz w:val="24"/>
          <w:szCs w:val="24"/>
          <w:u w:val="single"/>
          <w:rtl/>
        </w:rPr>
      </w:pPr>
      <w:r w:rsidRPr="004A5120">
        <w:rPr>
          <w:rFonts w:ascii="David" w:hAnsi="David" w:cs="David" w:hint="cs"/>
          <w:sz w:val="24"/>
          <w:szCs w:val="24"/>
          <w:u w:val="single"/>
          <w:rtl/>
        </w:rPr>
        <w:t xml:space="preserve">החידושים האשכנזים </w:t>
      </w:r>
      <w:r w:rsidRPr="004A5120">
        <w:rPr>
          <w:rFonts w:ascii="David" w:hAnsi="David" w:cs="David"/>
          <w:sz w:val="24"/>
          <w:szCs w:val="24"/>
          <w:u w:val="single"/>
          <w:rtl/>
        </w:rPr>
        <w:t>–</w:t>
      </w:r>
      <w:r w:rsidRPr="004A5120">
        <w:rPr>
          <w:rFonts w:ascii="David" w:hAnsi="David" w:cs="David" w:hint="cs"/>
          <w:sz w:val="24"/>
          <w:szCs w:val="24"/>
          <w:u w:val="single"/>
          <w:rtl/>
        </w:rPr>
        <w:t xml:space="preserve"> בעלי התוספות:</w:t>
      </w:r>
    </w:p>
    <w:p w14:paraId="67B26384" w14:textId="77777777" w:rsidR="009C64BF" w:rsidRPr="004A5120" w:rsidRDefault="009C64B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השתמשו בשיטה המנתחת והביקורתית של רש"י, היוו את תחילת ספרות החידושים.</w:t>
      </w:r>
    </w:p>
    <w:p w14:paraId="220C3531" w14:textId="77777777" w:rsidR="009C64BF" w:rsidRPr="004A5120" w:rsidRDefault="009C64B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בדומה לחכמי התלמוד, נהגו ללמוד בדרך קולקטיבית </w:t>
      </w:r>
      <w:r w:rsidRPr="004A5120">
        <w:rPr>
          <w:rFonts w:ascii="David" w:hAnsi="David" w:cs="David"/>
          <w:sz w:val="24"/>
          <w:szCs w:val="24"/>
          <w:rtl/>
        </w:rPr>
        <w:t>–</w:t>
      </w:r>
      <w:r w:rsidRPr="004A5120">
        <w:rPr>
          <w:rFonts w:ascii="David" w:hAnsi="David" w:cs="David" w:hint="cs"/>
          <w:sz w:val="24"/>
          <w:szCs w:val="24"/>
          <w:rtl/>
        </w:rPr>
        <w:t xml:space="preserve"> שקידה ועיון מעמיק בהלכה.</w:t>
      </w:r>
    </w:p>
    <w:p w14:paraId="41B34279" w14:textId="77777777" w:rsidR="009C64BF" w:rsidRPr="004A5120" w:rsidRDefault="009C64B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המשיכו בעצם את יצירת התלמוד וזכו, כמו רש"י, להיות מודפסים בצמוד לגמרא.</w:t>
      </w:r>
    </w:p>
    <w:p w14:paraId="436B3214" w14:textId="6411D9E7" w:rsidR="009C64BF" w:rsidRPr="007E6CB4" w:rsidRDefault="009C64BF" w:rsidP="001A492B">
      <w:pPr>
        <w:pStyle w:val="a3"/>
        <w:numPr>
          <w:ilvl w:val="0"/>
          <w:numId w:val="28"/>
        </w:numPr>
        <w:spacing w:after="0"/>
        <w:jc w:val="both"/>
        <w:rPr>
          <w:rFonts w:ascii="David" w:hAnsi="David" w:cs="David"/>
          <w:b/>
          <w:bCs/>
          <w:sz w:val="24"/>
          <w:szCs w:val="24"/>
        </w:rPr>
      </w:pPr>
      <w:r w:rsidRPr="007E6CB4">
        <w:rPr>
          <w:rFonts w:ascii="David" w:hAnsi="David" w:cs="David" w:hint="cs"/>
          <w:b/>
          <w:bCs/>
          <w:sz w:val="24"/>
          <w:szCs w:val="24"/>
          <w:rtl/>
        </w:rPr>
        <w:t xml:space="preserve">הגמרא, רש"י ותוספות </w:t>
      </w:r>
      <w:r w:rsidRPr="007E6CB4">
        <w:rPr>
          <w:rFonts w:ascii="David" w:hAnsi="David" w:cs="David"/>
          <w:b/>
          <w:bCs/>
          <w:sz w:val="24"/>
          <w:szCs w:val="24"/>
          <w:rtl/>
        </w:rPr>
        <w:t>–</w:t>
      </w:r>
      <w:r w:rsidRPr="007E6CB4">
        <w:rPr>
          <w:rFonts w:ascii="David" w:hAnsi="David" w:cs="David" w:hint="cs"/>
          <w:b/>
          <w:bCs/>
          <w:sz w:val="24"/>
          <w:szCs w:val="24"/>
          <w:rtl/>
        </w:rPr>
        <w:t xml:space="preserve"> הפכו ליחיד</w:t>
      </w:r>
      <w:r w:rsidR="006841FA" w:rsidRPr="007E6CB4">
        <w:rPr>
          <w:rFonts w:ascii="David" w:hAnsi="David" w:cs="David" w:hint="cs"/>
          <w:b/>
          <w:bCs/>
          <w:sz w:val="24"/>
          <w:szCs w:val="24"/>
          <w:rtl/>
        </w:rPr>
        <w:t>ה</w:t>
      </w:r>
      <w:r w:rsidRPr="007E6CB4">
        <w:rPr>
          <w:rFonts w:ascii="David" w:hAnsi="David" w:cs="David" w:hint="cs"/>
          <w:b/>
          <w:bCs/>
          <w:sz w:val="24"/>
          <w:szCs w:val="24"/>
          <w:rtl/>
        </w:rPr>
        <w:t xml:space="preserve"> אחת בעולם ההלכה.</w:t>
      </w:r>
    </w:p>
    <w:p w14:paraId="6F79650A" w14:textId="77777777" w:rsidR="009C64BF" w:rsidRPr="004A5120" w:rsidRDefault="009C64B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המשיכו את דרכו של רש"י בהנגשת התלמוד ויצרו יצירה של גדולי ההלכה באשכנז.</w:t>
      </w:r>
    </w:p>
    <w:p w14:paraId="56D7A186" w14:textId="77777777" w:rsidR="009C64BF" w:rsidRPr="004A5120" w:rsidRDefault="009C64B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ראשוני בעלי התוספות היו תלמידי רשי, החלו כתוספות פרשניות ובהמשך התרחבו.</w:t>
      </w:r>
    </w:p>
    <w:p w14:paraId="09C51D65" w14:textId="77777777" w:rsidR="009C64BF" w:rsidRPr="004A5120" w:rsidRDefault="009C64BF" w:rsidP="009C64BF">
      <w:pPr>
        <w:spacing w:after="0"/>
        <w:jc w:val="both"/>
        <w:rPr>
          <w:rFonts w:ascii="David" w:hAnsi="David" w:cs="David"/>
          <w:sz w:val="24"/>
          <w:szCs w:val="24"/>
          <w:rtl/>
        </w:rPr>
      </w:pPr>
    </w:p>
    <w:p w14:paraId="486F6BAF" w14:textId="77777777" w:rsidR="009C64BF" w:rsidRPr="004A5120" w:rsidRDefault="009C64BF" w:rsidP="009C64BF">
      <w:pPr>
        <w:spacing w:after="0"/>
        <w:jc w:val="both"/>
        <w:rPr>
          <w:rFonts w:ascii="David" w:hAnsi="David" w:cs="David"/>
          <w:sz w:val="24"/>
          <w:szCs w:val="24"/>
          <w:u w:val="single"/>
          <w:rtl/>
        </w:rPr>
      </w:pPr>
      <w:r w:rsidRPr="004A5120">
        <w:rPr>
          <w:rFonts w:ascii="David" w:hAnsi="David" w:cs="David" w:hint="cs"/>
          <w:sz w:val="24"/>
          <w:szCs w:val="24"/>
          <w:u w:val="single"/>
          <w:rtl/>
        </w:rPr>
        <w:t>התהוות חידוש בעלי התוספות:</w:t>
      </w:r>
    </w:p>
    <w:p w14:paraId="28CE36EA" w14:textId="77777777" w:rsidR="00C12893"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"תוספות פלוני התלמיד שנכתבו לפני אלמוני הרב" </w:t>
      </w:r>
      <w:r w:rsidRPr="004A5120">
        <w:rPr>
          <w:rFonts w:ascii="David" w:hAnsi="David" w:cs="David"/>
          <w:sz w:val="24"/>
          <w:szCs w:val="24"/>
          <w:rtl/>
        </w:rPr>
        <w:t>–</w:t>
      </w:r>
      <w:r w:rsidRPr="004A5120">
        <w:rPr>
          <w:rFonts w:ascii="David" w:hAnsi="David" w:cs="David" w:hint="cs"/>
          <w:sz w:val="24"/>
          <w:szCs w:val="24"/>
          <w:rtl/>
        </w:rPr>
        <w:t xml:space="preserve"> תוספות לתלמוד שנכתבו על ידי תלמידי וחכמי ישיבות. התלמידים עברו מישיבה לישיבה והפיצו את החידושים שלהם.</w:t>
      </w:r>
    </w:p>
    <w:p w14:paraId="000F1790" w14:textId="391409E9" w:rsidR="006E29D1"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דמיון לתלמוד: משקפים את הויכוח והדיון בבית המדרש בשאלות ההלכה ופירושה.</w:t>
      </w:r>
      <w:r w:rsidR="006E29D1" w:rsidRPr="004A5120">
        <w:rPr>
          <w:rFonts w:ascii="David" w:hAnsi="David" w:cs="David" w:hint="cs"/>
          <w:sz w:val="24"/>
          <w:szCs w:val="24"/>
          <w:rtl/>
        </w:rPr>
        <w:t xml:space="preserve"> </w:t>
      </w:r>
    </w:p>
    <w:p w14:paraId="433B5E5E" w14:textId="0922F8FC" w:rsidR="00C12893"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שוני מהתלמוד: </w:t>
      </w:r>
      <w:r w:rsidR="007E6CB4">
        <w:rPr>
          <w:rFonts w:ascii="David" w:hAnsi="David" w:cs="David" w:hint="cs"/>
          <w:sz w:val="24"/>
          <w:szCs w:val="24"/>
          <w:rtl/>
        </w:rPr>
        <w:t>ב</w:t>
      </w:r>
      <w:r w:rsidRPr="004A5120">
        <w:rPr>
          <w:rFonts w:ascii="David" w:hAnsi="David" w:cs="David" w:hint="cs"/>
          <w:sz w:val="24"/>
          <w:szCs w:val="24"/>
          <w:rtl/>
        </w:rPr>
        <w:t>תלמוד הדיון מופיע בצורת דו שיח, בעוד שבתוספות הוא מובא בד"כ בלשון קושיא ותירוץ ("קשה לרבינו.. ויש לומר"). שוני טכני, לא מהותי - בעקבות ריבוי מקורות בזמן בעלי התוספות, הדיונים בתוספות היו גדולים יותר מהתלמוד.</w:t>
      </w:r>
    </w:p>
    <w:p w14:paraId="2DB9DC5B" w14:textId="6E467489" w:rsidR="00C12893" w:rsidRPr="004A5120" w:rsidRDefault="00C12893" w:rsidP="00C12893">
      <w:pPr>
        <w:spacing w:after="0"/>
        <w:jc w:val="both"/>
        <w:rPr>
          <w:rFonts w:ascii="David" w:hAnsi="David" w:cs="David"/>
          <w:sz w:val="24"/>
          <w:szCs w:val="24"/>
          <w:rtl/>
        </w:rPr>
      </w:pPr>
    </w:p>
    <w:p w14:paraId="1FF192E0" w14:textId="5713E041" w:rsidR="00C12893" w:rsidRPr="004A5120" w:rsidRDefault="00C12893" w:rsidP="00C12893">
      <w:pPr>
        <w:spacing w:after="0"/>
        <w:jc w:val="both"/>
        <w:rPr>
          <w:rFonts w:ascii="David" w:hAnsi="David" w:cs="David"/>
          <w:sz w:val="24"/>
          <w:szCs w:val="24"/>
          <w:u w:val="single"/>
          <w:rtl/>
        </w:rPr>
      </w:pPr>
      <w:r w:rsidRPr="004A5120">
        <w:rPr>
          <w:rFonts w:ascii="David" w:hAnsi="David" w:cs="David" w:hint="cs"/>
          <w:sz w:val="24"/>
          <w:szCs w:val="24"/>
          <w:u w:val="single"/>
          <w:rtl/>
        </w:rPr>
        <w:t>פסקים ושו"ת בתוספות:</w:t>
      </w:r>
    </w:p>
    <w:p w14:paraId="308F126E" w14:textId="5EB2CBE2" w:rsidR="00C12893"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בנוסף לחידושים, יש בספרות שו"תים רבים, נוסף לספרות פוסקים.</w:t>
      </w:r>
    </w:p>
    <w:p w14:paraId="0C44828F" w14:textId="61FB72CB" w:rsidR="00C12893"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אין קובץ אחד של שו"ת, מפוזר בקבצים שונים של תשובות והכרעות הלכתיות.</w:t>
      </w:r>
    </w:p>
    <w:p w14:paraId="066FB116" w14:textId="76A4A2CA" w:rsidR="00C12893" w:rsidRPr="004A5120" w:rsidRDefault="00C12893"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ראו את התלמוד כמקור המחייב והמכריע, הכליל</w:t>
      </w:r>
      <w:r w:rsidR="00F36BA7" w:rsidRPr="004A5120">
        <w:rPr>
          <w:rFonts w:ascii="David" w:hAnsi="David" w:cs="David" w:hint="cs"/>
          <w:sz w:val="24"/>
          <w:szCs w:val="24"/>
          <w:rtl/>
        </w:rPr>
        <w:t>ו את פסקי ההלכה כחלק מהדיון.</w:t>
      </w:r>
    </w:p>
    <w:p w14:paraId="2506171F" w14:textId="09DF0874" w:rsidR="00F36BA7" w:rsidRPr="004A5120" w:rsidRDefault="00F36BA7"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מעין "תלמוד" חדש </w:t>
      </w:r>
      <w:r w:rsidRPr="004A5120">
        <w:rPr>
          <w:rFonts w:ascii="David" w:hAnsi="David" w:cs="David"/>
          <w:sz w:val="24"/>
          <w:szCs w:val="24"/>
          <w:rtl/>
        </w:rPr>
        <w:t>–</w:t>
      </w:r>
      <w:r w:rsidRPr="004A5120">
        <w:rPr>
          <w:rFonts w:ascii="David" w:hAnsi="David" w:cs="David" w:hint="cs"/>
          <w:sz w:val="24"/>
          <w:szCs w:val="24"/>
          <w:rtl/>
        </w:rPr>
        <w:t xml:space="preserve"> לא רק פירוש, תשובה ופסק הלכה. אלא כולל את הויכוח, הדיון והמקור בתשובתם. דומה מאד למהלך יצירת התלמוד עצמו.</w:t>
      </w:r>
    </w:p>
    <w:p w14:paraId="4C540E8D" w14:textId="7A53C207" w:rsidR="00F36BA7" w:rsidRPr="004A5120" w:rsidRDefault="00F36BA7"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"פסקי התוספות" </w:t>
      </w:r>
      <w:r w:rsidRPr="004A5120">
        <w:rPr>
          <w:rFonts w:ascii="David" w:hAnsi="David" w:cs="David"/>
          <w:sz w:val="24"/>
          <w:szCs w:val="24"/>
          <w:rtl/>
        </w:rPr>
        <w:t>–</w:t>
      </w:r>
      <w:r w:rsidRPr="004A5120">
        <w:rPr>
          <w:rFonts w:ascii="David" w:hAnsi="David" w:cs="David" w:hint="cs"/>
          <w:sz w:val="24"/>
          <w:szCs w:val="24"/>
          <w:rtl/>
        </w:rPr>
        <w:t xml:space="preserve"> מוציא את התמצית מכל "דיבור"(פירוש) של התוספות. נכתב כעבור זמן מה וזהותו של מחבר ספר זה לא ידועה.</w:t>
      </w:r>
    </w:p>
    <w:p w14:paraId="7A4778F5" w14:textId="3B19E549" w:rsidR="00E90E15" w:rsidRPr="004A5120" w:rsidRDefault="00E90E15" w:rsidP="00E90E15">
      <w:pPr>
        <w:spacing w:after="0"/>
        <w:jc w:val="both"/>
        <w:rPr>
          <w:rFonts w:ascii="David" w:hAnsi="David" w:cs="David"/>
          <w:sz w:val="24"/>
          <w:szCs w:val="24"/>
          <w:rtl/>
        </w:rPr>
      </w:pPr>
    </w:p>
    <w:p w14:paraId="6F90FD1B" w14:textId="77777777" w:rsidR="003A17A2" w:rsidRDefault="003A17A2" w:rsidP="00E90E15">
      <w:pPr>
        <w:spacing w:after="0"/>
        <w:jc w:val="both"/>
        <w:rPr>
          <w:rFonts w:ascii="David" w:hAnsi="David" w:cs="David"/>
          <w:sz w:val="24"/>
          <w:szCs w:val="24"/>
          <w:u w:val="single"/>
          <w:rtl/>
        </w:rPr>
      </w:pPr>
    </w:p>
    <w:p w14:paraId="6B7DECD2" w14:textId="4E215399" w:rsidR="00E90E15" w:rsidRPr="004A5120" w:rsidRDefault="00E90E15" w:rsidP="00E90E15">
      <w:pPr>
        <w:spacing w:after="0"/>
        <w:jc w:val="both"/>
        <w:rPr>
          <w:rFonts w:ascii="David" w:hAnsi="David" w:cs="David"/>
          <w:sz w:val="24"/>
          <w:szCs w:val="24"/>
          <w:u w:val="single"/>
          <w:rtl/>
        </w:rPr>
      </w:pPr>
      <w:r w:rsidRPr="004A5120">
        <w:rPr>
          <w:rFonts w:ascii="David" w:hAnsi="David" w:cs="David" w:hint="cs"/>
          <w:sz w:val="24"/>
          <w:szCs w:val="24"/>
          <w:u w:val="single"/>
          <w:rtl/>
        </w:rPr>
        <w:t>החידושים הספרדיים:</w:t>
      </w:r>
    </w:p>
    <w:p w14:paraId="07C78A9E" w14:textId="20DC3BCD"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הר"י מיגאש </w:t>
      </w:r>
      <w:r w:rsidRPr="004A5120">
        <w:rPr>
          <w:rFonts w:ascii="David" w:hAnsi="David" w:cs="David"/>
          <w:sz w:val="24"/>
          <w:szCs w:val="24"/>
          <w:rtl/>
        </w:rPr>
        <w:t>–</w:t>
      </w:r>
      <w:r w:rsidRPr="004A5120">
        <w:rPr>
          <w:rFonts w:ascii="David" w:hAnsi="David" w:cs="David" w:hint="cs"/>
          <w:sz w:val="24"/>
          <w:szCs w:val="24"/>
          <w:rtl/>
        </w:rPr>
        <w:t xml:space="preserve"> תלמידו של הרי"ף. חיבר חידושים על התלמוד, אך בידנו קיימים רק החידושים למסכת בבא בתרא ושבועות.</w:t>
      </w:r>
    </w:p>
    <w:p w14:paraId="3BEEDDF2" w14:textId="60283D4E"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הראב"ד(בעל ההשגות) </w:t>
      </w:r>
      <w:r w:rsidRPr="004A5120">
        <w:rPr>
          <w:rFonts w:ascii="David" w:hAnsi="David" w:cs="David"/>
          <w:sz w:val="24"/>
          <w:szCs w:val="24"/>
          <w:rtl/>
        </w:rPr>
        <w:t>–</w:t>
      </w:r>
      <w:r w:rsidRPr="004A5120">
        <w:rPr>
          <w:rFonts w:ascii="David" w:hAnsi="David" w:cs="David" w:hint="cs"/>
          <w:sz w:val="24"/>
          <w:szCs w:val="24"/>
          <w:rtl/>
        </w:rPr>
        <w:t xml:space="preserve"> סגנונו מפורט ונוח, לא מפרש פירוש מלא של הסוגיה אלא יותר משווה מקורות הלכה שונים ומציג משא ומתן הלכתי.</w:t>
      </w:r>
    </w:p>
    <w:p w14:paraId="02C4B786" w14:textId="696214A8"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הרמ"ה </w:t>
      </w:r>
      <w:r w:rsidRPr="004A5120">
        <w:rPr>
          <w:rFonts w:ascii="David" w:hAnsi="David" w:cs="David"/>
          <w:sz w:val="24"/>
          <w:szCs w:val="24"/>
          <w:rtl/>
        </w:rPr>
        <w:t>–</w:t>
      </w:r>
      <w:r w:rsidRPr="004A5120">
        <w:rPr>
          <w:rFonts w:ascii="David" w:hAnsi="David" w:cs="David" w:hint="cs"/>
          <w:sz w:val="24"/>
          <w:szCs w:val="24"/>
          <w:rtl/>
        </w:rPr>
        <w:t xml:space="preserve"> מפרש פרטי פרטים של כל נושא המתעורר בסוגיה התלמודית. לשונו ארמית.</w:t>
      </w:r>
    </w:p>
    <w:p w14:paraId="72BF5C67" w14:textId="321A9FD7"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רמב"ן </w:t>
      </w:r>
      <w:r w:rsidRPr="004A5120">
        <w:rPr>
          <w:rFonts w:ascii="David" w:hAnsi="David" w:cs="David"/>
          <w:sz w:val="24"/>
          <w:szCs w:val="24"/>
          <w:rtl/>
        </w:rPr>
        <w:t>–</w:t>
      </w:r>
      <w:r w:rsidRPr="004A5120">
        <w:rPr>
          <w:rFonts w:ascii="David" w:hAnsi="David" w:cs="David" w:hint="cs"/>
          <w:sz w:val="24"/>
          <w:szCs w:val="24"/>
          <w:rtl/>
        </w:rPr>
        <w:t xml:space="preserve"> כתב חידושים על כל המסכתות, ידועים בתור "חידושי הרמב"ן". פוסק בסוגיות.</w:t>
      </w:r>
    </w:p>
    <w:p w14:paraId="4272D000" w14:textId="7545096E"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רשב"א </w:t>
      </w:r>
      <w:r w:rsidRPr="004A5120">
        <w:rPr>
          <w:rFonts w:ascii="David" w:hAnsi="David" w:cs="David"/>
          <w:sz w:val="24"/>
          <w:szCs w:val="24"/>
          <w:rtl/>
        </w:rPr>
        <w:t>–</w:t>
      </w:r>
      <w:r w:rsidRPr="004A5120">
        <w:rPr>
          <w:rFonts w:ascii="David" w:hAnsi="David" w:cs="David" w:hint="cs"/>
          <w:sz w:val="24"/>
          <w:szCs w:val="24"/>
          <w:rtl/>
        </w:rPr>
        <w:t xml:space="preserve"> חידושיו מתאפיינים בניוח והבנה מעמיקים, גם הוא פוסק בסוגיות.</w:t>
      </w:r>
    </w:p>
    <w:p w14:paraId="7487AB0E" w14:textId="7E9450D8" w:rsidR="00E90E15" w:rsidRPr="004A5120" w:rsidRDefault="00E90E15"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הריטב"א </w:t>
      </w:r>
      <w:r w:rsidRPr="004A5120">
        <w:rPr>
          <w:rFonts w:ascii="David" w:hAnsi="David" w:cs="David"/>
          <w:sz w:val="24"/>
          <w:szCs w:val="24"/>
          <w:rtl/>
        </w:rPr>
        <w:t>–</w:t>
      </w:r>
      <w:r w:rsidRPr="004A5120">
        <w:rPr>
          <w:rFonts w:ascii="David" w:hAnsi="David" w:cs="David" w:hint="cs"/>
          <w:sz w:val="24"/>
          <w:szCs w:val="24"/>
          <w:rtl/>
        </w:rPr>
        <w:t xml:space="preserve"> ניסוח בהיר ומפורט, ניתוח מעמיק בנושאים. חומר רב על המשפט העברי.</w:t>
      </w:r>
    </w:p>
    <w:p w14:paraId="1AEE6575" w14:textId="38947B17" w:rsidR="00E90E15" w:rsidRPr="004A5120" w:rsidRDefault="002761B0"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הר"ן </w:t>
      </w:r>
      <w:r w:rsidRPr="004A5120">
        <w:rPr>
          <w:rFonts w:ascii="David" w:hAnsi="David" w:cs="David"/>
          <w:sz w:val="24"/>
          <w:szCs w:val="24"/>
          <w:rtl/>
        </w:rPr>
        <w:t>–</w:t>
      </w:r>
      <w:r w:rsidRPr="004A5120">
        <w:rPr>
          <w:rFonts w:ascii="David" w:hAnsi="David" w:cs="David" w:hint="cs"/>
          <w:sz w:val="24"/>
          <w:szCs w:val="24"/>
          <w:rtl/>
        </w:rPr>
        <w:t xml:space="preserve"> ידוע בעיקר בפירושו במסכת נדרים, מודפס לצד פירוש רש"י. (הקלאסי במסכת זו)</w:t>
      </w:r>
    </w:p>
    <w:p w14:paraId="3342ED55" w14:textId="5783C51D" w:rsidR="002761B0" w:rsidRPr="004A5120" w:rsidRDefault="002761B0"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המאירי </w:t>
      </w:r>
      <w:r w:rsidRPr="004A5120">
        <w:rPr>
          <w:rFonts w:ascii="David" w:hAnsi="David" w:cs="David"/>
          <w:sz w:val="24"/>
          <w:szCs w:val="24"/>
          <w:rtl/>
        </w:rPr>
        <w:t>–</w:t>
      </w:r>
      <w:r w:rsidRPr="004A5120">
        <w:rPr>
          <w:rFonts w:ascii="David" w:hAnsi="David" w:cs="David" w:hint="cs"/>
          <w:sz w:val="24"/>
          <w:szCs w:val="24"/>
          <w:rtl/>
        </w:rPr>
        <w:t xml:space="preserve"> כתב את הספר "בית הבחירה". כינס את כל המאמרים וההלכות השייכים לנושא הסוגיה, מכל המקורות בעולם. היחיד שכתב בעברית בהירה.</w:t>
      </w:r>
    </w:p>
    <w:p w14:paraId="752DC744" w14:textId="4F886585" w:rsidR="002761B0" w:rsidRPr="004A5120" w:rsidRDefault="002761B0" w:rsidP="002761B0">
      <w:pPr>
        <w:pStyle w:val="a3"/>
        <w:spacing w:after="0"/>
        <w:jc w:val="both"/>
        <w:rPr>
          <w:rFonts w:ascii="David" w:hAnsi="David" w:cs="David"/>
          <w:sz w:val="24"/>
          <w:szCs w:val="24"/>
          <w:rtl/>
        </w:rPr>
      </w:pPr>
      <w:r w:rsidRPr="004A5120">
        <w:rPr>
          <w:rFonts w:ascii="David" w:hAnsi="David" w:cs="David" w:hint="cs"/>
          <w:sz w:val="24"/>
          <w:szCs w:val="24"/>
          <w:rtl/>
        </w:rPr>
        <w:t>סדר פירושו: פירוש המשנה-&gt;פירוש הסוגיה התלמודית בעניין -&gt; פירוש שאר העניינים המופיעים-&gt;דבריהם של חכמים קודמים. מעין אנציקלופדיה של דעות חכמי ההלכה.</w:t>
      </w:r>
    </w:p>
    <w:p w14:paraId="3EAB751C" w14:textId="21F6374A" w:rsidR="002761B0" w:rsidRPr="004A5120" w:rsidRDefault="002761B0" w:rsidP="001A492B">
      <w:pPr>
        <w:pStyle w:val="a3"/>
        <w:numPr>
          <w:ilvl w:val="0"/>
          <w:numId w:val="29"/>
        </w:numPr>
        <w:spacing w:after="0"/>
        <w:jc w:val="both"/>
        <w:rPr>
          <w:rFonts w:ascii="David" w:hAnsi="David" w:cs="David"/>
          <w:sz w:val="24"/>
          <w:szCs w:val="24"/>
        </w:rPr>
      </w:pPr>
      <w:r w:rsidRPr="004A5120">
        <w:rPr>
          <w:rFonts w:ascii="David" w:hAnsi="David" w:cs="David" w:hint="cs"/>
          <w:sz w:val="24"/>
          <w:szCs w:val="24"/>
          <w:rtl/>
        </w:rPr>
        <w:t xml:space="preserve">ר' בצלאל אשכנזי </w:t>
      </w:r>
      <w:r w:rsidRPr="004A5120">
        <w:rPr>
          <w:rFonts w:ascii="David" w:hAnsi="David" w:cs="David"/>
          <w:sz w:val="24"/>
          <w:szCs w:val="24"/>
          <w:rtl/>
        </w:rPr>
        <w:t>–</w:t>
      </w:r>
      <w:r w:rsidRPr="004A5120">
        <w:rPr>
          <w:rFonts w:ascii="David" w:hAnsi="David" w:cs="David" w:hint="cs"/>
          <w:sz w:val="24"/>
          <w:szCs w:val="24"/>
          <w:rtl/>
        </w:rPr>
        <w:t xml:space="preserve"> חיבר ספר שנועד לכנס ולסדר את פירושי הראשונים על הש"ס </w:t>
      </w:r>
      <w:r w:rsidRPr="004A5120">
        <w:rPr>
          <w:rFonts w:ascii="David" w:hAnsi="David" w:cs="David"/>
          <w:sz w:val="24"/>
          <w:szCs w:val="24"/>
          <w:rtl/>
        </w:rPr>
        <w:t>–</w:t>
      </w:r>
      <w:r w:rsidRPr="004A5120">
        <w:rPr>
          <w:rFonts w:ascii="David" w:hAnsi="David" w:cs="David" w:hint="cs"/>
          <w:sz w:val="24"/>
          <w:szCs w:val="24"/>
          <w:rtl/>
        </w:rPr>
        <w:t xml:space="preserve"> מעין אוסף אנציקלופדי של הפירושים, הספר נקרא "שיטה מקובצת".</w:t>
      </w:r>
    </w:p>
    <w:p w14:paraId="7DB3E3C7" w14:textId="7BA0ABE2" w:rsidR="002761B0" w:rsidRPr="004A5120" w:rsidRDefault="002761B0" w:rsidP="002761B0">
      <w:pPr>
        <w:spacing w:after="0"/>
        <w:jc w:val="both"/>
        <w:rPr>
          <w:rFonts w:ascii="David" w:hAnsi="David" w:cs="David"/>
          <w:sz w:val="24"/>
          <w:szCs w:val="24"/>
          <w:rtl/>
        </w:rPr>
      </w:pPr>
    </w:p>
    <w:p w14:paraId="5DEEEF84" w14:textId="1D429D3F" w:rsidR="002761B0" w:rsidRPr="004A5120" w:rsidRDefault="002761B0" w:rsidP="002761B0">
      <w:pPr>
        <w:spacing w:after="0"/>
        <w:jc w:val="both"/>
        <w:rPr>
          <w:rFonts w:ascii="David" w:hAnsi="David" w:cs="David"/>
          <w:sz w:val="24"/>
          <w:szCs w:val="24"/>
          <w:u w:val="single"/>
          <w:rtl/>
        </w:rPr>
      </w:pPr>
      <w:r w:rsidRPr="004A5120">
        <w:rPr>
          <w:rFonts w:ascii="David" w:hAnsi="David" w:cs="David" w:hint="cs"/>
          <w:sz w:val="24"/>
          <w:szCs w:val="24"/>
          <w:u w:val="single"/>
          <w:rtl/>
        </w:rPr>
        <w:t>ספרות החידושים בת</w:t>
      </w:r>
      <w:r w:rsidR="00DA3638">
        <w:rPr>
          <w:rFonts w:ascii="David" w:hAnsi="David" w:cs="David" w:hint="cs"/>
          <w:sz w:val="24"/>
          <w:szCs w:val="24"/>
          <w:u w:val="single"/>
          <w:rtl/>
        </w:rPr>
        <w:t>קו</w:t>
      </w:r>
      <w:r w:rsidRPr="004A5120">
        <w:rPr>
          <w:rFonts w:ascii="David" w:hAnsi="David" w:cs="David" w:hint="cs"/>
          <w:sz w:val="24"/>
          <w:szCs w:val="24"/>
          <w:u w:val="single"/>
          <w:rtl/>
        </w:rPr>
        <w:t>פת האחרונים:</w:t>
      </w:r>
    </w:p>
    <w:p w14:paraId="1615CCAF" w14:textId="278C2557" w:rsidR="009A7031" w:rsidRPr="004A5120" w:rsidRDefault="009A7031" w:rsidP="009A7031">
      <w:pPr>
        <w:spacing w:after="0"/>
        <w:jc w:val="both"/>
        <w:rPr>
          <w:rFonts w:ascii="David" w:hAnsi="David" w:cs="David"/>
          <w:sz w:val="24"/>
          <w:szCs w:val="24"/>
          <w:rtl/>
        </w:rPr>
      </w:pPr>
      <w:r>
        <w:rPr>
          <w:rFonts w:ascii="David" w:hAnsi="David" w:cs="David" w:hint="cs"/>
          <w:sz w:val="24"/>
          <w:szCs w:val="24"/>
          <w:rtl/>
        </w:rPr>
        <w:t>האחרונים הם אלו שהגיעו לאחר הראשונים. בעוד הראשונים עסקו בעיקר בהסבר הגמרא, הפשט והפירוש שלה, האחרונים עסקו בעיקר בחידוש על דברי קודמיהם (הראשונים), ובדברי התפלפלות והתפלספות הנוגעים לסוגייה (שכאמור כבר פורשה ע"י הראשונים).</w:t>
      </w:r>
    </w:p>
    <w:p w14:paraId="70587551" w14:textId="0E7F3EE3" w:rsidR="009402DB" w:rsidRPr="004A5120" w:rsidRDefault="009402DB" w:rsidP="009402DB">
      <w:pPr>
        <w:spacing w:after="0"/>
        <w:jc w:val="both"/>
        <w:rPr>
          <w:rFonts w:ascii="David" w:hAnsi="David" w:cs="David"/>
          <w:sz w:val="24"/>
          <w:szCs w:val="24"/>
          <w:rtl/>
        </w:rPr>
      </w:pPr>
    </w:p>
    <w:p w14:paraId="429C3446" w14:textId="05963E7B" w:rsidR="009402DB" w:rsidRPr="004A5120" w:rsidRDefault="009402DB" w:rsidP="009402DB">
      <w:pPr>
        <w:spacing w:after="0"/>
        <w:jc w:val="both"/>
        <w:rPr>
          <w:rFonts w:ascii="David" w:hAnsi="David" w:cs="David"/>
          <w:sz w:val="24"/>
          <w:szCs w:val="24"/>
          <w:u w:val="single"/>
          <w:rtl/>
        </w:rPr>
      </w:pPr>
      <w:r w:rsidRPr="004A5120">
        <w:rPr>
          <w:rFonts w:ascii="David" w:hAnsi="David" w:cs="David" w:hint="cs"/>
          <w:sz w:val="24"/>
          <w:szCs w:val="24"/>
          <w:u w:val="single"/>
          <w:rtl/>
        </w:rPr>
        <w:t>שני ספרים המהווים אב טיפוס לגישה ספרותית שונה:</w:t>
      </w:r>
    </w:p>
    <w:p w14:paraId="3559198C" w14:textId="57E044AD" w:rsidR="009402DB" w:rsidRPr="004A5120" w:rsidRDefault="009402DB" w:rsidP="001A492B">
      <w:pPr>
        <w:pStyle w:val="a3"/>
        <w:numPr>
          <w:ilvl w:val="0"/>
          <w:numId w:val="31"/>
        </w:numPr>
        <w:spacing w:after="0"/>
        <w:jc w:val="both"/>
        <w:rPr>
          <w:rFonts w:ascii="David" w:hAnsi="David" w:cs="David"/>
          <w:sz w:val="24"/>
          <w:szCs w:val="24"/>
        </w:rPr>
      </w:pPr>
      <w:r w:rsidRPr="004A5120">
        <w:rPr>
          <w:rFonts w:ascii="David" w:hAnsi="David" w:cs="David" w:hint="cs"/>
          <w:sz w:val="24"/>
          <w:szCs w:val="24"/>
          <w:rtl/>
        </w:rPr>
        <w:t xml:space="preserve">"חידושי הלכות" </w:t>
      </w:r>
      <w:r w:rsidRPr="004A5120">
        <w:rPr>
          <w:rFonts w:ascii="David" w:hAnsi="David" w:cs="David"/>
          <w:sz w:val="24"/>
          <w:szCs w:val="24"/>
          <w:rtl/>
        </w:rPr>
        <w:t>–</w:t>
      </w:r>
      <w:r w:rsidRPr="004A5120">
        <w:rPr>
          <w:rFonts w:ascii="David" w:hAnsi="David" w:cs="David" w:hint="cs"/>
          <w:sz w:val="24"/>
          <w:szCs w:val="24"/>
          <w:rtl/>
        </w:rPr>
        <w:t xml:space="preserve"> של המרש"א: מסביר את דברי רשי ותוספות. נקודת המוצא היא דברי הראשונים, מפרש את הסוגיה באופן ענייני מתוך החומר המצוי בה.</w:t>
      </w:r>
    </w:p>
    <w:p w14:paraId="51B77C42" w14:textId="6FE7B618" w:rsidR="009402DB" w:rsidRPr="004A5120" w:rsidRDefault="009402DB" w:rsidP="001A492B">
      <w:pPr>
        <w:pStyle w:val="a3"/>
        <w:numPr>
          <w:ilvl w:val="0"/>
          <w:numId w:val="31"/>
        </w:numPr>
        <w:spacing w:after="0"/>
        <w:jc w:val="both"/>
        <w:rPr>
          <w:rFonts w:ascii="David" w:hAnsi="David" w:cs="David"/>
          <w:sz w:val="24"/>
          <w:szCs w:val="24"/>
        </w:rPr>
      </w:pPr>
      <w:r w:rsidRPr="004A5120">
        <w:rPr>
          <w:rFonts w:ascii="David" w:hAnsi="David" w:cs="David" w:hint="cs"/>
          <w:sz w:val="24"/>
          <w:szCs w:val="24"/>
          <w:rtl/>
        </w:rPr>
        <w:t xml:space="preserve">הפני יהושע </w:t>
      </w:r>
      <w:r w:rsidRPr="004A5120">
        <w:rPr>
          <w:rFonts w:ascii="David" w:hAnsi="David" w:cs="David"/>
          <w:sz w:val="24"/>
          <w:szCs w:val="24"/>
          <w:rtl/>
        </w:rPr>
        <w:t>–</w:t>
      </w:r>
      <w:r w:rsidRPr="004A5120">
        <w:rPr>
          <w:rFonts w:ascii="David" w:hAnsi="David" w:cs="David" w:hint="cs"/>
          <w:sz w:val="24"/>
          <w:szCs w:val="24"/>
          <w:rtl/>
        </w:rPr>
        <w:t xml:space="preserve"> ר' יעקב יהושע: לא רק מפרש, גם מקיש מסוגיה לסוגיה, מתוך כל התלמוד.</w:t>
      </w:r>
    </w:p>
    <w:p w14:paraId="2741A683" w14:textId="22028D3B" w:rsidR="009402DB" w:rsidRPr="004A5120" w:rsidRDefault="009402DB" w:rsidP="009402DB">
      <w:pPr>
        <w:spacing w:after="0"/>
        <w:jc w:val="both"/>
        <w:rPr>
          <w:rFonts w:ascii="David" w:hAnsi="David" w:cs="David"/>
          <w:sz w:val="24"/>
          <w:szCs w:val="24"/>
          <w:rtl/>
        </w:rPr>
      </w:pPr>
    </w:p>
    <w:p w14:paraId="56F0CEB3" w14:textId="1AFDED05" w:rsidR="009402DB" w:rsidRPr="004A5120" w:rsidRDefault="009402DB" w:rsidP="00D86739">
      <w:pPr>
        <w:tabs>
          <w:tab w:val="left" w:pos="7213"/>
        </w:tabs>
        <w:spacing w:after="0"/>
        <w:jc w:val="both"/>
        <w:rPr>
          <w:rFonts w:ascii="David" w:hAnsi="David" w:cs="David"/>
          <w:sz w:val="24"/>
          <w:szCs w:val="24"/>
          <w:u w:val="single"/>
          <w:rtl/>
        </w:rPr>
      </w:pPr>
      <w:r w:rsidRPr="004A5120">
        <w:rPr>
          <w:rFonts w:ascii="David" w:hAnsi="David" w:cs="David" w:hint="cs"/>
          <w:sz w:val="24"/>
          <w:szCs w:val="24"/>
          <w:u w:val="single"/>
          <w:rtl/>
        </w:rPr>
        <w:t>ספרות פירושים וחידושים לתלמוד הירושלמי:</w:t>
      </w:r>
      <w:r w:rsidR="00D86739">
        <w:rPr>
          <w:rFonts w:ascii="David" w:hAnsi="David" w:cs="David"/>
          <w:sz w:val="24"/>
          <w:szCs w:val="24"/>
          <w:u w:val="single"/>
          <w:rtl/>
        </w:rPr>
        <w:tab/>
      </w:r>
    </w:p>
    <w:p w14:paraId="780DBDF9" w14:textId="5D162FED" w:rsidR="009402DB" w:rsidRPr="004A5120" w:rsidRDefault="009402DB"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רוב ספרות הפירושים והחידושים נכתבו על התלמוד הבבלי, זאת בשל התנאים הקשים ששררו בא"י  בשעת עריכת התלמוד הירושלמי.</w:t>
      </w:r>
    </w:p>
    <w:p w14:paraId="37397DD3" w14:textId="2A93FE62" w:rsidR="009402DB" w:rsidRDefault="009402DB"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מי שנתן לבבלי את הסמכות המכרעת במקרה של התנגדות הם הגאונים.</w:t>
      </w:r>
    </w:p>
    <w:p w14:paraId="0A92C03C" w14:textId="59D71CF8" w:rsidR="0076373E" w:rsidRPr="004A5120" w:rsidRDefault="0076373E" w:rsidP="0076373E">
      <w:pPr>
        <w:pStyle w:val="a3"/>
        <w:spacing w:after="0"/>
        <w:jc w:val="both"/>
        <w:rPr>
          <w:rFonts w:ascii="David" w:hAnsi="David" w:cs="David"/>
          <w:sz w:val="24"/>
          <w:szCs w:val="24"/>
        </w:rPr>
      </w:pPr>
      <w:r>
        <w:rPr>
          <w:rFonts w:ascii="David" w:hAnsi="David" w:cs="David" w:hint="cs"/>
          <w:sz w:val="24"/>
          <w:szCs w:val="24"/>
          <w:rtl/>
        </w:rPr>
        <w:t>סיבות להפיכת הבבלי לבעל סמכות עליונה:</w:t>
      </w:r>
    </w:p>
    <w:p w14:paraId="42C562D5" w14:textId="4CA68047" w:rsidR="009402DB" w:rsidRPr="004A5120" w:rsidRDefault="009402DB" w:rsidP="009402DB">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רב האי גאון </w:t>
      </w:r>
      <w:r w:rsidRPr="004A5120">
        <w:rPr>
          <w:rFonts w:ascii="David" w:hAnsi="David" w:cs="David"/>
          <w:sz w:val="24"/>
          <w:szCs w:val="24"/>
          <w:rtl/>
        </w:rPr>
        <w:t>–</w:t>
      </w:r>
      <w:r w:rsidRPr="004A5120">
        <w:rPr>
          <w:rFonts w:ascii="David" w:hAnsi="David" w:cs="David" w:hint="cs"/>
          <w:sz w:val="24"/>
          <w:szCs w:val="24"/>
          <w:rtl/>
        </w:rPr>
        <w:t xml:space="preserve"> </w:t>
      </w:r>
      <w:r w:rsidR="008849E5" w:rsidRPr="004A5120">
        <w:rPr>
          <w:rFonts w:ascii="David" w:hAnsi="David" w:cs="David" w:hint="cs"/>
          <w:sz w:val="24"/>
          <w:szCs w:val="24"/>
          <w:rtl/>
        </w:rPr>
        <w:t>המצב בא"</w:t>
      </w:r>
      <w:r w:rsidR="0076373E">
        <w:rPr>
          <w:rFonts w:ascii="David" w:hAnsi="David" w:cs="David" w:hint="cs"/>
          <w:sz w:val="24"/>
          <w:szCs w:val="24"/>
          <w:rtl/>
        </w:rPr>
        <w:t>י</w:t>
      </w:r>
      <w:r w:rsidR="008849E5" w:rsidRPr="004A5120">
        <w:rPr>
          <w:rFonts w:ascii="David" w:hAnsi="David" w:cs="David" w:hint="cs"/>
          <w:sz w:val="24"/>
          <w:szCs w:val="24"/>
          <w:rtl/>
        </w:rPr>
        <w:t xml:space="preserve"> גרם</w:t>
      </w:r>
      <w:r w:rsidRPr="004A5120">
        <w:rPr>
          <w:rFonts w:ascii="David" w:hAnsi="David" w:cs="David" w:hint="cs"/>
          <w:sz w:val="24"/>
          <w:szCs w:val="24"/>
          <w:rtl/>
        </w:rPr>
        <w:t xml:space="preserve"> להפסקת לימוד התורה ולכן ההלכות לא בוררו עד הסוף.</w:t>
      </w:r>
    </w:p>
    <w:p w14:paraId="12F52BA4" w14:textId="37538ABB" w:rsidR="009402DB" w:rsidRPr="004A5120" w:rsidRDefault="008849E5" w:rsidP="009402DB">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לפי </w:t>
      </w:r>
      <w:proofErr w:type="spellStart"/>
      <w:r w:rsidRPr="004A5120">
        <w:rPr>
          <w:rFonts w:ascii="David" w:hAnsi="David" w:cs="David" w:hint="cs"/>
          <w:sz w:val="24"/>
          <w:szCs w:val="24"/>
          <w:rtl/>
        </w:rPr>
        <w:t>הרי</w:t>
      </w:r>
      <w:r w:rsidR="00D86739">
        <w:rPr>
          <w:rFonts w:ascii="David" w:hAnsi="David" w:cs="David" w:hint="cs"/>
          <w:sz w:val="24"/>
          <w:szCs w:val="24"/>
          <w:rtl/>
        </w:rPr>
        <w:t>"</w:t>
      </w:r>
      <w:r w:rsidRPr="004A5120">
        <w:rPr>
          <w:rFonts w:ascii="David" w:hAnsi="David" w:cs="David" w:hint="cs"/>
          <w:sz w:val="24"/>
          <w:szCs w:val="24"/>
          <w:rtl/>
        </w:rPr>
        <w:t>ף</w:t>
      </w:r>
      <w:proofErr w:type="spellEnd"/>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משום שאמוראי בבל קבעו את מסקנתם אחרי א"י, הלכה לפי אחרונים.</w:t>
      </w:r>
    </w:p>
    <w:p w14:paraId="7901DC66" w14:textId="7DF04917" w:rsidR="008849E5" w:rsidRPr="004A5120" w:rsidRDefault="008849E5" w:rsidP="008849E5">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בנוסף, בבל הפכה להיות מרכז העולם, היה קל יותר להעביר שאלות ותשובות לחכמי בבל, על כן הירושמי הלך ונדחק.</w:t>
      </w:r>
    </w:p>
    <w:p w14:paraId="5C662231" w14:textId="77777777" w:rsidR="00D86739" w:rsidRDefault="008849E5" w:rsidP="00D86739">
      <w:pPr>
        <w:pStyle w:val="a3"/>
        <w:numPr>
          <w:ilvl w:val="0"/>
          <w:numId w:val="2"/>
        </w:numPr>
        <w:spacing w:after="0"/>
        <w:jc w:val="both"/>
        <w:rPr>
          <w:rFonts w:ascii="David" w:hAnsi="David" w:cs="David"/>
          <w:sz w:val="24"/>
          <w:szCs w:val="24"/>
        </w:rPr>
      </w:pPr>
      <w:r w:rsidRPr="004A5120">
        <w:rPr>
          <w:rFonts w:ascii="David" w:hAnsi="David" w:cs="David" w:hint="cs"/>
          <w:sz w:val="24"/>
          <w:szCs w:val="24"/>
          <w:rtl/>
        </w:rPr>
        <w:t xml:space="preserve">עד מסעות הצלב, פעלו בא"י לפי הירושלמי, אז פסק שלטונו. אלו שחזרו לארץ הביאו איתם את התלמוד הבבלי. </w:t>
      </w:r>
    </w:p>
    <w:p w14:paraId="4DDF4C1E" w14:textId="4C2256BB" w:rsidR="008849E5" w:rsidRPr="00D86739" w:rsidRDefault="008849E5" w:rsidP="00D86739">
      <w:pPr>
        <w:spacing w:after="0"/>
        <w:ind w:left="360"/>
        <w:jc w:val="both"/>
        <w:rPr>
          <w:rFonts w:ascii="David" w:hAnsi="David" w:cs="David"/>
          <w:sz w:val="24"/>
          <w:szCs w:val="24"/>
          <w:rtl/>
        </w:rPr>
      </w:pPr>
      <w:r w:rsidRPr="00D86739">
        <w:rPr>
          <w:rFonts w:ascii="David" w:hAnsi="David" w:cs="David" w:hint="cs"/>
          <w:sz w:val="24"/>
          <w:szCs w:val="24"/>
          <w:rtl/>
        </w:rPr>
        <w:t>בעקבות כל אלו, לא נכתבו על הירושלמי פירושים, דבר שמקשה על הבנתו ולימדתו.</w:t>
      </w:r>
    </w:p>
    <w:p w14:paraId="0FB9C335" w14:textId="3C6B4E9C" w:rsidR="008849E5" w:rsidRPr="004A5120" w:rsidRDefault="008849E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במאה ה16 חזרו ללמד, לפרש ולחדש את התלמוד הירושלמי.</w:t>
      </w:r>
    </w:p>
    <w:p w14:paraId="7BB3942E" w14:textId="337213D9" w:rsidR="008849E5" w:rsidRPr="004A5120" w:rsidRDefault="008849E5" w:rsidP="008849E5">
      <w:pPr>
        <w:spacing w:after="0"/>
        <w:jc w:val="both"/>
        <w:rPr>
          <w:rFonts w:ascii="David" w:hAnsi="David" w:cs="David"/>
          <w:sz w:val="24"/>
          <w:szCs w:val="24"/>
          <w:rtl/>
        </w:rPr>
      </w:pPr>
    </w:p>
    <w:p w14:paraId="3A703B2F" w14:textId="6BD44CCE" w:rsidR="008849E5" w:rsidRPr="004A5120" w:rsidRDefault="008849E5" w:rsidP="008849E5">
      <w:pPr>
        <w:spacing w:after="0"/>
        <w:jc w:val="both"/>
        <w:rPr>
          <w:rFonts w:ascii="David" w:hAnsi="David" w:cs="David"/>
          <w:b/>
          <w:bCs/>
          <w:sz w:val="24"/>
          <w:szCs w:val="24"/>
          <w:u w:val="single"/>
          <w:rtl/>
        </w:rPr>
      </w:pPr>
      <w:r w:rsidRPr="004A5120">
        <w:rPr>
          <w:rFonts w:ascii="David" w:hAnsi="David" w:cs="David" w:hint="cs"/>
          <w:b/>
          <w:bCs/>
          <w:sz w:val="24"/>
          <w:szCs w:val="24"/>
          <w:u w:val="single"/>
          <w:rtl/>
        </w:rPr>
        <w:t>מאמר 3:</w:t>
      </w:r>
    </w:p>
    <w:p w14:paraId="4A936742" w14:textId="13ED2286" w:rsidR="008849E5" w:rsidRPr="004A5120" w:rsidRDefault="008849E5" w:rsidP="008849E5">
      <w:pPr>
        <w:spacing w:after="0"/>
        <w:jc w:val="both"/>
        <w:rPr>
          <w:rFonts w:ascii="David" w:hAnsi="David" w:cs="David"/>
          <w:sz w:val="24"/>
          <w:szCs w:val="24"/>
          <w:rtl/>
        </w:rPr>
      </w:pPr>
    </w:p>
    <w:p w14:paraId="0B523677" w14:textId="3BFA954F" w:rsidR="008849E5" w:rsidRPr="004A5120" w:rsidRDefault="008849E5" w:rsidP="008849E5">
      <w:pPr>
        <w:spacing w:after="0"/>
        <w:jc w:val="both"/>
        <w:rPr>
          <w:rFonts w:ascii="David" w:hAnsi="David" w:cs="David"/>
          <w:sz w:val="24"/>
          <w:szCs w:val="24"/>
          <w:u w:val="single"/>
          <w:rtl/>
        </w:rPr>
      </w:pPr>
      <w:r w:rsidRPr="004A5120">
        <w:rPr>
          <w:rFonts w:ascii="David" w:hAnsi="David" w:cs="David" w:hint="cs"/>
          <w:sz w:val="24"/>
          <w:szCs w:val="24"/>
          <w:u w:val="single"/>
          <w:rtl/>
        </w:rPr>
        <w:t>המהות והמבנה של ספרות הפוסקים ובעיית הקודיפיקציה:</w:t>
      </w:r>
    </w:p>
    <w:p w14:paraId="173EC148" w14:textId="252B28D4" w:rsidR="008849E5" w:rsidRPr="004A5120" w:rsidRDefault="008849E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ענף הפוסקים </w:t>
      </w:r>
      <w:r w:rsidRPr="004A5120">
        <w:rPr>
          <w:rFonts w:ascii="David" w:hAnsi="David" w:cs="David"/>
          <w:sz w:val="24"/>
          <w:szCs w:val="24"/>
          <w:rtl/>
        </w:rPr>
        <w:t>–</w:t>
      </w:r>
      <w:r w:rsidRPr="004A5120">
        <w:rPr>
          <w:rFonts w:ascii="David" w:hAnsi="David" w:cs="David" w:hint="cs"/>
          <w:sz w:val="24"/>
          <w:szCs w:val="24"/>
          <w:rtl/>
        </w:rPr>
        <w:t xml:space="preserve"> ענף חדש במקורות של ההלכה אחרי התלמוד.</w:t>
      </w:r>
    </w:p>
    <w:p w14:paraId="03CA2104" w14:textId="63A59E7E" w:rsidR="008849E5" w:rsidRPr="004A5120" w:rsidRDefault="008849E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ייחודו הוא במגמתו של המחבר </w:t>
      </w:r>
      <w:r w:rsidRPr="00B34E7F">
        <w:rPr>
          <w:rFonts w:ascii="David" w:hAnsi="David" w:cs="David" w:hint="cs"/>
          <w:b/>
          <w:bCs/>
          <w:sz w:val="24"/>
          <w:szCs w:val="24"/>
          <w:rtl/>
        </w:rPr>
        <w:t>להביא את המסקנה הסופית</w:t>
      </w:r>
      <w:r w:rsidR="006A5302" w:rsidRPr="004A5120">
        <w:rPr>
          <w:rFonts w:ascii="David" w:hAnsi="David" w:cs="David" w:hint="cs"/>
          <w:sz w:val="24"/>
          <w:szCs w:val="24"/>
          <w:rtl/>
        </w:rPr>
        <w:t>, לפי סדר ולאחר עיון.</w:t>
      </w:r>
    </w:p>
    <w:p w14:paraId="63BE3C83" w14:textId="115E5808" w:rsidR="006A5302" w:rsidRPr="004A5120" w:rsidRDefault="006A5302" w:rsidP="006A5302">
      <w:pPr>
        <w:spacing w:after="0"/>
        <w:jc w:val="both"/>
        <w:rPr>
          <w:rFonts w:ascii="David" w:hAnsi="David" w:cs="David"/>
          <w:sz w:val="24"/>
          <w:szCs w:val="24"/>
          <w:rtl/>
        </w:rPr>
      </w:pPr>
    </w:p>
    <w:p w14:paraId="785D2557" w14:textId="7D301074" w:rsidR="006A5302" w:rsidRPr="004A5120" w:rsidRDefault="006A5302" w:rsidP="006A5302">
      <w:pPr>
        <w:spacing w:after="0"/>
        <w:jc w:val="both"/>
        <w:rPr>
          <w:rFonts w:ascii="David" w:hAnsi="David" w:cs="David"/>
          <w:sz w:val="24"/>
          <w:szCs w:val="24"/>
          <w:u w:val="single"/>
          <w:rtl/>
        </w:rPr>
      </w:pPr>
      <w:r w:rsidRPr="004A5120">
        <w:rPr>
          <w:rFonts w:ascii="David" w:hAnsi="David" w:cs="David" w:hint="cs"/>
          <w:sz w:val="24"/>
          <w:szCs w:val="24"/>
          <w:u w:val="single"/>
          <w:rtl/>
        </w:rPr>
        <w:t>השוואה בין שלושת ענפי ההלכה שלאחר התלמוד:</w:t>
      </w:r>
    </w:p>
    <w:p w14:paraId="32AEFA42" w14:textId="437F5259" w:rsidR="006A5302" w:rsidRPr="004A5120" w:rsidRDefault="006A5302"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הענפים הם: 1. ספרות הפוסקים. 2. ספרות הפירושים והחידושים. 3. ספרות השו"ת.</w:t>
      </w:r>
    </w:p>
    <w:p w14:paraId="0686F36E" w14:textId="4706237A" w:rsidR="006A5302" w:rsidRPr="004A5120" w:rsidRDefault="006A5302"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קשר והשפעה </w:t>
      </w:r>
      <w:r w:rsidRPr="004A5120">
        <w:rPr>
          <w:rFonts w:ascii="David" w:hAnsi="David" w:cs="David"/>
          <w:sz w:val="24"/>
          <w:szCs w:val="24"/>
          <w:rtl/>
        </w:rPr>
        <w:t>–</w:t>
      </w:r>
      <w:r w:rsidRPr="004A5120">
        <w:rPr>
          <w:rFonts w:ascii="David" w:hAnsi="David" w:cs="David" w:hint="cs"/>
          <w:sz w:val="24"/>
          <w:szCs w:val="24"/>
          <w:rtl/>
        </w:rPr>
        <w:t xml:space="preserve"> הפרשנים והמחדשים משתמשים אלו בכתבי אלו, על מנת להכריע.</w:t>
      </w:r>
    </w:p>
    <w:p w14:paraId="518BEA18" w14:textId="2F19D11E" w:rsidR="006A5302" w:rsidRPr="004A5120" w:rsidRDefault="006A5302"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lastRenderedPageBreak/>
        <w:t>ההבדלים בניהם:</w:t>
      </w:r>
    </w:p>
    <w:p w14:paraId="09FBA4B3" w14:textId="0E8229AB" w:rsidR="00337354" w:rsidRPr="004A5120" w:rsidRDefault="006A5302" w:rsidP="001A492B">
      <w:pPr>
        <w:pStyle w:val="a3"/>
        <w:numPr>
          <w:ilvl w:val="0"/>
          <w:numId w:val="32"/>
        </w:numPr>
        <w:spacing w:after="0"/>
        <w:jc w:val="both"/>
        <w:rPr>
          <w:rFonts w:ascii="David" w:hAnsi="David" w:cs="David"/>
          <w:sz w:val="24"/>
          <w:szCs w:val="24"/>
        </w:rPr>
      </w:pPr>
      <w:r w:rsidRPr="004A5120">
        <w:rPr>
          <w:rFonts w:ascii="David" w:hAnsi="David" w:cs="David" w:hint="cs"/>
          <w:sz w:val="24"/>
          <w:szCs w:val="24"/>
          <w:rtl/>
        </w:rPr>
        <w:t>הפירושים</w:t>
      </w:r>
      <w:r w:rsidR="00337354" w:rsidRPr="004A5120">
        <w:rPr>
          <w:rFonts w:ascii="David" w:hAnsi="David" w:cs="David" w:hint="cs"/>
          <w:sz w:val="24"/>
          <w:szCs w:val="24"/>
          <w:rtl/>
        </w:rPr>
        <w:t xml:space="preserve"> </w:t>
      </w:r>
      <w:r w:rsidR="00882E00">
        <w:rPr>
          <w:rFonts w:ascii="David" w:hAnsi="David" w:cs="David" w:hint="cs"/>
          <w:sz w:val="24"/>
          <w:szCs w:val="24"/>
          <w:rtl/>
        </w:rPr>
        <w:t xml:space="preserve">והחידושים </w:t>
      </w:r>
      <w:r w:rsidR="00337354" w:rsidRPr="004A5120">
        <w:rPr>
          <w:rFonts w:ascii="David" w:hAnsi="David" w:cs="David" w:hint="cs"/>
          <w:sz w:val="24"/>
          <w:szCs w:val="24"/>
          <w:rtl/>
        </w:rPr>
        <w:t>-</w:t>
      </w:r>
      <w:r w:rsidRPr="004A5120">
        <w:rPr>
          <w:rFonts w:ascii="David" w:hAnsi="David" w:cs="David" w:hint="cs"/>
          <w:sz w:val="24"/>
          <w:szCs w:val="24"/>
          <w:rtl/>
        </w:rPr>
        <w:t xml:space="preserve"> </w:t>
      </w:r>
      <w:r w:rsidR="00337354" w:rsidRPr="004A5120">
        <w:rPr>
          <w:rFonts w:ascii="David" w:hAnsi="David" w:cs="David" w:hint="cs"/>
          <w:sz w:val="24"/>
          <w:szCs w:val="24"/>
          <w:rtl/>
        </w:rPr>
        <w:t>דנה</w:t>
      </w:r>
      <w:r w:rsidRPr="004A5120">
        <w:rPr>
          <w:rFonts w:ascii="David" w:hAnsi="David" w:cs="David" w:hint="cs"/>
          <w:sz w:val="24"/>
          <w:szCs w:val="24"/>
          <w:rtl/>
        </w:rPr>
        <w:t xml:space="preserve"> בנושאים הלכתיים</w:t>
      </w:r>
      <w:r w:rsidR="00337354" w:rsidRPr="004A5120">
        <w:rPr>
          <w:rFonts w:ascii="David" w:hAnsi="David" w:cs="David" w:hint="cs"/>
          <w:sz w:val="24"/>
          <w:szCs w:val="24"/>
          <w:rtl/>
        </w:rPr>
        <w:t xml:space="preserve"> בצורה עיונית, להלכה ולא למעשה.</w:t>
      </w:r>
    </w:p>
    <w:p w14:paraId="391B6558" w14:textId="39E20DE3" w:rsidR="00337354" w:rsidRPr="004A5120" w:rsidRDefault="00337354" w:rsidP="00337354">
      <w:pPr>
        <w:pStyle w:val="a3"/>
        <w:spacing w:after="0"/>
        <w:ind w:left="1080"/>
        <w:jc w:val="both"/>
        <w:rPr>
          <w:rFonts w:ascii="David" w:hAnsi="David" w:cs="David"/>
          <w:sz w:val="24"/>
          <w:szCs w:val="24"/>
          <w:rtl/>
        </w:rPr>
      </w:pPr>
      <w:r w:rsidRPr="004A5120">
        <w:rPr>
          <w:rFonts w:ascii="David" w:hAnsi="David" w:cs="David" w:hint="cs"/>
          <w:sz w:val="24"/>
          <w:szCs w:val="24"/>
          <w:rtl/>
        </w:rPr>
        <w:t xml:space="preserve">שו"ת </w:t>
      </w:r>
      <w:r w:rsidRPr="004A5120">
        <w:rPr>
          <w:rFonts w:ascii="David" w:hAnsi="David" w:cs="David"/>
          <w:sz w:val="24"/>
          <w:szCs w:val="24"/>
          <w:rtl/>
        </w:rPr>
        <w:t>–</w:t>
      </w:r>
      <w:r w:rsidRPr="004A5120">
        <w:rPr>
          <w:rFonts w:ascii="David" w:hAnsi="David" w:cs="David" w:hint="cs"/>
          <w:sz w:val="24"/>
          <w:szCs w:val="24"/>
          <w:rtl/>
        </w:rPr>
        <w:t xml:space="preserve"> מתמקדת בהכרעה, בהלכה בפועל.</w:t>
      </w:r>
    </w:p>
    <w:p w14:paraId="533B0D90" w14:textId="191CF962" w:rsidR="00337354" w:rsidRPr="004A5120" w:rsidRDefault="00337354" w:rsidP="001A492B">
      <w:pPr>
        <w:pStyle w:val="a3"/>
        <w:numPr>
          <w:ilvl w:val="0"/>
          <w:numId w:val="32"/>
        </w:numPr>
        <w:spacing w:after="0"/>
        <w:jc w:val="both"/>
        <w:rPr>
          <w:rFonts w:ascii="David" w:hAnsi="David" w:cs="David"/>
          <w:sz w:val="24"/>
          <w:szCs w:val="24"/>
        </w:rPr>
      </w:pPr>
      <w:r w:rsidRPr="004A5120">
        <w:rPr>
          <w:rFonts w:ascii="David" w:hAnsi="David" w:cs="David" w:hint="cs"/>
          <w:sz w:val="24"/>
          <w:szCs w:val="24"/>
          <w:rtl/>
        </w:rPr>
        <w:t xml:space="preserve">הפירושים </w:t>
      </w:r>
      <w:r w:rsidR="00882E00">
        <w:rPr>
          <w:rFonts w:ascii="David" w:hAnsi="David" w:cs="David" w:hint="cs"/>
          <w:sz w:val="24"/>
          <w:szCs w:val="24"/>
          <w:rtl/>
        </w:rPr>
        <w:t xml:space="preserve">והחידושים </w:t>
      </w:r>
      <w:r w:rsidRPr="004A5120">
        <w:rPr>
          <w:rFonts w:ascii="David" w:hAnsi="David" w:cs="David"/>
          <w:sz w:val="24"/>
          <w:szCs w:val="24"/>
          <w:rtl/>
        </w:rPr>
        <w:t>–</w:t>
      </w:r>
      <w:r w:rsidRPr="004A5120">
        <w:rPr>
          <w:rFonts w:ascii="David" w:hAnsi="David" w:cs="David" w:hint="cs"/>
          <w:sz w:val="24"/>
          <w:szCs w:val="24"/>
          <w:rtl/>
        </w:rPr>
        <w:t xml:space="preserve"> מעיינים בחומר רב ומגיעים לידי הכרעה.</w:t>
      </w:r>
    </w:p>
    <w:p w14:paraId="28EE284C" w14:textId="66F5ECB0" w:rsidR="00337354" w:rsidRPr="004A5120" w:rsidRDefault="00337354" w:rsidP="00337354">
      <w:pPr>
        <w:pStyle w:val="a3"/>
        <w:spacing w:after="0"/>
        <w:ind w:left="1080"/>
        <w:jc w:val="both"/>
        <w:rPr>
          <w:rFonts w:ascii="David" w:hAnsi="David" w:cs="David"/>
          <w:sz w:val="24"/>
          <w:szCs w:val="24"/>
          <w:rtl/>
        </w:rPr>
      </w:pPr>
      <w:r w:rsidRPr="004A5120">
        <w:rPr>
          <w:rFonts w:ascii="David" w:hAnsi="David" w:cs="David" w:hint="cs"/>
          <w:sz w:val="24"/>
          <w:szCs w:val="24"/>
          <w:rtl/>
        </w:rPr>
        <w:t xml:space="preserve">שו"ת </w:t>
      </w:r>
      <w:r w:rsidRPr="004A5120">
        <w:rPr>
          <w:rFonts w:ascii="David" w:hAnsi="David" w:cs="David"/>
          <w:sz w:val="24"/>
          <w:szCs w:val="24"/>
          <w:rtl/>
        </w:rPr>
        <w:t>–</w:t>
      </w:r>
      <w:r w:rsidRPr="004A5120">
        <w:rPr>
          <w:rFonts w:ascii="David" w:hAnsi="David" w:cs="David" w:hint="cs"/>
          <w:sz w:val="24"/>
          <w:szCs w:val="24"/>
          <w:rtl/>
        </w:rPr>
        <w:t xml:space="preserve"> נמצאים מול סיטואציה קונקרטית, מבררים את העניין הקונקרטי עד תומו ורק אז מגיעים לפתרון הלכתי.</w:t>
      </w:r>
    </w:p>
    <w:p w14:paraId="511A32C1" w14:textId="5DF963D7" w:rsidR="00337354" w:rsidRPr="004A5120" w:rsidRDefault="00337354" w:rsidP="00337354">
      <w:pPr>
        <w:spacing w:after="0"/>
        <w:jc w:val="both"/>
        <w:rPr>
          <w:rFonts w:ascii="David" w:hAnsi="David" w:cs="David"/>
          <w:sz w:val="24"/>
          <w:szCs w:val="24"/>
          <w:rtl/>
        </w:rPr>
      </w:pPr>
    </w:p>
    <w:p w14:paraId="43782724" w14:textId="7DF48D15" w:rsidR="00337354" w:rsidRPr="004A5120" w:rsidRDefault="00337354" w:rsidP="00337354">
      <w:pPr>
        <w:spacing w:after="0"/>
        <w:jc w:val="both"/>
        <w:rPr>
          <w:rFonts w:ascii="David" w:hAnsi="David" w:cs="David"/>
          <w:sz w:val="24"/>
          <w:szCs w:val="24"/>
          <w:u w:val="single"/>
          <w:rtl/>
        </w:rPr>
      </w:pPr>
      <w:r w:rsidRPr="004A5120">
        <w:rPr>
          <w:rFonts w:ascii="David" w:hAnsi="David" w:cs="David" w:hint="cs"/>
          <w:sz w:val="24"/>
          <w:szCs w:val="24"/>
          <w:u w:val="single"/>
          <w:rtl/>
        </w:rPr>
        <w:t>סוגים ספרותיים לספרות הפוסקים:</w:t>
      </w:r>
    </w:p>
    <w:p w14:paraId="6D73E248" w14:textId="75C507E3" w:rsidR="00337354" w:rsidRPr="004A5120" w:rsidRDefault="00AA5161" w:rsidP="001A492B">
      <w:pPr>
        <w:pStyle w:val="a3"/>
        <w:numPr>
          <w:ilvl w:val="0"/>
          <w:numId w:val="33"/>
        </w:numPr>
        <w:spacing w:after="0"/>
        <w:jc w:val="both"/>
        <w:rPr>
          <w:rFonts w:ascii="David" w:hAnsi="David" w:cs="David"/>
          <w:sz w:val="24"/>
          <w:szCs w:val="24"/>
        </w:rPr>
      </w:pPr>
      <w:r w:rsidRPr="004A5120">
        <w:rPr>
          <w:rFonts w:ascii="David" w:hAnsi="David" w:cs="David" w:hint="cs"/>
          <w:sz w:val="24"/>
          <w:szCs w:val="24"/>
          <w:rtl/>
        </w:rPr>
        <w:t>ספרי הלכות: מביאים את המסקנה הסופית של ההלכה, לאחר הצגת המשא ומתן ההלכתי. דיון קצר ותכליתי, מע</w:t>
      </w:r>
      <w:r w:rsidR="00B34E7F">
        <w:rPr>
          <w:rFonts w:ascii="David" w:hAnsi="David" w:cs="David" w:hint="cs"/>
          <w:sz w:val="24"/>
          <w:szCs w:val="24"/>
          <w:rtl/>
        </w:rPr>
        <w:t>ו</w:t>
      </w:r>
      <w:r w:rsidRPr="004A5120">
        <w:rPr>
          <w:rFonts w:ascii="David" w:hAnsi="David" w:cs="David" w:hint="cs"/>
          <w:sz w:val="24"/>
          <w:szCs w:val="24"/>
          <w:rtl/>
        </w:rPr>
        <w:t>גן במקורות. הרי"ף דוגמה קלאסית לזה, בספרו "ספר ההלכות".</w:t>
      </w:r>
    </w:p>
    <w:p w14:paraId="5E6FE9AB" w14:textId="54874308" w:rsidR="00AA5161" w:rsidRPr="004A5120" w:rsidRDefault="00AA5161" w:rsidP="001A492B">
      <w:pPr>
        <w:pStyle w:val="a3"/>
        <w:numPr>
          <w:ilvl w:val="0"/>
          <w:numId w:val="33"/>
        </w:numPr>
        <w:spacing w:after="0"/>
        <w:jc w:val="both"/>
        <w:rPr>
          <w:rFonts w:ascii="David" w:hAnsi="David" w:cs="David"/>
          <w:sz w:val="24"/>
          <w:szCs w:val="24"/>
        </w:rPr>
      </w:pPr>
      <w:r w:rsidRPr="004A5120">
        <w:rPr>
          <w:rFonts w:ascii="David" w:hAnsi="David" w:cs="David" w:hint="cs"/>
          <w:sz w:val="24"/>
          <w:szCs w:val="24"/>
          <w:rtl/>
        </w:rPr>
        <w:t>ספרי פסקים: רק מסקנה, מבלי להראות את הדיון והמקור. הרמב"ם, "משנה תורה".</w:t>
      </w:r>
    </w:p>
    <w:p w14:paraId="64235B5A" w14:textId="12AA56A3" w:rsidR="00B27475" w:rsidRPr="004A5120" w:rsidRDefault="00B27475" w:rsidP="001A492B">
      <w:pPr>
        <w:pStyle w:val="a3"/>
        <w:numPr>
          <w:ilvl w:val="0"/>
          <w:numId w:val="33"/>
        </w:numPr>
        <w:spacing w:after="0"/>
        <w:jc w:val="both"/>
        <w:rPr>
          <w:rFonts w:ascii="David" w:hAnsi="David" w:cs="David"/>
          <w:sz w:val="24"/>
          <w:szCs w:val="24"/>
        </w:rPr>
      </w:pPr>
      <w:r w:rsidRPr="004A5120">
        <w:rPr>
          <w:rFonts w:ascii="David" w:hAnsi="David" w:cs="David" w:hint="cs"/>
          <w:sz w:val="24"/>
          <w:szCs w:val="24"/>
          <w:rtl/>
        </w:rPr>
        <w:t xml:space="preserve">נוצר עם הזמן </w:t>
      </w:r>
      <w:r w:rsidRPr="004A5120">
        <w:rPr>
          <w:rFonts w:ascii="David" w:hAnsi="David" w:cs="David"/>
          <w:sz w:val="24"/>
          <w:szCs w:val="24"/>
          <w:rtl/>
        </w:rPr>
        <w:t>–</w:t>
      </w:r>
      <w:r w:rsidRPr="004A5120">
        <w:rPr>
          <w:rFonts w:ascii="David" w:hAnsi="David" w:cs="David" w:hint="cs"/>
          <w:sz w:val="24"/>
          <w:szCs w:val="24"/>
          <w:rtl/>
        </w:rPr>
        <w:t xml:space="preserve"> שילוב בן ספרי ההלכות לספרי הפוסקים.</w:t>
      </w:r>
    </w:p>
    <w:p w14:paraId="2BCA6104" w14:textId="04FE5C53" w:rsidR="00B27475" w:rsidRPr="004A5120" w:rsidRDefault="00B27475" w:rsidP="00B27475">
      <w:pPr>
        <w:spacing w:after="0"/>
        <w:jc w:val="both"/>
        <w:rPr>
          <w:rFonts w:ascii="David" w:hAnsi="David" w:cs="David"/>
          <w:sz w:val="24"/>
          <w:szCs w:val="24"/>
          <w:rtl/>
        </w:rPr>
      </w:pPr>
    </w:p>
    <w:p w14:paraId="2D28818B" w14:textId="7893B040" w:rsidR="00B27475" w:rsidRPr="004A5120" w:rsidRDefault="00B27475" w:rsidP="00B27475">
      <w:pPr>
        <w:spacing w:after="0"/>
        <w:jc w:val="both"/>
        <w:rPr>
          <w:rFonts w:ascii="David" w:hAnsi="David" w:cs="David"/>
          <w:sz w:val="24"/>
          <w:szCs w:val="24"/>
          <w:u w:val="single"/>
          <w:rtl/>
        </w:rPr>
      </w:pPr>
      <w:r w:rsidRPr="004A5120">
        <w:rPr>
          <w:rFonts w:ascii="David" w:hAnsi="David" w:cs="David" w:hint="cs"/>
          <w:sz w:val="24"/>
          <w:szCs w:val="24"/>
          <w:u w:val="single"/>
          <w:rtl/>
        </w:rPr>
        <w:t>חלוקה ספרותית חיצונית:</w:t>
      </w:r>
    </w:p>
    <w:p w14:paraId="54DD8B33" w14:textId="243DDE42" w:rsidR="00B27475" w:rsidRPr="004A5120" w:rsidRDefault="00B27475" w:rsidP="00B27475">
      <w:pPr>
        <w:spacing w:after="0"/>
        <w:jc w:val="both"/>
        <w:rPr>
          <w:rFonts w:ascii="David" w:hAnsi="David" w:cs="David"/>
          <w:sz w:val="24"/>
          <w:szCs w:val="24"/>
          <w:rtl/>
        </w:rPr>
      </w:pPr>
      <w:r w:rsidRPr="004A5120">
        <w:rPr>
          <w:rFonts w:ascii="David" w:hAnsi="David" w:cs="David" w:hint="cs"/>
          <w:sz w:val="24"/>
          <w:szCs w:val="24"/>
          <w:rtl/>
        </w:rPr>
        <w:t xml:space="preserve">נוספת לחלוקה הספרותית הפנימית וקשורה אליה. </w:t>
      </w:r>
    </w:p>
    <w:p w14:paraId="397C0048" w14:textId="77777777" w:rsidR="00B27475" w:rsidRPr="004A5120" w:rsidRDefault="00B2747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ספר הפסקים: מסודר לפי נושאים, המסקנות מרוכזות ביחד.</w:t>
      </w:r>
    </w:p>
    <w:p w14:paraId="76464452" w14:textId="77777777" w:rsidR="00B27475" w:rsidRPr="004A5120" w:rsidRDefault="00B27475"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ספר ההלכות: סידורו של הרי"ף, לפי סדר המסכתות בתלמוד. </w:t>
      </w:r>
    </w:p>
    <w:p w14:paraId="30A17238" w14:textId="77777777" w:rsidR="00B27475" w:rsidRPr="004A5120" w:rsidRDefault="00B27475" w:rsidP="00B27475">
      <w:pPr>
        <w:spacing w:after="0"/>
        <w:jc w:val="both"/>
        <w:rPr>
          <w:rFonts w:ascii="David" w:hAnsi="David" w:cs="David"/>
          <w:sz w:val="24"/>
          <w:szCs w:val="24"/>
          <w:rtl/>
        </w:rPr>
      </w:pPr>
    </w:p>
    <w:p w14:paraId="4E0917E8" w14:textId="77777777" w:rsidR="00B27475" w:rsidRPr="004A5120" w:rsidRDefault="00B27475" w:rsidP="00B27475">
      <w:pPr>
        <w:spacing w:after="0"/>
        <w:jc w:val="both"/>
        <w:rPr>
          <w:rFonts w:ascii="David" w:hAnsi="David" w:cs="David"/>
          <w:sz w:val="24"/>
          <w:szCs w:val="24"/>
          <w:u w:val="single"/>
          <w:rtl/>
        </w:rPr>
      </w:pPr>
      <w:r w:rsidRPr="004A5120">
        <w:rPr>
          <w:rFonts w:ascii="David" w:hAnsi="David" w:cs="David" w:hint="cs"/>
          <w:sz w:val="24"/>
          <w:szCs w:val="24"/>
          <w:u w:val="single"/>
          <w:rtl/>
        </w:rPr>
        <w:t>הקודיפיקציה במערכות משפטיות אחרות:</w:t>
      </w:r>
    </w:p>
    <w:p w14:paraId="199F34E3" w14:textId="3A8CC2DA" w:rsidR="004B68B6" w:rsidRDefault="004B68B6" w:rsidP="00B27475">
      <w:pPr>
        <w:spacing w:after="0"/>
        <w:jc w:val="both"/>
        <w:rPr>
          <w:rFonts w:ascii="David" w:hAnsi="David" w:cs="David"/>
          <w:sz w:val="24"/>
          <w:szCs w:val="24"/>
          <w:rtl/>
        </w:rPr>
      </w:pPr>
      <w:r>
        <w:rPr>
          <w:rFonts w:ascii="David" w:hAnsi="David" w:cs="David" w:hint="cs"/>
          <w:sz w:val="24"/>
          <w:szCs w:val="24"/>
          <w:rtl/>
        </w:rPr>
        <w:t xml:space="preserve">קודיפיקציה התחילה כהעלאה על הכתב חוקים, שבעבר היו קיימים רק בעל פה. </w:t>
      </w:r>
    </w:p>
    <w:p w14:paraId="08839867" w14:textId="2206CDD2" w:rsidR="004B68B6" w:rsidRDefault="004B68B6" w:rsidP="004B68B6">
      <w:pPr>
        <w:spacing w:after="0"/>
        <w:jc w:val="both"/>
        <w:rPr>
          <w:rFonts w:ascii="David" w:hAnsi="David" w:cs="David"/>
          <w:sz w:val="24"/>
          <w:szCs w:val="24"/>
          <w:rtl/>
        </w:rPr>
      </w:pPr>
      <w:r>
        <w:rPr>
          <w:rFonts w:ascii="David" w:hAnsi="David" w:cs="David" w:hint="cs"/>
          <w:sz w:val="24"/>
          <w:szCs w:val="24"/>
          <w:rtl/>
        </w:rPr>
        <w:t>עם הזמן, המשמעות של המונח השתנ</w:t>
      </w:r>
      <w:r w:rsidR="00A46032">
        <w:rPr>
          <w:rFonts w:ascii="David" w:hAnsi="David" w:cs="David" w:hint="cs"/>
          <w:sz w:val="24"/>
          <w:szCs w:val="24"/>
          <w:rtl/>
        </w:rPr>
        <w:t>ת</w:t>
      </w:r>
      <w:r>
        <w:rPr>
          <w:rFonts w:ascii="David" w:hAnsi="David" w:cs="David" w:hint="cs"/>
          <w:sz w:val="24"/>
          <w:szCs w:val="24"/>
          <w:rtl/>
        </w:rPr>
        <w:t xml:space="preserve">ה, ונכון להיום קודיפיקציה נוגעת לחקיקה נורמטיבית, ע"י גוף בעל סמכות חקיקה (כמו הכנסת, הרשות המחוקקת). </w:t>
      </w:r>
    </w:p>
    <w:p w14:paraId="666847B9" w14:textId="01E3C313" w:rsidR="004B68B6" w:rsidRDefault="004B68B6" w:rsidP="004B68B6">
      <w:pPr>
        <w:spacing w:after="0"/>
        <w:jc w:val="both"/>
        <w:rPr>
          <w:rFonts w:ascii="David" w:hAnsi="David" w:cs="David"/>
          <w:sz w:val="24"/>
          <w:szCs w:val="24"/>
          <w:rtl/>
        </w:rPr>
      </w:pPr>
      <w:r>
        <w:rPr>
          <w:rFonts w:ascii="David" w:hAnsi="David" w:cs="David" w:hint="cs"/>
          <w:sz w:val="24"/>
          <w:szCs w:val="24"/>
          <w:rtl/>
        </w:rPr>
        <w:t>מדובר באיסוף הלכות וחוקים כללים, אשר לא נוגעים לפרט מסוים, אלא קובעים הלכה כללית הנוגעת לכולם (כמו כל חוק שאנחנו מכירים, חוק העונשין, פקודת הנזיקין וכו').</w:t>
      </w:r>
    </w:p>
    <w:p w14:paraId="5E360477" w14:textId="77777777" w:rsidR="00BA7073" w:rsidRPr="004A5120" w:rsidRDefault="00BA7073" w:rsidP="00B27475">
      <w:pPr>
        <w:spacing w:after="0"/>
        <w:jc w:val="both"/>
        <w:rPr>
          <w:rFonts w:ascii="David" w:hAnsi="David" w:cs="David"/>
          <w:sz w:val="24"/>
          <w:szCs w:val="24"/>
          <w:rtl/>
        </w:rPr>
      </w:pPr>
    </w:p>
    <w:p w14:paraId="4842D50B" w14:textId="77777777" w:rsidR="00BA7073" w:rsidRPr="004A5120" w:rsidRDefault="00BA7073" w:rsidP="00B27475">
      <w:pPr>
        <w:spacing w:after="0"/>
        <w:jc w:val="both"/>
        <w:rPr>
          <w:rFonts w:ascii="David" w:hAnsi="David" w:cs="David"/>
          <w:sz w:val="24"/>
          <w:szCs w:val="24"/>
          <w:u w:val="single"/>
          <w:rtl/>
        </w:rPr>
      </w:pPr>
      <w:r w:rsidRPr="004A5120">
        <w:rPr>
          <w:rFonts w:ascii="David" w:hAnsi="David" w:cs="David" w:hint="cs"/>
          <w:sz w:val="24"/>
          <w:szCs w:val="24"/>
          <w:u w:val="single"/>
          <w:rtl/>
        </w:rPr>
        <w:t>הקודיפיקציה בארצות הקונטיננט האירופי:</w:t>
      </w:r>
    </w:p>
    <w:p w14:paraId="748457C0" w14:textId="315CFB24" w:rsidR="00B27475" w:rsidRPr="004A5120" w:rsidRDefault="00BA7073" w:rsidP="00B27475">
      <w:pPr>
        <w:spacing w:after="0"/>
        <w:jc w:val="both"/>
        <w:rPr>
          <w:rFonts w:ascii="David" w:hAnsi="David" w:cs="David"/>
          <w:sz w:val="24"/>
          <w:szCs w:val="24"/>
          <w:rtl/>
        </w:rPr>
      </w:pPr>
      <w:r w:rsidRPr="004A5120">
        <w:rPr>
          <w:rFonts w:ascii="David" w:hAnsi="David" w:cs="David" w:hint="cs"/>
          <w:sz w:val="24"/>
          <w:szCs w:val="24"/>
          <w:rtl/>
        </w:rPr>
        <w:t>הוגי הקודיפיקציות הגדולות במאה ה19 - מטרתם הייתה לקבץ את כל ההוראות הנורמטיביות שבענף משפטי מסוים, בצורה מסודרת ובסגנון בהיר וברור, בקובץ אחד. הם קיוו ליצור קובץ שיאפשר לאזרח הפשוט להבין אותו, תוך שהוא מלווה בהוראות המזהירות את השופטים מאקטיביזם קיצוני.  את מטרתם השיגו רק בצורה חלקית.</w:t>
      </w:r>
    </w:p>
    <w:p w14:paraId="571B5185" w14:textId="4E13330F" w:rsidR="00EE2CDF" w:rsidRPr="004A5120" w:rsidRDefault="00EE2CDF" w:rsidP="00B27475">
      <w:pPr>
        <w:spacing w:after="0"/>
        <w:jc w:val="both"/>
        <w:rPr>
          <w:rFonts w:ascii="David" w:hAnsi="David" w:cs="David"/>
          <w:sz w:val="24"/>
          <w:szCs w:val="24"/>
          <w:rtl/>
        </w:rPr>
      </w:pPr>
    </w:p>
    <w:p w14:paraId="519A94D3" w14:textId="3918AF96" w:rsidR="00EE2CDF" w:rsidRPr="004A5120" w:rsidRDefault="00EE2CDF" w:rsidP="00B27475">
      <w:pPr>
        <w:spacing w:after="0"/>
        <w:jc w:val="both"/>
        <w:rPr>
          <w:rFonts w:ascii="David" w:hAnsi="David" w:cs="David"/>
          <w:sz w:val="24"/>
          <w:szCs w:val="24"/>
          <w:u w:val="single"/>
          <w:rtl/>
        </w:rPr>
      </w:pPr>
      <w:r w:rsidRPr="004A5120">
        <w:rPr>
          <w:rFonts w:ascii="David" w:hAnsi="David" w:cs="David" w:hint="cs"/>
          <w:sz w:val="24"/>
          <w:szCs w:val="24"/>
          <w:u w:val="single"/>
          <w:rtl/>
        </w:rPr>
        <w:t>מהותה של הקודיפיקציה במשפט העברי:</w:t>
      </w:r>
    </w:p>
    <w:p w14:paraId="0314E490" w14:textId="17B1D1D7" w:rsidR="00EE2CDF" w:rsidRPr="004A5120" w:rsidRDefault="00EE2CD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אופי ההלכה וכוחה הגדול טמון במסורת הדורות, על כן לא יכלה לקבל על עצמה את מטרת הקודיפיקציה לפיה יהיה קובץ אחד ברור, אשר ימחק את כל מה שקדם לו.</w:t>
      </w:r>
    </w:p>
    <w:p w14:paraId="420C707C" w14:textId="1A6ED469" w:rsidR="00EE2CDF" w:rsidRPr="004A5120" w:rsidRDefault="00EE2CD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מהות הלימוד מדור לדור בהלכה היא אקסיומה. אף שהרמב"ם </w:t>
      </w:r>
      <w:r w:rsidR="00065DE0" w:rsidRPr="004A5120">
        <w:rPr>
          <w:rFonts w:ascii="David" w:hAnsi="David" w:cs="David" w:hint="cs"/>
          <w:sz w:val="24"/>
          <w:szCs w:val="24"/>
          <w:rtl/>
        </w:rPr>
        <w:t>בקודקס</w:t>
      </w:r>
      <w:r w:rsidRPr="004A5120">
        <w:rPr>
          <w:rFonts w:ascii="David" w:hAnsi="David" w:cs="David" w:hint="cs"/>
          <w:sz w:val="24"/>
          <w:szCs w:val="24"/>
          <w:rtl/>
        </w:rPr>
        <w:t xml:space="preserve"> שלו, "משנה תורה", הגדיר שזהו החיבור היחיד שיש בו צורך, גם הוא לא ראה בספרו מקור הסמכות. מטרתו הייתה לאחד בספרו את כל הדינים, מבלי שתיתכן סתירה בינו לבין התורה מסיני.</w:t>
      </w:r>
    </w:p>
    <w:p w14:paraId="7B7B2C7B" w14:textId="4419F798" w:rsidR="00EE2CDF" w:rsidRPr="004A5120" w:rsidRDefault="00EE2CD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התורה מסיני (בכתב ובעל פה), היא מקור הסמכות של ההלכה וראש סולם ערכיה.</w:t>
      </w:r>
    </w:p>
    <w:p w14:paraId="333C58E9" w14:textId="1B489475" w:rsidR="00EE2CDF" w:rsidRPr="004A5120" w:rsidRDefault="00EE2CDF"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ההלכה לא מאפשר לקודיפיקטור לשנות דין מדיני ההלכה, אך היא כן מאפשרת ליצור ספר אשר יאפשר הכרעה משפטית על פיו בלבד </w:t>
      </w:r>
      <w:r w:rsidRPr="004A5120">
        <w:rPr>
          <w:rFonts w:ascii="David" w:hAnsi="David" w:cs="David"/>
          <w:sz w:val="24"/>
          <w:szCs w:val="24"/>
          <w:rtl/>
        </w:rPr>
        <w:t>–</w:t>
      </w:r>
      <w:r w:rsidRPr="004A5120">
        <w:rPr>
          <w:rFonts w:ascii="David" w:hAnsi="David" w:cs="David" w:hint="cs"/>
          <w:sz w:val="24"/>
          <w:szCs w:val="24"/>
          <w:rtl/>
        </w:rPr>
        <w:t xml:space="preserve"> לכך כיוון הרמב"ם.</w:t>
      </w:r>
    </w:p>
    <w:p w14:paraId="4A741E2D" w14:textId="13461310" w:rsidR="00EE2CDF" w:rsidRPr="004A5120" w:rsidRDefault="0054627A"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ניתן לראות ב"משנה תורה" מעין קודקס </w:t>
      </w:r>
      <w:r w:rsidRPr="004A5120">
        <w:rPr>
          <w:rFonts w:ascii="David" w:hAnsi="David" w:cs="David"/>
          <w:sz w:val="24"/>
          <w:szCs w:val="24"/>
          <w:rtl/>
        </w:rPr>
        <w:t>–</w:t>
      </w:r>
      <w:r w:rsidRPr="004A5120">
        <w:rPr>
          <w:rFonts w:ascii="David" w:hAnsi="David" w:cs="David" w:hint="cs"/>
          <w:sz w:val="24"/>
          <w:szCs w:val="24"/>
          <w:rtl/>
        </w:rPr>
        <w:t xml:space="preserve"> ספר המיועד לכלול את כל מערכת ההלכה.</w:t>
      </w:r>
    </w:p>
    <w:p w14:paraId="025616C5" w14:textId="15BC8C10" w:rsidR="0054627A" w:rsidRPr="004A5120" w:rsidRDefault="0054627A" w:rsidP="0054627A">
      <w:pPr>
        <w:spacing w:after="0"/>
        <w:jc w:val="both"/>
        <w:rPr>
          <w:rFonts w:ascii="David" w:hAnsi="David" w:cs="David"/>
          <w:sz w:val="24"/>
          <w:szCs w:val="24"/>
          <w:rtl/>
        </w:rPr>
      </w:pPr>
    </w:p>
    <w:p w14:paraId="7D55F4AF" w14:textId="04DBFFE4" w:rsidR="0054627A" w:rsidRPr="004A5120" w:rsidRDefault="0054627A" w:rsidP="0054627A">
      <w:pPr>
        <w:spacing w:after="0"/>
        <w:jc w:val="both"/>
        <w:rPr>
          <w:rFonts w:ascii="David" w:hAnsi="David" w:cs="David"/>
          <w:sz w:val="24"/>
          <w:szCs w:val="24"/>
          <w:u w:val="single"/>
          <w:rtl/>
        </w:rPr>
      </w:pPr>
      <w:r w:rsidRPr="004A5120">
        <w:rPr>
          <w:rFonts w:ascii="David" w:hAnsi="David" w:cs="David" w:hint="cs"/>
          <w:sz w:val="24"/>
          <w:szCs w:val="24"/>
          <w:u w:val="single"/>
          <w:rtl/>
        </w:rPr>
        <w:t xml:space="preserve">קושי ביצירת קודקס </w:t>
      </w:r>
      <w:r w:rsidRPr="004A5120">
        <w:rPr>
          <w:rFonts w:ascii="David" w:hAnsi="David" w:cs="David"/>
          <w:sz w:val="24"/>
          <w:szCs w:val="24"/>
          <w:u w:val="single"/>
          <w:rtl/>
        </w:rPr>
        <w:t>–</w:t>
      </w:r>
      <w:r w:rsidRPr="004A5120">
        <w:rPr>
          <w:rFonts w:ascii="David" w:hAnsi="David" w:cs="David" w:hint="cs"/>
          <w:sz w:val="24"/>
          <w:szCs w:val="24"/>
          <w:u w:val="single"/>
          <w:rtl/>
        </w:rPr>
        <w:t xml:space="preserve"> ניתוק ההלכה ממקורה:</w:t>
      </w:r>
    </w:p>
    <w:p w14:paraId="06F47937" w14:textId="6ED7A0B4"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t>התפתחו של המשפט העברי היה באמצעות פתרון בעיות קונקרטיות, ולא באמצעות קביעת עקרונות מראש. נשאלת השאלה באם למערכת ההלכתית יש מקום למגמה קודיפיאקטיבית.</w:t>
      </w:r>
    </w:p>
    <w:p w14:paraId="613D1CE3" w14:textId="008A2848" w:rsidR="0054627A" w:rsidRPr="004A5120" w:rsidRDefault="0054627A" w:rsidP="0054627A">
      <w:pPr>
        <w:spacing w:after="0"/>
        <w:jc w:val="both"/>
        <w:rPr>
          <w:rFonts w:ascii="David" w:hAnsi="David" w:cs="David"/>
          <w:sz w:val="24"/>
          <w:szCs w:val="24"/>
          <w:rtl/>
        </w:rPr>
      </w:pPr>
    </w:p>
    <w:p w14:paraId="6119E6BC" w14:textId="3958FFCE"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t>אכן ישנו קושי ביצירת קודקס הלכתי, אך היו מספר גורמים שדרשו קיום של אחד כזה; התחום ההיסטורי, בתחום החינוכי ובתחום ההלכתי.  נולד הצורך לגשר בין אלו התומכים ביצירת קודקס לבין אלו שלא.</w:t>
      </w:r>
    </w:p>
    <w:p w14:paraId="265A5861" w14:textId="420166B5"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t>במשנת רבי יהודה הנשיא, ראינו ניסיון ראשון ליצירת קודקס של התורה שבעל פה. מצד אחד, רצון להחזיר להלכה את אחידותה, תלמידים שמתמעטים ומגמה להקל על ידיעה וזיכרון ההלכות.</w:t>
      </w:r>
    </w:p>
    <w:p w14:paraId="4ACDFEE7" w14:textId="5B32A348"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t>מנגד, רבי נהג לציין גם דעות שונות, על מנת לשמור על הקשר בין מערכת ההלכה לרציפות המסורת.</w:t>
      </w:r>
    </w:p>
    <w:p w14:paraId="40AEF033" w14:textId="201E8914"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lastRenderedPageBreak/>
        <w:t>פתרון זה של רבי היה נכון לתקופת המשנה, אך לא היה יעיל לקודיפיקציה העתידית.</w:t>
      </w:r>
    </w:p>
    <w:p w14:paraId="4E7D9A5C" w14:textId="717FBFFD" w:rsidR="0054627A" w:rsidRPr="004A5120" w:rsidRDefault="0054627A" w:rsidP="0054627A">
      <w:pPr>
        <w:spacing w:after="0"/>
        <w:jc w:val="both"/>
        <w:rPr>
          <w:rFonts w:ascii="David" w:hAnsi="David" w:cs="David"/>
          <w:sz w:val="24"/>
          <w:szCs w:val="24"/>
          <w:rtl/>
        </w:rPr>
      </w:pPr>
    </w:p>
    <w:p w14:paraId="4CF52F4A" w14:textId="13002183" w:rsidR="0054627A" w:rsidRPr="004A5120" w:rsidRDefault="0054627A" w:rsidP="0054627A">
      <w:pPr>
        <w:spacing w:after="0"/>
        <w:jc w:val="both"/>
        <w:rPr>
          <w:rFonts w:ascii="David" w:hAnsi="David" w:cs="David"/>
          <w:sz w:val="24"/>
          <w:szCs w:val="24"/>
          <w:rtl/>
        </w:rPr>
      </w:pPr>
      <w:r w:rsidRPr="004A5120">
        <w:rPr>
          <w:rFonts w:ascii="David" w:hAnsi="David" w:cs="David" w:hint="cs"/>
          <w:sz w:val="24"/>
          <w:szCs w:val="24"/>
          <w:rtl/>
        </w:rPr>
        <w:t xml:space="preserve">מתקופת הגאונים ניתן לראות ניסיונות רבים למצוא פתרונות </w:t>
      </w:r>
      <w:r w:rsidR="007D72CF" w:rsidRPr="004A5120">
        <w:rPr>
          <w:rFonts w:ascii="David" w:hAnsi="David" w:cs="David" w:hint="cs"/>
          <w:sz w:val="24"/>
          <w:szCs w:val="24"/>
          <w:rtl/>
        </w:rPr>
        <w:t>לקודיפיקציה של ההלכה, מתוך ניסיונות אלו עלו שלושה סוגי חיבורים עיקריים: ספרי הלכות, ספרי פסקים ושילוב של השניים.</w:t>
      </w:r>
    </w:p>
    <w:p w14:paraId="2DF33ADE" w14:textId="055FA236" w:rsidR="00337354" w:rsidRPr="004A5120" w:rsidRDefault="00337354" w:rsidP="00337354">
      <w:pPr>
        <w:pStyle w:val="a3"/>
        <w:spacing w:after="0"/>
        <w:jc w:val="both"/>
        <w:rPr>
          <w:rFonts w:ascii="David" w:hAnsi="David" w:cs="David"/>
          <w:sz w:val="24"/>
          <w:szCs w:val="24"/>
        </w:rPr>
      </w:pPr>
    </w:p>
    <w:p w14:paraId="49A9C810" w14:textId="2C766C90" w:rsidR="009402DB" w:rsidRPr="004A5120" w:rsidRDefault="009402DB" w:rsidP="009402DB">
      <w:pPr>
        <w:spacing w:after="0"/>
        <w:jc w:val="both"/>
        <w:rPr>
          <w:rFonts w:ascii="David" w:hAnsi="David" w:cs="David"/>
          <w:sz w:val="24"/>
          <w:szCs w:val="24"/>
          <w:rtl/>
        </w:rPr>
      </w:pPr>
    </w:p>
    <w:p w14:paraId="562F94A5" w14:textId="6E3932AA" w:rsidR="009402DB" w:rsidRPr="004A5120" w:rsidRDefault="009402DB" w:rsidP="009402DB">
      <w:pPr>
        <w:spacing w:after="0"/>
        <w:jc w:val="both"/>
        <w:rPr>
          <w:rFonts w:ascii="David" w:hAnsi="David" w:cs="David"/>
          <w:sz w:val="24"/>
          <w:szCs w:val="24"/>
          <w:rtl/>
        </w:rPr>
      </w:pPr>
    </w:p>
    <w:p w14:paraId="23599640" w14:textId="5D6C18B2" w:rsidR="001D7624" w:rsidRPr="00D606EF" w:rsidRDefault="001D7624" w:rsidP="00D606EF">
      <w:pPr>
        <w:spacing w:after="0"/>
        <w:jc w:val="center"/>
        <w:rPr>
          <w:rFonts w:ascii="David" w:hAnsi="David" w:cs="David"/>
          <w:b/>
          <w:bCs/>
          <w:sz w:val="28"/>
          <w:szCs w:val="28"/>
          <w:u w:val="single"/>
          <w:rtl/>
        </w:rPr>
      </w:pPr>
      <w:r w:rsidRPr="00D606EF">
        <w:rPr>
          <w:rFonts w:ascii="David" w:hAnsi="David" w:cs="David" w:hint="cs"/>
          <w:b/>
          <w:bCs/>
          <w:sz w:val="28"/>
          <w:szCs w:val="28"/>
          <w:u w:val="single"/>
          <w:rtl/>
        </w:rPr>
        <w:t xml:space="preserve">סיכום </w:t>
      </w:r>
      <w:r w:rsidR="00D606EF">
        <w:rPr>
          <w:rFonts w:ascii="David" w:hAnsi="David" w:cs="David" w:hint="cs"/>
          <w:b/>
          <w:bCs/>
          <w:sz w:val="28"/>
          <w:szCs w:val="28"/>
          <w:u w:val="single"/>
          <w:rtl/>
        </w:rPr>
        <w:t>קובץ</w:t>
      </w:r>
      <w:r w:rsidRPr="00D606EF">
        <w:rPr>
          <w:rFonts w:ascii="David" w:hAnsi="David" w:cs="David" w:hint="cs"/>
          <w:b/>
          <w:bCs/>
          <w:sz w:val="28"/>
          <w:szCs w:val="28"/>
          <w:u w:val="single"/>
          <w:rtl/>
        </w:rPr>
        <w:t xml:space="preserve"> 5</w:t>
      </w:r>
    </w:p>
    <w:p w14:paraId="6ACF305C" w14:textId="297F2B17" w:rsidR="001D7624" w:rsidRPr="004A5120" w:rsidRDefault="001D7624" w:rsidP="009402DB">
      <w:pPr>
        <w:spacing w:after="0"/>
        <w:jc w:val="both"/>
        <w:rPr>
          <w:rFonts w:ascii="David" w:hAnsi="David" w:cs="David"/>
          <w:b/>
          <w:bCs/>
          <w:sz w:val="24"/>
          <w:szCs w:val="24"/>
          <w:rtl/>
        </w:rPr>
      </w:pPr>
    </w:p>
    <w:p w14:paraId="6CA616E8" w14:textId="01A36215" w:rsidR="001D7624" w:rsidRPr="007C76BB" w:rsidRDefault="001D7624" w:rsidP="001D7624">
      <w:pPr>
        <w:spacing w:after="0"/>
        <w:jc w:val="both"/>
        <w:rPr>
          <w:rFonts w:ascii="David" w:hAnsi="David" w:cs="David"/>
          <w:sz w:val="24"/>
          <w:szCs w:val="24"/>
          <w:u w:val="single"/>
          <w:rtl/>
        </w:rPr>
      </w:pPr>
      <w:r w:rsidRPr="007C76BB">
        <w:rPr>
          <w:rFonts w:ascii="David" w:hAnsi="David" w:cs="David" w:hint="cs"/>
          <w:sz w:val="24"/>
          <w:szCs w:val="24"/>
          <w:u w:val="single"/>
          <w:rtl/>
        </w:rPr>
        <w:t>ספרות הפוסקים בתקופת הגאונים ועד "משנה תורה" לרמב"ם:</w:t>
      </w:r>
    </w:p>
    <w:p w14:paraId="73F65DD2" w14:textId="0AB4CA8B" w:rsidR="001D7624" w:rsidRPr="004A5120" w:rsidRDefault="001D7624" w:rsidP="001D7624">
      <w:pPr>
        <w:spacing w:after="0"/>
        <w:jc w:val="both"/>
        <w:rPr>
          <w:rFonts w:ascii="David" w:hAnsi="David" w:cs="David"/>
          <w:sz w:val="24"/>
          <w:szCs w:val="24"/>
          <w:rtl/>
        </w:rPr>
      </w:pPr>
      <w:r w:rsidRPr="004A5120">
        <w:rPr>
          <w:rFonts w:ascii="David" w:hAnsi="David" w:cs="David" w:hint="cs"/>
          <w:sz w:val="24"/>
          <w:szCs w:val="24"/>
          <w:rtl/>
        </w:rPr>
        <w:t>המשותף הוא השיוך הספרותי שלהם שהיה לספרי ההלכות. כלומר, מגמתם הייתה לקבץ את המסקנה והפסיקה, שקדם להם דיון קצר ותמציתי במקורות התלמוד.</w:t>
      </w:r>
    </w:p>
    <w:p w14:paraId="54CADDE8" w14:textId="05AFFBF4" w:rsidR="001D7624" w:rsidRPr="004A5120" w:rsidRDefault="001D7624" w:rsidP="001D7624">
      <w:pPr>
        <w:spacing w:after="0"/>
        <w:jc w:val="both"/>
        <w:rPr>
          <w:rFonts w:ascii="David" w:hAnsi="David" w:cs="David"/>
          <w:sz w:val="24"/>
          <w:szCs w:val="24"/>
          <w:rtl/>
        </w:rPr>
      </w:pPr>
    </w:p>
    <w:p w14:paraId="4B617DFB" w14:textId="2F8AEC47" w:rsidR="001D7624" w:rsidRPr="004A5120" w:rsidRDefault="001D7624" w:rsidP="001D7624">
      <w:pPr>
        <w:spacing w:after="0"/>
        <w:jc w:val="both"/>
        <w:rPr>
          <w:rFonts w:ascii="David" w:hAnsi="David" w:cs="David"/>
          <w:sz w:val="24"/>
          <w:szCs w:val="24"/>
          <w:u w:val="single"/>
          <w:rtl/>
        </w:rPr>
      </w:pPr>
      <w:r w:rsidRPr="004A5120">
        <w:rPr>
          <w:rFonts w:ascii="David" w:hAnsi="David" w:cs="David" w:hint="cs"/>
          <w:sz w:val="24"/>
          <w:szCs w:val="24"/>
          <w:u w:val="single"/>
          <w:rtl/>
        </w:rPr>
        <w:t>ספר שאילתות לרב אחא משבחא:</w:t>
      </w:r>
    </w:p>
    <w:p w14:paraId="7F97326F" w14:textId="48DFAE3E" w:rsidR="001D7624" w:rsidRPr="004A5120" w:rsidRDefault="001D7624" w:rsidP="001D7624">
      <w:pPr>
        <w:spacing w:after="0"/>
        <w:jc w:val="both"/>
        <w:rPr>
          <w:rFonts w:ascii="David" w:hAnsi="David" w:cs="David"/>
          <w:sz w:val="24"/>
          <w:szCs w:val="24"/>
          <w:rtl/>
        </w:rPr>
      </w:pPr>
      <w:r w:rsidRPr="004A5120">
        <w:rPr>
          <w:rFonts w:ascii="David" w:hAnsi="David" w:cs="David" w:hint="cs"/>
          <w:sz w:val="24"/>
          <w:szCs w:val="24"/>
          <w:rtl/>
        </w:rPr>
        <w:t xml:space="preserve">ספרו של אחא משבחא, הראשון שנכתב אחרי חתימת התלמוד. רב אחא היה מועמד לכהן כגאון בראש ישיבת פומבדיתא, אך לבסוף מינו את תלמידו והוא עלה ארצה, פה נפטר מבלי שנתמנה רשמית לתפקיד גאון. </w:t>
      </w:r>
    </w:p>
    <w:p w14:paraId="482C4DA0" w14:textId="66AAC971" w:rsidR="001D7624" w:rsidRPr="004A5120" w:rsidRDefault="001D7624" w:rsidP="001D7624">
      <w:pPr>
        <w:spacing w:after="0"/>
        <w:jc w:val="both"/>
        <w:rPr>
          <w:rFonts w:ascii="David" w:hAnsi="David" w:cs="David"/>
          <w:sz w:val="24"/>
          <w:szCs w:val="24"/>
          <w:rtl/>
        </w:rPr>
      </w:pPr>
    </w:p>
    <w:p w14:paraId="40FED77B" w14:textId="3DF7F15B" w:rsidR="001D7624" w:rsidRPr="004A5120" w:rsidRDefault="001D7624" w:rsidP="001D7624">
      <w:pPr>
        <w:spacing w:after="0"/>
        <w:jc w:val="both"/>
        <w:rPr>
          <w:rFonts w:ascii="David" w:hAnsi="David" w:cs="David"/>
          <w:sz w:val="24"/>
          <w:szCs w:val="24"/>
          <w:u w:val="single"/>
          <w:rtl/>
        </w:rPr>
      </w:pPr>
      <w:r w:rsidRPr="004A5120">
        <w:rPr>
          <w:rFonts w:ascii="David" w:hAnsi="David" w:cs="David" w:hint="cs"/>
          <w:sz w:val="24"/>
          <w:szCs w:val="24"/>
          <w:u w:val="single"/>
          <w:rtl/>
        </w:rPr>
        <w:t>ספר השאילתות לפי החוקרים:</w:t>
      </w:r>
    </w:p>
    <w:p w14:paraId="6BF30C11" w14:textId="12EA979E"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בעיקר לקט דרשות לפי הנוסח והצורה שדרשו חכמים עוד בתקופת התלמוד.</w:t>
      </w:r>
    </w:p>
    <w:p w14:paraId="4CC75367" w14:textId="45843F9F"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היסוד ההלכתי והמגמה הפסקנית הם הבולטים בספר השאילתות.</w:t>
      </w:r>
    </w:p>
    <w:p w14:paraId="7D898D86" w14:textId="7674DF73"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 xml:space="preserve">מבחינה ספרותית, ייחודו בכך שמסודר </w:t>
      </w:r>
      <w:r w:rsidRPr="00372468">
        <w:rPr>
          <w:rFonts w:ascii="David" w:hAnsi="David" w:cs="David" w:hint="cs"/>
          <w:b/>
          <w:bCs/>
          <w:sz w:val="24"/>
          <w:szCs w:val="24"/>
          <w:rtl/>
        </w:rPr>
        <w:t>לפי סדר הפרשות בתורה</w:t>
      </w:r>
      <w:r w:rsidRPr="004A5120">
        <w:rPr>
          <w:rFonts w:ascii="David" w:hAnsi="David" w:cs="David" w:hint="cs"/>
          <w:sz w:val="24"/>
          <w:szCs w:val="24"/>
          <w:rtl/>
        </w:rPr>
        <w:t xml:space="preserve"> ולא </w:t>
      </w:r>
      <w:r w:rsidR="00372468">
        <w:rPr>
          <w:rFonts w:ascii="David" w:hAnsi="David" w:cs="David" w:hint="cs"/>
          <w:sz w:val="24"/>
          <w:szCs w:val="24"/>
          <w:rtl/>
        </w:rPr>
        <w:t>כמו בתלמוד</w:t>
      </w:r>
      <w:r w:rsidRPr="004A5120">
        <w:rPr>
          <w:rFonts w:ascii="David" w:hAnsi="David" w:cs="David" w:hint="cs"/>
          <w:sz w:val="24"/>
          <w:szCs w:val="24"/>
          <w:rtl/>
        </w:rPr>
        <w:t>.</w:t>
      </w:r>
    </w:p>
    <w:p w14:paraId="642C6B80" w14:textId="15F6F158"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בכל שאילתא ד</w:t>
      </w:r>
      <w:r w:rsidR="00B6626A" w:rsidRPr="004A5120">
        <w:rPr>
          <w:rFonts w:ascii="David" w:hAnsi="David" w:cs="David" w:hint="cs"/>
          <w:sz w:val="24"/>
          <w:szCs w:val="24"/>
          <w:rtl/>
        </w:rPr>
        <w:t>נים</w:t>
      </w:r>
      <w:r w:rsidRPr="004A5120">
        <w:rPr>
          <w:rFonts w:ascii="David" w:hAnsi="David" w:cs="David" w:hint="cs"/>
          <w:sz w:val="24"/>
          <w:szCs w:val="24"/>
          <w:rtl/>
        </w:rPr>
        <w:t xml:space="preserve"> בנושא הלכתי מסוים, תוך הסמכת השאילתא לפרשה דומה בתורה.</w:t>
      </w:r>
    </w:p>
    <w:p w14:paraId="3D9582F4" w14:textId="23DD6B99" w:rsidR="00B6626A" w:rsidRPr="004A5120" w:rsidRDefault="00B6626A"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לאו דווקא הולכים למקור ההלכתי בתורה, אלא לעתים יציינו פרשה המופיעה כסיפור.</w:t>
      </w:r>
    </w:p>
    <w:p w14:paraId="00758695" w14:textId="0D128B39" w:rsidR="00B6626A" w:rsidRPr="004A5120" w:rsidRDefault="00B6626A" w:rsidP="00B6626A">
      <w:pPr>
        <w:spacing w:after="0"/>
        <w:jc w:val="both"/>
        <w:rPr>
          <w:rFonts w:ascii="David" w:hAnsi="David" w:cs="David"/>
          <w:sz w:val="24"/>
          <w:szCs w:val="24"/>
          <w:rtl/>
        </w:rPr>
      </w:pPr>
    </w:p>
    <w:p w14:paraId="1B73BEAF" w14:textId="66DF7989" w:rsidR="00B6626A" w:rsidRPr="004A5120" w:rsidRDefault="00B6626A" w:rsidP="00B6626A">
      <w:pPr>
        <w:spacing w:after="0"/>
        <w:jc w:val="both"/>
        <w:rPr>
          <w:rFonts w:ascii="David" w:hAnsi="David" w:cs="David"/>
          <w:sz w:val="24"/>
          <w:szCs w:val="24"/>
          <w:u w:val="single"/>
          <w:rtl/>
        </w:rPr>
      </w:pPr>
      <w:r w:rsidRPr="004A5120">
        <w:rPr>
          <w:rFonts w:ascii="David" w:hAnsi="David" w:cs="David" w:hint="cs"/>
          <w:sz w:val="24"/>
          <w:szCs w:val="24"/>
          <w:u w:val="single"/>
          <w:rtl/>
        </w:rPr>
        <w:t>דוגמאות לעיגון לפי פרשה ולא לפי המקור ההלכתי:</w:t>
      </w:r>
    </w:p>
    <w:p w14:paraId="26465CAE" w14:textId="49A1E413" w:rsidR="00B6626A" w:rsidRPr="004A5120" w:rsidRDefault="00B6626A"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דיני גניבה וגזילה, מוצמדים לפרשת נוח, בה מסופר על דור המבול, שהיה דור של אנשים מושחתים שהרבו לגנוב ולגזול. היה יותר טבעי שיציגו את איסור הגניבה מעשרת הדברות.</w:t>
      </w:r>
    </w:p>
    <w:p w14:paraId="62B77CB3" w14:textId="714E2522" w:rsidR="00B6626A" w:rsidRPr="004A5120" w:rsidRDefault="00B6626A"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דיני קידושין על ידי שליח, בצמוד לפרשת חיי שרה, שם מסופר שאברהם שולח את עבדו לקדש אישה ליצחק בנו.</w:t>
      </w:r>
    </w:p>
    <w:p w14:paraId="5DF37E63" w14:textId="12C40A4D" w:rsidR="00B6626A" w:rsidRPr="004A5120" w:rsidRDefault="00B6626A"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דיני שומרים, לכאורה אמו</w:t>
      </w:r>
      <w:r w:rsidR="00065DE0" w:rsidRPr="004A5120">
        <w:rPr>
          <w:rFonts w:ascii="David" w:hAnsi="David" w:cs="David" w:hint="cs"/>
          <w:sz w:val="24"/>
          <w:szCs w:val="24"/>
          <w:rtl/>
        </w:rPr>
        <w:t>ר</w:t>
      </w:r>
      <w:r w:rsidRPr="004A5120">
        <w:rPr>
          <w:rFonts w:ascii="David" w:hAnsi="David" w:cs="David" w:hint="cs"/>
          <w:sz w:val="24"/>
          <w:szCs w:val="24"/>
          <w:rtl/>
        </w:rPr>
        <w:t xml:space="preserve">ים להיות בפרשת משפטים. בפועל מופיעים בפרש ויצא </w:t>
      </w:r>
      <w:r w:rsidRPr="004A5120">
        <w:rPr>
          <w:rFonts w:ascii="David" w:hAnsi="David" w:cs="David"/>
          <w:sz w:val="24"/>
          <w:szCs w:val="24"/>
          <w:rtl/>
        </w:rPr>
        <w:t>–</w:t>
      </w:r>
      <w:r w:rsidRPr="004A5120">
        <w:rPr>
          <w:rFonts w:ascii="David" w:hAnsi="David" w:cs="David" w:hint="cs"/>
          <w:sz w:val="24"/>
          <w:szCs w:val="24"/>
          <w:rtl/>
        </w:rPr>
        <w:t xml:space="preserve"> שם מסופר על יעקב ששמר את צאנו של לבן.</w:t>
      </w:r>
    </w:p>
    <w:p w14:paraId="4D3EDECB" w14:textId="349D00EB" w:rsidR="00B6626A" w:rsidRPr="004A5120" w:rsidRDefault="00B6626A"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 xml:space="preserve">דיני ערבות </w:t>
      </w:r>
      <w:r w:rsidRPr="004A5120">
        <w:rPr>
          <w:rFonts w:ascii="David" w:hAnsi="David" w:cs="David"/>
          <w:sz w:val="24"/>
          <w:szCs w:val="24"/>
          <w:rtl/>
        </w:rPr>
        <w:t>–</w:t>
      </w:r>
      <w:r w:rsidRPr="004A5120">
        <w:rPr>
          <w:rFonts w:ascii="David" w:hAnsi="David" w:cs="David" w:hint="cs"/>
          <w:sz w:val="24"/>
          <w:szCs w:val="24"/>
          <w:rtl/>
        </w:rPr>
        <w:t xml:space="preserve"> מופיעים בפרשת מקץ </w:t>
      </w:r>
      <w:r w:rsidRPr="004A5120">
        <w:rPr>
          <w:rFonts w:ascii="David" w:hAnsi="David" w:cs="David"/>
          <w:sz w:val="24"/>
          <w:szCs w:val="24"/>
          <w:rtl/>
        </w:rPr>
        <w:t>–</w:t>
      </w:r>
      <w:r w:rsidRPr="004A5120">
        <w:rPr>
          <w:rFonts w:ascii="David" w:hAnsi="David" w:cs="David" w:hint="cs"/>
          <w:sz w:val="24"/>
          <w:szCs w:val="24"/>
          <w:rtl/>
        </w:rPr>
        <w:t xml:space="preserve"> שם מסופר על יהודה שערב ליעקב בעבור בנימין.</w:t>
      </w:r>
    </w:p>
    <w:p w14:paraId="06390500" w14:textId="6EF3265E" w:rsidR="00B6626A" w:rsidRPr="004A5120" w:rsidRDefault="00B6626A" w:rsidP="00B6626A">
      <w:pPr>
        <w:spacing w:after="0"/>
        <w:jc w:val="both"/>
        <w:rPr>
          <w:rFonts w:ascii="David" w:hAnsi="David" w:cs="David"/>
          <w:sz w:val="24"/>
          <w:szCs w:val="24"/>
          <w:u w:val="single"/>
          <w:rtl/>
        </w:rPr>
      </w:pPr>
    </w:p>
    <w:p w14:paraId="0113D658" w14:textId="30AFDB62" w:rsidR="00B6626A" w:rsidRPr="004A5120" w:rsidRDefault="00B6626A" w:rsidP="00B6626A">
      <w:pPr>
        <w:spacing w:after="0"/>
        <w:jc w:val="both"/>
        <w:rPr>
          <w:rFonts w:ascii="David" w:hAnsi="David" w:cs="David"/>
          <w:sz w:val="24"/>
          <w:szCs w:val="24"/>
          <w:u w:val="single"/>
          <w:rtl/>
        </w:rPr>
      </w:pPr>
      <w:r w:rsidRPr="004A5120">
        <w:rPr>
          <w:rFonts w:ascii="David" w:hAnsi="David" w:cs="David" w:hint="cs"/>
          <w:sz w:val="24"/>
          <w:szCs w:val="24"/>
          <w:u w:val="single"/>
          <w:rtl/>
        </w:rPr>
        <w:t xml:space="preserve">המבנה הייחודי של השאילתא </w:t>
      </w:r>
      <w:r w:rsidRPr="004A5120">
        <w:rPr>
          <w:rFonts w:ascii="David" w:hAnsi="David" w:cs="David"/>
          <w:sz w:val="24"/>
          <w:szCs w:val="24"/>
          <w:u w:val="single"/>
          <w:rtl/>
        </w:rPr>
        <w:t>–</w:t>
      </w:r>
      <w:r w:rsidRPr="004A5120">
        <w:rPr>
          <w:rFonts w:ascii="David" w:hAnsi="David" w:cs="David" w:hint="cs"/>
          <w:sz w:val="24"/>
          <w:szCs w:val="24"/>
          <w:u w:val="single"/>
          <w:rtl/>
        </w:rPr>
        <w:t xml:space="preserve"> 4 חלקים:</w:t>
      </w:r>
    </w:p>
    <w:p w14:paraId="6580124B" w14:textId="319CEE5F"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מבוא כללי לנושא ההלכתי המרכזי בשאילתא, שם מובא הער</w:t>
      </w:r>
      <w:r w:rsidR="00991552">
        <w:rPr>
          <w:rFonts w:ascii="David" w:hAnsi="David" w:cs="David" w:hint="cs"/>
          <w:sz w:val="24"/>
          <w:szCs w:val="24"/>
          <w:rtl/>
        </w:rPr>
        <w:t>ך</w:t>
      </w:r>
      <w:r w:rsidRPr="004A5120">
        <w:rPr>
          <w:rFonts w:ascii="David" w:hAnsi="David" w:cs="David" w:hint="cs"/>
          <w:sz w:val="24"/>
          <w:szCs w:val="24"/>
          <w:rtl/>
        </w:rPr>
        <w:t xml:space="preserve"> המוסרי של ההלכה בצירוף מאמרי הלכה שייכים בנושא.</w:t>
      </w:r>
    </w:p>
    <w:p w14:paraId="491C8503" w14:textId="7EF6E3C6"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 xml:space="preserve">בעיה הלכתית שקשורה לנושא. פותח ב:"ברם צריך את למילף" </w:t>
      </w:r>
      <w:r w:rsidRPr="004A5120">
        <w:rPr>
          <w:rFonts w:ascii="David" w:hAnsi="David" w:cs="David"/>
          <w:sz w:val="24"/>
          <w:szCs w:val="24"/>
          <w:rtl/>
        </w:rPr>
        <w:t>–</w:t>
      </w:r>
      <w:r w:rsidRPr="004A5120">
        <w:rPr>
          <w:rFonts w:ascii="David" w:hAnsi="David" w:cs="David" w:hint="cs"/>
          <w:sz w:val="24"/>
          <w:szCs w:val="24"/>
          <w:rtl/>
        </w:rPr>
        <w:t xml:space="preserve"> אבל אתה צריך ללמוד.</w:t>
      </w:r>
    </w:p>
    <w:p w14:paraId="608D2A40" w14:textId="44478EB2"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 xml:space="preserve">הדרשה </w:t>
      </w:r>
      <w:r w:rsidRPr="004A5120">
        <w:rPr>
          <w:rFonts w:ascii="David" w:hAnsi="David" w:cs="David"/>
          <w:sz w:val="24"/>
          <w:szCs w:val="24"/>
          <w:rtl/>
        </w:rPr>
        <w:t>–</w:t>
      </w:r>
      <w:r w:rsidRPr="004A5120">
        <w:rPr>
          <w:rFonts w:ascii="David" w:hAnsi="David" w:cs="David" w:hint="cs"/>
          <w:sz w:val="24"/>
          <w:szCs w:val="24"/>
          <w:rtl/>
        </w:rPr>
        <w:t xml:space="preserve"> פתיחה בשבח לקב"ה על התורה. לאחר מכן דנים בנושא</w:t>
      </w:r>
      <w:r w:rsidR="00A97582" w:rsidRPr="004A5120">
        <w:rPr>
          <w:rFonts w:ascii="David" w:hAnsi="David" w:cs="David" w:hint="cs"/>
          <w:sz w:val="24"/>
          <w:szCs w:val="24"/>
          <w:rtl/>
        </w:rPr>
        <w:t>, כולל הלכות ואגדות.</w:t>
      </w:r>
    </w:p>
    <w:p w14:paraId="083A2067" w14:textId="46DE6E60" w:rsidR="00A97582" w:rsidRPr="004A5120" w:rsidRDefault="00A97582"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פסיקה של הבעיה ההלכתית המוצגת (נקרא ספר), הפתיחה: "ולענין שאילתא דשאילנא".</w:t>
      </w:r>
    </w:p>
    <w:p w14:paraId="5E3D2693" w14:textId="28D1393F" w:rsidR="00A97582" w:rsidRPr="004A5120" w:rsidRDefault="00A97582" w:rsidP="00A97582">
      <w:pPr>
        <w:spacing w:after="0"/>
        <w:jc w:val="both"/>
        <w:rPr>
          <w:rFonts w:ascii="David" w:hAnsi="David" w:cs="David"/>
          <w:sz w:val="24"/>
          <w:szCs w:val="24"/>
          <w:rtl/>
        </w:rPr>
      </w:pPr>
    </w:p>
    <w:p w14:paraId="7D8DE92B" w14:textId="6ED4F09C"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t xml:space="preserve">נכון להיום </w:t>
      </w:r>
      <w:r w:rsidR="00991552">
        <w:rPr>
          <w:rFonts w:ascii="David" w:hAnsi="David" w:cs="David" w:hint="cs"/>
          <w:sz w:val="24"/>
          <w:szCs w:val="24"/>
          <w:rtl/>
        </w:rPr>
        <w:t>ב</w:t>
      </w:r>
      <w:r w:rsidRPr="004A5120">
        <w:rPr>
          <w:rFonts w:ascii="David" w:hAnsi="David" w:cs="David" w:hint="cs"/>
          <w:sz w:val="24"/>
          <w:szCs w:val="24"/>
          <w:rtl/>
        </w:rPr>
        <w:t xml:space="preserve">ספר השאילתות חסר בעיקר חלק </w:t>
      </w:r>
      <w:r w:rsidR="00991552">
        <w:rPr>
          <w:rFonts w:ascii="David" w:hAnsi="David" w:cs="David" w:hint="cs"/>
          <w:sz w:val="24"/>
          <w:szCs w:val="24"/>
          <w:rtl/>
        </w:rPr>
        <w:t>"</w:t>
      </w:r>
      <w:r w:rsidRPr="004A5120">
        <w:rPr>
          <w:rFonts w:ascii="David" w:hAnsi="David" w:cs="David" w:hint="cs"/>
          <w:sz w:val="24"/>
          <w:szCs w:val="24"/>
          <w:rtl/>
        </w:rPr>
        <w:t>הדרשה</w:t>
      </w:r>
      <w:r w:rsidR="00991552">
        <w:rPr>
          <w:rFonts w:ascii="David" w:hAnsi="David" w:cs="David" w:hint="cs"/>
          <w:sz w:val="24"/>
          <w:szCs w:val="24"/>
          <w:rtl/>
        </w:rPr>
        <w:t>"</w:t>
      </w:r>
      <w:r w:rsidRPr="004A5120">
        <w:rPr>
          <w:rFonts w:ascii="David" w:hAnsi="David" w:cs="David" w:hint="cs"/>
          <w:sz w:val="24"/>
          <w:szCs w:val="24"/>
          <w:rtl/>
        </w:rPr>
        <w:t>. ייחודו הוא בשילוב ההלכה והאגדה, צורה של דרשות קדומות במגמה של קביעת מסקנה הלכתית.</w:t>
      </w:r>
    </w:p>
    <w:p w14:paraId="5D34E63D" w14:textId="1A442232" w:rsidR="00A97582" w:rsidRPr="004A5120" w:rsidRDefault="00A97582" w:rsidP="00A97582">
      <w:pPr>
        <w:spacing w:after="0"/>
        <w:jc w:val="both"/>
        <w:rPr>
          <w:rFonts w:ascii="David" w:hAnsi="David" w:cs="David"/>
          <w:sz w:val="24"/>
          <w:szCs w:val="24"/>
          <w:u w:val="single"/>
          <w:rtl/>
        </w:rPr>
      </w:pPr>
      <w:r w:rsidRPr="004A5120">
        <w:rPr>
          <w:rFonts w:ascii="David" w:hAnsi="David" w:cs="David" w:hint="cs"/>
          <w:sz w:val="24"/>
          <w:szCs w:val="24"/>
          <w:u w:val="single"/>
          <w:rtl/>
        </w:rPr>
        <w:t>סיבות להעדפת ספר השאילתות מספרי גאונים:</w:t>
      </w:r>
    </w:p>
    <w:p w14:paraId="42E08C64" w14:textId="34DD41CB" w:rsidR="00A97582" w:rsidRPr="004A5120" w:rsidRDefault="00A97582" w:rsidP="001A492B">
      <w:pPr>
        <w:pStyle w:val="a3"/>
        <w:numPr>
          <w:ilvl w:val="0"/>
          <w:numId w:val="36"/>
        </w:numPr>
        <w:spacing w:after="0"/>
        <w:jc w:val="both"/>
        <w:rPr>
          <w:rFonts w:ascii="David" w:hAnsi="David" w:cs="David"/>
          <w:sz w:val="24"/>
          <w:szCs w:val="24"/>
        </w:rPr>
      </w:pPr>
      <w:r w:rsidRPr="004A5120">
        <w:rPr>
          <w:rFonts w:ascii="David" w:hAnsi="David" w:cs="David" w:hint="cs"/>
          <w:sz w:val="24"/>
          <w:szCs w:val="24"/>
          <w:rtl/>
        </w:rPr>
        <w:t>הוא מקבץ בעיות ודינים בנושאים הלכתיים שונים, תוך פסיקת הלכה וקביעת מסקנה.</w:t>
      </w:r>
    </w:p>
    <w:p w14:paraId="2731D1A7" w14:textId="0D3F030B" w:rsidR="00A97582" w:rsidRPr="004A5120" w:rsidRDefault="00A97582" w:rsidP="001A492B">
      <w:pPr>
        <w:pStyle w:val="a3"/>
        <w:numPr>
          <w:ilvl w:val="0"/>
          <w:numId w:val="36"/>
        </w:numPr>
        <w:spacing w:after="0"/>
        <w:jc w:val="both"/>
        <w:rPr>
          <w:rFonts w:ascii="David" w:hAnsi="David" w:cs="David"/>
          <w:sz w:val="24"/>
          <w:szCs w:val="24"/>
        </w:rPr>
      </w:pPr>
      <w:r w:rsidRPr="004A5120">
        <w:rPr>
          <w:rFonts w:ascii="David" w:hAnsi="David" w:cs="David" w:hint="cs"/>
          <w:sz w:val="24"/>
          <w:szCs w:val="24"/>
          <w:rtl/>
        </w:rPr>
        <w:t>שימש כמקור חשוב להרבה ספרי הלכה שהתחברו אחריו.</w:t>
      </w:r>
    </w:p>
    <w:p w14:paraId="4564702C" w14:textId="696A7487" w:rsidR="00A97582" w:rsidRPr="004A5120" w:rsidRDefault="00A97582" w:rsidP="00A97582">
      <w:pPr>
        <w:spacing w:after="0"/>
        <w:jc w:val="both"/>
        <w:rPr>
          <w:rFonts w:ascii="David" w:hAnsi="David" w:cs="David"/>
          <w:sz w:val="24"/>
          <w:szCs w:val="24"/>
          <w:rtl/>
        </w:rPr>
      </w:pPr>
    </w:p>
    <w:p w14:paraId="3405519C" w14:textId="6C1D1536"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t xml:space="preserve">ישנה אגדה שמספרת שרב אחא כתב את ספר זה לבנו, שלא רצה ללמוד תורה. מגמתו בחיבור הייתה ליצור ספר הלכתי מסכם, שמונגש לכל אדם </w:t>
      </w:r>
      <w:r w:rsidRPr="004A5120">
        <w:rPr>
          <w:rFonts w:ascii="David" w:hAnsi="David" w:cs="David"/>
          <w:sz w:val="24"/>
          <w:szCs w:val="24"/>
          <w:rtl/>
        </w:rPr>
        <w:t>–</w:t>
      </w:r>
      <w:r w:rsidRPr="004A5120">
        <w:rPr>
          <w:rFonts w:ascii="David" w:hAnsi="David" w:cs="David" w:hint="cs"/>
          <w:sz w:val="24"/>
          <w:szCs w:val="24"/>
          <w:rtl/>
        </w:rPr>
        <w:t xml:space="preserve"> תלמיד חכם ואדם פשוט. מגמה חוזרת.</w:t>
      </w:r>
    </w:p>
    <w:p w14:paraId="32C39CA6" w14:textId="155D52AA" w:rsidR="00A97582" w:rsidRPr="004A5120" w:rsidRDefault="00A97582" w:rsidP="00A97582">
      <w:pPr>
        <w:spacing w:after="0"/>
        <w:jc w:val="both"/>
        <w:rPr>
          <w:rFonts w:ascii="David" w:hAnsi="David" w:cs="David"/>
          <w:sz w:val="24"/>
          <w:szCs w:val="24"/>
          <w:rtl/>
        </w:rPr>
      </w:pPr>
    </w:p>
    <w:p w14:paraId="38390CBD" w14:textId="2AA85FC3" w:rsidR="00A97582" w:rsidRPr="004A5120" w:rsidRDefault="00A97582" w:rsidP="00A97582">
      <w:pPr>
        <w:spacing w:after="0"/>
        <w:jc w:val="both"/>
        <w:rPr>
          <w:rFonts w:ascii="David" w:hAnsi="David" w:cs="David"/>
          <w:sz w:val="24"/>
          <w:szCs w:val="24"/>
          <w:u w:val="single"/>
          <w:rtl/>
        </w:rPr>
      </w:pPr>
      <w:r w:rsidRPr="004A5120">
        <w:rPr>
          <w:rFonts w:ascii="David" w:hAnsi="David" w:cs="David" w:hint="cs"/>
          <w:sz w:val="24"/>
          <w:szCs w:val="24"/>
          <w:u w:val="single"/>
          <w:rtl/>
        </w:rPr>
        <w:t>הלכות פסוקות לרב יהודאי גאון:</w:t>
      </w:r>
    </w:p>
    <w:p w14:paraId="186E7DDB" w14:textId="7A1F80E9"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lastRenderedPageBreak/>
        <w:t>נכתב בסמוך לחיבורו של ספר השאילתות. רב יהודאי גאון היה אחד מחכמי הג</w:t>
      </w:r>
      <w:r w:rsidR="00991552">
        <w:rPr>
          <w:rFonts w:ascii="David" w:hAnsi="David" w:cs="David" w:hint="cs"/>
          <w:sz w:val="24"/>
          <w:szCs w:val="24"/>
          <w:rtl/>
        </w:rPr>
        <w:t>א</w:t>
      </w:r>
      <w:r w:rsidRPr="004A5120">
        <w:rPr>
          <w:rFonts w:ascii="David" w:hAnsi="David" w:cs="David" w:hint="cs"/>
          <w:sz w:val="24"/>
          <w:szCs w:val="24"/>
          <w:rtl/>
        </w:rPr>
        <w:t>ונים (עמד בראש ישיבת סורא). היה בקשר עם קהילות ישראל בצפון אפריקה ו</w:t>
      </w:r>
      <w:r w:rsidR="00B142BA" w:rsidRPr="004A5120">
        <w:rPr>
          <w:rFonts w:ascii="David" w:hAnsi="David" w:cs="David" w:hint="cs"/>
          <w:sz w:val="24"/>
          <w:szCs w:val="24"/>
          <w:rtl/>
        </w:rPr>
        <w:t>ארץ ישראל בנוגע לשאלות הלכתיות. היה הגאון הראשון שהגיעו ממנו תשובות רבות, מיוחדות בקיצור שלהן, דבר שמעיד על סמכותו הגדולה כמכריע בדין.</w:t>
      </w:r>
    </w:p>
    <w:p w14:paraId="0BE63BCF" w14:textId="5A8CF718" w:rsidR="00B142BA" w:rsidRPr="004A5120" w:rsidRDefault="00B142BA" w:rsidP="00A97582">
      <w:pPr>
        <w:spacing w:after="0"/>
        <w:jc w:val="both"/>
        <w:rPr>
          <w:rFonts w:ascii="David" w:hAnsi="David" w:cs="David"/>
          <w:sz w:val="24"/>
          <w:szCs w:val="24"/>
          <w:rtl/>
        </w:rPr>
      </w:pPr>
      <w:r w:rsidRPr="004A5120">
        <w:rPr>
          <w:rFonts w:ascii="David" w:hAnsi="David" w:cs="David" w:hint="cs"/>
          <w:sz w:val="24"/>
          <w:szCs w:val="24"/>
          <w:rtl/>
        </w:rPr>
        <w:t xml:space="preserve">הספר "הלכות פסוקות" היווה נקודת מפנה בספרות הפסוקים והשפיע עליה רבות. הוא מסודר </w:t>
      </w:r>
      <w:r w:rsidRPr="000903D0">
        <w:rPr>
          <w:rFonts w:ascii="David" w:hAnsi="David" w:cs="David" w:hint="cs"/>
          <w:b/>
          <w:bCs/>
          <w:sz w:val="24"/>
          <w:szCs w:val="24"/>
          <w:rtl/>
        </w:rPr>
        <w:t>לפי נושאים</w:t>
      </w:r>
      <w:r w:rsidRPr="004A5120">
        <w:rPr>
          <w:rFonts w:ascii="David" w:hAnsi="David" w:cs="David" w:hint="cs"/>
          <w:sz w:val="24"/>
          <w:szCs w:val="24"/>
          <w:rtl/>
        </w:rPr>
        <w:t xml:space="preserve"> ומקיף הלכות הרלוונטיות </w:t>
      </w:r>
      <w:r w:rsidRPr="004A5120">
        <w:rPr>
          <w:rFonts w:ascii="David" w:hAnsi="David" w:cs="David" w:hint="cs"/>
          <w:b/>
          <w:bCs/>
          <w:sz w:val="24"/>
          <w:szCs w:val="24"/>
          <w:rtl/>
        </w:rPr>
        <w:t>במקום וזמן.</w:t>
      </w:r>
      <w:r w:rsidRPr="004A5120">
        <w:rPr>
          <w:rFonts w:ascii="David" w:hAnsi="David" w:cs="David" w:hint="cs"/>
          <w:sz w:val="24"/>
          <w:szCs w:val="24"/>
          <w:rtl/>
        </w:rPr>
        <w:t xml:space="preserve"> </w:t>
      </w:r>
      <w:r w:rsidR="00012FCB" w:rsidRPr="004A5120">
        <w:rPr>
          <w:rFonts w:ascii="David" w:hAnsi="David" w:cs="David" w:hint="cs"/>
          <w:sz w:val="24"/>
          <w:szCs w:val="24"/>
          <w:rtl/>
        </w:rPr>
        <w:t>גרם להקלה גדולה במציאת וידיעת ההלכה ולכן הוא התפשט במהירה.</w:t>
      </w:r>
    </w:p>
    <w:p w14:paraId="1A89ACE3" w14:textId="77777777" w:rsidR="00B142BA" w:rsidRPr="004A5120" w:rsidRDefault="00B142BA" w:rsidP="00A97582">
      <w:pPr>
        <w:spacing w:after="0"/>
        <w:jc w:val="both"/>
        <w:rPr>
          <w:rFonts w:ascii="David" w:hAnsi="David" w:cs="David"/>
          <w:sz w:val="24"/>
          <w:szCs w:val="24"/>
          <w:u w:val="single"/>
          <w:rtl/>
        </w:rPr>
      </w:pPr>
    </w:p>
    <w:p w14:paraId="20E0926A" w14:textId="1DBB83E6" w:rsidR="00B142BA" w:rsidRPr="004A5120" w:rsidRDefault="00B142BA" w:rsidP="00A97582">
      <w:pPr>
        <w:spacing w:after="0"/>
        <w:jc w:val="both"/>
        <w:rPr>
          <w:rFonts w:ascii="David" w:hAnsi="David" w:cs="David"/>
          <w:sz w:val="24"/>
          <w:szCs w:val="24"/>
          <w:u w:val="single"/>
          <w:rtl/>
        </w:rPr>
      </w:pPr>
      <w:r w:rsidRPr="004A5120">
        <w:rPr>
          <w:rFonts w:ascii="David" w:hAnsi="David" w:cs="David" w:hint="cs"/>
          <w:sz w:val="24"/>
          <w:szCs w:val="24"/>
          <w:u w:val="single"/>
          <w:rtl/>
        </w:rPr>
        <w:t>שיוך ספרותי</w:t>
      </w:r>
      <w:r w:rsidR="002F7D7B">
        <w:rPr>
          <w:rFonts w:ascii="David" w:hAnsi="David" w:cs="David" w:hint="cs"/>
          <w:sz w:val="24"/>
          <w:szCs w:val="24"/>
          <w:u w:val="single"/>
          <w:rtl/>
        </w:rPr>
        <w:t xml:space="preserve"> של הספר "הלכות פסוקות"</w:t>
      </w:r>
      <w:r w:rsidRPr="004A5120">
        <w:rPr>
          <w:rFonts w:ascii="David" w:hAnsi="David" w:cs="David" w:hint="cs"/>
          <w:sz w:val="24"/>
          <w:szCs w:val="24"/>
          <w:u w:val="single"/>
          <w:rtl/>
        </w:rPr>
        <w:t xml:space="preserve"> </w:t>
      </w:r>
      <w:r w:rsidRPr="004A5120">
        <w:rPr>
          <w:rFonts w:ascii="David" w:hAnsi="David" w:cs="David"/>
          <w:sz w:val="24"/>
          <w:szCs w:val="24"/>
          <w:u w:val="single"/>
          <w:rtl/>
        </w:rPr>
        <w:t>–</w:t>
      </w:r>
      <w:r w:rsidRPr="004A5120">
        <w:rPr>
          <w:rFonts w:ascii="David" w:hAnsi="David" w:cs="David" w:hint="cs"/>
          <w:sz w:val="24"/>
          <w:szCs w:val="24"/>
          <w:u w:val="single"/>
          <w:rtl/>
        </w:rPr>
        <w:t xml:space="preserve"> </w:t>
      </w:r>
      <w:r w:rsidR="002F7D7B">
        <w:rPr>
          <w:rFonts w:ascii="David" w:hAnsi="David" w:cs="David" w:hint="cs"/>
          <w:sz w:val="24"/>
          <w:szCs w:val="24"/>
          <w:u w:val="single"/>
          <w:rtl/>
        </w:rPr>
        <w:t>אחד מ</w:t>
      </w:r>
      <w:r w:rsidRPr="004A5120">
        <w:rPr>
          <w:rFonts w:ascii="David" w:hAnsi="David" w:cs="David" w:hint="cs"/>
          <w:sz w:val="24"/>
          <w:szCs w:val="24"/>
          <w:u w:val="single"/>
          <w:rtl/>
        </w:rPr>
        <w:t>ספרי ההלכות שבספרות הפוסקים:</w:t>
      </w:r>
    </w:p>
    <w:p w14:paraId="534A9E42" w14:textId="0E47ACB2" w:rsidR="00B142BA" w:rsidRPr="004A5120" w:rsidRDefault="00B142BA"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מבחינה ספרותית פנימית </w:t>
      </w:r>
      <w:r w:rsidRPr="004A5120">
        <w:rPr>
          <w:rFonts w:ascii="David" w:hAnsi="David" w:cs="David"/>
          <w:sz w:val="24"/>
          <w:szCs w:val="24"/>
          <w:rtl/>
        </w:rPr>
        <w:t>–</w:t>
      </w:r>
      <w:r w:rsidR="002F7D7B">
        <w:rPr>
          <w:rFonts w:ascii="David" w:hAnsi="David" w:cs="David" w:hint="cs"/>
          <w:sz w:val="24"/>
          <w:szCs w:val="24"/>
          <w:rtl/>
        </w:rPr>
        <w:t xml:space="preserve"> הוא </w:t>
      </w:r>
      <w:r w:rsidRPr="004A5120">
        <w:rPr>
          <w:rFonts w:ascii="David" w:hAnsi="David" w:cs="David" w:hint="cs"/>
          <w:sz w:val="24"/>
          <w:szCs w:val="24"/>
          <w:rtl/>
        </w:rPr>
        <w:t>הביא את המקורות התלמודיים המשמשים בסיס לפסיקה</w:t>
      </w:r>
      <w:r w:rsidR="002F7D7B">
        <w:rPr>
          <w:rFonts w:ascii="David" w:hAnsi="David" w:cs="David" w:hint="cs"/>
          <w:sz w:val="24"/>
          <w:szCs w:val="24"/>
          <w:rtl/>
        </w:rPr>
        <w:t>,</w:t>
      </w:r>
      <w:r w:rsidR="002F7D7B" w:rsidRPr="002F7D7B">
        <w:rPr>
          <w:rFonts w:ascii="David" w:hAnsi="David" w:cs="David" w:hint="cs"/>
          <w:sz w:val="24"/>
          <w:szCs w:val="24"/>
          <w:rtl/>
        </w:rPr>
        <w:t xml:space="preserve"> </w:t>
      </w:r>
      <w:r w:rsidR="002F7D7B" w:rsidRPr="004A5120">
        <w:rPr>
          <w:rFonts w:ascii="David" w:hAnsi="David" w:cs="David" w:hint="cs"/>
          <w:sz w:val="24"/>
          <w:szCs w:val="24"/>
          <w:rtl/>
        </w:rPr>
        <w:t>לפני המסקנה ההלכתית</w:t>
      </w:r>
      <w:r w:rsidR="002F7D7B">
        <w:rPr>
          <w:rFonts w:ascii="David" w:hAnsi="David" w:cs="David" w:hint="cs"/>
          <w:sz w:val="24"/>
          <w:szCs w:val="24"/>
          <w:rtl/>
        </w:rPr>
        <w:t>.</w:t>
      </w:r>
    </w:p>
    <w:p w14:paraId="574CFD5F" w14:textId="5321EDA3" w:rsidR="002F7D7B" w:rsidRDefault="00B142BA"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מבחינה ספרותית חיצונית </w:t>
      </w:r>
      <w:r w:rsidRPr="004A5120">
        <w:rPr>
          <w:rFonts w:ascii="David" w:hAnsi="David" w:cs="David"/>
          <w:sz w:val="24"/>
          <w:szCs w:val="24"/>
          <w:rtl/>
        </w:rPr>
        <w:t>–</w:t>
      </w:r>
      <w:r w:rsidRPr="004A5120">
        <w:rPr>
          <w:rFonts w:ascii="David" w:hAnsi="David" w:cs="David" w:hint="cs"/>
          <w:sz w:val="24"/>
          <w:szCs w:val="24"/>
          <w:rtl/>
        </w:rPr>
        <w:t xml:space="preserve"> הנושאים מסודרים לפי סדר המסכתות בתלמוד, מה שגרם לכך שלא תמיד כל החומר באותו הנושא בספר מגיע במרוכז. נכתב במקור בארמית.</w:t>
      </w:r>
    </w:p>
    <w:p w14:paraId="3A615F76" w14:textId="30CEC247" w:rsidR="00B142BA" w:rsidRPr="004A5120" w:rsidRDefault="00B142BA" w:rsidP="00B142BA">
      <w:pPr>
        <w:spacing w:after="0"/>
        <w:jc w:val="both"/>
        <w:rPr>
          <w:rFonts w:ascii="David" w:hAnsi="David" w:cs="David"/>
          <w:sz w:val="24"/>
          <w:szCs w:val="24"/>
          <w:rtl/>
        </w:rPr>
      </w:pPr>
    </w:p>
    <w:p w14:paraId="06FFE8E0" w14:textId="669C12F9" w:rsidR="00B72F02" w:rsidRPr="004A5120" w:rsidRDefault="00B72F02" w:rsidP="00B142BA">
      <w:pPr>
        <w:spacing w:after="0"/>
        <w:jc w:val="both"/>
        <w:rPr>
          <w:rFonts w:ascii="David" w:hAnsi="David" w:cs="David"/>
          <w:sz w:val="24"/>
          <w:szCs w:val="24"/>
          <w:u w:val="single"/>
          <w:rtl/>
        </w:rPr>
      </w:pPr>
      <w:r w:rsidRPr="004A5120">
        <w:rPr>
          <w:rFonts w:ascii="David" w:hAnsi="David" w:cs="David" w:hint="cs"/>
          <w:sz w:val="24"/>
          <w:szCs w:val="24"/>
          <w:u w:val="single"/>
          <w:rtl/>
        </w:rPr>
        <w:t>"הלכות גדולות":</w:t>
      </w:r>
    </w:p>
    <w:p w14:paraId="0C90B98B" w14:textId="5C405D19" w:rsidR="00B72F02" w:rsidRPr="004A5120" w:rsidRDefault="00B72F02" w:rsidP="00B142BA">
      <w:pPr>
        <w:spacing w:after="0"/>
        <w:jc w:val="both"/>
        <w:rPr>
          <w:rFonts w:ascii="David" w:hAnsi="David" w:cs="David"/>
          <w:sz w:val="24"/>
          <w:szCs w:val="24"/>
          <w:rtl/>
        </w:rPr>
      </w:pPr>
      <w:r w:rsidRPr="004A5120">
        <w:rPr>
          <w:rFonts w:ascii="David" w:hAnsi="David" w:cs="David" w:hint="cs"/>
          <w:sz w:val="24"/>
          <w:szCs w:val="24"/>
          <w:rtl/>
        </w:rPr>
        <w:t>2 דורות מאוחר יותר, חובר ספר הלכות נוסף שהיה לגדול ביותר מבחינת היקפו ותוכנו בתקופת הגאונים. בנוי דומה להלכות פסוקות, אך הוא מרכז את החומר לנושאים מגובשים ולפעמים קובע נושאים חדשים. כלל גם מצוות שלא נהוגות בזמן הזה (כמו דיני קורבנות). מסתמך, בנוסף לתלמוד, על ספר "הלכות פסוקות". ייחוד נוסף היא הקדמה שלו, שכוללת שבח לתורה וללומדיה ומונה את תרי"ג המצוות. בעל הלכות גדולות נחשב הראשון מבין חכמי ההלכה שמתעסק במניין המצוות.</w:t>
      </w:r>
    </w:p>
    <w:p w14:paraId="2C407CBF" w14:textId="40FE7E1C" w:rsidR="00B72F02" w:rsidRPr="004A5120" w:rsidRDefault="00B72F02" w:rsidP="00B142BA">
      <w:pPr>
        <w:spacing w:after="0"/>
        <w:jc w:val="both"/>
        <w:rPr>
          <w:rFonts w:ascii="David" w:hAnsi="David" w:cs="David"/>
          <w:sz w:val="24"/>
          <w:szCs w:val="24"/>
          <w:rtl/>
        </w:rPr>
      </w:pPr>
    </w:p>
    <w:p w14:paraId="7E38C006" w14:textId="69645B85" w:rsidR="00B72F02" w:rsidRPr="004A5120" w:rsidRDefault="00B72F02" w:rsidP="00B142BA">
      <w:pPr>
        <w:spacing w:after="0"/>
        <w:jc w:val="both"/>
        <w:rPr>
          <w:rFonts w:ascii="David" w:hAnsi="David" w:cs="David"/>
          <w:sz w:val="24"/>
          <w:szCs w:val="24"/>
          <w:u w:val="single"/>
          <w:rtl/>
        </w:rPr>
      </w:pPr>
      <w:r w:rsidRPr="004A5120">
        <w:rPr>
          <w:rFonts w:ascii="David" w:hAnsi="David" w:cs="David" w:hint="cs"/>
          <w:sz w:val="24"/>
          <w:szCs w:val="24"/>
          <w:u w:val="single"/>
          <w:rtl/>
        </w:rPr>
        <w:t>המניעים והגורמים למגמת הקודיפקציה ונגדה, בתקופת הגאונים:</w:t>
      </w:r>
    </w:p>
    <w:p w14:paraId="22126F76" w14:textId="425DFB4E" w:rsidR="00B72F02" w:rsidRPr="004A5120" w:rsidRDefault="00B72F02"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בעד </w:t>
      </w:r>
      <w:r w:rsidRPr="004A5120">
        <w:rPr>
          <w:rFonts w:ascii="David" w:hAnsi="David" w:cs="David"/>
          <w:sz w:val="24"/>
          <w:szCs w:val="24"/>
          <w:rtl/>
        </w:rPr>
        <w:t>–</w:t>
      </w:r>
      <w:r w:rsidRPr="004A5120">
        <w:rPr>
          <w:rFonts w:ascii="David" w:hAnsi="David" w:cs="David" w:hint="cs"/>
          <w:sz w:val="24"/>
          <w:szCs w:val="24"/>
          <w:rtl/>
        </w:rPr>
        <w:t xml:space="preserve"> צורך בחיבור הלכתי מסכם, קצר ותמציתי. חשש מהקארים, שהיו יהודים שקיבלו רק את התורה שבכתב. נגד הקראים נלחמו הגאונים ולכן חיברו ספרות הלכתית גדולה ורחבה, שתבהיר בצורה נוחה את הלכות התושב"ע. </w:t>
      </w:r>
    </w:p>
    <w:p w14:paraId="2A7EB3DB" w14:textId="4E565E5A" w:rsidR="00B72F02" w:rsidRPr="004A5120" w:rsidRDefault="00B72F02"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נגד </w:t>
      </w:r>
      <w:r w:rsidRPr="004A5120">
        <w:rPr>
          <w:rFonts w:ascii="David" w:hAnsi="David" w:cs="David"/>
          <w:sz w:val="24"/>
          <w:szCs w:val="24"/>
          <w:rtl/>
        </w:rPr>
        <w:t>–</w:t>
      </w:r>
      <w:r w:rsidRPr="004A5120">
        <w:rPr>
          <w:rFonts w:ascii="David" w:hAnsi="David" w:cs="David" w:hint="cs"/>
          <w:sz w:val="24"/>
          <w:szCs w:val="24"/>
          <w:rtl/>
        </w:rPr>
        <w:t xml:space="preserve"> חשש </w:t>
      </w:r>
      <w:r w:rsidR="00504094" w:rsidRPr="004A5120">
        <w:rPr>
          <w:rFonts w:ascii="David" w:hAnsi="David" w:cs="David" w:hint="cs"/>
          <w:sz w:val="24"/>
          <w:szCs w:val="24"/>
          <w:rtl/>
        </w:rPr>
        <w:t>ש</w:t>
      </w:r>
      <w:r w:rsidRPr="004A5120">
        <w:rPr>
          <w:rFonts w:ascii="David" w:hAnsi="David" w:cs="David" w:hint="cs"/>
          <w:sz w:val="24"/>
          <w:szCs w:val="24"/>
          <w:rtl/>
        </w:rPr>
        <w:t>זניחת הלימוד העיוני התלמודי</w:t>
      </w:r>
      <w:r w:rsidR="00504094" w:rsidRPr="004A5120">
        <w:rPr>
          <w:rFonts w:ascii="David" w:hAnsi="David" w:cs="David" w:hint="cs"/>
          <w:sz w:val="24"/>
          <w:szCs w:val="24"/>
          <w:rtl/>
        </w:rPr>
        <w:t xml:space="preserve"> תגרום לניתוק ההלכה מהקורות שלה.</w:t>
      </w:r>
    </w:p>
    <w:p w14:paraId="626E891F" w14:textId="2E5C4E6B" w:rsidR="00504094" w:rsidRPr="004A5120" w:rsidRDefault="00504094" w:rsidP="00504094">
      <w:pPr>
        <w:pStyle w:val="a3"/>
        <w:spacing w:after="0"/>
        <w:jc w:val="both"/>
        <w:rPr>
          <w:rFonts w:ascii="David" w:hAnsi="David" w:cs="David"/>
          <w:sz w:val="24"/>
          <w:szCs w:val="24"/>
          <w:rtl/>
        </w:rPr>
      </w:pPr>
      <w:r w:rsidRPr="004A5120">
        <w:rPr>
          <w:rFonts w:ascii="David" w:hAnsi="David" w:cs="David" w:hint="cs"/>
          <w:sz w:val="24"/>
          <w:szCs w:val="24"/>
          <w:rtl/>
        </w:rPr>
        <w:t xml:space="preserve">רב פלטוי, יוצא כנגד מגמה זו של העדפת העיון בספר ההלכות מעיון בתלמוד עצמו. הוא גורס כי הדבר יגרום </w:t>
      </w:r>
      <w:r w:rsidR="003B24B3" w:rsidRPr="004A5120">
        <w:rPr>
          <w:rFonts w:ascii="David" w:hAnsi="David" w:cs="David" w:hint="cs"/>
          <w:sz w:val="24"/>
          <w:szCs w:val="24"/>
          <w:rtl/>
        </w:rPr>
        <w:t>לשכחת התורה ולניתוק ההלכה ממקורתיה. לפיו, הקודקס יכול להוות ספר עזר להלכה, רק במקרים בהם מתעורר ספק לאחר עיון בתלמוד.</w:t>
      </w:r>
    </w:p>
    <w:p w14:paraId="26392156" w14:textId="039623DE" w:rsidR="003B24B3" w:rsidRPr="004A5120" w:rsidRDefault="003B24B3" w:rsidP="00504094">
      <w:pPr>
        <w:spacing w:after="0"/>
        <w:jc w:val="both"/>
        <w:rPr>
          <w:rFonts w:ascii="David" w:hAnsi="David" w:cs="David"/>
          <w:sz w:val="24"/>
          <w:szCs w:val="24"/>
          <w:rtl/>
        </w:rPr>
      </w:pPr>
      <w:r w:rsidRPr="004A5120">
        <w:rPr>
          <w:rFonts w:ascii="David" w:hAnsi="David" w:cs="David" w:hint="cs"/>
          <w:sz w:val="24"/>
          <w:szCs w:val="24"/>
          <w:rtl/>
        </w:rPr>
        <w:t>שלילה כמעט מוחלטת זו של קבצי הקודקס, גרמה להפסקת חיבור ספרי הלכות בסגנון זה במשך כל תקופת הגאונים. מאה שנה לאחר מכן, החלה צורה ספרותית חדשה, מונוגראפיות הלכתיות, חיבור עיוני ומקיף על נושא אחד. נכתבו בעיקר ע"י: רב סעדיה, רב שמואל בן חפני ורב האי.</w:t>
      </w:r>
    </w:p>
    <w:p w14:paraId="31EAB951" w14:textId="14D41EB6" w:rsidR="003B24B3" w:rsidRPr="004A5120" w:rsidRDefault="003B24B3" w:rsidP="00504094">
      <w:pPr>
        <w:spacing w:after="0"/>
        <w:jc w:val="both"/>
        <w:rPr>
          <w:rFonts w:ascii="David" w:hAnsi="David" w:cs="David"/>
          <w:sz w:val="24"/>
          <w:szCs w:val="24"/>
          <w:rtl/>
        </w:rPr>
      </w:pPr>
    </w:p>
    <w:p w14:paraId="28AAEE21" w14:textId="17ADB475" w:rsidR="003B24B3" w:rsidRPr="004A5120" w:rsidRDefault="003B24B3" w:rsidP="00504094">
      <w:pPr>
        <w:spacing w:after="0"/>
        <w:jc w:val="both"/>
        <w:rPr>
          <w:rFonts w:ascii="David" w:hAnsi="David" w:cs="David"/>
          <w:sz w:val="24"/>
          <w:szCs w:val="24"/>
          <w:u w:val="single"/>
          <w:rtl/>
        </w:rPr>
      </w:pPr>
      <w:r w:rsidRPr="004A5120">
        <w:rPr>
          <w:rFonts w:ascii="David" w:hAnsi="David" w:cs="David" w:hint="cs"/>
          <w:sz w:val="24"/>
          <w:szCs w:val="24"/>
          <w:u w:val="single"/>
          <w:rtl/>
        </w:rPr>
        <w:t>המטרה בכתיבת המונוגראפיות ההלכתיות:</w:t>
      </w:r>
    </w:p>
    <w:p w14:paraId="7DF0AEAA" w14:textId="02E95C40" w:rsidR="003B24B3" w:rsidRPr="004A5120" w:rsidRDefault="003B24B3" w:rsidP="00504094">
      <w:pPr>
        <w:spacing w:after="0"/>
        <w:jc w:val="both"/>
        <w:rPr>
          <w:rFonts w:ascii="David" w:hAnsi="David" w:cs="David"/>
          <w:sz w:val="24"/>
          <w:szCs w:val="24"/>
          <w:rtl/>
        </w:rPr>
      </w:pPr>
      <w:r w:rsidRPr="004A5120">
        <w:rPr>
          <w:rFonts w:ascii="David" w:hAnsi="David" w:cs="David" w:hint="cs"/>
          <w:sz w:val="24"/>
          <w:szCs w:val="24"/>
          <w:rtl/>
        </w:rPr>
        <w:t>אחת המטרות העיקריות הייתה לתת לדיין ספר ממצה ומקיף, אך גם תמציתי ונוח. המונוגראפיות דנו בנושאים משפטיים מוגדרים ולא במערכת ההלכה כולה, כשכל נושא מוין ומוסר היטב.</w:t>
      </w:r>
    </w:p>
    <w:p w14:paraId="4D84BD2B" w14:textId="785A041F" w:rsidR="003B24B3" w:rsidRPr="004A5120" w:rsidRDefault="003B24B3" w:rsidP="00504094">
      <w:pPr>
        <w:spacing w:after="0"/>
        <w:jc w:val="both"/>
        <w:rPr>
          <w:rFonts w:ascii="David" w:hAnsi="David" w:cs="David"/>
          <w:sz w:val="24"/>
          <w:szCs w:val="24"/>
          <w:rtl/>
        </w:rPr>
      </w:pPr>
    </w:p>
    <w:p w14:paraId="305D0084" w14:textId="799C929F" w:rsidR="003B24B3" w:rsidRPr="004A5120" w:rsidRDefault="003B24B3" w:rsidP="00504094">
      <w:pPr>
        <w:spacing w:after="0"/>
        <w:jc w:val="both"/>
        <w:rPr>
          <w:rFonts w:ascii="David" w:hAnsi="David" w:cs="David"/>
          <w:sz w:val="24"/>
          <w:szCs w:val="24"/>
          <w:u w:val="single"/>
          <w:rtl/>
        </w:rPr>
      </w:pPr>
      <w:r w:rsidRPr="004A5120">
        <w:rPr>
          <w:rFonts w:ascii="David" w:hAnsi="David" w:cs="David" w:hint="cs"/>
          <w:sz w:val="24"/>
          <w:szCs w:val="24"/>
          <w:u w:val="single"/>
          <w:rtl/>
        </w:rPr>
        <w:t xml:space="preserve">"ספר ההלכות", לר' יצחק אלפסי </w:t>
      </w:r>
      <w:r w:rsidRPr="004A5120">
        <w:rPr>
          <w:rFonts w:ascii="David" w:hAnsi="David" w:cs="David"/>
          <w:sz w:val="24"/>
          <w:szCs w:val="24"/>
          <w:u w:val="single"/>
          <w:rtl/>
        </w:rPr>
        <w:t>–</w:t>
      </w:r>
      <w:r w:rsidRPr="004A5120">
        <w:rPr>
          <w:rFonts w:ascii="David" w:hAnsi="David" w:cs="David" w:hint="cs"/>
          <w:sz w:val="24"/>
          <w:szCs w:val="24"/>
          <w:u w:val="single"/>
          <w:rtl/>
        </w:rPr>
        <w:t xml:space="preserve"> הרי"</w:t>
      </w:r>
      <w:r w:rsidR="004B2A23" w:rsidRPr="004A5120">
        <w:rPr>
          <w:rFonts w:ascii="David" w:hAnsi="David" w:cs="David" w:hint="cs"/>
          <w:sz w:val="24"/>
          <w:szCs w:val="24"/>
          <w:u w:val="single"/>
          <w:rtl/>
        </w:rPr>
        <w:t>ף</w:t>
      </w:r>
      <w:r w:rsidRPr="004A5120">
        <w:rPr>
          <w:rFonts w:ascii="David" w:hAnsi="David" w:cs="David" w:hint="cs"/>
          <w:sz w:val="24"/>
          <w:szCs w:val="24"/>
          <w:u w:val="single"/>
          <w:rtl/>
        </w:rPr>
        <w:t>:</w:t>
      </w:r>
    </w:p>
    <w:p w14:paraId="54721093" w14:textId="2F9AB39C" w:rsidR="003B24B3" w:rsidRPr="004A5120" w:rsidRDefault="003B24B3" w:rsidP="00504094">
      <w:pPr>
        <w:spacing w:after="0"/>
        <w:jc w:val="both"/>
        <w:rPr>
          <w:rFonts w:ascii="David" w:hAnsi="David" w:cs="David"/>
          <w:sz w:val="24"/>
          <w:szCs w:val="24"/>
          <w:rtl/>
        </w:rPr>
      </w:pPr>
      <w:r w:rsidRPr="004A5120">
        <w:rPr>
          <w:rFonts w:ascii="David" w:hAnsi="David" w:cs="David" w:hint="cs"/>
          <w:sz w:val="24"/>
          <w:szCs w:val="24"/>
          <w:rtl/>
        </w:rPr>
        <w:t>בסוף תקופת הגאונים, בעקבות ריבוי השו"ת ותקנת תקנות, ההלכה התפתחה בצורה רחבה ושוב התעורר הצורך בחיבור ספרי הלכות. התפתחות ההלכה לא נעשתה רק בב</w:t>
      </w:r>
      <w:r w:rsidR="00114DF0">
        <w:rPr>
          <w:rFonts w:ascii="David" w:hAnsi="David" w:cs="David" w:hint="cs"/>
          <w:sz w:val="24"/>
          <w:szCs w:val="24"/>
          <w:rtl/>
        </w:rPr>
        <w:t>ב</w:t>
      </w:r>
      <w:r w:rsidRPr="004A5120">
        <w:rPr>
          <w:rFonts w:ascii="David" w:hAnsi="David" w:cs="David" w:hint="cs"/>
          <w:sz w:val="24"/>
          <w:szCs w:val="24"/>
          <w:rtl/>
        </w:rPr>
        <w:t>ל ובעקבות ריבוי המרכזים התורניים</w:t>
      </w:r>
      <w:r w:rsidR="004B2A23" w:rsidRPr="004A5120">
        <w:rPr>
          <w:rFonts w:ascii="David" w:hAnsi="David" w:cs="David" w:hint="cs"/>
          <w:sz w:val="24"/>
          <w:szCs w:val="24"/>
          <w:rtl/>
        </w:rPr>
        <w:t xml:space="preserve"> וחילופי מנהיגים, </w:t>
      </w:r>
      <w:r w:rsidR="004B2A23" w:rsidRPr="00114DF0">
        <w:rPr>
          <w:rFonts w:ascii="David" w:hAnsi="David" w:cs="David" w:hint="cs"/>
          <w:b/>
          <w:bCs/>
          <w:sz w:val="24"/>
          <w:szCs w:val="24"/>
          <w:rtl/>
        </w:rPr>
        <w:t>הפך ספר ההלכות לספר משמעותי</w:t>
      </w:r>
      <w:r w:rsidR="004B2A23" w:rsidRPr="004A5120">
        <w:rPr>
          <w:rFonts w:ascii="David" w:hAnsi="David" w:cs="David" w:hint="cs"/>
          <w:sz w:val="24"/>
          <w:szCs w:val="24"/>
          <w:rtl/>
        </w:rPr>
        <w:t xml:space="preserve"> לכל הדורות אחריו.</w:t>
      </w:r>
    </w:p>
    <w:p w14:paraId="1DAABD7C" w14:textId="06B1CFCE" w:rsidR="004B2A23" w:rsidRPr="004A5120" w:rsidRDefault="004B2A23" w:rsidP="00504094">
      <w:pPr>
        <w:spacing w:after="0"/>
        <w:jc w:val="both"/>
        <w:rPr>
          <w:rFonts w:ascii="David" w:hAnsi="David" w:cs="David"/>
          <w:sz w:val="24"/>
          <w:szCs w:val="24"/>
          <w:rtl/>
        </w:rPr>
      </w:pPr>
    </w:p>
    <w:p w14:paraId="6E7DD6FE" w14:textId="14E6C03B" w:rsidR="004B2A23" w:rsidRPr="004A5120" w:rsidRDefault="004B2A23" w:rsidP="00504094">
      <w:pPr>
        <w:spacing w:after="0"/>
        <w:jc w:val="both"/>
        <w:rPr>
          <w:rFonts w:ascii="David" w:hAnsi="David" w:cs="David"/>
          <w:sz w:val="24"/>
          <w:szCs w:val="24"/>
          <w:rtl/>
        </w:rPr>
      </w:pPr>
      <w:r w:rsidRPr="004A5120">
        <w:rPr>
          <w:rFonts w:ascii="David" w:hAnsi="David" w:cs="David" w:hint="cs"/>
          <w:sz w:val="24"/>
          <w:szCs w:val="24"/>
          <w:rtl/>
        </w:rPr>
        <w:t xml:space="preserve">הספר מסודר </w:t>
      </w:r>
      <w:r w:rsidRPr="00A1508B">
        <w:rPr>
          <w:rFonts w:ascii="David" w:hAnsi="David" w:cs="David" w:hint="cs"/>
          <w:b/>
          <w:bCs/>
          <w:sz w:val="24"/>
          <w:szCs w:val="24"/>
          <w:rtl/>
        </w:rPr>
        <w:t>לפי סדר המסכתות בתלמוד</w:t>
      </w:r>
      <w:r w:rsidRPr="004A5120">
        <w:rPr>
          <w:rFonts w:ascii="David" w:hAnsi="David" w:cs="David" w:hint="cs"/>
          <w:sz w:val="24"/>
          <w:szCs w:val="24"/>
          <w:rtl/>
        </w:rPr>
        <w:t xml:space="preserve"> והוא מביא את </w:t>
      </w:r>
      <w:r w:rsidRPr="00A1508B">
        <w:rPr>
          <w:rFonts w:ascii="David" w:hAnsi="David" w:cs="David" w:hint="cs"/>
          <w:b/>
          <w:bCs/>
          <w:sz w:val="24"/>
          <w:szCs w:val="24"/>
          <w:rtl/>
        </w:rPr>
        <w:t>תמצית הדיון</w:t>
      </w:r>
      <w:r w:rsidRPr="004A5120">
        <w:rPr>
          <w:rFonts w:ascii="David" w:hAnsi="David" w:cs="David" w:hint="cs"/>
          <w:sz w:val="24"/>
          <w:szCs w:val="24"/>
          <w:rtl/>
        </w:rPr>
        <w:t xml:space="preserve"> בסוגיה התלמודית, לפני שהוא מסכם את ההלכה ופוסק את הדין. שוב, רק הלכות הרלוונטיות </w:t>
      </w:r>
      <w:r w:rsidRPr="004A5120">
        <w:rPr>
          <w:rFonts w:ascii="David" w:hAnsi="David" w:cs="David" w:hint="cs"/>
          <w:b/>
          <w:bCs/>
          <w:sz w:val="24"/>
          <w:szCs w:val="24"/>
          <w:rtl/>
        </w:rPr>
        <w:t xml:space="preserve">במקום וזמן, </w:t>
      </w:r>
      <w:r w:rsidRPr="004A5120">
        <w:rPr>
          <w:rFonts w:ascii="David" w:hAnsi="David" w:cs="David" w:hint="cs"/>
          <w:sz w:val="24"/>
          <w:szCs w:val="24"/>
          <w:rtl/>
        </w:rPr>
        <w:t xml:space="preserve">על כן כולל רק את סדרי מועד, נשים, נזיקין ומסכת ברכות. </w:t>
      </w:r>
    </w:p>
    <w:p w14:paraId="7369430A" w14:textId="283DCBE6" w:rsidR="004B2A23" w:rsidRPr="004A5120" w:rsidRDefault="004B2A23" w:rsidP="00504094">
      <w:pPr>
        <w:spacing w:after="0"/>
        <w:jc w:val="both"/>
        <w:rPr>
          <w:rFonts w:ascii="David" w:hAnsi="David" w:cs="David"/>
          <w:sz w:val="24"/>
          <w:szCs w:val="24"/>
          <w:rtl/>
        </w:rPr>
      </w:pPr>
    </w:p>
    <w:p w14:paraId="65C3F45E" w14:textId="3A54DB5E" w:rsidR="004B2A23" w:rsidRPr="004A5120" w:rsidRDefault="004B2A23" w:rsidP="00504094">
      <w:pPr>
        <w:spacing w:after="0"/>
        <w:jc w:val="both"/>
        <w:rPr>
          <w:rFonts w:ascii="David" w:hAnsi="David" w:cs="David"/>
          <w:sz w:val="24"/>
          <w:szCs w:val="24"/>
          <w:rtl/>
        </w:rPr>
      </w:pPr>
      <w:r w:rsidRPr="004A5120">
        <w:rPr>
          <w:rFonts w:ascii="David" w:hAnsi="David" w:cs="David" w:hint="cs"/>
          <w:sz w:val="24"/>
          <w:szCs w:val="24"/>
          <w:rtl/>
        </w:rPr>
        <w:t>הרי"ף לקח על עצמו את תפקיד ההכרעה. ספרו מסודר בצורה בה מוצג הדיון התלמודי בצורה מקוצרת, לצד דיונים נוספים שניתן להסיק מהם מסקנות הלכתיות. לעתים הוא אף מפרש את הסוגיה, מביא דעות נוספות ומציג את נימוקיו בעד ונגד. בנוסף, השתמש בכללי הפסיקה המצויים בתלמוד ובספרות הסבורים והגאונים. מצטט מהירושלמי, אבל מכריע לפי הבבלי (הלכה כבתראי)</w:t>
      </w:r>
      <w:r w:rsidR="00A1508B">
        <w:rPr>
          <w:rFonts w:ascii="David" w:hAnsi="David" w:cs="David" w:hint="cs"/>
          <w:sz w:val="24"/>
          <w:szCs w:val="24"/>
          <w:rtl/>
        </w:rPr>
        <w:t>.</w:t>
      </w:r>
    </w:p>
    <w:p w14:paraId="6B4C7D8E" w14:textId="707990DE" w:rsidR="004B2A23" w:rsidRPr="004A5120" w:rsidRDefault="004B2A23" w:rsidP="00504094">
      <w:pPr>
        <w:spacing w:after="0"/>
        <w:jc w:val="both"/>
        <w:rPr>
          <w:rFonts w:ascii="David" w:hAnsi="David" w:cs="David"/>
          <w:sz w:val="24"/>
          <w:szCs w:val="24"/>
          <w:rtl/>
        </w:rPr>
      </w:pPr>
    </w:p>
    <w:p w14:paraId="47473BBB" w14:textId="1E1262AA" w:rsidR="004B2A23" w:rsidRPr="004A5120" w:rsidRDefault="004B2A23" w:rsidP="004B2A23">
      <w:pPr>
        <w:spacing w:after="0"/>
        <w:jc w:val="both"/>
        <w:rPr>
          <w:rFonts w:ascii="David" w:hAnsi="David" w:cs="David"/>
          <w:sz w:val="24"/>
          <w:szCs w:val="24"/>
          <w:rtl/>
        </w:rPr>
      </w:pPr>
      <w:r w:rsidRPr="004A5120">
        <w:rPr>
          <w:rFonts w:ascii="David" w:hAnsi="David" w:cs="David" w:hint="cs"/>
          <w:sz w:val="24"/>
          <w:szCs w:val="24"/>
          <w:rtl/>
        </w:rPr>
        <w:t>דוגמה:</w:t>
      </w:r>
    </w:p>
    <w:p w14:paraId="425FC403" w14:textId="64707B3D" w:rsidR="004B2A23" w:rsidRPr="004A5120" w:rsidRDefault="004B2A23" w:rsidP="004B2A23">
      <w:pPr>
        <w:spacing w:after="0"/>
        <w:jc w:val="both"/>
        <w:rPr>
          <w:rFonts w:ascii="David" w:hAnsi="David" w:cs="David"/>
          <w:sz w:val="24"/>
          <w:szCs w:val="24"/>
          <w:rtl/>
        </w:rPr>
      </w:pPr>
      <w:r w:rsidRPr="004A5120">
        <w:rPr>
          <w:rFonts w:ascii="David" w:hAnsi="David" w:cs="David" w:hint="cs"/>
          <w:sz w:val="24"/>
          <w:szCs w:val="24"/>
          <w:rtl/>
        </w:rPr>
        <w:lastRenderedPageBreak/>
        <w:t xml:space="preserve">במסכת בבא קמא כתובים שני חלקי אגדה: </w:t>
      </w:r>
      <w:r w:rsidR="00A1508B">
        <w:rPr>
          <w:rFonts w:ascii="David" w:hAnsi="David" w:cs="David" w:hint="cs"/>
          <w:sz w:val="24"/>
          <w:szCs w:val="24"/>
          <w:rtl/>
        </w:rPr>
        <w:t>"</w:t>
      </w:r>
      <w:r w:rsidR="006E109F" w:rsidRPr="004A5120">
        <w:rPr>
          <w:rFonts w:ascii="David" w:hAnsi="David" w:cs="David"/>
          <w:sz w:val="24"/>
          <w:szCs w:val="24"/>
          <w:rtl/>
        </w:rPr>
        <w:t>כל המבקש רחמים על חבירו והוא צריך לאותו דבר, הוא נענה תחילה", "המוסר דין על פי חברו הוא נענש תחילה"</w:t>
      </w:r>
      <w:r w:rsidR="006E109F" w:rsidRPr="004A5120">
        <w:rPr>
          <w:rFonts w:ascii="David" w:hAnsi="David" w:cs="David" w:hint="cs"/>
          <w:sz w:val="24"/>
          <w:szCs w:val="24"/>
          <w:rtl/>
        </w:rPr>
        <w:t xml:space="preserve">. מדובר בשתי אגדות מוסר הלכתיות. הרי"ף מביא בספרו רק את השנייה, משום שממנה משתמעת מסקנה הלכתית </w:t>
      </w:r>
      <w:r w:rsidR="006E109F" w:rsidRPr="004A5120">
        <w:rPr>
          <w:rFonts w:ascii="David" w:hAnsi="David" w:cs="David"/>
          <w:sz w:val="24"/>
          <w:szCs w:val="24"/>
          <w:rtl/>
        </w:rPr>
        <w:t>–</w:t>
      </w:r>
      <w:r w:rsidR="006E109F" w:rsidRPr="004A5120">
        <w:rPr>
          <w:rFonts w:ascii="David" w:hAnsi="David" w:cs="David" w:hint="cs"/>
          <w:sz w:val="24"/>
          <w:szCs w:val="24"/>
          <w:rtl/>
        </w:rPr>
        <w:t xml:space="preserve"> אדם צריך לברר ענייניו קודם מול בית הדין, מהאגדה הראשונה לא משתמעת הוראה מחייבת.</w:t>
      </w:r>
    </w:p>
    <w:p w14:paraId="13C2C16E" w14:textId="31834731" w:rsidR="006E109F" w:rsidRPr="004A5120" w:rsidRDefault="006E109F" w:rsidP="004B2A23">
      <w:pPr>
        <w:spacing w:after="0"/>
        <w:jc w:val="both"/>
        <w:rPr>
          <w:rFonts w:ascii="David" w:hAnsi="David" w:cs="David"/>
          <w:sz w:val="24"/>
          <w:szCs w:val="24"/>
          <w:rtl/>
        </w:rPr>
      </w:pPr>
    </w:p>
    <w:p w14:paraId="144EFF6A" w14:textId="0AC037CD" w:rsidR="006E109F" w:rsidRPr="004A5120" w:rsidRDefault="006E109F" w:rsidP="004B2A23">
      <w:pPr>
        <w:spacing w:after="0"/>
        <w:jc w:val="both"/>
        <w:rPr>
          <w:rFonts w:ascii="David" w:hAnsi="David" w:cs="David"/>
          <w:sz w:val="24"/>
          <w:szCs w:val="24"/>
          <w:rtl/>
        </w:rPr>
      </w:pPr>
      <w:r w:rsidRPr="004A5120">
        <w:rPr>
          <w:rFonts w:ascii="David" w:hAnsi="David" w:cs="David" w:hint="cs"/>
          <w:sz w:val="24"/>
          <w:szCs w:val="24"/>
          <w:rtl/>
        </w:rPr>
        <w:t xml:space="preserve">ספרו של הרי"ף נקרא גם "תלמוד קטן" </w:t>
      </w:r>
      <w:r w:rsidRPr="004A5120">
        <w:rPr>
          <w:rFonts w:ascii="David" w:hAnsi="David" w:cs="David"/>
          <w:sz w:val="24"/>
          <w:szCs w:val="24"/>
          <w:rtl/>
        </w:rPr>
        <w:t>–</w:t>
      </w:r>
      <w:r w:rsidRPr="004A5120">
        <w:rPr>
          <w:rFonts w:ascii="David" w:hAnsi="David" w:cs="David" w:hint="cs"/>
          <w:sz w:val="24"/>
          <w:szCs w:val="24"/>
          <w:rtl/>
        </w:rPr>
        <w:t xml:space="preserve"> </w:t>
      </w:r>
      <w:r w:rsidRPr="00BF6D5F">
        <w:rPr>
          <w:rFonts w:ascii="David" w:hAnsi="David" w:cs="David" w:hint="cs"/>
          <w:b/>
          <w:bCs/>
          <w:sz w:val="24"/>
          <w:szCs w:val="24"/>
          <w:rtl/>
        </w:rPr>
        <w:t>בגלל שהוא פור</w:t>
      </w:r>
      <w:r w:rsidR="00BF6D5F" w:rsidRPr="00BF6D5F">
        <w:rPr>
          <w:rFonts w:ascii="David" w:hAnsi="David" w:cs="David" w:hint="cs"/>
          <w:b/>
          <w:bCs/>
          <w:sz w:val="24"/>
          <w:szCs w:val="24"/>
          <w:rtl/>
        </w:rPr>
        <w:t>ס</w:t>
      </w:r>
      <w:r w:rsidRPr="00BF6D5F">
        <w:rPr>
          <w:rFonts w:ascii="David" w:hAnsi="David" w:cs="David" w:hint="cs"/>
          <w:b/>
          <w:bCs/>
          <w:sz w:val="24"/>
          <w:szCs w:val="24"/>
          <w:rtl/>
        </w:rPr>
        <w:t xml:space="preserve"> בראשי פרקים את הסוגיה התלמודית</w:t>
      </w:r>
      <w:r w:rsidRPr="004A5120">
        <w:rPr>
          <w:rFonts w:ascii="David" w:hAnsi="David" w:cs="David" w:hint="cs"/>
          <w:sz w:val="24"/>
          <w:szCs w:val="24"/>
          <w:rtl/>
        </w:rPr>
        <w:t>. הספר הפך לשם דבר והתחברה סביבו ספרות שלמה. חזקה למעמדו ניתן להסיק מפסיקתו של רבי יוסף קארו, שחיבר את הבית יוסף וקבע אותו כאחד משלושת עמודי הטווח עליהם נשענת ההלכה.</w:t>
      </w:r>
    </w:p>
    <w:p w14:paraId="22262C7C" w14:textId="2D854666" w:rsidR="006E109F" w:rsidRPr="004A5120" w:rsidRDefault="006E109F" w:rsidP="004B2A23">
      <w:pPr>
        <w:spacing w:after="0"/>
        <w:jc w:val="both"/>
        <w:rPr>
          <w:rFonts w:ascii="David" w:hAnsi="David" w:cs="David"/>
          <w:sz w:val="24"/>
          <w:szCs w:val="24"/>
          <w:rtl/>
        </w:rPr>
      </w:pPr>
    </w:p>
    <w:p w14:paraId="6CEA771E" w14:textId="3FDB3415" w:rsidR="006E109F" w:rsidRPr="00CA5BB6" w:rsidRDefault="006E109F" w:rsidP="004B2A23">
      <w:pPr>
        <w:spacing w:after="0"/>
        <w:jc w:val="both"/>
        <w:rPr>
          <w:rFonts w:ascii="David" w:hAnsi="David" w:cs="David"/>
          <w:b/>
          <w:bCs/>
          <w:sz w:val="24"/>
          <w:szCs w:val="24"/>
          <w:u w:val="single"/>
          <w:rtl/>
        </w:rPr>
      </w:pPr>
      <w:r w:rsidRPr="00CA5BB6">
        <w:rPr>
          <w:rFonts w:ascii="David" w:hAnsi="David" w:cs="David" w:hint="cs"/>
          <w:b/>
          <w:bCs/>
          <w:sz w:val="24"/>
          <w:szCs w:val="24"/>
          <w:u w:val="single"/>
          <w:rtl/>
        </w:rPr>
        <w:t>הרמב"ם ופועלו הקודיפיאקטיבי:</w:t>
      </w:r>
    </w:p>
    <w:p w14:paraId="5769DDB3" w14:textId="6D3A4E26" w:rsidR="006E109F" w:rsidRPr="004A5120" w:rsidRDefault="006E109F" w:rsidP="004B2A23">
      <w:pPr>
        <w:spacing w:after="0"/>
        <w:jc w:val="both"/>
        <w:rPr>
          <w:rFonts w:ascii="David" w:hAnsi="David" w:cs="David"/>
          <w:sz w:val="24"/>
          <w:szCs w:val="24"/>
          <w:rtl/>
        </w:rPr>
      </w:pPr>
      <w:r w:rsidRPr="004A5120">
        <w:rPr>
          <w:rFonts w:ascii="David" w:hAnsi="David" w:cs="David" w:hint="cs"/>
          <w:sz w:val="24"/>
          <w:szCs w:val="24"/>
          <w:rtl/>
        </w:rPr>
        <w:t xml:space="preserve">מטרותיו בחיבור "משנה תורה" היו המטרות הקלאסיות ביצירת קודקס הלכתי </w:t>
      </w:r>
      <w:r w:rsidRPr="004A5120">
        <w:rPr>
          <w:rFonts w:ascii="David" w:hAnsi="David" w:cs="David"/>
          <w:sz w:val="24"/>
          <w:szCs w:val="24"/>
          <w:rtl/>
        </w:rPr>
        <w:t>–</w:t>
      </w:r>
      <w:r w:rsidRPr="004A5120">
        <w:rPr>
          <w:rFonts w:ascii="David" w:hAnsi="David" w:cs="David" w:hint="cs"/>
          <w:sz w:val="24"/>
          <w:szCs w:val="24"/>
          <w:rtl/>
        </w:rPr>
        <w:t xml:space="preserve"> ריבוי ההלכות, הקושי בהתמצאות והבנה והמציאות החברתית-היסטורית. חידושו של הרמב"ם היה במטרה יוצאת דופן </w:t>
      </w:r>
      <w:r w:rsidRPr="004A5120">
        <w:rPr>
          <w:rFonts w:ascii="David" w:hAnsi="David" w:cs="David"/>
          <w:sz w:val="24"/>
          <w:szCs w:val="24"/>
          <w:rtl/>
        </w:rPr>
        <w:t>–</w:t>
      </w:r>
      <w:r w:rsidRPr="004A5120">
        <w:rPr>
          <w:rFonts w:ascii="David" w:hAnsi="David" w:cs="David" w:hint="cs"/>
          <w:sz w:val="24"/>
          <w:szCs w:val="24"/>
          <w:rtl/>
        </w:rPr>
        <w:t xml:space="preserve"> חיבור זה יכיל את כל </w:t>
      </w:r>
      <w:r w:rsidR="00DA43EA" w:rsidRPr="004A5120">
        <w:rPr>
          <w:rFonts w:ascii="David" w:hAnsi="David" w:cs="David" w:hint="cs"/>
          <w:sz w:val="24"/>
          <w:szCs w:val="24"/>
          <w:rtl/>
        </w:rPr>
        <w:t xml:space="preserve">החומר הנדרש ללימוד הלכות התושב"ע. </w:t>
      </w:r>
    </w:p>
    <w:p w14:paraId="70D501DC" w14:textId="4646B3FB" w:rsidR="00DA43EA" w:rsidRPr="004A5120" w:rsidRDefault="00DA43EA" w:rsidP="004B2A23">
      <w:pPr>
        <w:spacing w:after="0"/>
        <w:jc w:val="both"/>
        <w:rPr>
          <w:rFonts w:ascii="David" w:hAnsi="David" w:cs="David"/>
          <w:sz w:val="24"/>
          <w:szCs w:val="24"/>
          <w:rtl/>
        </w:rPr>
      </w:pPr>
      <w:r w:rsidRPr="004A5120">
        <w:rPr>
          <w:rFonts w:ascii="David" w:hAnsi="David" w:cs="David" w:hint="cs"/>
          <w:sz w:val="24"/>
          <w:szCs w:val="24"/>
          <w:rtl/>
        </w:rPr>
        <w:t xml:space="preserve">בהקדמה לספר, הרמב"ם מדגיש כי מקור הסמכות הוא מתן תורה בהר סיני והשתלשלות מסירת התורה שבעל פה. מטרתו בספר הייתה לייעל את מציאת הדין ופסיקת ההלכה. </w:t>
      </w:r>
    </w:p>
    <w:p w14:paraId="1A596AED" w14:textId="7367B5AD" w:rsidR="00DA43EA" w:rsidRPr="004A5120" w:rsidRDefault="00DA43EA" w:rsidP="004B2A23">
      <w:pPr>
        <w:spacing w:after="0"/>
        <w:jc w:val="both"/>
        <w:rPr>
          <w:rFonts w:ascii="David" w:hAnsi="David" w:cs="David"/>
          <w:sz w:val="24"/>
          <w:szCs w:val="24"/>
          <w:rtl/>
        </w:rPr>
      </w:pPr>
    </w:p>
    <w:p w14:paraId="6CB194CC" w14:textId="30A3693F" w:rsidR="00DA43EA" w:rsidRPr="004A5120" w:rsidRDefault="00DA43EA" w:rsidP="004B2A23">
      <w:pPr>
        <w:spacing w:after="0"/>
        <w:jc w:val="both"/>
        <w:rPr>
          <w:rFonts w:ascii="David" w:hAnsi="David" w:cs="David"/>
          <w:sz w:val="24"/>
          <w:szCs w:val="24"/>
          <w:u w:val="single"/>
          <w:rtl/>
        </w:rPr>
      </w:pPr>
      <w:r w:rsidRPr="004A5120">
        <w:rPr>
          <w:rFonts w:ascii="David" w:hAnsi="David" w:cs="David" w:hint="cs"/>
          <w:sz w:val="24"/>
          <w:szCs w:val="24"/>
          <w:u w:val="single"/>
          <w:rtl/>
        </w:rPr>
        <w:t>הרמב"ם קובע לעצמו 4 עקרונות יסוד בדרך כתיבת "משנה תורה":</w:t>
      </w:r>
    </w:p>
    <w:p w14:paraId="08097187" w14:textId="10A9FCAA"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מציאת וריכוז החומר ההלכתי מהתורה שבכתב ועד לזמנו, עיבוד מדעי ושיטתי של החומר.</w:t>
      </w:r>
    </w:p>
    <w:p w14:paraId="3D11B20D" w14:textId="2AF09950"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בירור וסידור החומר לפי נושאים.</w:t>
      </w:r>
    </w:p>
    <w:p w14:paraId="6B365A5E" w14:textId="24D814FD"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קביעת ופסיקת הלכה סופית, בלי להציג חילוקי דעות ומבלי לציין את המקור לדין.</w:t>
      </w:r>
    </w:p>
    <w:p w14:paraId="0C249069" w14:textId="0EBB127C"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סגנון בהיר, ברור ותמציתי של הרעיון והתוכן ההלכתי.</w:t>
      </w:r>
    </w:p>
    <w:p w14:paraId="39C0D1A0" w14:textId="4BFCB152" w:rsidR="00062003" w:rsidRPr="004A5120" w:rsidRDefault="00062003" w:rsidP="00062003">
      <w:pPr>
        <w:spacing w:after="0"/>
        <w:jc w:val="both"/>
        <w:rPr>
          <w:rFonts w:ascii="David" w:hAnsi="David" w:cs="David"/>
          <w:sz w:val="24"/>
          <w:szCs w:val="24"/>
          <w:rtl/>
        </w:rPr>
      </w:pPr>
    </w:p>
    <w:p w14:paraId="382B7520" w14:textId="6BC21598" w:rsidR="00062003" w:rsidRPr="004A5120" w:rsidRDefault="00062003" w:rsidP="00062003">
      <w:pPr>
        <w:spacing w:after="0"/>
        <w:jc w:val="both"/>
        <w:rPr>
          <w:rFonts w:ascii="David" w:hAnsi="David" w:cs="David"/>
          <w:sz w:val="24"/>
          <w:szCs w:val="24"/>
          <w:u w:val="single"/>
          <w:rtl/>
        </w:rPr>
      </w:pPr>
      <w:r w:rsidRPr="004A5120">
        <w:rPr>
          <w:rFonts w:ascii="David" w:hAnsi="David" w:cs="David" w:hint="cs"/>
          <w:sz w:val="24"/>
          <w:szCs w:val="24"/>
          <w:u w:val="single"/>
          <w:rtl/>
        </w:rPr>
        <w:t xml:space="preserve">פירוט </w:t>
      </w:r>
      <w:r w:rsidRPr="004A5120">
        <w:rPr>
          <w:rFonts w:ascii="David" w:hAnsi="David" w:cs="David"/>
          <w:sz w:val="24"/>
          <w:szCs w:val="24"/>
          <w:u w:val="single"/>
          <w:rtl/>
        </w:rPr>
        <w:t>–</w:t>
      </w:r>
    </w:p>
    <w:p w14:paraId="10B01630" w14:textId="0FC34E20" w:rsidR="00062003" w:rsidRPr="004A5120" w:rsidRDefault="00062003" w:rsidP="00062003">
      <w:pPr>
        <w:spacing w:after="0"/>
        <w:jc w:val="both"/>
        <w:rPr>
          <w:rFonts w:ascii="David" w:hAnsi="David" w:cs="David"/>
          <w:sz w:val="24"/>
          <w:szCs w:val="24"/>
          <w:u w:val="single"/>
          <w:rtl/>
        </w:rPr>
      </w:pPr>
    </w:p>
    <w:p w14:paraId="5298D64C" w14:textId="32B576A5" w:rsidR="00062003" w:rsidRPr="004A5120" w:rsidRDefault="00062003" w:rsidP="00062003">
      <w:pPr>
        <w:spacing w:after="0"/>
        <w:jc w:val="both"/>
        <w:rPr>
          <w:rFonts w:ascii="David" w:hAnsi="David" w:cs="David"/>
          <w:sz w:val="24"/>
          <w:szCs w:val="24"/>
          <w:u w:val="single"/>
          <w:rtl/>
        </w:rPr>
      </w:pPr>
      <w:r w:rsidRPr="004A5120">
        <w:rPr>
          <w:rFonts w:ascii="David" w:hAnsi="David" w:cs="David" w:hint="cs"/>
          <w:sz w:val="24"/>
          <w:szCs w:val="24"/>
          <w:u w:val="single"/>
          <w:rtl/>
        </w:rPr>
        <w:t>ריכוז החומר ההלכתי:</w:t>
      </w:r>
    </w:p>
    <w:p w14:paraId="3A5EDBB1" w14:textId="23CBC754" w:rsidR="00062003" w:rsidRPr="004A5120" w:rsidRDefault="00062003" w:rsidP="00062003">
      <w:pPr>
        <w:spacing w:after="0"/>
        <w:jc w:val="both"/>
        <w:rPr>
          <w:rFonts w:ascii="David" w:hAnsi="David" w:cs="David"/>
          <w:sz w:val="24"/>
          <w:szCs w:val="24"/>
          <w:rtl/>
        </w:rPr>
      </w:pPr>
      <w:r w:rsidRPr="004A5120">
        <w:rPr>
          <w:rFonts w:ascii="David" w:hAnsi="David" w:cs="David" w:hint="cs"/>
          <w:sz w:val="24"/>
          <w:szCs w:val="24"/>
          <w:rtl/>
        </w:rPr>
        <w:t>משימתו הראשונה, עבורה השתמש בספרים אחרים שכתב לפני משנה תורה.</w:t>
      </w:r>
      <w:r w:rsidR="007953E1" w:rsidRPr="004A5120">
        <w:rPr>
          <w:rFonts w:ascii="David" w:hAnsi="David" w:cs="David" w:hint="cs"/>
          <w:sz w:val="24"/>
          <w:szCs w:val="24"/>
          <w:rtl/>
        </w:rPr>
        <w:t xml:space="preserve"> </w:t>
      </w:r>
    </w:p>
    <w:p w14:paraId="5BAAAEC4" w14:textId="7CFCBC2A" w:rsidR="007953E1" w:rsidRPr="004A5120" w:rsidRDefault="007953E1" w:rsidP="00062003">
      <w:pPr>
        <w:spacing w:after="0"/>
        <w:jc w:val="both"/>
        <w:rPr>
          <w:rFonts w:ascii="David" w:hAnsi="David" w:cs="David"/>
          <w:sz w:val="24"/>
          <w:szCs w:val="24"/>
          <w:rtl/>
        </w:rPr>
      </w:pPr>
      <w:r w:rsidRPr="004A5120">
        <w:rPr>
          <w:rFonts w:ascii="David" w:hAnsi="David" w:cs="David" w:hint="cs"/>
          <w:sz w:val="24"/>
          <w:szCs w:val="24"/>
          <w:rtl/>
        </w:rPr>
        <w:t>חכמים רבים הכירו בגודל המשימה ואף מבקריו, העריכו את פועלו.</w:t>
      </w:r>
    </w:p>
    <w:p w14:paraId="641EED57" w14:textId="77777777" w:rsidR="00062003" w:rsidRPr="004A5120" w:rsidRDefault="00062003" w:rsidP="00062003">
      <w:pPr>
        <w:spacing w:after="0"/>
        <w:jc w:val="both"/>
        <w:rPr>
          <w:rFonts w:ascii="David" w:hAnsi="David" w:cs="David"/>
          <w:sz w:val="24"/>
          <w:szCs w:val="24"/>
          <w:rtl/>
        </w:rPr>
      </w:pPr>
      <w:r w:rsidRPr="004A5120">
        <w:rPr>
          <w:rFonts w:ascii="David" w:hAnsi="David" w:cs="David" w:hint="cs"/>
          <w:sz w:val="24"/>
          <w:szCs w:val="24"/>
          <w:rtl/>
        </w:rPr>
        <w:t>בנוסף לריכוז החומר, הרמב"ם דייק ותיקן את ההלכה לפי "נוסחאות ישנות", כשהוא מצביע על נוסחאות לא מדויקות שגרמו לפעמים לפסיקת הלכה לא נכונה.</w:t>
      </w:r>
    </w:p>
    <w:p w14:paraId="11840CDB" w14:textId="77777777" w:rsidR="00062003" w:rsidRPr="004A5120" w:rsidRDefault="00062003" w:rsidP="00062003">
      <w:pPr>
        <w:spacing w:after="0"/>
        <w:jc w:val="both"/>
        <w:rPr>
          <w:rFonts w:ascii="David" w:hAnsi="David" w:cs="David"/>
          <w:sz w:val="24"/>
          <w:szCs w:val="24"/>
          <w:rtl/>
        </w:rPr>
      </w:pPr>
      <w:r w:rsidRPr="004A5120">
        <w:rPr>
          <w:rFonts w:ascii="David" w:hAnsi="David" w:cs="David" w:hint="cs"/>
          <w:sz w:val="24"/>
          <w:szCs w:val="24"/>
          <w:rtl/>
        </w:rPr>
        <w:t>דוגמא בנושא הלוואה אל מול עדים:</w:t>
      </w:r>
    </w:p>
    <w:p w14:paraId="614EC8BA" w14:textId="451C020A" w:rsidR="00062003" w:rsidRPr="004A5120" w:rsidRDefault="00062003" w:rsidP="00062003">
      <w:pPr>
        <w:spacing w:after="0"/>
        <w:jc w:val="both"/>
        <w:rPr>
          <w:rFonts w:ascii="David" w:hAnsi="David" w:cs="David"/>
          <w:sz w:val="24"/>
          <w:szCs w:val="24"/>
        </w:rPr>
      </w:pPr>
      <w:r w:rsidRPr="004A5120">
        <w:rPr>
          <w:rFonts w:ascii="David" w:hAnsi="David" w:cs="David" w:hint="cs"/>
          <w:sz w:val="24"/>
          <w:szCs w:val="24"/>
          <w:rtl/>
        </w:rPr>
        <w:t>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אומר שבגמרא מופיע שבמקרה בו מלווה אישר שקיבל את החוב שזכאי לו בנוכחות עדים, אבל במקרה שהעדים הלכו וזו מילה של הלווה מול המלווה, לא מאמינים ללווה. הרמב"ם גורס שמדובר בטעות וכי הכוונה האמיתי היא שכן מאמינים לו. הרמב"ם משתמש בשיקול דעת ענייני. לדוג' במקרה לעיל, הרי מה אדם יכול לעשות, אם השיב את הכסף מול עדים כמקובל, אך אלו כבר לא בנמצא? החוב לעולם לא ייפרע? אם העדים מתו? ברור שזה לא הגיוני. משמע, רואים שהרמב"ם משתמש גם בהיגיון כדי להכריע בין נוסחאות שונות שנמצאות בפניו.</w:t>
      </w:r>
    </w:p>
    <w:p w14:paraId="7120826F" w14:textId="42DA8A5B" w:rsidR="00062003" w:rsidRPr="004A5120" w:rsidRDefault="00062003" w:rsidP="00062003">
      <w:pPr>
        <w:spacing w:after="0"/>
        <w:jc w:val="both"/>
        <w:rPr>
          <w:rFonts w:ascii="David" w:hAnsi="David" w:cs="David"/>
          <w:sz w:val="24"/>
          <w:szCs w:val="24"/>
          <w:rtl/>
        </w:rPr>
      </w:pPr>
    </w:p>
    <w:p w14:paraId="54FAAB43" w14:textId="00954887" w:rsidR="00703C23" w:rsidRPr="004A5120" w:rsidRDefault="00703C23" w:rsidP="00062003">
      <w:pPr>
        <w:spacing w:after="0"/>
        <w:jc w:val="both"/>
        <w:rPr>
          <w:rFonts w:ascii="David" w:hAnsi="David" w:cs="David"/>
          <w:sz w:val="24"/>
          <w:szCs w:val="24"/>
          <w:rtl/>
        </w:rPr>
      </w:pPr>
      <w:r w:rsidRPr="004A5120">
        <w:rPr>
          <w:rFonts w:ascii="David" w:hAnsi="David" w:cs="David" w:hint="cs"/>
          <w:sz w:val="24"/>
          <w:szCs w:val="24"/>
          <w:rtl/>
        </w:rPr>
        <w:t>על מנת להגיע לריכוז מקסימלי, הוסיף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גם עניינים שלא הוסקו מהתלמוד, במקרה הצורך.</w:t>
      </w:r>
    </w:p>
    <w:p w14:paraId="2BEE84DF" w14:textId="30C6F8AD" w:rsidR="00703C23" w:rsidRPr="004A5120" w:rsidRDefault="00703C23" w:rsidP="00062003">
      <w:pPr>
        <w:spacing w:after="0"/>
        <w:jc w:val="both"/>
        <w:rPr>
          <w:rFonts w:ascii="David" w:hAnsi="David" w:cs="David"/>
          <w:sz w:val="24"/>
          <w:szCs w:val="24"/>
          <w:rtl/>
        </w:rPr>
      </w:pPr>
      <w:r w:rsidRPr="004A5120">
        <w:rPr>
          <w:rFonts w:ascii="David" w:hAnsi="David" w:cs="David" w:hint="cs"/>
          <w:sz w:val="24"/>
          <w:szCs w:val="24"/>
          <w:rtl/>
        </w:rPr>
        <w:t>דוגמה:</w:t>
      </w:r>
    </w:p>
    <w:p w14:paraId="5C3EE37B" w14:textId="3C7E015A" w:rsidR="00703C23" w:rsidRPr="004A5120" w:rsidRDefault="00703C23" w:rsidP="00062003">
      <w:pPr>
        <w:spacing w:after="0"/>
        <w:jc w:val="both"/>
        <w:rPr>
          <w:rFonts w:ascii="David" w:hAnsi="David" w:cs="David"/>
          <w:b/>
          <w:bCs/>
          <w:sz w:val="24"/>
          <w:szCs w:val="24"/>
          <w:rtl/>
        </w:rPr>
      </w:pPr>
      <w:r w:rsidRPr="004A5120">
        <w:rPr>
          <w:rFonts w:ascii="David" w:hAnsi="David" w:cs="David" w:hint="cs"/>
          <w:sz w:val="24"/>
          <w:szCs w:val="24"/>
          <w:rtl/>
        </w:rPr>
        <w:t>בהלכות קידוש החודש, דן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על דרך חישובי התקופות. שם הוא מעיד על עצמו, כי למד חישובים אלו מחכמי יוון, כיוון שאין מספיק חומר עליהם בתלמוד. </w:t>
      </w:r>
      <w:r w:rsidRPr="004A5120">
        <w:rPr>
          <w:rFonts w:ascii="David" w:hAnsi="David" w:cs="David" w:hint="cs"/>
          <w:b/>
          <w:bCs/>
          <w:sz w:val="24"/>
          <w:szCs w:val="24"/>
          <w:rtl/>
        </w:rPr>
        <w:t>מחזק את מגמתו ליצור חיבור שהאדם המעיין בו לא יצטרך אף ספר נוסף, גם לא מחוץ לספרי היהדות.</w:t>
      </w:r>
    </w:p>
    <w:p w14:paraId="2784DAF2" w14:textId="2ED046C3" w:rsidR="00703C23" w:rsidRPr="004A5120" w:rsidRDefault="00703C23" w:rsidP="00062003">
      <w:pPr>
        <w:spacing w:after="0"/>
        <w:jc w:val="both"/>
        <w:rPr>
          <w:rFonts w:ascii="David" w:hAnsi="David" w:cs="David"/>
          <w:b/>
          <w:bCs/>
          <w:sz w:val="24"/>
          <w:szCs w:val="24"/>
          <w:rtl/>
        </w:rPr>
      </w:pPr>
    </w:p>
    <w:p w14:paraId="0737804F" w14:textId="22FBFF45" w:rsidR="00703C23" w:rsidRPr="004A5120" w:rsidRDefault="00703C23" w:rsidP="00062003">
      <w:pPr>
        <w:spacing w:after="0"/>
        <w:jc w:val="both"/>
        <w:rPr>
          <w:rFonts w:ascii="David" w:hAnsi="David" w:cs="David"/>
          <w:sz w:val="24"/>
          <w:szCs w:val="24"/>
          <w:rtl/>
        </w:rPr>
      </w:pPr>
      <w:r w:rsidRPr="00C34793">
        <w:rPr>
          <w:rFonts w:ascii="David" w:hAnsi="David" w:cs="David" w:hint="cs"/>
          <w:b/>
          <w:bCs/>
          <w:sz w:val="24"/>
          <w:szCs w:val="24"/>
          <w:rtl/>
        </w:rPr>
        <w:t>הספר כלל את כל המצוות</w:t>
      </w:r>
      <w:r w:rsidRPr="004A5120">
        <w:rPr>
          <w:rFonts w:ascii="David" w:hAnsi="David" w:cs="David" w:hint="cs"/>
          <w:sz w:val="24"/>
          <w:szCs w:val="24"/>
          <w:rtl/>
        </w:rPr>
        <w:t xml:space="preserve">, גם אלו שלא רלוונטיות בזמן ומקום. בנוסף, ספרו כולל הלכות הקשורות במחשבה, אמונה וענייני הנפש, שגם הם נוסחו בסגנון קודיפיאקטיבי. שילוב עולם האמונה עם עולם ההלכה ניכר גם בחלק ההלכתי עצמו </w:t>
      </w:r>
      <w:r w:rsidRPr="004A5120">
        <w:rPr>
          <w:rFonts w:ascii="David" w:hAnsi="David" w:cs="David"/>
          <w:sz w:val="24"/>
          <w:szCs w:val="24"/>
          <w:rtl/>
        </w:rPr>
        <w:t>–</w:t>
      </w:r>
      <w:r w:rsidRPr="004A5120">
        <w:rPr>
          <w:rFonts w:ascii="David" w:hAnsi="David" w:cs="David" w:hint="cs"/>
          <w:sz w:val="24"/>
          <w:szCs w:val="24"/>
          <w:rtl/>
        </w:rPr>
        <w:t xml:space="preserve"> שילוב דברי מוסר בתחילת \ סוף נושא הלכתי מסוים.</w:t>
      </w:r>
    </w:p>
    <w:p w14:paraId="5EE6F163" w14:textId="34C969AA" w:rsidR="00703C23" w:rsidRPr="004A5120" w:rsidRDefault="00703C23" w:rsidP="00062003">
      <w:pPr>
        <w:spacing w:after="0"/>
        <w:jc w:val="both"/>
        <w:rPr>
          <w:rFonts w:ascii="David" w:hAnsi="David" w:cs="David"/>
          <w:sz w:val="24"/>
          <w:szCs w:val="24"/>
          <w:rtl/>
        </w:rPr>
      </w:pPr>
      <w:r w:rsidRPr="004A5120">
        <w:rPr>
          <w:rFonts w:ascii="David" w:hAnsi="David" w:cs="David" w:hint="cs"/>
          <w:sz w:val="24"/>
          <w:szCs w:val="24"/>
          <w:rtl/>
        </w:rPr>
        <w:t>דוגמה:</w:t>
      </w:r>
    </w:p>
    <w:p w14:paraId="33C4DDA2" w14:textId="0BFEE29A" w:rsidR="007953E1" w:rsidRPr="004A5120" w:rsidRDefault="00703C23" w:rsidP="007953E1">
      <w:pPr>
        <w:spacing w:after="0"/>
        <w:jc w:val="both"/>
        <w:rPr>
          <w:rFonts w:ascii="David" w:hAnsi="David" w:cs="David"/>
          <w:sz w:val="24"/>
          <w:szCs w:val="24"/>
          <w:rtl/>
        </w:rPr>
      </w:pPr>
      <w:r w:rsidRPr="004A5120">
        <w:rPr>
          <w:rFonts w:ascii="David" w:hAnsi="David" w:cs="David" w:hint="cs"/>
          <w:sz w:val="24"/>
          <w:szCs w:val="24"/>
          <w:rtl/>
        </w:rPr>
        <w:t>פותח את הלכות חנוכה בסקירה היסטורית קצרה על התקופה, למרות שאין לה משמעות מבחינת ההוראות ההלכתיות עצמן. זאת על מנת לרמוז על הלקח שניתן ללמוד מהסיפור. הוא מסיים את הלכות חנוכה בנימוק דתי-מוסרי</w:t>
      </w:r>
      <w:r w:rsidR="007953E1" w:rsidRPr="004A5120">
        <w:rPr>
          <w:rFonts w:ascii="David" w:hAnsi="David" w:cs="David" w:hint="cs"/>
          <w:sz w:val="24"/>
          <w:szCs w:val="24"/>
          <w:rtl/>
        </w:rPr>
        <w:t xml:space="preserve"> ובערכו של השלום בין איש לאשתו ובין אדם לאדם.</w:t>
      </w:r>
    </w:p>
    <w:p w14:paraId="76955382" w14:textId="06CB9ECF" w:rsidR="00062003" w:rsidRPr="004A5120" w:rsidRDefault="00062003" w:rsidP="00062003">
      <w:pPr>
        <w:spacing w:after="0"/>
        <w:jc w:val="both"/>
        <w:rPr>
          <w:rFonts w:ascii="David" w:hAnsi="David" w:cs="David"/>
          <w:sz w:val="24"/>
          <w:szCs w:val="24"/>
          <w:u w:val="single"/>
          <w:rtl/>
        </w:rPr>
      </w:pPr>
    </w:p>
    <w:p w14:paraId="4C980EF1" w14:textId="60E30474" w:rsidR="007953E1" w:rsidRPr="004A5120" w:rsidRDefault="007953E1" w:rsidP="00062003">
      <w:pPr>
        <w:spacing w:after="0"/>
        <w:jc w:val="both"/>
        <w:rPr>
          <w:rFonts w:ascii="David" w:hAnsi="David" w:cs="David"/>
          <w:sz w:val="24"/>
          <w:szCs w:val="24"/>
          <w:u w:val="single"/>
          <w:rtl/>
        </w:rPr>
      </w:pPr>
      <w:r w:rsidRPr="004A5120">
        <w:rPr>
          <w:rFonts w:ascii="David" w:hAnsi="David" w:cs="David" w:hint="cs"/>
          <w:sz w:val="24"/>
          <w:szCs w:val="24"/>
          <w:u w:val="single"/>
          <w:rtl/>
        </w:rPr>
        <w:t>סידורו ומיונו של החומר המרוכז לפי עניינים, נושאים ומקצועות:</w:t>
      </w:r>
    </w:p>
    <w:p w14:paraId="002EC3EA" w14:textId="623DC914" w:rsidR="007953E1" w:rsidRPr="004A5120" w:rsidRDefault="007953E1" w:rsidP="00062003">
      <w:pPr>
        <w:spacing w:after="0"/>
        <w:jc w:val="both"/>
        <w:rPr>
          <w:rFonts w:ascii="David" w:hAnsi="David" w:cs="David"/>
          <w:sz w:val="24"/>
          <w:szCs w:val="24"/>
          <w:rtl/>
        </w:rPr>
      </w:pPr>
      <w:r w:rsidRPr="004A5120">
        <w:rPr>
          <w:rFonts w:ascii="David" w:hAnsi="David" w:cs="David" w:hint="cs"/>
          <w:sz w:val="24"/>
          <w:szCs w:val="24"/>
          <w:rtl/>
        </w:rPr>
        <w:t xml:space="preserve">היה קושי בסידור ומיון החומר, היות וגם במשנה ובתלמוד החומר לא היה מסודר בצורה ברורה ולעתים נכנסו נושאים שלכאורה לא קשורים קשר ישיר למסכת. בקיצור, היה הרבה בלגן שהזכרנו </w:t>
      </w:r>
      <w:r w:rsidRPr="004A5120">
        <w:rPr>
          <w:rFonts w:ascii="David" w:hAnsi="David" w:cs="David" w:hint="cs"/>
          <w:sz w:val="24"/>
          <w:szCs w:val="24"/>
          <w:rtl/>
        </w:rPr>
        <w:lastRenderedPageBreak/>
        <w:t>לעיל, בניסיון ליצור ספרים שיסדרו את הנושא, כתיבה ע"פ נושאים וכתיבה מונוגראפית, שלכל אחד מהם הייתה השפעה מסוימת על כתיבתו של הרמב"ם.</w:t>
      </w:r>
    </w:p>
    <w:p w14:paraId="7757EF7C" w14:textId="038B657B" w:rsidR="007953E1" w:rsidRPr="004A5120" w:rsidRDefault="007953E1" w:rsidP="00062003">
      <w:pPr>
        <w:spacing w:after="0"/>
        <w:jc w:val="both"/>
        <w:rPr>
          <w:rFonts w:ascii="David" w:hAnsi="David" w:cs="David"/>
          <w:sz w:val="24"/>
          <w:szCs w:val="24"/>
          <w:rtl/>
        </w:rPr>
      </w:pPr>
    </w:p>
    <w:p w14:paraId="15C0D5DC" w14:textId="1FC51C1A" w:rsidR="007953E1" w:rsidRPr="004A5120" w:rsidRDefault="007953E1" w:rsidP="00062003">
      <w:pPr>
        <w:spacing w:after="0"/>
        <w:jc w:val="both"/>
        <w:rPr>
          <w:rFonts w:ascii="David" w:hAnsi="David" w:cs="David"/>
          <w:sz w:val="24"/>
          <w:szCs w:val="24"/>
          <w:rtl/>
        </w:rPr>
      </w:pPr>
      <w:r w:rsidRPr="004A5120">
        <w:rPr>
          <w:rFonts w:ascii="David" w:hAnsi="David" w:cs="David" w:hint="cs"/>
          <w:sz w:val="24"/>
          <w:szCs w:val="24"/>
          <w:rtl/>
        </w:rPr>
        <w:t>משנה תורה כונה ע"י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גם "החיבור" והוא כולל 14 ספרים, לכן נקרא גם "היד החזקה". </w:t>
      </w:r>
    </w:p>
    <w:p w14:paraId="0C3A44F4" w14:textId="3D9F9E6E" w:rsidR="007953E1" w:rsidRPr="004A5120" w:rsidRDefault="007953E1" w:rsidP="00062003">
      <w:pPr>
        <w:spacing w:after="0"/>
        <w:jc w:val="both"/>
        <w:rPr>
          <w:rFonts w:ascii="David" w:hAnsi="David" w:cs="David"/>
          <w:sz w:val="24"/>
          <w:szCs w:val="24"/>
          <w:rtl/>
        </w:rPr>
      </w:pPr>
      <w:r w:rsidRPr="004A5120">
        <w:rPr>
          <w:rFonts w:ascii="David" w:hAnsi="David" w:cs="David" w:hint="cs"/>
          <w:sz w:val="24"/>
          <w:szCs w:val="24"/>
          <w:rtl/>
        </w:rPr>
        <w:t>כל ספר מחולק לחלקים, כל חלק נקרא "הלכות", כל חלק מתחלק לפרקים וכל פרק לסעיפים.</w:t>
      </w:r>
    </w:p>
    <w:p w14:paraId="2F8DC564" w14:textId="6CDA6897" w:rsidR="007953E1" w:rsidRPr="004A5120" w:rsidRDefault="007953E1" w:rsidP="00062003">
      <w:pPr>
        <w:spacing w:after="0"/>
        <w:jc w:val="both"/>
        <w:rPr>
          <w:rFonts w:ascii="David" w:hAnsi="David" w:cs="David"/>
          <w:sz w:val="24"/>
          <w:szCs w:val="24"/>
          <w:rtl/>
        </w:rPr>
      </w:pPr>
    </w:p>
    <w:p w14:paraId="11EB4BD7" w14:textId="2BCF2056" w:rsidR="007953E1" w:rsidRPr="004A5120" w:rsidRDefault="007953E1" w:rsidP="00062003">
      <w:pPr>
        <w:spacing w:after="0"/>
        <w:jc w:val="both"/>
        <w:rPr>
          <w:rFonts w:ascii="David" w:hAnsi="David" w:cs="David"/>
          <w:sz w:val="24"/>
          <w:szCs w:val="24"/>
          <w:rtl/>
        </w:rPr>
      </w:pPr>
      <w:r w:rsidRPr="004A5120">
        <w:rPr>
          <w:rFonts w:ascii="David" w:hAnsi="David" w:cs="David" w:hint="cs"/>
          <w:sz w:val="24"/>
          <w:szCs w:val="24"/>
          <w:u w:val="single"/>
          <w:rtl/>
        </w:rPr>
        <w:t xml:space="preserve">הספר ה-14 הוא ספר שופטים </w:t>
      </w:r>
      <w:r w:rsidRPr="004A5120">
        <w:rPr>
          <w:rFonts w:ascii="David" w:hAnsi="David" w:cs="David"/>
          <w:sz w:val="24"/>
          <w:szCs w:val="24"/>
          <w:u w:val="single"/>
          <w:rtl/>
        </w:rPr>
        <w:t>–</w:t>
      </w:r>
      <w:r w:rsidRPr="004A5120">
        <w:rPr>
          <w:rFonts w:ascii="David" w:hAnsi="David" w:cs="David" w:hint="cs"/>
          <w:sz w:val="24"/>
          <w:szCs w:val="24"/>
          <w:u w:val="single"/>
          <w:rtl/>
        </w:rPr>
        <w:t xml:space="preserve"> </w:t>
      </w:r>
      <w:r w:rsidRPr="004A5120">
        <w:rPr>
          <w:rFonts w:ascii="David" w:hAnsi="David" w:cs="David" w:hint="cs"/>
          <w:sz w:val="24"/>
          <w:szCs w:val="24"/>
          <w:rtl/>
        </w:rPr>
        <w:t xml:space="preserve">כולל את כל </w:t>
      </w:r>
      <w:r w:rsidR="004807D8" w:rsidRPr="004A5120">
        <w:rPr>
          <w:rFonts w:ascii="David" w:hAnsi="David" w:cs="David" w:hint="cs"/>
          <w:sz w:val="24"/>
          <w:szCs w:val="24"/>
          <w:rtl/>
        </w:rPr>
        <w:t>החומר בענפי המשפטים השונים. היה קודקס אשר הצטיין בסידור שיטתי וענייני. בד"כ תיאור כללי של מוסד משפטי ואז הפרטים בדיני אותו מוסד.</w:t>
      </w:r>
    </w:p>
    <w:p w14:paraId="44184255" w14:textId="71B58E78" w:rsidR="004807D8" w:rsidRPr="004A5120" w:rsidRDefault="004807D8" w:rsidP="00062003">
      <w:pPr>
        <w:spacing w:after="0"/>
        <w:jc w:val="both"/>
        <w:rPr>
          <w:rFonts w:ascii="David" w:hAnsi="David" w:cs="David"/>
          <w:sz w:val="24"/>
          <w:szCs w:val="24"/>
          <w:rtl/>
        </w:rPr>
      </w:pPr>
    </w:p>
    <w:p w14:paraId="5D277865" w14:textId="219B1B03" w:rsidR="004807D8" w:rsidRPr="004A5120" w:rsidRDefault="004807D8" w:rsidP="00062003">
      <w:pPr>
        <w:spacing w:after="0"/>
        <w:jc w:val="both"/>
        <w:rPr>
          <w:rFonts w:ascii="David" w:hAnsi="David" w:cs="David"/>
          <w:sz w:val="24"/>
          <w:szCs w:val="24"/>
          <w:rtl/>
        </w:rPr>
      </w:pPr>
      <w:r w:rsidRPr="004A5120">
        <w:rPr>
          <w:rFonts w:ascii="David" w:hAnsi="David" w:cs="David" w:hint="cs"/>
          <w:sz w:val="24"/>
          <w:szCs w:val="24"/>
          <w:rtl/>
        </w:rPr>
        <w:t xml:space="preserve">לפעמים נראה </w:t>
      </w:r>
      <w:r w:rsidR="00065DE0" w:rsidRPr="004A5120">
        <w:rPr>
          <w:rFonts w:ascii="David" w:hAnsi="David" w:cs="David" w:hint="cs"/>
          <w:sz w:val="24"/>
          <w:szCs w:val="24"/>
          <w:rtl/>
        </w:rPr>
        <w:t>תופעות</w:t>
      </w:r>
      <w:r w:rsidRPr="004A5120">
        <w:rPr>
          <w:rFonts w:ascii="David" w:hAnsi="David" w:cs="David" w:hint="cs"/>
          <w:sz w:val="24"/>
          <w:szCs w:val="24"/>
          <w:rtl/>
        </w:rPr>
        <w:t xml:space="preserve"> תמוהות בהקשר הקודיפיאקטיבי, כמו הלכות אבלות בספר שופטים וכו'. הסיבה לכך נובעת מהעובדה שהקשר בין התוכן המשפטי לתוכן הדתי של ההלכה העברית השפיע על מיקומו. לדוג', החובה לשים מעקה לאחר דיני רצח </w:t>
      </w:r>
      <w:r w:rsidRPr="004A5120">
        <w:rPr>
          <w:rFonts w:ascii="David" w:hAnsi="David" w:cs="David"/>
          <w:sz w:val="24"/>
          <w:szCs w:val="24"/>
          <w:rtl/>
        </w:rPr>
        <w:t>–</w:t>
      </w:r>
      <w:r w:rsidRPr="004A5120">
        <w:rPr>
          <w:rFonts w:ascii="David" w:hAnsi="David" w:cs="David" w:hint="cs"/>
          <w:sz w:val="24"/>
          <w:szCs w:val="24"/>
          <w:rtl/>
        </w:rPr>
        <w:t xml:space="preserve"> יסוד משותף: קדושת חיי האדם.</w:t>
      </w:r>
    </w:p>
    <w:p w14:paraId="066E869E" w14:textId="2C55A0D8" w:rsidR="004807D8" w:rsidRPr="004A5120" w:rsidRDefault="004807D8" w:rsidP="004807D8">
      <w:pPr>
        <w:spacing w:after="0"/>
        <w:jc w:val="both"/>
        <w:rPr>
          <w:rFonts w:ascii="David" w:hAnsi="David" w:cs="David"/>
          <w:sz w:val="24"/>
          <w:szCs w:val="24"/>
          <w:rtl/>
        </w:rPr>
      </w:pPr>
    </w:p>
    <w:p w14:paraId="6C083A56" w14:textId="240EAE66" w:rsidR="004807D8" w:rsidRPr="004A5120" w:rsidRDefault="004807D8" w:rsidP="004807D8">
      <w:pPr>
        <w:spacing w:after="0"/>
        <w:jc w:val="both"/>
        <w:rPr>
          <w:rFonts w:ascii="David" w:hAnsi="David" w:cs="David"/>
          <w:sz w:val="24"/>
          <w:szCs w:val="24"/>
          <w:u w:val="single"/>
          <w:rtl/>
        </w:rPr>
      </w:pPr>
      <w:r w:rsidRPr="004A5120">
        <w:rPr>
          <w:rFonts w:ascii="David" w:hAnsi="David" w:cs="David" w:hint="cs"/>
          <w:sz w:val="24"/>
          <w:szCs w:val="24"/>
          <w:u w:val="single"/>
          <w:rtl/>
        </w:rPr>
        <w:t>קביעה ופסיקת הלכה סופית, בלי להציג חילוקי דעות ומבלי לציין מקורות:</w:t>
      </w:r>
    </w:p>
    <w:p w14:paraId="62454077" w14:textId="2F81A025" w:rsidR="004807D8" w:rsidRPr="004A5120" w:rsidRDefault="004807D8" w:rsidP="004807D8">
      <w:pPr>
        <w:spacing w:after="0"/>
        <w:jc w:val="both"/>
        <w:rPr>
          <w:rFonts w:ascii="David" w:hAnsi="David" w:cs="David"/>
          <w:sz w:val="24"/>
          <w:szCs w:val="24"/>
          <w:rtl/>
        </w:rPr>
      </w:pPr>
      <w:r w:rsidRPr="004A5120">
        <w:rPr>
          <w:rFonts w:ascii="David" w:hAnsi="David" w:cs="David" w:hint="cs"/>
          <w:sz w:val="24"/>
          <w:szCs w:val="24"/>
          <w:rtl/>
        </w:rPr>
        <w:t>הרמב"ם ראה באזכור המקורות סרבול ודבר המקשה על ההבנה והשימוש הפרקטי והיעיל, לכן הביא את ההלכה בצורה סתמית, ס</w:t>
      </w:r>
      <w:r w:rsidR="00CD4967">
        <w:rPr>
          <w:rFonts w:ascii="David" w:hAnsi="David" w:cs="David" w:hint="cs"/>
          <w:sz w:val="24"/>
          <w:szCs w:val="24"/>
          <w:rtl/>
        </w:rPr>
        <w:t>ו</w:t>
      </w:r>
      <w:r w:rsidRPr="004A5120">
        <w:rPr>
          <w:rFonts w:ascii="David" w:hAnsi="David" w:cs="David" w:hint="cs"/>
          <w:sz w:val="24"/>
          <w:szCs w:val="24"/>
          <w:rtl/>
        </w:rPr>
        <w:t xml:space="preserve">פית וחסרת מקורות. דרך זו של הרמב"ם הייתה מהפכנית </w:t>
      </w:r>
      <w:r w:rsidRPr="004A5120">
        <w:rPr>
          <w:rFonts w:ascii="David" w:hAnsi="David" w:cs="David"/>
          <w:sz w:val="24"/>
          <w:szCs w:val="24"/>
          <w:rtl/>
        </w:rPr>
        <w:t>–</w:t>
      </w:r>
      <w:r w:rsidRPr="004A5120">
        <w:rPr>
          <w:rFonts w:ascii="David" w:hAnsi="David" w:cs="David" w:hint="cs"/>
          <w:sz w:val="24"/>
          <w:szCs w:val="24"/>
          <w:rtl/>
        </w:rPr>
        <w:t xml:space="preserve"> והיא זו שהובילה לרוב הביקורת נגדו. סלל את הדרך לחיבור שולחן ארוך 400 שנה אח"כ.</w:t>
      </w:r>
    </w:p>
    <w:p w14:paraId="37A83CD2" w14:textId="4C321E5A" w:rsidR="004807D8" w:rsidRPr="004A5120" w:rsidRDefault="004807D8" w:rsidP="004807D8">
      <w:pPr>
        <w:spacing w:after="0"/>
        <w:jc w:val="both"/>
        <w:rPr>
          <w:rFonts w:ascii="David" w:hAnsi="David" w:cs="David"/>
          <w:sz w:val="24"/>
          <w:szCs w:val="24"/>
          <w:rtl/>
        </w:rPr>
      </w:pPr>
    </w:p>
    <w:p w14:paraId="39C34946" w14:textId="60A0F1A8" w:rsidR="004807D8" w:rsidRPr="004A5120" w:rsidRDefault="004807D8" w:rsidP="004807D8">
      <w:pPr>
        <w:spacing w:after="0"/>
        <w:jc w:val="both"/>
        <w:rPr>
          <w:rFonts w:ascii="David" w:hAnsi="David" w:cs="David"/>
          <w:sz w:val="24"/>
          <w:szCs w:val="24"/>
          <w:u w:val="single"/>
          <w:rtl/>
        </w:rPr>
      </w:pPr>
      <w:r w:rsidRPr="004A5120">
        <w:rPr>
          <w:rFonts w:ascii="David" w:hAnsi="David" w:cs="David" w:hint="cs"/>
          <w:sz w:val="24"/>
          <w:szCs w:val="24"/>
          <w:u w:val="single"/>
          <w:rtl/>
        </w:rPr>
        <w:t>סגנון וניסוח בספר "משנה תורה":</w:t>
      </w:r>
    </w:p>
    <w:p w14:paraId="196396F2" w14:textId="1AE9654A" w:rsidR="000B3B8D" w:rsidRPr="004A5120" w:rsidRDefault="000B3B8D" w:rsidP="001A492B">
      <w:pPr>
        <w:pStyle w:val="a3"/>
        <w:numPr>
          <w:ilvl w:val="0"/>
          <w:numId w:val="28"/>
        </w:numPr>
        <w:spacing w:after="0"/>
        <w:jc w:val="both"/>
        <w:rPr>
          <w:rFonts w:ascii="David" w:hAnsi="David" w:cs="David"/>
          <w:sz w:val="24"/>
          <w:szCs w:val="24"/>
          <w:rtl/>
        </w:rPr>
      </w:pPr>
      <w:r w:rsidRPr="004A5120">
        <w:rPr>
          <w:rFonts w:ascii="David" w:hAnsi="David" w:cs="David" w:hint="cs"/>
          <w:sz w:val="24"/>
          <w:szCs w:val="24"/>
          <w:rtl/>
        </w:rPr>
        <w:t>ניתן לראות ענווה גדולה מסגנון ניסוחו. 2 תכונות מרכזיות: 1. סגנון עברי משפטי, בהיר. 2. ניסוח משפטי ברור ונוח להבנה. בהשוואה למקורות אחרים: התלמוד הבבלי-ארמית בבלי</w:t>
      </w:r>
      <w:r w:rsidR="00CD4967">
        <w:rPr>
          <w:rFonts w:ascii="David" w:hAnsi="David" w:cs="David" w:hint="cs"/>
          <w:sz w:val="24"/>
          <w:szCs w:val="24"/>
          <w:rtl/>
        </w:rPr>
        <w:t>ת</w:t>
      </w:r>
      <w:r w:rsidRPr="004A5120">
        <w:rPr>
          <w:rFonts w:ascii="David" w:hAnsi="David" w:cs="David" w:hint="cs"/>
          <w:sz w:val="24"/>
          <w:szCs w:val="24"/>
          <w:rtl/>
        </w:rPr>
        <w:t>, הירושלמי- ארמית א"י, מדרשי הלכה בעברית מיוחדת וכו'. בנוסף, התעקש לכתוב בעברית.</w:t>
      </w:r>
    </w:p>
    <w:p w14:paraId="1B6D30E8" w14:textId="150C560C" w:rsidR="000B3B8D" w:rsidRPr="004A5120" w:rsidRDefault="000B3B8D"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לעתים עושה שימוש בביטויים הלכתיים ישנים. דוג': מאמץ מפסוק </w:t>
      </w:r>
      <w:r w:rsidR="00065DE0" w:rsidRPr="004A5120">
        <w:rPr>
          <w:rFonts w:ascii="David" w:hAnsi="David" w:cs="David" w:hint="cs"/>
          <w:sz w:val="24"/>
          <w:szCs w:val="24"/>
          <w:rtl/>
        </w:rPr>
        <w:t>בוויקר</w:t>
      </w:r>
      <w:r w:rsidR="00065DE0" w:rsidRPr="004A5120">
        <w:rPr>
          <w:rFonts w:ascii="David" w:hAnsi="David" w:cs="David" w:hint="eastAsia"/>
          <w:sz w:val="24"/>
          <w:szCs w:val="24"/>
          <w:rtl/>
        </w:rPr>
        <w:t>א</w:t>
      </w:r>
      <w:r w:rsidRPr="004A5120">
        <w:rPr>
          <w:rFonts w:ascii="David" w:hAnsi="David" w:cs="David" w:hint="cs"/>
          <w:sz w:val="24"/>
          <w:szCs w:val="24"/>
          <w:rtl/>
        </w:rPr>
        <w:t xml:space="preserve"> ומהספרא, ביטוי ישן ומנסח כך: "מצוות עשה לצדק המאזניים יפה".</w:t>
      </w:r>
    </w:p>
    <w:p w14:paraId="678AA4E5" w14:textId="385D3277" w:rsidR="000B3B8D" w:rsidRPr="004A5120" w:rsidRDefault="000B3B8D"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לעתים מכניס שינוי בנוסח ההלכה לעומת המקור שלה, בשביל להסיר ספק פרשני.</w:t>
      </w:r>
    </w:p>
    <w:p w14:paraId="6A65DFE3" w14:textId="275B0F55" w:rsidR="000B3B8D" w:rsidRPr="004A5120" w:rsidRDefault="000B3B8D" w:rsidP="000B3B8D">
      <w:pPr>
        <w:pStyle w:val="a3"/>
        <w:spacing w:after="0"/>
        <w:jc w:val="both"/>
        <w:rPr>
          <w:rFonts w:ascii="David" w:hAnsi="David" w:cs="David"/>
          <w:sz w:val="24"/>
          <w:szCs w:val="24"/>
          <w:rtl/>
        </w:rPr>
      </w:pPr>
      <w:r w:rsidRPr="004A5120">
        <w:rPr>
          <w:rFonts w:ascii="David" w:hAnsi="David" w:cs="David" w:hint="cs"/>
          <w:sz w:val="24"/>
          <w:szCs w:val="24"/>
          <w:rtl/>
        </w:rPr>
        <w:t>לדוג':</w:t>
      </w:r>
    </w:p>
    <w:p w14:paraId="6B6807C4" w14:textId="4E710B08" w:rsidR="000B3B8D" w:rsidRPr="004A5120" w:rsidRDefault="000B3B8D"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בקידושין כתוב: "האישה נקנית בשלוש דרכים: בכסף, בשטר ובביאה" </w:t>
      </w:r>
      <w:r w:rsidRPr="004A5120">
        <w:rPr>
          <w:rFonts w:ascii="David" w:hAnsi="David" w:cs="David"/>
          <w:sz w:val="24"/>
          <w:szCs w:val="24"/>
          <w:rtl/>
        </w:rPr>
        <w:t>–</w:t>
      </w:r>
      <w:r w:rsidRPr="004A5120">
        <w:rPr>
          <w:rFonts w:ascii="David" w:hAnsi="David" w:cs="David" w:hint="cs"/>
          <w:sz w:val="24"/>
          <w:szCs w:val="24"/>
          <w:rtl/>
        </w:rPr>
        <w:t xml:space="preserve"> הכוונה היא שהאישה נקנית באחת משלוש הדרכים. הרמב"ם שינה מעט בנוסח וכתב: "ובאחד משלושה דברים אלו האישה נקנית.." </w:t>
      </w:r>
      <w:r w:rsidRPr="004A5120">
        <w:rPr>
          <w:rFonts w:ascii="David" w:hAnsi="David" w:cs="David"/>
          <w:sz w:val="24"/>
          <w:szCs w:val="24"/>
          <w:rtl/>
        </w:rPr>
        <w:t>–</w:t>
      </w:r>
      <w:r w:rsidRPr="004A5120">
        <w:rPr>
          <w:rFonts w:ascii="David" w:hAnsi="David" w:cs="David" w:hint="cs"/>
          <w:sz w:val="24"/>
          <w:szCs w:val="24"/>
          <w:rtl/>
        </w:rPr>
        <w:t xml:space="preserve"> נטל את דו </w:t>
      </w:r>
      <w:r w:rsidR="00CA5BB6">
        <w:rPr>
          <w:rFonts w:ascii="David" w:hAnsi="David" w:cs="David" w:hint="cs"/>
          <w:sz w:val="24"/>
          <w:szCs w:val="24"/>
          <w:rtl/>
        </w:rPr>
        <w:t>ה</w:t>
      </w:r>
      <w:r w:rsidRPr="004A5120">
        <w:rPr>
          <w:rFonts w:ascii="David" w:hAnsi="David" w:cs="David" w:hint="cs"/>
          <w:sz w:val="24"/>
          <w:szCs w:val="24"/>
          <w:rtl/>
        </w:rPr>
        <w:t>משמעות האפשרית.</w:t>
      </w:r>
    </w:p>
    <w:p w14:paraId="7AF27DC7" w14:textId="00A9ACC5" w:rsidR="00282CD9" w:rsidRPr="004A5120" w:rsidRDefault="000B3B8D"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כלל בדיני עדות: "דבר ולא חצי דבר" </w:t>
      </w:r>
      <w:r w:rsidRPr="004A5120">
        <w:rPr>
          <w:rFonts w:ascii="David" w:hAnsi="David" w:cs="David"/>
          <w:sz w:val="24"/>
          <w:szCs w:val="24"/>
          <w:rtl/>
        </w:rPr>
        <w:t>–</w:t>
      </w:r>
      <w:r w:rsidRPr="004A5120">
        <w:rPr>
          <w:rFonts w:ascii="David" w:hAnsi="David" w:cs="David" w:hint="cs"/>
          <w:sz w:val="24"/>
          <w:szCs w:val="24"/>
          <w:rtl/>
        </w:rPr>
        <w:t xml:space="preserve"> הדבר צריך להיות שלם ולא חלקי</w:t>
      </w:r>
      <w:r w:rsidR="00282CD9" w:rsidRPr="004A5120">
        <w:rPr>
          <w:rFonts w:ascii="David" w:hAnsi="David" w:cs="David" w:hint="cs"/>
          <w:sz w:val="24"/>
          <w:szCs w:val="24"/>
          <w:rtl/>
        </w:rPr>
        <w:t>, ואין זה משנה באיזה חלק מתוך השלם מדובר. הרמב"ם שינה ל"מקצת דבר" ודייק את הכלל.</w:t>
      </w:r>
    </w:p>
    <w:p w14:paraId="0855B38C" w14:textId="60DDE07F" w:rsidR="00282CD9" w:rsidRPr="004A5120" w:rsidRDefault="00282CD9"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בבא מציא: שניים רבים למי שייכת טלית. במשנה, ניסוח ארוך ומשונה, הרמב"ם משנה למשפט אחיד </w:t>
      </w:r>
      <w:r w:rsidRPr="004A5120">
        <w:rPr>
          <w:rFonts w:ascii="David" w:hAnsi="David" w:cs="David"/>
          <w:sz w:val="24"/>
          <w:szCs w:val="24"/>
          <w:rtl/>
        </w:rPr>
        <w:t>–</w:t>
      </w:r>
      <w:r w:rsidRPr="004A5120">
        <w:rPr>
          <w:rFonts w:ascii="David" w:hAnsi="David" w:cs="David" w:hint="cs"/>
          <w:sz w:val="24"/>
          <w:szCs w:val="24"/>
          <w:rtl/>
        </w:rPr>
        <w:t xml:space="preserve"> "הכל שלי", ומשתמש רק בו, כך גם עם שאר הניסוחים הבעייתיים במקרה. כך מופיעה אותה הלכה בניסוח בהיר ופשוט יותר.</w:t>
      </w:r>
    </w:p>
    <w:p w14:paraId="3AFA64AB" w14:textId="4B8E8B10" w:rsidR="00282CD9" w:rsidRPr="004A5120" w:rsidRDefault="00282CD9" w:rsidP="00282CD9">
      <w:pPr>
        <w:spacing w:after="0"/>
        <w:jc w:val="both"/>
        <w:rPr>
          <w:rFonts w:ascii="David" w:hAnsi="David" w:cs="David"/>
          <w:sz w:val="24"/>
          <w:szCs w:val="24"/>
          <w:rtl/>
        </w:rPr>
      </w:pPr>
    </w:p>
    <w:p w14:paraId="3679CC84" w14:textId="330A0674" w:rsidR="00282CD9" w:rsidRPr="004A5120" w:rsidRDefault="00282CD9" w:rsidP="00282CD9">
      <w:pPr>
        <w:spacing w:after="0"/>
        <w:jc w:val="both"/>
        <w:rPr>
          <w:rFonts w:ascii="David" w:hAnsi="David" w:cs="David"/>
          <w:sz w:val="24"/>
          <w:szCs w:val="24"/>
          <w:u w:val="single"/>
          <w:rtl/>
        </w:rPr>
      </w:pPr>
      <w:r w:rsidRPr="004A5120">
        <w:rPr>
          <w:rFonts w:ascii="David" w:hAnsi="David" w:cs="David" w:hint="cs"/>
          <w:sz w:val="24"/>
          <w:szCs w:val="24"/>
          <w:u w:val="single"/>
          <w:rtl/>
        </w:rPr>
        <w:t>ניסוח עובדתי קזואיסטי:</w:t>
      </w:r>
    </w:p>
    <w:p w14:paraId="22A658C0" w14:textId="42B07AF0" w:rsidR="00282CD9" w:rsidRPr="004A5120" w:rsidRDefault="00282CD9" w:rsidP="00282CD9">
      <w:pPr>
        <w:spacing w:after="0"/>
        <w:jc w:val="both"/>
        <w:rPr>
          <w:rFonts w:ascii="David" w:hAnsi="David" w:cs="David"/>
          <w:sz w:val="24"/>
          <w:szCs w:val="24"/>
          <w:rtl/>
        </w:rPr>
      </w:pPr>
      <w:r w:rsidRPr="004A5120">
        <w:rPr>
          <w:rFonts w:ascii="David" w:hAnsi="David" w:cs="David" w:hint="cs"/>
          <w:sz w:val="24"/>
          <w:szCs w:val="24"/>
          <w:rtl/>
        </w:rPr>
        <w:t>הרמב"ם המשיך את דרך הניסוח הקזואיסטית של המשנה, אך הכניס צורת ניסוח של תרכובת קוזאיסטית-נורמטיבית. לדוג' במקרה הטל</w:t>
      </w:r>
      <w:r w:rsidR="0026479E">
        <w:rPr>
          <w:rFonts w:ascii="David" w:hAnsi="David" w:cs="David" w:hint="cs"/>
          <w:sz w:val="24"/>
          <w:szCs w:val="24"/>
          <w:rtl/>
        </w:rPr>
        <w:t>י</w:t>
      </w:r>
      <w:r w:rsidRPr="004A5120">
        <w:rPr>
          <w:rFonts w:ascii="David" w:hAnsi="David" w:cs="David" w:hint="cs"/>
          <w:sz w:val="24"/>
          <w:szCs w:val="24"/>
          <w:rtl/>
        </w:rPr>
        <w:t xml:space="preserve">ת, הרמב"ם מפרט איך כל אחד נשבע שהיא שייכת לו, לאחר הפירוט מוסיף הכללה משלו </w:t>
      </w:r>
      <w:r w:rsidRPr="004A5120">
        <w:rPr>
          <w:rFonts w:ascii="David" w:hAnsi="David" w:cs="David"/>
          <w:sz w:val="24"/>
          <w:szCs w:val="24"/>
          <w:rtl/>
        </w:rPr>
        <w:t>–</w:t>
      </w:r>
      <w:r w:rsidRPr="004A5120">
        <w:rPr>
          <w:rFonts w:ascii="David" w:hAnsi="David" w:cs="David" w:hint="cs"/>
          <w:sz w:val="24"/>
          <w:szCs w:val="24"/>
          <w:rtl/>
        </w:rPr>
        <w:t xml:space="preserve"> "מכאן אתה למד", זהו החלק הנורמטיבי. במקרים אחרים הסדר הוא הפוך, לדוג': כל דבר שיש ספק שהוא גנוב, אסור לקנות אותו. פותח בכלל ואח"כ מפרט.</w:t>
      </w:r>
    </w:p>
    <w:p w14:paraId="794C6594" w14:textId="02E1DE86" w:rsidR="00282CD9" w:rsidRPr="004A5120" w:rsidRDefault="00282CD9" w:rsidP="00282CD9">
      <w:pPr>
        <w:spacing w:after="0"/>
        <w:jc w:val="both"/>
        <w:rPr>
          <w:rFonts w:ascii="David" w:hAnsi="David" w:cs="David"/>
          <w:sz w:val="24"/>
          <w:szCs w:val="24"/>
          <w:rtl/>
        </w:rPr>
      </w:pPr>
    </w:p>
    <w:p w14:paraId="2E22629E" w14:textId="456A669A" w:rsidR="00282CD9" w:rsidRPr="004A5120" w:rsidRDefault="00282CD9" w:rsidP="00282CD9">
      <w:pPr>
        <w:spacing w:after="0"/>
        <w:jc w:val="both"/>
        <w:rPr>
          <w:rFonts w:ascii="David" w:hAnsi="David" w:cs="David"/>
          <w:sz w:val="24"/>
          <w:szCs w:val="24"/>
          <w:u w:val="single"/>
          <w:rtl/>
        </w:rPr>
      </w:pPr>
      <w:r w:rsidRPr="004A5120">
        <w:rPr>
          <w:rFonts w:ascii="David" w:hAnsi="David" w:cs="David" w:hint="cs"/>
          <w:sz w:val="24"/>
          <w:szCs w:val="24"/>
          <w:u w:val="single"/>
          <w:rtl/>
        </w:rPr>
        <w:t>3 סיבות לכך שהרמב"ם שמר על דרך הניסוח הקוזאיסטית:</w:t>
      </w:r>
    </w:p>
    <w:p w14:paraId="1DEF0A8C" w14:textId="18B7F7EF" w:rsidR="00282CD9" w:rsidRPr="004A5120" w:rsidRDefault="00282CD9" w:rsidP="001A492B">
      <w:pPr>
        <w:pStyle w:val="a3"/>
        <w:numPr>
          <w:ilvl w:val="0"/>
          <w:numId w:val="39"/>
        </w:numPr>
        <w:spacing w:after="0"/>
        <w:jc w:val="both"/>
        <w:rPr>
          <w:rFonts w:ascii="David" w:hAnsi="David" w:cs="David"/>
          <w:sz w:val="24"/>
          <w:szCs w:val="24"/>
        </w:rPr>
      </w:pPr>
      <w:r w:rsidRPr="004A5120">
        <w:rPr>
          <w:rFonts w:ascii="David" w:hAnsi="David" w:cs="David" w:hint="cs"/>
          <w:sz w:val="24"/>
          <w:szCs w:val="24"/>
          <w:rtl/>
        </w:rPr>
        <w:t>לא יכול לקחת לעצמו אחריות לזנוח את דרך הניסוח של המשנה. מכיר בכך שהוא לא מקור החוק אלא רק מפרשו ומסכמו. השמטת פירוט קזואיסטי לטובת ניסוח נורמה משפטית, עלול לזנוח חלקים מההלכה בדרך.</w:t>
      </w:r>
    </w:p>
    <w:p w14:paraId="64AF4E82" w14:textId="789569BB" w:rsidR="00282CD9" w:rsidRPr="004A5120" w:rsidRDefault="00282CD9" w:rsidP="001A492B">
      <w:pPr>
        <w:pStyle w:val="a3"/>
        <w:numPr>
          <w:ilvl w:val="0"/>
          <w:numId w:val="39"/>
        </w:numPr>
        <w:spacing w:after="0"/>
        <w:jc w:val="both"/>
        <w:rPr>
          <w:rFonts w:ascii="David" w:hAnsi="David" w:cs="David"/>
          <w:sz w:val="24"/>
          <w:szCs w:val="24"/>
        </w:rPr>
      </w:pPr>
      <w:r w:rsidRPr="004A5120">
        <w:rPr>
          <w:rFonts w:ascii="David" w:hAnsi="David" w:cs="David" w:hint="cs"/>
          <w:sz w:val="24"/>
          <w:szCs w:val="24"/>
          <w:rtl/>
        </w:rPr>
        <w:t>שמר על קשר פנימי חזק בין ספרו לבין ההלכה התלמודית</w:t>
      </w:r>
      <w:r w:rsidR="00655601" w:rsidRPr="004A5120">
        <w:rPr>
          <w:rFonts w:ascii="David" w:hAnsi="David" w:cs="David" w:hint="cs"/>
          <w:sz w:val="24"/>
          <w:szCs w:val="24"/>
          <w:rtl/>
        </w:rPr>
        <w:t>, כך שמי שמעיין במשנה תורה ירגיש את "אווירת" הספרות התלמודית, ע"י הפירוט הקזואיסטי.</w:t>
      </w:r>
    </w:p>
    <w:p w14:paraId="17062C1D" w14:textId="0769129F" w:rsidR="00655601" w:rsidRPr="004A5120" w:rsidRDefault="00655601" w:rsidP="001A492B">
      <w:pPr>
        <w:pStyle w:val="a3"/>
        <w:numPr>
          <w:ilvl w:val="0"/>
          <w:numId w:val="39"/>
        </w:numPr>
        <w:spacing w:after="0"/>
        <w:jc w:val="both"/>
        <w:rPr>
          <w:rFonts w:ascii="David" w:hAnsi="David" w:cs="David"/>
          <w:sz w:val="24"/>
          <w:szCs w:val="24"/>
        </w:rPr>
      </w:pPr>
      <w:r w:rsidRPr="004A5120">
        <w:rPr>
          <w:rFonts w:ascii="David" w:hAnsi="David" w:cs="David" w:hint="cs"/>
          <w:sz w:val="24"/>
          <w:szCs w:val="24"/>
          <w:rtl/>
        </w:rPr>
        <w:t>הדרך הקזואיסטית מהותית להמשך התפתחות המשפט העברי. קביעת הלכה כך, מאפשר</w:t>
      </w:r>
      <w:r w:rsidR="0026479E">
        <w:rPr>
          <w:rFonts w:ascii="David" w:hAnsi="David" w:cs="David" w:hint="cs"/>
          <w:sz w:val="24"/>
          <w:szCs w:val="24"/>
          <w:rtl/>
        </w:rPr>
        <w:t>ת</w:t>
      </w:r>
      <w:r w:rsidRPr="004A5120">
        <w:rPr>
          <w:rFonts w:ascii="David" w:hAnsi="David" w:cs="David" w:hint="cs"/>
          <w:sz w:val="24"/>
          <w:szCs w:val="24"/>
          <w:rtl/>
        </w:rPr>
        <w:t xml:space="preserve"> גמישות בפתרון בעיות, ע"י הקשה ממקרה אחד למשנהו.</w:t>
      </w:r>
    </w:p>
    <w:p w14:paraId="002D0DE6" w14:textId="79747D1F" w:rsidR="00655601" w:rsidRPr="004A5120" w:rsidRDefault="00655601" w:rsidP="00655601">
      <w:pPr>
        <w:spacing w:after="0"/>
        <w:jc w:val="both"/>
        <w:rPr>
          <w:rFonts w:ascii="David" w:hAnsi="David" w:cs="David"/>
          <w:sz w:val="24"/>
          <w:szCs w:val="24"/>
          <w:rtl/>
        </w:rPr>
      </w:pPr>
    </w:p>
    <w:p w14:paraId="04F115E3" w14:textId="1C45764D" w:rsidR="00655601" w:rsidRPr="004A5120" w:rsidRDefault="00655601" w:rsidP="00655601">
      <w:pPr>
        <w:spacing w:after="0"/>
        <w:jc w:val="both"/>
        <w:rPr>
          <w:rFonts w:ascii="David" w:hAnsi="David" w:cs="David"/>
          <w:sz w:val="24"/>
          <w:szCs w:val="24"/>
          <w:u w:val="single"/>
          <w:rtl/>
        </w:rPr>
      </w:pPr>
      <w:r w:rsidRPr="004A5120">
        <w:rPr>
          <w:rFonts w:ascii="David" w:hAnsi="David" w:cs="David" w:hint="cs"/>
          <w:sz w:val="24"/>
          <w:szCs w:val="24"/>
          <w:u w:val="single"/>
          <w:rtl/>
        </w:rPr>
        <w:t>ספר "מחוקק" לאומה:</w:t>
      </w:r>
    </w:p>
    <w:p w14:paraId="2FD82AA9" w14:textId="231FA2F3" w:rsidR="00655601" w:rsidRPr="004A5120" w:rsidRDefault="00655601" w:rsidP="00655601">
      <w:pPr>
        <w:spacing w:after="0"/>
        <w:jc w:val="both"/>
        <w:rPr>
          <w:rFonts w:ascii="David" w:hAnsi="David" w:cs="David"/>
          <w:sz w:val="24"/>
          <w:szCs w:val="24"/>
          <w:rtl/>
        </w:rPr>
      </w:pPr>
      <w:r w:rsidRPr="004A5120">
        <w:rPr>
          <w:rFonts w:ascii="David" w:hAnsi="David" w:cs="David" w:hint="cs"/>
          <w:sz w:val="24"/>
          <w:szCs w:val="24"/>
          <w:rtl/>
        </w:rPr>
        <w:t xml:space="preserve">הרמב"ם הכין לאומה "ספר מחוקק" </w:t>
      </w:r>
      <w:r w:rsidRPr="004A5120">
        <w:rPr>
          <w:rFonts w:ascii="David" w:hAnsi="David" w:cs="David"/>
          <w:sz w:val="24"/>
          <w:szCs w:val="24"/>
          <w:rtl/>
        </w:rPr>
        <w:t>–</w:t>
      </w:r>
      <w:r w:rsidRPr="004A5120">
        <w:rPr>
          <w:rFonts w:ascii="David" w:hAnsi="David" w:cs="David" w:hint="cs"/>
          <w:sz w:val="24"/>
          <w:szCs w:val="24"/>
          <w:rtl/>
        </w:rPr>
        <w:t xml:space="preserve"> ספר הפסקים המשוכלל ביותר שידעה ההלכה העברית. כך השלים את 4 הדרישות שהציב לעצמו בחיבור סוג ספרותי חדש בספרות הפוסקים (מופיע לעיל).</w:t>
      </w:r>
    </w:p>
    <w:p w14:paraId="0FBB0462" w14:textId="14A3D2FF" w:rsidR="00655601" w:rsidRPr="004A5120" w:rsidRDefault="00655601" w:rsidP="00655601">
      <w:pPr>
        <w:spacing w:after="0"/>
        <w:jc w:val="both"/>
        <w:rPr>
          <w:rFonts w:ascii="David" w:hAnsi="David" w:cs="David"/>
          <w:sz w:val="24"/>
          <w:szCs w:val="24"/>
          <w:rtl/>
        </w:rPr>
      </w:pPr>
    </w:p>
    <w:p w14:paraId="6BE242FC" w14:textId="45711603" w:rsidR="00655601" w:rsidRPr="004A5120" w:rsidRDefault="00655601" w:rsidP="00655601">
      <w:pPr>
        <w:spacing w:after="0"/>
        <w:jc w:val="both"/>
        <w:rPr>
          <w:rFonts w:ascii="David" w:hAnsi="David" w:cs="David"/>
          <w:sz w:val="24"/>
          <w:szCs w:val="24"/>
          <w:u w:val="single"/>
          <w:rtl/>
        </w:rPr>
      </w:pPr>
      <w:r w:rsidRPr="004A5120">
        <w:rPr>
          <w:rFonts w:ascii="David" w:hAnsi="David" w:cs="David" w:hint="cs"/>
          <w:sz w:val="24"/>
          <w:szCs w:val="24"/>
          <w:u w:val="single"/>
          <w:rtl/>
        </w:rPr>
        <w:t>השגות ותגובות על דרכו הקודיפיאקטיבית של הרמב"ם:</w:t>
      </w:r>
    </w:p>
    <w:p w14:paraId="1E665366" w14:textId="5D3CF74E" w:rsidR="00655601" w:rsidRPr="004A5120" w:rsidRDefault="00655601"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 xml:space="preserve">חליפת אגרות עם ר' פנחס בר' משולם הדיין </w:t>
      </w:r>
      <w:r w:rsidR="00065DE0" w:rsidRPr="004A5120">
        <w:rPr>
          <w:rFonts w:ascii="David" w:hAnsi="David" w:cs="David" w:hint="cs"/>
          <w:sz w:val="24"/>
          <w:szCs w:val="24"/>
          <w:rtl/>
        </w:rPr>
        <w:t>מאלכסנדרי</w:t>
      </w:r>
      <w:r w:rsidR="00065DE0" w:rsidRPr="004A5120">
        <w:rPr>
          <w:rFonts w:ascii="David" w:hAnsi="David" w:cs="David" w:hint="eastAsia"/>
          <w:sz w:val="24"/>
          <w:szCs w:val="24"/>
          <w:rtl/>
        </w:rPr>
        <w:t>ה</w:t>
      </w:r>
      <w:r w:rsidRPr="004A5120">
        <w:rPr>
          <w:rFonts w:ascii="David" w:hAnsi="David" w:cs="David" w:hint="cs"/>
          <w:sz w:val="24"/>
          <w:szCs w:val="24"/>
          <w:rtl/>
        </w:rPr>
        <w:t>:</w:t>
      </w:r>
    </w:p>
    <w:p w14:paraId="2C72C816" w14:textId="77777777" w:rsidR="007E413E" w:rsidRPr="004A5120" w:rsidRDefault="00655601" w:rsidP="007E413E">
      <w:pPr>
        <w:pStyle w:val="a3"/>
        <w:spacing w:after="0"/>
        <w:jc w:val="both"/>
        <w:rPr>
          <w:rFonts w:ascii="David" w:hAnsi="David" w:cs="David"/>
          <w:sz w:val="24"/>
          <w:szCs w:val="24"/>
          <w:rtl/>
        </w:rPr>
      </w:pPr>
      <w:r w:rsidRPr="004A5120">
        <w:rPr>
          <w:rFonts w:ascii="David" w:hAnsi="David" w:cs="David" w:hint="cs"/>
          <w:sz w:val="24"/>
          <w:szCs w:val="24"/>
          <w:rtl/>
        </w:rPr>
        <w:t>ר' פנחס כותב לרמב"ם כי ספרו צריך להילמד בנוסף לגמרא ולמי שבקיא בה, לא במקום. זה סותר את מטרתו הראשית של הרמב"ם - ליצור ספר פסקים שניתן לפסוק ממנו הכל.</w:t>
      </w:r>
    </w:p>
    <w:p w14:paraId="296C4E38" w14:textId="425D2313" w:rsidR="00655601" w:rsidRPr="004A5120" w:rsidRDefault="00655601" w:rsidP="001A492B">
      <w:pPr>
        <w:pStyle w:val="a3"/>
        <w:numPr>
          <w:ilvl w:val="0"/>
          <w:numId w:val="40"/>
        </w:numPr>
        <w:spacing w:after="0"/>
        <w:jc w:val="both"/>
        <w:rPr>
          <w:rFonts w:ascii="David" w:hAnsi="David" w:cs="David"/>
          <w:sz w:val="24"/>
          <w:szCs w:val="24"/>
          <w:u w:val="single"/>
          <w:rtl/>
        </w:rPr>
      </w:pPr>
      <w:r w:rsidRPr="004A5120">
        <w:rPr>
          <w:rFonts w:ascii="David" w:hAnsi="David" w:cs="David" w:hint="cs"/>
          <w:sz w:val="24"/>
          <w:szCs w:val="24"/>
          <w:rtl/>
        </w:rPr>
        <w:t xml:space="preserve">הרמב"ם משיב כי מדובר בספר פסקים ולא בחיבור, על כן לא בא לפרש ולנמק. מטרת ספר הפסקים היא להגיד את המסקנה הנכונה </w:t>
      </w:r>
      <w:r w:rsidRPr="004A5120">
        <w:rPr>
          <w:rFonts w:ascii="David" w:hAnsi="David" w:cs="David"/>
          <w:sz w:val="24"/>
          <w:szCs w:val="24"/>
          <w:rtl/>
        </w:rPr>
        <w:t>–</w:t>
      </w:r>
      <w:r w:rsidRPr="004A5120">
        <w:rPr>
          <w:rFonts w:ascii="David" w:hAnsi="David" w:cs="David" w:hint="cs"/>
          <w:sz w:val="24"/>
          <w:szCs w:val="24"/>
          <w:rtl/>
        </w:rPr>
        <w:t xml:space="preserve"> בלי שאלות והוכחות.</w:t>
      </w:r>
    </w:p>
    <w:p w14:paraId="7C695303" w14:textId="1FBAE5A0" w:rsidR="007E413E" w:rsidRPr="00B14D6F" w:rsidRDefault="007E413E" w:rsidP="001A492B">
      <w:pPr>
        <w:pStyle w:val="a3"/>
        <w:numPr>
          <w:ilvl w:val="0"/>
          <w:numId w:val="40"/>
        </w:numPr>
        <w:spacing w:after="0"/>
        <w:jc w:val="both"/>
        <w:rPr>
          <w:rFonts w:ascii="David" w:hAnsi="David" w:cs="David"/>
          <w:b/>
          <w:bCs/>
          <w:sz w:val="24"/>
          <w:szCs w:val="24"/>
          <w:rtl/>
        </w:rPr>
      </w:pPr>
      <w:r w:rsidRPr="004A5120">
        <w:rPr>
          <w:rFonts w:ascii="David" w:hAnsi="David" w:cs="David" w:hint="cs"/>
          <w:sz w:val="24"/>
          <w:szCs w:val="24"/>
          <w:rtl/>
        </w:rPr>
        <w:t xml:space="preserve">בנוגע להשמטת שמות החכמים ענה: זו דרך המשנה, שהייתה סתמית בעצמה. </w:t>
      </w:r>
      <w:r w:rsidRPr="00B14D6F">
        <w:rPr>
          <w:rFonts w:ascii="David" w:hAnsi="David" w:cs="David" w:hint="cs"/>
          <w:b/>
          <w:bCs/>
          <w:sz w:val="24"/>
          <w:szCs w:val="24"/>
          <w:rtl/>
        </w:rPr>
        <w:t xml:space="preserve">זה נכון בצורה חלקית, במשנה לעתים כן מצויינים שמות התנאים וחילוקי דעות, לעולם משנה </w:t>
      </w:r>
      <w:r w:rsidR="00B14D6F">
        <w:rPr>
          <w:rFonts w:ascii="David" w:hAnsi="David" w:cs="David" w:hint="cs"/>
          <w:b/>
          <w:bCs/>
          <w:sz w:val="24"/>
          <w:szCs w:val="24"/>
          <w:rtl/>
        </w:rPr>
        <w:t>ה</w:t>
      </w:r>
      <w:r w:rsidRPr="00B14D6F">
        <w:rPr>
          <w:rFonts w:ascii="David" w:hAnsi="David" w:cs="David" w:hint="cs"/>
          <w:b/>
          <w:bCs/>
          <w:sz w:val="24"/>
          <w:szCs w:val="24"/>
          <w:rtl/>
        </w:rPr>
        <w:t>תורה, שכולו הלכה סתמית אחידה.</w:t>
      </w:r>
    </w:p>
    <w:p w14:paraId="436C0CBC" w14:textId="57B427AD" w:rsidR="007E413E" w:rsidRPr="004A5120" w:rsidRDefault="007E413E" w:rsidP="001A492B">
      <w:pPr>
        <w:pStyle w:val="a3"/>
        <w:numPr>
          <w:ilvl w:val="0"/>
          <w:numId w:val="40"/>
        </w:numPr>
        <w:spacing w:after="0"/>
        <w:jc w:val="both"/>
        <w:rPr>
          <w:rFonts w:ascii="David" w:hAnsi="David" w:cs="David"/>
          <w:sz w:val="24"/>
          <w:szCs w:val="24"/>
          <w:rtl/>
        </w:rPr>
      </w:pPr>
      <w:r w:rsidRPr="004A5120">
        <w:rPr>
          <w:rFonts w:ascii="David" w:hAnsi="David" w:cs="David" w:hint="cs"/>
          <w:sz w:val="24"/>
          <w:szCs w:val="24"/>
          <w:rtl/>
        </w:rPr>
        <w:t xml:space="preserve">הרמב"ם מוסיף נימוק היסטורי </w:t>
      </w:r>
      <w:r w:rsidRPr="004A5120">
        <w:rPr>
          <w:rFonts w:ascii="David" w:hAnsi="David" w:cs="David"/>
          <w:sz w:val="24"/>
          <w:szCs w:val="24"/>
          <w:rtl/>
        </w:rPr>
        <w:t>–</w:t>
      </w:r>
      <w:r w:rsidRPr="004A5120">
        <w:rPr>
          <w:rFonts w:ascii="David" w:hAnsi="David" w:cs="David" w:hint="cs"/>
          <w:sz w:val="24"/>
          <w:szCs w:val="24"/>
          <w:rtl/>
        </w:rPr>
        <w:t xml:space="preserve"> לא לתת פתח לקראים: שלא יוכלו להגיד שסומכים על דעת היחיד או טועים בשם מי מובאת ההלכה. אם אין שמות, אין פתח לטעות.</w:t>
      </w:r>
    </w:p>
    <w:p w14:paraId="3562FE80" w14:textId="15BCE9BF" w:rsidR="007E413E" w:rsidRPr="004A5120" w:rsidRDefault="007E413E" w:rsidP="001A492B">
      <w:pPr>
        <w:pStyle w:val="a3"/>
        <w:numPr>
          <w:ilvl w:val="0"/>
          <w:numId w:val="40"/>
        </w:numPr>
        <w:spacing w:after="0"/>
        <w:jc w:val="both"/>
        <w:rPr>
          <w:rFonts w:ascii="David" w:hAnsi="David" w:cs="David"/>
          <w:sz w:val="24"/>
          <w:szCs w:val="24"/>
          <w:rtl/>
        </w:rPr>
      </w:pPr>
      <w:r w:rsidRPr="004A5120">
        <w:rPr>
          <w:rFonts w:ascii="David" w:hAnsi="David" w:cs="David" w:hint="cs"/>
          <w:sz w:val="24"/>
          <w:szCs w:val="24"/>
          <w:rtl/>
        </w:rPr>
        <w:t>הניסוח הסתמי מחזק את ההלכה. ההלכה של כל האומה, אין מקום לציין יחידים.</w:t>
      </w:r>
    </w:p>
    <w:p w14:paraId="0B5FFE9C" w14:textId="1D8B0E06" w:rsidR="007E413E" w:rsidRPr="004A5120" w:rsidRDefault="007E413E" w:rsidP="001A492B">
      <w:pPr>
        <w:pStyle w:val="a3"/>
        <w:numPr>
          <w:ilvl w:val="0"/>
          <w:numId w:val="40"/>
        </w:numPr>
        <w:spacing w:after="0"/>
        <w:jc w:val="both"/>
        <w:rPr>
          <w:rFonts w:ascii="David" w:hAnsi="David" w:cs="David"/>
          <w:sz w:val="24"/>
          <w:szCs w:val="24"/>
          <w:rtl/>
        </w:rPr>
      </w:pPr>
      <w:r w:rsidRPr="004A5120">
        <w:rPr>
          <w:rFonts w:ascii="David" w:hAnsi="David" w:cs="David" w:hint="cs"/>
          <w:sz w:val="24"/>
          <w:szCs w:val="24"/>
          <w:rtl/>
        </w:rPr>
        <w:t>אמנם, כן מקבל ביקורת אחת, שמיונו של משנה תורה לפי נושאים מוביל למצב בו במקום מסוים מקובצות הלכות ממקורות רבים ושונים, מה שמקשה על עיון ומציאת מקורות.</w:t>
      </w:r>
    </w:p>
    <w:p w14:paraId="7AA5C049" w14:textId="08FE7748" w:rsidR="007E413E" w:rsidRPr="004A5120" w:rsidRDefault="007E413E" w:rsidP="001A492B">
      <w:pPr>
        <w:pStyle w:val="a3"/>
        <w:numPr>
          <w:ilvl w:val="0"/>
          <w:numId w:val="40"/>
        </w:numPr>
        <w:spacing w:after="0"/>
        <w:jc w:val="both"/>
        <w:rPr>
          <w:rFonts w:ascii="David" w:hAnsi="David" w:cs="David"/>
          <w:sz w:val="24"/>
          <w:szCs w:val="24"/>
          <w:rtl/>
        </w:rPr>
      </w:pPr>
      <w:r w:rsidRPr="004A5120">
        <w:rPr>
          <w:rFonts w:ascii="David" w:hAnsi="David" w:cs="David" w:hint="cs"/>
          <w:sz w:val="24"/>
          <w:szCs w:val="24"/>
          <w:rtl/>
        </w:rPr>
        <w:t xml:space="preserve">הוא גורס כי הפתרון נעוץ בחיבור חיצוני </w:t>
      </w:r>
      <w:r w:rsidR="00DF036A">
        <w:rPr>
          <w:rFonts w:ascii="David" w:hAnsi="David" w:cs="David" w:hint="cs"/>
          <w:sz w:val="24"/>
          <w:szCs w:val="24"/>
          <w:rtl/>
        </w:rPr>
        <w:t>ל</w:t>
      </w:r>
      <w:r w:rsidRPr="004A5120">
        <w:rPr>
          <w:rFonts w:ascii="David" w:hAnsi="David" w:cs="David" w:hint="cs"/>
          <w:sz w:val="24"/>
          <w:szCs w:val="24"/>
          <w:rtl/>
        </w:rPr>
        <w:t>משנה לתורה ולא בשינוי שלו.</w:t>
      </w:r>
    </w:p>
    <w:p w14:paraId="6F68A1E1" w14:textId="70A6759B" w:rsidR="000B3B8D" w:rsidRPr="004A5120" w:rsidRDefault="000B3B8D" w:rsidP="004807D8">
      <w:pPr>
        <w:spacing w:after="0"/>
        <w:jc w:val="both"/>
        <w:rPr>
          <w:rFonts w:ascii="David" w:hAnsi="David" w:cs="David"/>
          <w:sz w:val="24"/>
          <w:szCs w:val="24"/>
          <w:rtl/>
        </w:rPr>
      </w:pPr>
    </w:p>
    <w:p w14:paraId="3CFAA722" w14:textId="1F602E76" w:rsidR="005C6AEA" w:rsidRPr="004A5120" w:rsidRDefault="005C6AEA" w:rsidP="001A492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u w:val="single"/>
          <w:rtl/>
        </w:rPr>
        <w:t xml:space="preserve">חלופת אגרות עם רב יוסף ברבי יהודה אבן עקנין </w:t>
      </w:r>
      <w:r w:rsidRPr="004A5120">
        <w:rPr>
          <w:rFonts w:ascii="David" w:hAnsi="David" w:cs="David"/>
          <w:sz w:val="24"/>
          <w:szCs w:val="24"/>
          <w:u w:val="single"/>
          <w:rtl/>
        </w:rPr>
        <w:t>–</w:t>
      </w:r>
      <w:r w:rsidRPr="004A5120">
        <w:rPr>
          <w:rFonts w:ascii="David" w:hAnsi="David" w:cs="David" w:hint="cs"/>
          <w:sz w:val="24"/>
          <w:szCs w:val="24"/>
          <w:u w:val="single"/>
          <w:rtl/>
        </w:rPr>
        <w:t xml:space="preserve"> הפסיקה על פי הרמב"ם:</w:t>
      </w:r>
    </w:p>
    <w:p w14:paraId="47E3223C" w14:textId="5E049378" w:rsidR="005C6AEA" w:rsidRPr="004A5120" w:rsidRDefault="005C6AEA" w:rsidP="001A492B">
      <w:pPr>
        <w:pStyle w:val="a3"/>
        <w:numPr>
          <w:ilvl w:val="0"/>
          <w:numId w:val="40"/>
        </w:numPr>
        <w:spacing w:after="0"/>
        <w:jc w:val="both"/>
        <w:rPr>
          <w:rFonts w:ascii="David" w:hAnsi="David" w:cs="David"/>
          <w:sz w:val="24"/>
          <w:szCs w:val="24"/>
        </w:rPr>
      </w:pPr>
      <w:r w:rsidRPr="004A5120">
        <w:rPr>
          <w:rFonts w:ascii="David" w:hAnsi="David" w:cs="David" w:hint="cs"/>
          <w:sz w:val="24"/>
          <w:szCs w:val="24"/>
          <w:rtl/>
        </w:rPr>
        <w:t xml:space="preserve">הרמב"ם צפה את הביקורת כלפיו וכתב על כך לתלמידו, רבי יוסף. מנגד, הוא גם צפה את המהפכה שיצור. ספרו אכן התפשט ותפס תאוצה, ופסקו לפיו עוד בימי הרמב"ם. אך בעוד שהרמב"ם צפה את הביקורת מצד אנשים שלא ירדו לסוף דעתו, בפועל זו הגיעה בעקבות דרכו הקודיפיאקיטיבית, בצורה סתמית </w:t>
      </w:r>
      <w:r w:rsidRPr="004A5120">
        <w:rPr>
          <w:rFonts w:ascii="David" w:hAnsi="David" w:cs="David"/>
          <w:sz w:val="24"/>
          <w:szCs w:val="24"/>
          <w:rtl/>
        </w:rPr>
        <w:t>–</w:t>
      </w:r>
      <w:r w:rsidRPr="004A5120">
        <w:rPr>
          <w:rFonts w:ascii="David" w:hAnsi="David" w:cs="David" w:hint="cs"/>
          <w:sz w:val="24"/>
          <w:szCs w:val="24"/>
          <w:rtl/>
        </w:rPr>
        <w:t xml:space="preserve"> ביקורת זו הלכה ונתפשטה.</w:t>
      </w:r>
    </w:p>
    <w:p w14:paraId="0B27A5C5" w14:textId="2532BE2E" w:rsidR="003A7CEE" w:rsidRPr="004A5120" w:rsidRDefault="005C6AEA" w:rsidP="001A492B">
      <w:pPr>
        <w:pStyle w:val="a3"/>
        <w:numPr>
          <w:ilvl w:val="0"/>
          <w:numId w:val="40"/>
        </w:numPr>
        <w:spacing w:after="0"/>
        <w:jc w:val="both"/>
        <w:rPr>
          <w:rFonts w:ascii="David" w:hAnsi="David" w:cs="David"/>
          <w:sz w:val="24"/>
          <w:szCs w:val="24"/>
        </w:rPr>
      </w:pPr>
      <w:r w:rsidRPr="004A5120">
        <w:rPr>
          <w:rFonts w:ascii="David" w:hAnsi="David" w:cs="David" w:hint="cs"/>
          <w:sz w:val="24"/>
          <w:szCs w:val="24"/>
          <w:rtl/>
        </w:rPr>
        <w:t xml:space="preserve">הראב"ד היה מבקרו החריף ביותר וטען שהבאת המקורות והמחלוקות היא חיונית למהות ההלכה והפסיקה. לטענתו, אחידותה של ההלכה שוללת את שיקול דעתו העצמאי ויכולת ההכרעה של השופט. הרבא"ד לא רק הביע התנגדות עקרונית, </w:t>
      </w:r>
      <w:r w:rsidR="003A7CEE" w:rsidRPr="004A5120">
        <w:rPr>
          <w:rFonts w:ascii="David" w:hAnsi="David" w:cs="David" w:hint="cs"/>
          <w:sz w:val="24"/>
          <w:szCs w:val="24"/>
          <w:rtl/>
        </w:rPr>
        <w:t xml:space="preserve">אלא כתב השגות על חיבורו של הרמב"ם, שמטרתן להראות בקיצור חוסר תיאום וסתירות בין ההלכה ברמב"ם לבין המקורות התלמודיים. </w:t>
      </w:r>
      <w:r w:rsidR="003A7CEE" w:rsidRPr="004A5120">
        <w:rPr>
          <w:rFonts w:ascii="David" w:hAnsi="David" w:cs="David" w:hint="cs"/>
          <w:b/>
          <w:bCs/>
          <w:sz w:val="24"/>
          <w:szCs w:val="24"/>
          <w:rtl/>
        </w:rPr>
        <w:t>כך הוא מערער את נכונות פסקיו של הרמב"ם בעיניי המעיין בהם.</w:t>
      </w:r>
    </w:p>
    <w:p w14:paraId="18F349B0" w14:textId="047E55DC" w:rsidR="003A7CEE" w:rsidRPr="004A5120" w:rsidRDefault="003A7CEE" w:rsidP="003A7CEE">
      <w:pPr>
        <w:spacing w:after="0"/>
        <w:jc w:val="both"/>
        <w:rPr>
          <w:rFonts w:ascii="David" w:hAnsi="David" w:cs="David"/>
          <w:sz w:val="24"/>
          <w:szCs w:val="24"/>
          <w:rtl/>
        </w:rPr>
      </w:pPr>
    </w:p>
    <w:p w14:paraId="7DB07B29" w14:textId="70AF0B38" w:rsidR="003A7CEE" w:rsidRPr="004A5120" w:rsidRDefault="003A7CEE"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u w:val="single"/>
          <w:rtl/>
        </w:rPr>
        <w:t>תגובת הרא"ש על דרכו הקודיפיאקטיבית של הרמב"ם:</w:t>
      </w:r>
    </w:p>
    <w:p w14:paraId="64ACFBE3" w14:textId="319AA8B9" w:rsidR="005C6AEA" w:rsidRPr="004A5120" w:rsidRDefault="003A7CEE" w:rsidP="002B5F21">
      <w:pPr>
        <w:pStyle w:val="a3"/>
        <w:spacing w:after="0"/>
        <w:jc w:val="both"/>
        <w:rPr>
          <w:rFonts w:ascii="David" w:hAnsi="David" w:cs="David"/>
          <w:b/>
          <w:bCs/>
          <w:sz w:val="24"/>
          <w:szCs w:val="24"/>
          <w:rtl/>
        </w:rPr>
      </w:pPr>
      <w:r w:rsidRPr="004A5120">
        <w:rPr>
          <w:rFonts w:ascii="David" w:hAnsi="David" w:cs="David" w:hint="cs"/>
          <w:sz w:val="24"/>
          <w:szCs w:val="24"/>
          <w:rtl/>
        </w:rPr>
        <w:t xml:space="preserve">התגובה החריפה ובעלת ההשלכות הגדולות ביותר. הוא כותב כי כל מי שמורה הלכה מהרמב"ם, מבלי להיות בקיא בגמרא ובמקורותיה, הוא טועה ופוסק לא כשורה. ספרו של הרמב"ם יוצר אשליה של הבנת הנושא על בוריו, ועל כן עתיד לגרום לטעויות. אין להסתמך על קריאה ברמב"ם, אלא יש להצליב את הקריאה במקביל לקריאת המקורות </w:t>
      </w:r>
      <w:r w:rsidRPr="004A5120">
        <w:rPr>
          <w:rFonts w:ascii="David" w:hAnsi="David" w:cs="David"/>
          <w:sz w:val="24"/>
          <w:szCs w:val="24"/>
          <w:rtl/>
        </w:rPr>
        <w:t>–</w:t>
      </w:r>
      <w:r w:rsidRPr="004A5120">
        <w:rPr>
          <w:rFonts w:ascii="David" w:hAnsi="David" w:cs="David" w:hint="cs"/>
          <w:sz w:val="24"/>
          <w:szCs w:val="24"/>
          <w:rtl/>
        </w:rPr>
        <w:t xml:space="preserve"> מנוגד לגמרי למגמתו העיקרית של הרמב"ם. גישה זו משתלבת עם גישתו הכללית של הרא"ש לגבי אופן פסיקת הדין, לפיו הדיין צריך לעיין בכל הדעות בנושא מסוים טרם הכרעה. </w:t>
      </w:r>
      <w:r w:rsidRPr="004A5120">
        <w:rPr>
          <w:rFonts w:ascii="David" w:hAnsi="David" w:cs="David" w:hint="cs"/>
          <w:b/>
          <w:bCs/>
          <w:sz w:val="24"/>
          <w:szCs w:val="24"/>
          <w:rtl/>
        </w:rPr>
        <w:t xml:space="preserve">ריבוי התופעות בהלכה העברית היא מבורכת, שום ספר פסקים לא יוכל לשמש מקור יחידי לפסיקת הדין </w:t>
      </w:r>
      <w:r w:rsidRPr="004A5120">
        <w:rPr>
          <w:rFonts w:ascii="David" w:hAnsi="David" w:cs="David"/>
          <w:b/>
          <w:bCs/>
          <w:sz w:val="24"/>
          <w:szCs w:val="24"/>
          <w:rtl/>
        </w:rPr>
        <w:t>–</w:t>
      </w:r>
      <w:r w:rsidRPr="004A5120">
        <w:rPr>
          <w:rFonts w:ascii="David" w:hAnsi="David" w:cs="David" w:hint="cs"/>
          <w:b/>
          <w:bCs/>
          <w:sz w:val="24"/>
          <w:szCs w:val="24"/>
          <w:rtl/>
        </w:rPr>
        <w:t xml:space="preserve"> חוץ מהתלמוד.</w:t>
      </w:r>
    </w:p>
    <w:p w14:paraId="48B876C3" w14:textId="2ECEF9EC" w:rsidR="002B5F21" w:rsidRPr="004A5120" w:rsidRDefault="002B5F21" w:rsidP="002B5F21">
      <w:pPr>
        <w:spacing w:after="0"/>
        <w:jc w:val="both"/>
        <w:rPr>
          <w:rFonts w:ascii="David" w:hAnsi="David" w:cs="David"/>
          <w:sz w:val="24"/>
          <w:szCs w:val="24"/>
          <w:rtl/>
        </w:rPr>
      </w:pPr>
    </w:p>
    <w:p w14:paraId="55569CE0" w14:textId="0F153C3E" w:rsidR="002B5F21" w:rsidRPr="00D606EF" w:rsidRDefault="00257DD3" w:rsidP="00D606EF">
      <w:pPr>
        <w:spacing w:after="0"/>
        <w:jc w:val="center"/>
        <w:rPr>
          <w:rFonts w:ascii="David" w:hAnsi="David" w:cs="David"/>
          <w:b/>
          <w:bCs/>
          <w:sz w:val="28"/>
          <w:szCs w:val="28"/>
          <w:u w:val="single"/>
          <w:rtl/>
        </w:rPr>
      </w:pPr>
      <w:r w:rsidRPr="00D606EF">
        <w:rPr>
          <w:rFonts w:ascii="David" w:hAnsi="David" w:cs="David" w:hint="cs"/>
          <w:b/>
          <w:bCs/>
          <w:sz w:val="28"/>
          <w:szCs w:val="28"/>
          <w:u w:val="single"/>
          <w:rtl/>
        </w:rPr>
        <w:t>סיכום קובץ 6:</w:t>
      </w:r>
    </w:p>
    <w:p w14:paraId="3CB4C73A" w14:textId="7E4BD874" w:rsidR="00257DD3" w:rsidRPr="004A5120" w:rsidRDefault="00257DD3" w:rsidP="002B5F21">
      <w:pPr>
        <w:spacing w:after="0"/>
        <w:jc w:val="both"/>
        <w:rPr>
          <w:rFonts w:ascii="David" w:hAnsi="David" w:cs="David"/>
          <w:b/>
          <w:bCs/>
          <w:sz w:val="24"/>
          <w:szCs w:val="24"/>
          <w:rtl/>
        </w:rPr>
      </w:pPr>
    </w:p>
    <w:p w14:paraId="3EBBD8EB" w14:textId="5F527CEA" w:rsidR="00257DD3" w:rsidRPr="004A5120" w:rsidRDefault="00257DD3" w:rsidP="002B5F21">
      <w:pPr>
        <w:spacing w:after="0"/>
        <w:jc w:val="both"/>
        <w:rPr>
          <w:rFonts w:ascii="David" w:hAnsi="David" w:cs="David"/>
          <w:sz w:val="24"/>
          <w:szCs w:val="24"/>
          <w:rtl/>
        </w:rPr>
      </w:pPr>
      <w:r w:rsidRPr="004A5120">
        <w:rPr>
          <w:rFonts w:ascii="David" w:hAnsi="David" w:cs="David" w:hint="cs"/>
          <w:sz w:val="24"/>
          <w:szCs w:val="24"/>
          <w:rtl/>
        </w:rPr>
        <w:t>הקדמה: מדובר בספרות הפוסקים אחרי הרמב"ם, עד השולחן הערוך.</w:t>
      </w:r>
    </w:p>
    <w:p w14:paraId="7A8EFC2A" w14:textId="5A6CCB52" w:rsidR="00257DD3" w:rsidRPr="004A5120" w:rsidRDefault="00257DD3" w:rsidP="002B5F21">
      <w:pPr>
        <w:spacing w:after="0"/>
        <w:jc w:val="both"/>
        <w:rPr>
          <w:rFonts w:ascii="David" w:hAnsi="David" w:cs="David"/>
          <w:sz w:val="24"/>
          <w:szCs w:val="24"/>
          <w:rtl/>
        </w:rPr>
      </w:pPr>
    </w:p>
    <w:p w14:paraId="1AC0F091" w14:textId="1850B9E9" w:rsidR="00257DD3" w:rsidRPr="004A5120" w:rsidRDefault="00257DD3" w:rsidP="002B5F21">
      <w:pPr>
        <w:spacing w:after="0"/>
        <w:jc w:val="both"/>
        <w:rPr>
          <w:rFonts w:ascii="David" w:hAnsi="David" w:cs="David"/>
          <w:sz w:val="24"/>
          <w:szCs w:val="24"/>
          <w:u w:val="single"/>
          <w:rtl/>
        </w:rPr>
      </w:pPr>
      <w:r w:rsidRPr="004A5120">
        <w:rPr>
          <w:rFonts w:ascii="David" w:hAnsi="David" w:cs="David" w:hint="cs"/>
          <w:sz w:val="24"/>
          <w:szCs w:val="24"/>
          <w:u w:val="single"/>
          <w:rtl/>
        </w:rPr>
        <w:t xml:space="preserve">ספר </w:t>
      </w:r>
      <w:r w:rsidR="00065DE0" w:rsidRPr="004A5120">
        <w:rPr>
          <w:rFonts w:ascii="David" w:hAnsi="David" w:cs="David" w:hint="cs"/>
          <w:sz w:val="24"/>
          <w:szCs w:val="24"/>
          <w:u w:val="single"/>
          <w:rtl/>
        </w:rPr>
        <w:t>המרדכי</w:t>
      </w:r>
      <w:r w:rsidRPr="004A5120">
        <w:rPr>
          <w:rFonts w:ascii="David" w:hAnsi="David" w:cs="David" w:hint="cs"/>
          <w:sz w:val="24"/>
          <w:szCs w:val="24"/>
          <w:u w:val="single"/>
          <w:rtl/>
        </w:rPr>
        <w:t xml:space="preserve"> </w:t>
      </w:r>
      <w:r w:rsidRPr="004A5120">
        <w:rPr>
          <w:rFonts w:ascii="David" w:hAnsi="David" w:cs="David"/>
          <w:sz w:val="24"/>
          <w:szCs w:val="24"/>
          <w:u w:val="single"/>
          <w:rtl/>
        </w:rPr>
        <w:t>–</w:t>
      </w:r>
      <w:r w:rsidRPr="004A5120">
        <w:rPr>
          <w:rFonts w:ascii="David" w:hAnsi="David" w:cs="David" w:hint="cs"/>
          <w:sz w:val="24"/>
          <w:szCs w:val="24"/>
          <w:u w:val="single"/>
          <w:rtl/>
        </w:rPr>
        <w:t xml:space="preserve"> לר' מרדכי בר' הלל הזקן:</w:t>
      </w:r>
    </w:p>
    <w:p w14:paraId="435F13B6" w14:textId="2474AA18" w:rsidR="00257DD3" w:rsidRPr="004A5120" w:rsidRDefault="00257DD3" w:rsidP="00257DD3">
      <w:pPr>
        <w:spacing w:after="0"/>
        <w:jc w:val="both"/>
        <w:rPr>
          <w:rFonts w:ascii="David" w:hAnsi="David" w:cs="David"/>
          <w:sz w:val="24"/>
          <w:szCs w:val="24"/>
          <w:rtl/>
        </w:rPr>
      </w:pPr>
      <w:r w:rsidRPr="004A5120">
        <w:rPr>
          <w:rFonts w:ascii="David" w:hAnsi="David" w:cs="David" w:hint="cs"/>
          <w:sz w:val="24"/>
          <w:szCs w:val="24"/>
          <w:rtl/>
        </w:rPr>
        <w:t xml:space="preserve">מחובר ע"פ סדר ההלכות של הרי"ף. מגמתו </w:t>
      </w:r>
      <w:r w:rsidRPr="004A5120">
        <w:rPr>
          <w:rFonts w:ascii="David" w:hAnsi="David" w:cs="David"/>
          <w:sz w:val="24"/>
          <w:szCs w:val="24"/>
          <w:rtl/>
        </w:rPr>
        <w:t>–</w:t>
      </w:r>
      <w:r w:rsidRPr="004A5120">
        <w:rPr>
          <w:rFonts w:ascii="David" w:hAnsi="David" w:cs="David" w:hint="cs"/>
          <w:sz w:val="24"/>
          <w:szCs w:val="24"/>
          <w:rtl/>
        </w:rPr>
        <w:t xml:space="preserve"> תוספת של חכמי אשכנז וצרפת, על דברי הרי"ף. מביא הרבה מדברי הגאונים ומשמש מקור חשוב לחכמי אשכנז. הספר מכיל חומר עצום של ספ</w:t>
      </w:r>
      <w:r w:rsidR="00C46885">
        <w:rPr>
          <w:rFonts w:ascii="David" w:hAnsi="David" w:cs="David" w:hint="cs"/>
          <w:sz w:val="24"/>
          <w:szCs w:val="24"/>
          <w:rtl/>
        </w:rPr>
        <w:t>ר</w:t>
      </w:r>
      <w:r w:rsidRPr="004A5120">
        <w:rPr>
          <w:rFonts w:ascii="David" w:hAnsi="David" w:cs="David" w:hint="cs"/>
          <w:sz w:val="24"/>
          <w:szCs w:val="24"/>
          <w:rtl/>
        </w:rPr>
        <w:t xml:space="preserve">ות ההלכה התלמודית וזו שאחריה </w:t>
      </w:r>
      <w:r w:rsidRPr="004A5120">
        <w:rPr>
          <w:rFonts w:ascii="David" w:hAnsi="David" w:cs="David"/>
          <w:sz w:val="24"/>
          <w:szCs w:val="24"/>
          <w:rtl/>
        </w:rPr>
        <w:t>–</w:t>
      </w:r>
      <w:r w:rsidRPr="004A5120">
        <w:rPr>
          <w:rFonts w:ascii="David" w:hAnsi="David" w:cs="David" w:hint="cs"/>
          <w:sz w:val="24"/>
          <w:szCs w:val="24"/>
          <w:rtl/>
        </w:rPr>
        <w:t xml:space="preserve"> אך צריך לקחת את הנוסח שלו ושל המקורות שלו בערבון מוגבל</w:t>
      </w:r>
      <w:r w:rsidR="00940FC8">
        <w:rPr>
          <w:rFonts w:ascii="David" w:hAnsi="David" w:cs="David" w:hint="cs"/>
          <w:sz w:val="24"/>
          <w:szCs w:val="24"/>
          <w:rtl/>
        </w:rPr>
        <w:t>,</w:t>
      </w:r>
      <w:r w:rsidRPr="004A5120">
        <w:rPr>
          <w:rFonts w:ascii="David" w:hAnsi="David" w:cs="David" w:hint="cs"/>
          <w:sz w:val="24"/>
          <w:szCs w:val="24"/>
          <w:rtl/>
        </w:rPr>
        <w:t xml:space="preserve"> כיוון שהגיע לידנו מקוטע ומשובש. הוא עבר גלגולי עריכה ושינויים ונמצאו 2 גרסאות שונות שלו.</w:t>
      </w:r>
    </w:p>
    <w:p w14:paraId="0216A314" w14:textId="397ADA15" w:rsidR="00257DD3" w:rsidRPr="004A5120" w:rsidRDefault="00257DD3" w:rsidP="00257DD3">
      <w:pPr>
        <w:spacing w:after="0"/>
        <w:jc w:val="both"/>
        <w:rPr>
          <w:rFonts w:ascii="David" w:hAnsi="David" w:cs="David"/>
          <w:sz w:val="24"/>
          <w:szCs w:val="24"/>
          <w:rtl/>
        </w:rPr>
      </w:pPr>
    </w:p>
    <w:p w14:paraId="390D2ABA" w14:textId="76ECEB2D" w:rsidR="00257DD3" w:rsidRPr="004A5120" w:rsidRDefault="00257DD3" w:rsidP="00257DD3">
      <w:pPr>
        <w:spacing w:after="0"/>
        <w:jc w:val="both"/>
        <w:rPr>
          <w:rFonts w:ascii="David" w:hAnsi="David" w:cs="David"/>
          <w:sz w:val="24"/>
          <w:szCs w:val="24"/>
          <w:rtl/>
        </w:rPr>
      </w:pPr>
      <w:r w:rsidRPr="004A5120">
        <w:rPr>
          <w:rFonts w:ascii="David" w:hAnsi="David" w:cs="David" w:hint="cs"/>
          <w:sz w:val="24"/>
          <w:szCs w:val="24"/>
          <w:rtl/>
        </w:rPr>
        <w:t xml:space="preserve">אמנם הוא מסודר לפי סדר הרי"ף, אך הקשר הוא חיצוני בלבד </w:t>
      </w:r>
      <w:r w:rsidRPr="004A5120">
        <w:rPr>
          <w:rFonts w:ascii="David" w:hAnsi="David" w:cs="David"/>
          <w:sz w:val="24"/>
          <w:szCs w:val="24"/>
          <w:rtl/>
        </w:rPr>
        <w:t>–</w:t>
      </w:r>
      <w:r w:rsidRPr="004A5120">
        <w:rPr>
          <w:rFonts w:ascii="David" w:hAnsi="David" w:cs="David" w:hint="cs"/>
          <w:sz w:val="24"/>
          <w:szCs w:val="24"/>
          <w:rtl/>
        </w:rPr>
        <w:t xml:space="preserve"> הוא לא דן בריף או מפרש אותו.</w:t>
      </w:r>
    </w:p>
    <w:p w14:paraId="7A07148E" w14:textId="78D1C968" w:rsidR="00FC4C11" w:rsidRPr="004A5120" w:rsidRDefault="00FC4C11" w:rsidP="00257DD3">
      <w:pPr>
        <w:spacing w:after="0"/>
        <w:jc w:val="both"/>
        <w:rPr>
          <w:rFonts w:ascii="David" w:hAnsi="David" w:cs="David"/>
          <w:sz w:val="24"/>
          <w:szCs w:val="24"/>
          <w:rtl/>
        </w:rPr>
      </w:pPr>
      <w:r w:rsidRPr="004A5120">
        <w:rPr>
          <w:rFonts w:ascii="David" w:hAnsi="David" w:cs="David" w:hint="cs"/>
          <w:sz w:val="24"/>
          <w:szCs w:val="24"/>
          <w:rtl/>
        </w:rPr>
        <w:t xml:space="preserve">המרדכי אינו ספר הלכות רגיל: הוא מביא את המקורות, אך לא דן בדעות השונות. הוא מעמיד את הדעות השונות בלשונן, זו מול זו, ולעתים מעדיף דעה אחת על פני אחרת. שורה תחתונה, מדובר </w:t>
      </w:r>
      <w:r w:rsidRPr="004A5120">
        <w:rPr>
          <w:rFonts w:ascii="David" w:hAnsi="David" w:cs="David" w:hint="cs"/>
          <w:sz w:val="24"/>
          <w:szCs w:val="24"/>
          <w:rtl/>
        </w:rPr>
        <w:lastRenderedPageBreak/>
        <w:t>באוסף מקורות הלכתיים מהתלמוד ועד ימי מרדכי. בפועל, ר' מרדכי קיבל מעמד גבוה בעיני הפוסקים אחריו, ונחשב לפוסק מובהק שיש לו השפעה רבה על הפסיקה אחריו.</w:t>
      </w:r>
    </w:p>
    <w:p w14:paraId="23288388" w14:textId="644ACFD8" w:rsidR="00FC4C11" w:rsidRPr="004A5120" w:rsidRDefault="00FC4C11" w:rsidP="00257DD3">
      <w:pPr>
        <w:spacing w:after="0"/>
        <w:jc w:val="both"/>
        <w:rPr>
          <w:rFonts w:ascii="David" w:hAnsi="David" w:cs="David"/>
          <w:sz w:val="24"/>
          <w:szCs w:val="24"/>
          <w:rtl/>
        </w:rPr>
      </w:pPr>
    </w:p>
    <w:p w14:paraId="1ED63999" w14:textId="77777777" w:rsidR="00D606EF" w:rsidRDefault="00D606EF" w:rsidP="00257DD3">
      <w:pPr>
        <w:spacing w:after="0"/>
        <w:jc w:val="both"/>
        <w:rPr>
          <w:rFonts w:ascii="David" w:hAnsi="David" w:cs="David"/>
          <w:sz w:val="24"/>
          <w:szCs w:val="24"/>
          <w:u w:val="single"/>
          <w:rtl/>
        </w:rPr>
      </w:pPr>
    </w:p>
    <w:p w14:paraId="758281E1" w14:textId="77777777" w:rsidR="00940FC8" w:rsidRDefault="00940FC8" w:rsidP="00257DD3">
      <w:pPr>
        <w:spacing w:after="0"/>
        <w:jc w:val="both"/>
        <w:rPr>
          <w:rFonts w:ascii="David" w:hAnsi="David" w:cs="David"/>
          <w:sz w:val="24"/>
          <w:szCs w:val="24"/>
          <w:u w:val="single"/>
          <w:rtl/>
        </w:rPr>
      </w:pPr>
    </w:p>
    <w:p w14:paraId="46BFAB05" w14:textId="77777777" w:rsidR="00940FC8" w:rsidRDefault="00940FC8" w:rsidP="00257DD3">
      <w:pPr>
        <w:spacing w:after="0"/>
        <w:jc w:val="both"/>
        <w:rPr>
          <w:rFonts w:ascii="David" w:hAnsi="David" w:cs="David"/>
          <w:sz w:val="24"/>
          <w:szCs w:val="24"/>
          <w:u w:val="single"/>
          <w:rtl/>
        </w:rPr>
      </w:pPr>
    </w:p>
    <w:p w14:paraId="183AE32D" w14:textId="77777777" w:rsidR="00940FC8" w:rsidRDefault="00940FC8" w:rsidP="00257DD3">
      <w:pPr>
        <w:spacing w:after="0"/>
        <w:jc w:val="both"/>
        <w:rPr>
          <w:rFonts w:ascii="David" w:hAnsi="David" w:cs="David"/>
          <w:sz w:val="24"/>
          <w:szCs w:val="24"/>
          <w:u w:val="single"/>
          <w:rtl/>
        </w:rPr>
      </w:pPr>
    </w:p>
    <w:p w14:paraId="353F6580" w14:textId="77777777" w:rsidR="00940FC8" w:rsidRDefault="00940FC8" w:rsidP="00257DD3">
      <w:pPr>
        <w:spacing w:after="0"/>
        <w:jc w:val="both"/>
        <w:rPr>
          <w:rFonts w:ascii="David" w:hAnsi="David" w:cs="David"/>
          <w:sz w:val="24"/>
          <w:szCs w:val="24"/>
          <w:u w:val="single"/>
          <w:rtl/>
        </w:rPr>
      </w:pPr>
    </w:p>
    <w:p w14:paraId="251490B3" w14:textId="262A0646" w:rsidR="00FC4C11" w:rsidRPr="004A5120" w:rsidRDefault="00FC4C11" w:rsidP="00257DD3">
      <w:pPr>
        <w:spacing w:after="0"/>
        <w:jc w:val="both"/>
        <w:rPr>
          <w:rFonts w:ascii="David" w:hAnsi="David" w:cs="David"/>
          <w:sz w:val="24"/>
          <w:szCs w:val="24"/>
          <w:u w:val="single"/>
          <w:rtl/>
        </w:rPr>
      </w:pPr>
      <w:r w:rsidRPr="004A5120">
        <w:rPr>
          <w:rFonts w:ascii="David" w:hAnsi="David" w:cs="David" w:hint="cs"/>
          <w:sz w:val="24"/>
          <w:szCs w:val="24"/>
          <w:u w:val="single"/>
          <w:rtl/>
        </w:rPr>
        <w:t xml:space="preserve">פסקי הרא"ש </w:t>
      </w:r>
      <w:r w:rsidRPr="004A5120">
        <w:rPr>
          <w:rFonts w:ascii="David" w:hAnsi="David" w:cs="David"/>
          <w:sz w:val="24"/>
          <w:szCs w:val="24"/>
          <w:u w:val="single"/>
          <w:rtl/>
        </w:rPr>
        <w:t>–</w:t>
      </w:r>
      <w:r w:rsidRPr="004A5120">
        <w:rPr>
          <w:rFonts w:ascii="David" w:hAnsi="David" w:cs="David" w:hint="cs"/>
          <w:sz w:val="24"/>
          <w:szCs w:val="24"/>
          <w:u w:val="single"/>
          <w:rtl/>
        </w:rPr>
        <w:t xml:space="preserve"> </w:t>
      </w:r>
      <w:proofErr w:type="spellStart"/>
      <w:r w:rsidRPr="004A5120">
        <w:rPr>
          <w:rFonts w:ascii="David" w:hAnsi="David" w:cs="David" w:hint="cs"/>
          <w:sz w:val="24"/>
          <w:szCs w:val="24"/>
          <w:u w:val="single"/>
          <w:rtl/>
        </w:rPr>
        <w:t>לר</w:t>
      </w:r>
      <w:proofErr w:type="spellEnd"/>
      <w:r w:rsidRPr="004A5120">
        <w:rPr>
          <w:rFonts w:ascii="David" w:hAnsi="David" w:cs="David" w:hint="cs"/>
          <w:sz w:val="24"/>
          <w:szCs w:val="24"/>
          <w:u w:val="single"/>
          <w:rtl/>
        </w:rPr>
        <w:t xml:space="preserve"> אשר בר' יחיאל (הרא"ש):</w:t>
      </w:r>
    </w:p>
    <w:p w14:paraId="7FB0D838" w14:textId="483807EA" w:rsidR="00FC4C11" w:rsidRPr="004A5120" w:rsidRDefault="00FC4C11" w:rsidP="00257DD3">
      <w:pPr>
        <w:spacing w:after="0"/>
        <w:jc w:val="both"/>
        <w:rPr>
          <w:rFonts w:ascii="David" w:hAnsi="David" w:cs="David"/>
          <w:sz w:val="24"/>
          <w:szCs w:val="24"/>
          <w:rtl/>
        </w:rPr>
      </w:pPr>
      <w:r w:rsidRPr="004A5120">
        <w:rPr>
          <w:rFonts w:ascii="David" w:hAnsi="David" w:cs="David" w:hint="cs"/>
          <w:sz w:val="24"/>
          <w:szCs w:val="24"/>
          <w:rtl/>
        </w:rPr>
        <w:t>ספר הלכה קלאסי, נקרא גם "הלכות הרא"ש" או "ספר אשרי". ערוך ומ</w:t>
      </w:r>
      <w:r w:rsidR="00940FC8">
        <w:rPr>
          <w:rFonts w:ascii="David" w:hAnsi="David" w:cs="David" w:hint="cs"/>
          <w:sz w:val="24"/>
          <w:szCs w:val="24"/>
          <w:rtl/>
        </w:rPr>
        <w:t>ס</w:t>
      </w:r>
      <w:r w:rsidRPr="004A5120">
        <w:rPr>
          <w:rFonts w:ascii="David" w:hAnsi="David" w:cs="David" w:hint="cs"/>
          <w:sz w:val="24"/>
          <w:szCs w:val="24"/>
          <w:rtl/>
        </w:rPr>
        <w:t>ו</w:t>
      </w:r>
      <w:r w:rsidR="00940FC8">
        <w:rPr>
          <w:rFonts w:ascii="David" w:hAnsi="David" w:cs="David" w:hint="cs"/>
          <w:sz w:val="24"/>
          <w:szCs w:val="24"/>
          <w:rtl/>
        </w:rPr>
        <w:t>ד</w:t>
      </w:r>
      <w:r w:rsidRPr="004A5120">
        <w:rPr>
          <w:rFonts w:ascii="David" w:hAnsi="David" w:cs="David" w:hint="cs"/>
          <w:sz w:val="24"/>
          <w:szCs w:val="24"/>
          <w:rtl/>
        </w:rPr>
        <w:t xml:space="preserve">ר </w:t>
      </w:r>
      <w:r w:rsidR="00940FC8">
        <w:rPr>
          <w:rFonts w:ascii="David" w:hAnsi="David" w:cs="David" w:hint="cs"/>
          <w:sz w:val="24"/>
          <w:szCs w:val="24"/>
          <w:rtl/>
        </w:rPr>
        <w:t>לפי</w:t>
      </w:r>
      <w:r w:rsidRPr="004A5120">
        <w:rPr>
          <w:rFonts w:ascii="David" w:hAnsi="David" w:cs="David" w:hint="cs"/>
          <w:sz w:val="24"/>
          <w:szCs w:val="24"/>
          <w:rtl/>
        </w:rPr>
        <w:t xml:space="preserve"> ספר ההלכות של הרי"ף:</w:t>
      </w:r>
    </w:p>
    <w:p w14:paraId="231FBBDB" w14:textId="2DBB2BD1"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סידור חיצוני </w:t>
      </w:r>
      <w:r w:rsidRPr="004A5120">
        <w:rPr>
          <w:rFonts w:ascii="David" w:hAnsi="David" w:cs="David"/>
          <w:sz w:val="24"/>
          <w:szCs w:val="24"/>
          <w:rtl/>
        </w:rPr>
        <w:t>–</w:t>
      </w:r>
      <w:r w:rsidRPr="004A5120">
        <w:rPr>
          <w:rFonts w:ascii="David" w:hAnsi="David" w:cs="David" w:hint="cs"/>
          <w:sz w:val="24"/>
          <w:szCs w:val="24"/>
          <w:rtl/>
        </w:rPr>
        <w:t xml:space="preserve"> לפי סדר המסכתות בתלמוד.</w:t>
      </w:r>
    </w:p>
    <w:p w14:paraId="008CBC88" w14:textId="28946F8E"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תוכן </w:t>
      </w:r>
      <w:r w:rsidRPr="004A5120">
        <w:rPr>
          <w:rFonts w:ascii="David" w:hAnsi="David" w:cs="David"/>
          <w:sz w:val="24"/>
          <w:szCs w:val="24"/>
          <w:rtl/>
        </w:rPr>
        <w:t>–</w:t>
      </w:r>
      <w:r w:rsidRPr="004A5120">
        <w:rPr>
          <w:rFonts w:ascii="David" w:hAnsi="David" w:cs="David" w:hint="cs"/>
          <w:sz w:val="24"/>
          <w:szCs w:val="24"/>
          <w:rtl/>
        </w:rPr>
        <w:t xml:space="preserve"> מביא תמצית של המו"</w:t>
      </w:r>
      <w:r w:rsidR="00940FC8">
        <w:rPr>
          <w:rFonts w:ascii="David" w:hAnsi="David" w:cs="David" w:hint="cs"/>
          <w:sz w:val="24"/>
          <w:szCs w:val="24"/>
          <w:rtl/>
        </w:rPr>
        <w:t>מ</w:t>
      </w:r>
      <w:r w:rsidRPr="004A5120">
        <w:rPr>
          <w:rFonts w:ascii="David" w:hAnsi="David" w:cs="David" w:hint="cs"/>
          <w:sz w:val="24"/>
          <w:szCs w:val="24"/>
          <w:rtl/>
        </w:rPr>
        <w:t xml:space="preserve"> ההלכתי בתלמוד, טרם פסיקת ההלכה.</w:t>
      </w:r>
    </w:p>
    <w:p w14:paraId="35540B95" w14:textId="2010A200"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לשונית </w:t>
      </w:r>
      <w:r w:rsidRPr="004A5120">
        <w:rPr>
          <w:rFonts w:ascii="David" w:hAnsi="David" w:cs="David"/>
          <w:sz w:val="24"/>
          <w:szCs w:val="24"/>
          <w:rtl/>
        </w:rPr>
        <w:t>–</w:t>
      </w:r>
      <w:r w:rsidRPr="004A5120">
        <w:rPr>
          <w:rFonts w:ascii="David" w:hAnsi="David" w:cs="David" w:hint="cs"/>
          <w:sz w:val="24"/>
          <w:szCs w:val="24"/>
          <w:rtl/>
        </w:rPr>
        <w:t xml:space="preserve"> מביא את לשון הרי"ף במלואה.</w:t>
      </w:r>
    </w:p>
    <w:p w14:paraId="39239259" w14:textId="2FA2FA1F" w:rsidR="00FC4C11" w:rsidRPr="004A5120" w:rsidRDefault="00FC4C11" w:rsidP="00FC4C11">
      <w:pPr>
        <w:spacing w:after="0"/>
        <w:jc w:val="both"/>
        <w:rPr>
          <w:rFonts w:ascii="David" w:hAnsi="David" w:cs="David"/>
          <w:sz w:val="24"/>
          <w:szCs w:val="24"/>
          <w:rtl/>
        </w:rPr>
      </w:pPr>
      <w:r w:rsidRPr="004A5120">
        <w:rPr>
          <w:rFonts w:ascii="David" w:hAnsi="David" w:cs="David" w:hint="cs"/>
          <w:sz w:val="24"/>
          <w:szCs w:val="24"/>
          <w:rtl/>
        </w:rPr>
        <w:t>ספרו של הרא"ש מכיל חומר הלכתי ומגוון יותר משל הרי"ף (יש שראו בו "השלמה לריף").</w:t>
      </w:r>
    </w:p>
    <w:p w14:paraId="1A6237ED" w14:textId="586A19B4" w:rsidR="00FC4C11" w:rsidRPr="004A5120" w:rsidRDefault="00FC4C11" w:rsidP="00FC4C11">
      <w:pPr>
        <w:spacing w:after="0"/>
        <w:jc w:val="both"/>
        <w:rPr>
          <w:rFonts w:ascii="David" w:hAnsi="David" w:cs="David"/>
          <w:sz w:val="24"/>
          <w:szCs w:val="24"/>
          <w:rtl/>
        </w:rPr>
      </w:pPr>
      <w:r w:rsidRPr="004A5120">
        <w:rPr>
          <w:rFonts w:ascii="David" w:hAnsi="David" w:cs="David" w:hint="cs"/>
          <w:sz w:val="24"/>
          <w:szCs w:val="24"/>
          <w:rtl/>
        </w:rPr>
        <w:t>הסיבות:</w:t>
      </w:r>
    </w:p>
    <w:p w14:paraId="7968FEA1" w14:textId="640DB356"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עברו 200 שנה בין הספרים, נוסף חומר הלכתי רב.</w:t>
      </w:r>
    </w:p>
    <w:p w14:paraId="7CA5C44D" w14:textId="15FB5EBF" w:rsidR="00FC4C11"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הוסיף את שיטת חכמי אשכנז והכריע בינם לבין חכמי ספרד (נולד באשכנז אך נמלט בהמשך לספרד, כך שהכיר את שתי ההלכות, </w:t>
      </w:r>
      <w:r w:rsidRPr="00940FC8">
        <w:rPr>
          <w:rFonts w:ascii="David" w:hAnsi="David" w:cs="David" w:hint="cs"/>
          <w:b/>
          <w:bCs/>
          <w:sz w:val="24"/>
          <w:szCs w:val="24"/>
          <w:rtl/>
        </w:rPr>
        <w:t>ידע לשלב ולהכריע בניהן</w:t>
      </w:r>
      <w:r w:rsidRPr="004A5120">
        <w:rPr>
          <w:rFonts w:ascii="David" w:hAnsi="David" w:cs="David" w:hint="cs"/>
          <w:sz w:val="24"/>
          <w:szCs w:val="24"/>
          <w:rtl/>
        </w:rPr>
        <w:t>).</w:t>
      </w:r>
    </w:p>
    <w:p w14:paraId="676E8A3E" w14:textId="002651EE" w:rsidR="00DC1D68"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הרא"ש מרחיב יותר בהסברים שלו מהרי"ף.</w:t>
      </w:r>
    </w:p>
    <w:p w14:paraId="5921B4E9" w14:textId="021E118E" w:rsidR="00DC1D68"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מביא קטעים מהתלמוד שהרי"ף השמיט, אם לדעתו ניתן להסיק מהם מסקנה הלכתית.</w:t>
      </w:r>
    </w:p>
    <w:p w14:paraId="569427C3" w14:textId="17B74E7A" w:rsidR="00DC1D68" w:rsidRPr="004A5120" w:rsidRDefault="00DC1D68" w:rsidP="00DC1D68">
      <w:pPr>
        <w:spacing w:after="0"/>
        <w:jc w:val="both"/>
        <w:rPr>
          <w:rFonts w:ascii="David" w:hAnsi="David" w:cs="David"/>
          <w:sz w:val="24"/>
          <w:szCs w:val="24"/>
          <w:rtl/>
        </w:rPr>
      </w:pPr>
    </w:p>
    <w:p w14:paraId="6E4A67AC" w14:textId="5D995D9C" w:rsidR="00DC1D68" w:rsidRPr="004A5120" w:rsidRDefault="00DC1D68" w:rsidP="00DC1D68">
      <w:pPr>
        <w:spacing w:after="0"/>
        <w:jc w:val="both"/>
        <w:rPr>
          <w:rFonts w:ascii="David" w:hAnsi="David" w:cs="David"/>
          <w:sz w:val="24"/>
          <w:szCs w:val="24"/>
          <w:rtl/>
        </w:rPr>
      </w:pPr>
      <w:r w:rsidRPr="004A5120">
        <w:rPr>
          <w:rFonts w:ascii="David" w:hAnsi="David" w:cs="David" w:hint="cs"/>
          <w:sz w:val="24"/>
          <w:szCs w:val="24"/>
          <w:rtl/>
        </w:rPr>
        <w:t xml:space="preserve">הרא"ש בהסבריו ובהבאת הסוגיות התלמודיות, משמש גם מעין פרשן לסוגיה התלמודית. דבר שמסתדר מצוין עם דרכו העקרונית: אמונתו שישנה מחויבות מוחלטת להלכה רק מהתלמוד עצמו, על כל שאר הדורות שבאו אחריו, ניתן לחלוק. (לכן מותר לחלוק על </w:t>
      </w:r>
      <w:r w:rsidR="00882863">
        <w:rPr>
          <w:rFonts w:ascii="David" w:hAnsi="David" w:cs="David" w:hint="cs"/>
          <w:sz w:val="24"/>
          <w:szCs w:val="24"/>
          <w:rtl/>
        </w:rPr>
        <w:t xml:space="preserve">כל </w:t>
      </w:r>
      <w:r w:rsidRPr="004A5120">
        <w:rPr>
          <w:rFonts w:ascii="David" w:hAnsi="David" w:cs="David" w:hint="cs"/>
          <w:sz w:val="24"/>
          <w:szCs w:val="24"/>
          <w:rtl/>
        </w:rPr>
        <w:t>החכמים שאחרי התלמוד)</w:t>
      </w:r>
    </w:p>
    <w:p w14:paraId="06AD1DBD" w14:textId="3A5AA1A5" w:rsidR="00DC1D68" w:rsidRPr="004A5120" w:rsidRDefault="00DC1D68" w:rsidP="00DC1D68">
      <w:pPr>
        <w:spacing w:after="0"/>
        <w:jc w:val="both"/>
        <w:rPr>
          <w:rFonts w:ascii="David" w:hAnsi="David" w:cs="David"/>
          <w:sz w:val="24"/>
          <w:szCs w:val="24"/>
          <w:rtl/>
        </w:rPr>
      </w:pPr>
    </w:p>
    <w:p w14:paraId="41F80372" w14:textId="422C9F84" w:rsidR="00DC1D68" w:rsidRPr="004A5120" w:rsidRDefault="00DC1D68" w:rsidP="00DC1D68">
      <w:pPr>
        <w:spacing w:after="0"/>
        <w:jc w:val="both"/>
        <w:rPr>
          <w:rFonts w:ascii="David" w:hAnsi="David" w:cs="David"/>
          <w:sz w:val="24"/>
          <w:szCs w:val="24"/>
          <w:rtl/>
        </w:rPr>
      </w:pPr>
      <w:r w:rsidRPr="004A5120">
        <w:rPr>
          <w:rFonts w:ascii="David" w:hAnsi="David" w:cs="David" w:hint="cs"/>
          <w:sz w:val="24"/>
          <w:szCs w:val="24"/>
          <w:rtl/>
        </w:rPr>
        <w:t xml:space="preserve">כותב את ספרו בהלימה למגמה שהציג בביקורת שלו על הרמב"ם, כך </w:t>
      </w:r>
      <w:r w:rsidR="00600BBC" w:rsidRPr="004A5120">
        <w:rPr>
          <w:rFonts w:ascii="David" w:hAnsi="David" w:cs="David" w:hint="cs"/>
          <w:sz w:val="24"/>
          <w:szCs w:val="24"/>
          <w:rtl/>
        </w:rPr>
        <w:t>ש</w:t>
      </w:r>
      <w:r w:rsidRPr="004A5120">
        <w:rPr>
          <w:rFonts w:ascii="David" w:hAnsi="David" w:cs="David" w:hint="cs"/>
          <w:sz w:val="24"/>
          <w:szCs w:val="24"/>
          <w:rtl/>
        </w:rPr>
        <w:t xml:space="preserve">בספר ההלכות שלו </w:t>
      </w:r>
      <w:r w:rsidR="00600BBC" w:rsidRPr="004A5120">
        <w:rPr>
          <w:rFonts w:ascii="David" w:hAnsi="David" w:cs="David" w:hint="cs"/>
          <w:sz w:val="24"/>
          <w:szCs w:val="24"/>
          <w:rtl/>
        </w:rPr>
        <w:t>מופיעה</w:t>
      </w:r>
      <w:r w:rsidRPr="004A5120">
        <w:rPr>
          <w:rFonts w:ascii="David" w:hAnsi="David" w:cs="David" w:hint="cs"/>
          <w:sz w:val="24"/>
          <w:szCs w:val="24"/>
          <w:rtl/>
        </w:rPr>
        <w:t xml:space="preserve"> </w:t>
      </w:r>
      <w:r w:rsidRPr="004A5120">
        <w:rPr>
          <w:rFonts w:ascii="David" w:hAnsi="David" w:cs="David" w:hint="cs"/>
          <w:b/>
          <w:bCs/>
          <w:sz w:val="24"/>
          <w:szCs w:val="24"/>
          <w:rtl/>
        </w:rPr>
        <w:t xml:space="preserve">הקדמת המו"מ התלמודי </w:t>
      </w:r>
      <w:r w:rsidR="00600BBC" w:rsidRPr="004A5120">
        <w:rPr>
          <w:rFonts w:ascii="David" w:hAnsi="David" w:cs="David" w:hint="cs"/>
          <w:b/>
          <w:bCs/>
          <w:sz w:val="24"/>
          <w:szCs w:val="24"/>
          <w:rtl/>
        </w:rPr>
        <w:t>והוא מסודר ע"פ סדר המסכתות בתלמוד.</w:t>
      </w:r>
    </w:p>
    <w:p w14:paraId="4B5A4D09" w14:textId="2588095E" w:rsidR="00600BBC" w:rsidRPr="004A5120" w:rsidRDefault="00600BBC" w:rsidP="00600BBC">
      <w:pPr>
        <w:spacing w:after="0"/>
        <w:jc w:val="both"/>
        <w:rPr>
          <w:rFonts w:ascii="David" w:hAnsi="David" w:cs="David"/>
          <w:sz w:val="24"/>
          <w:szCs w:val="24"/>
          <w:rtl/>
        </w:rPr>
      </w:pPr>
      <w:r w:rsidRPr="004A5120">
        <w:rPr>
          <w:rFonts w:ascii="David" w:hAnsi="David" w:cs="David" w:hint="cs"/>
          <w:sz w:val="24"/>
          <w:szCs w:val="24"/>
          <w:rtl/>
        </w:rPr>
        <w:t>דוג' לקודי' נוספות בספרו: הבאת מגוון דעות, הכרעת דין בצורה תמציתית, ברורה ונוחה.</w:t>
      </w:r>
    </w:p>
    <w:p w14:paraId="6EDC1896" w14:textId="0CA8309A" w:rsidR="00600BBC" w:rsidRPr="004A5120" w:rsidRDefault="00600BBC" w:rsidP="00600BBC">
      <w:pPr>
        <w:spacing w:after="0"/>
        <w:jc w:val="both"/>
        <w:rPr>
          <w:rFonts w:ascii="David" w:hAnsi="David" w:cs="David"/>
          <w:sz w:val="24"/>
          <w:szCs w:val="24"/>
          <w:rtl/>
        </w:rPr>
      </w:pPr>
    </w:p>
    <w:p w14:paraId="2B5D2C09" w14:textId="79B142BF" w:rsidR="00600BBC" w:rsidRPr="004A5120" w:rsidRDefault="00600BBC" w:rsidP="00600BBC">
      <w:pPr>
        <w:spacing w:after="0"/>
        <w:jc w:val="both"/>
        <w:rPr>
          <w:rFonts w:ascii="David" w:hAnsi="David" w:cs="David"/>
          <w:sz w:val="24"/>
          <w:szCs w:val="24"/>
          <w:rtl/>
        </w:rPr>
      </w:pPr>
      <w:r w:rsidRPr="00882863">
        <w:rPr>
          <w:rFonts w:ascii="David" w:hAnsi="David" w:cs="David" w:hint="cs"/>
          <w:b/>
          <w:bCs/>
          <w:sz w:val="24"/>
          <w:szCs w:val="24"/>
          <w:rtl/>
        </w:rPr>
        <w:t xml:space="preserve">המיוחד בספרו </w:t>
      </w:r>
      <w:r w:rsidRPr="00882863">
        <w:rPr>
          <w:rFonts w:ascii="David" w:hAnsi="David" w:cs="David"/>
          <w:b/>
          <w:bCs/>
          <w:sz w:val="24"/>
          <w:szCs w:val="24"/>
          <w:rtl/>
        </w:rPr>
        <w:t>–</w:t>
      </w:r>
      <w:r w:rsidRPr="00882863">
        <w:rPr>
          <w:rFonts w:ascii="David" w:hAnsi="David" w:cs="David" w:hint="cs"/>
          <w:b/>
          <w:bCs/>
          <w:sz w:val="24"/>
          <w:szCs w:val="24"/>
          <w:rtl/>
        </w:rPr>
        <w:t xml:space="preserve"> עצמאותו בפסיקה</w:t>
      </w:r>
      <w:r w:rsidRPr="004A5120">
        <w:rPr>
          <w:rFonts w:ascii="David" w:hAnsi="David" w:cs="David" w:hint="cs"/>
          <w:sz w:val="24"/>
          <w:szCs w:val="24"/>
          <w:rtl/>
        </w:rPr>
        <w:t>.</w:t>
      </w:r>
    </w:p>
    <w:p w14:paraId="205A819D" w14:textId="4B2B30FC" w:rsidR="00600BBC" w:rsidRPr="004A5120" w:rsidRDefault="00600BBC" w:rsidP="00600BBC">
      <w:pPr>
        <w:spacing w:after="0"/>
        <w:jc w:val="both"/>
        <w:rPr>
          <w:rFonts w:ascii="David" w:hAnsi="David" w:cs="David"/>
          <w:sz w:val="24"/>
          <w:szCs w:val="24"/>
          <w:rtl/>
        </w:rPr>
      </w:pPr>
    </w:p>
    <w:p w14:paraId="5303224A" w14:textId="42393CD0" w:rsidR="00600BBC" w:rsidRPr="004A5120" w:rsidRDefault="00600BBC" w:rsidP="00600BBC">
      <w:pPr>
        <w:spacing w:after="0"/>
        <w:jc w:val="both"/>
        <w:rPr>
          <w:rFonts w:ascii="David" w:hAnsi="David" w:cs="David"/>
          <w:sz w:val="24"/>
          <w:szCs w:val="24"/>
          <w:u w:val="single"/>
          <w:rtl/>
        </w:rPr>
      </w:pPr>
      <w:r w:rsidRPr="004A5120">
        <w:rPr>
          <w:rFonts w:ascii="David" w:hAnsi="David" w:cs="David" w:hint="cs"/>
          <w:sz w:val="24"/>
          <w:szCs w:val="24"/>
          <w:u w:val="single"/>
          <w:rtl/>
        </w:rPr>
        <w:t>ספרי הלכות</w:t>
      </w:r>
      <w:r w:rsidR="00882863">
        <w:rPr>
          <w:rFonts w:ascii="David" w:hAnsi="David" w:cs="David" w:hint="cs"/>
          <w:sz w:val="24"/>
          <w:szCs w:val="24"/>
          <w:u w:val="single"/>
          <w:rtl/>
        </w:rPr>
        <w:t xml:space="preserve"> -</w:t>
      </w:r>
      <w:r w:rsidRPr="004A5120">
        <w:rPr>
          <w:rFonts w:ascii="David" w:hAnsi="David" w:cs="David" w:hint="cs"/>
          <w:sz w:val="24"/>
          <w:szCs w:val="24"/>
          <w:u w:val="single"/>
          <w:rtl/>
        </w:rPr>
        <w:t xml:space="preserve"> לפי סדר מניין המצוות:</w:t>
      </w:r>
    </w:p>
    <w:p w14:paraId="4873F329" w14:textId="04C6E89B" w:rsidR="00600BBC" w:rsidRPr="004A5120" w:rsidRDefault="00600BBC" w:rsidP="00600BBC">
      <w:pPr>
        <w:spacing w:after="0"/>
        <w:jc w:val="both"/>
        <w:rPr>
          <w:rFonts w:ascii="David" w:hAnsi="David" w:cs="David"/>
          <w:sz w:val="24"/>
          <w:szCs w:val="24"/>
          <w:rtl/>
        </w:rPr>
      </w:pPr>
      <w:r w:rsidRPr="004A5120">
        <w:rPr>
          <w:rFonts w:ascii="David" w:hAnsi="David" w:cs="David" w:hint="cs"/>
          <w:sz w:val="24"/>
          <w:szCs w:val="24"/>
          <w:rtl/>
        </w:rPr>
        <w:t>אחת הצורות הנפוצות לסידור ספרי הלכות הוא לפי סדר מניין המצוות (כמו "ספר המצוות של הרמב"ם). ספר זה</w:t>
      </w:r>
      <w:r w:rsidR="00882863">
        <w:rPr>
          <w:rFonts w:ascii="David" w:hAnsi="David" w:cs="David" w:hint="cs"/>
          <w:sz w:val="24"/>
          <w:szCs w:val="24"/>
          <w:rtl/>
        </w:rPr>
        <w:t xml:space="preserve"> </w:t>
      </w:r>
      <w:r w:rsidRPr="004A5120">
        <w:rPr>
          <w:rFonts w:ascii="David" w:hAnsi="David" w:cs="David" w:hint="cs"/>
          <w:sz w:val="24"/>
          <w:szCs w:val="24"/>
          <w:rtl/>
        </w:rPr>
        <w:t xml:space="preserve">לא נועד להיות חלק מספרות הפוסקים, אך דרך ספרותית זו התפשטה בקרב ספרי ההלכה, מתוך הנחכה שצורה קודי' זו מקילה על ידיעת המצוות. </w:t>
      </w:r>
    </w:p>
    <w:p w14:paraId="408456B7" w14:textId="77777777" w:rsidR="009C4AE4" w:rsidRPr="004A5120" w:rsidRDefault="009C4AE4" w:rsidP="00600BBC">
      <w:pPr>
        <w:spacing w:after="0"/>
        <w:jc w:val="both"/>
        <w:rPr>
          <w:rFonts w:ascii="David" w:hAnsi="David" w:cs="David"/>
          <w:sz w:val="24"/>
          <w:szCs w:val="24"/>
          <w:rtl/>
        </w:rPr>
      </w:pPr>
    </w:p>
    <w:p w14:paraId="27235544" w14:textId="19EBDABA" w:rsidR="00600BBC" w:rsidRPr="004A5120" w:rsidRDefault="00600BBC" w:rsidP="001A492B">
      <w:pPr>
        <w:pStyle w:val="a3"/>
        <w:numPr>
          <w:ilvl w:val="0"/>
          <w:numId w:val="41"/>
        </w:numPr>
        <w:spacing w:after="0"/>
        <w:jc w:val="both"/>
        <w:rPr>
          <w:rFonts w:ascii="David" w:hAnsi="David" w:cs="David"/>
          <w:sz w:val="24"/>
          <w:szCs w:val="24"/>
        </w:rPr>
      </w:pPr>
      <w:r w:rsidRPr="004A5120">
        <w:rPr>
          <w:rFonts w:ascii="David" w:hAnsi="David" w:cs="David" w:hint="cs"/>
          <w:sz w:val="24"/>
          <w:szCs w:val="24"/>
          <w:rtl/>
        </w:rPr>
        <w:t xml:space="preserve">ספר יראים </w:t>
      </w:r>
      <w:r w:rsidRPr="004A5120">
        <w:rPr>
          <w:rFonts w:ascii="David" w:hAnsi="David" w:cs="David"/>
          <w:sz w:val="24"/>
          <w:szCs w:val="24"/>
          <w:rtl/>
        </w:rPr>
        <w:t>–</w:t>
      </w:r>
      <w:r w:rsidRPr="004A5120">
        <w:rPr>
          <w:rFonts w:ascii="David" w:hAnsi="David" w:cs="David" w:hint="cs"/>
          <w:sz w:val="24"/>
          <w:szCs w:val="24"/>
          <w:rtl/>
        </w:rPr>
        <w:t xml:space="preserve"> לר' אליעזר בר' שמואל (הרא"ם):</w:t>
      </w:r>
    </w:p>
    <w:p w14:paraId="3A2A763C" w14:textId="77777777" w:rsidR="00D925DD" w:rsidRPr="004A5120" w:rsidRDefault="00600BBC"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t xml:space="preserve">מטרתו הייתה ליצור ספר הלכה, המסכם את כל המצוות והדינים. </w:t>
      </w:r>
    </w:p>
    <w:p w14:paraId="0B1E3DE6" w14:textId="587FCEB9" w:rsidR="00D925DD" w:rsidRPr="004A5120" w:rsidRDefault="00600BBC"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t>הוא מחולק בצורה של עמוד</w:t>
      </w:r>
      <w:r w:rsidR="00D925DD" w:rsidRPr="004A5120">
        <w:rPr>
          <w:rFonts w:ascii="David" w:hAnsi="David" w:cs="David" w:hint="cs"/>
          <w:sz w:val="24"/>
          <w:szCs w:val="24"/>
          <w:rtl/>
        </w:rPr>
        <w:t>(נושא)</w:t>
      </w:r>
      <w:r w:rsidRPr="004A5120">
        <w:rPr>
          <w:rFonts w:ascii="David" w:hAnsi="David" w:cs="David" w:hint="cs"/>
          <w:sz w:val="24"/>
          <w:szCs w:val="24"/>
          <w:rtl/>
        </w:rPr>
        <w:t xml:space="preserve"> -&gt; וו -&gt; סימן. </w:t>
      </w:r>
    </w:p>
    <w:p w14:paraId="32BEB057" w14:textId="77777777" w:rsidR="00D925DD" w:rsidRPr="004A5120" w:rsidRDefault="00600BBC"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t>בכל סימן מובא הפסוק בתורה שהמצווה מצויה בה -&gt; סוגיות תלמודיות -&gt; גאונים וראשונים -&gt; סיכום הלכה.</w:t>
      </w:r>
      <w:r w:rsidR="00D925DD" w:rsidRPr="004A5120">
        <w:rPr>
          <w:rFonts w:ascii="David" w:hAnsi="David" w:cs="David" w:hint="cs"/>
          <w:sz w:val="24"/>
          <w:szCs w:val="24"/>
          <w:rtl/>
        </w:rPr>
        <w:t xml:space="preserve"> </w:t>
      </w:r>
    </w:p>
    <w:p w14:paraId="0832E32C" w14:textId="425D1BD3" w:rsidR="00600BBC"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בסופו של דבר, מטרתו לא צלחה וסידורן ומיונן של המצוות בספר, מקשה ומבלבל. </w:t>
      </w:r>
    </w:p>
    <w:p w14:paraId="09014D57" w14:textId="77777777" w:rsidR="009C4AE4" w:rsidRPr="004A5120" w:rsidRDefault="009C4AE4" w:rsidP="009C4AE4">
      <w:pPr>
        <w:spacing w:after="0"/>
        <w:jc w:val="both"/>
        <w:rPr>
          <w:rFonts w:ascii="David" w:hAnsi="David" w:cs="David"/>
          <w:sz w:val="24"/>
          <w:szCs w:val="24"/>
          <w:rtl/>
        </w:rPr>
      </w:pPr>
    </w:p>
    <w:p w14:paraId="3CEE8CE4" w14:textId="2660741A" w:rsidR="00600BBC" w:rsidRPr="004A5120" w:rsidRDefault="00D925DD" w:rsidP="001A492B">
      <w:pPr>
        <w:pStyle w:val="a3"/>
        <w:numPr>
          <w:ilvl w:val="0"/>
          <w:numId w:val="41"/>
        </w:numPr>
        <w:spacing w:after="0"/>
        <w:jc w:val="both"/>
        <w:rPr>
          <w:rFonts w:ascii="David" w:hAnsi="David" w:cs="David"/>
          <w:sz w:val="24"/>
          <w:szCs w:val="24"/>
        </w:rPr>
      </w:pPr>
      <w:r w:rsidRPr="004A5120">
        <w:rPr>
          <w:rFonts w:ascii="David" w:hAnsi="David" w:cs="David" w:hint="cs"/>
          <w:sz w:val="24"/>
          <w:szCs w:val="24"/>
          <w:rtl/>
        </w:rPr>
        <w:t xml:space="preserve">ספר מצוות גדול </w:t>
      </w:r>
      <w:r w:rsidRPr="004A5120">
        <w:rPr>
          <w:rFonts w:ascii="David" w:hAnsi="David" w:cs="David"/>
          <w:sz w:val="24"/>
          <w:szCs w:val="24"/>
          <w:rtl/>
        </w:rPr>
        <w:t>–</w:t>
      </w:r>
      <w:r w:rsidRPr="004A5120">
        <w:rPr>
          <w:rFonts w:ascii="David" w:hAnsi="David" w:cs="David" w:hint="cs"/>
          <w:sz w:val="24"/>
          <w:szCs w:val="24"/>
          <w:rtl/>
        </w:rPr>
        <w:t xml:space="preserve"> לר' משה בר' יעקב (סמ"ג):</w:t>
      </w:r>
    </w:p>
    <w:p w14:paraId="5D52DCFD" w14:textId="2A98F34C"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נמנה עם בעלי התוספות. חילק את ספרו ל2: רמ"ח מצוות עשה ושס"ה מצוות לא תעשה.</w:t>
      </w:r>
    </w:p>
    <w:p w14:paraId="48BA69C6" w14:textId="74B5406E"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מביא ליד כל מצווה את הכתוב בתורה בקשר אליה, את המדרשים וההלכה התלמודית וכן את כל גדולי החכמים לאחר מכן, רק אז מסיק את המסקנה ההלכתית.</w:t>
      </w:r>
    </w:p>
    <w:p w14:paraId="6875B0C6" w14:textId="45B9ACC9"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סידר את המצוות לפי סדר העניינים במשנה תורה, בשינוי פנימי קל.</w:t>
      </w:r>
    </w:p>
    <w:p w14:paraId="7F2673BB" w14:textId="7EBDBD41"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"רמזים" </w:t>
      </w:r>
      <w:r w:rsidRPr="004A5120">
        <w:rPr>
          <w:rFonts w:ascii="David" w:hAnsi="David" w:cs="David"/>
          <w:sz w:val="24"/>
          <w:szCs w:val="24"/>
          <w:rtl/>
        </w:rPr>
        <w:t>–</w:t>
      </w:r>
      <w:r w:rsidRPr="004A5120">
        <w:rPr>
          <w:rFonts w:ascii="David" w:hAnsi="David" w:cs="David" w:hint="cs"/>
          <w:sz w:val="24"/>
          <w:szCs w:val="24"/>
          <w:rtl/>
        </w:rPr>
        <w:t xml:space="preserve"> מפתח מצוות המסייע במציאת הדין המבוקש, נוח במיוחד לעיון.</w:t>
      </w:r>
    </w:p>
    <w:p w14:paraId="501262FE" w14:textId="57020775"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במחלוקת בין הרמב"ם לחכמי אשכנז </w:t>
      </w:r>
      <w:r w:rsidRPr="004A5120">
        <w:rPr>
          <w:rFonts w:ascii="David" w:hAnsi="David" w:cs="David"/>
          <w:sz w:val="24"/>
          <w:szCs w:val="24"/>
          <w:rtl/>
        </w:rPr>
        <w:t>–</w:t>
      </w:r>
      <w:r w:rsidRPr="004A5120">
        <w:rPr>
          <w:rFonts w:ascii="David" w:hAnsi="David" w:cs="David" w:hint="cs"/>
          <w:sz w:val="24"/>
          <w:szCs w:val="24"/>
          <w:rtl/>
        </w:rPr>
        <w:t xml:space="preserve"> יפסוק בד"כ לפי חכמי אשכנז.</w:t>
      </w:r>
    </w:p>
    <w:p w14:paraId="03E507CC" w14:textId="41F7EA8E" w:rsidR="002E5194" w:rsidRPr="004A5120" w:rsidRDefault="002E5194"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lastRenderedPageBreak/>
        <w:t>נכתב בעקבות איסור על קריאת התלמוד בגולה, לכן גם התפשט במהרה.</w:t>
      </w:r>
    </w:p>
    <w:p w14:paraId="3657EB3C" w14:textId="65E83FED" w:rsidR="002B5F21" w:rsidRPr="004A5120" w:rsidRDefault="002B5F21" w:rsidP="002B5F21">
      <w:pPr>
        <w:spacing w:after="0"/>
        <w:jc w:val="both"/>
        <w:rPr>
          <w:rFonts w:ascii="David" w:hAnsi="David" w:cs="David"/>
          <w:sz w:val="24"/>
          <w:szCs w:val="24"/>
          <w:rtl/>
        </w:rPr>
      </w:pPr>
    </w:p>
    <w:p w14:paraId="19E94CDA" w14:textId="4189B212" w:rsidR="002B5F21" w:rsidRPr="004A5120" w:rsidRDefault="009C4AE4" w:rsidP="001A492B">
      <w:pPr>
        <w:pStyle w:val="a3"/>
        <w:numPr>
          <w:ilvl w:val="0"/>
          <w:numId w:val="41"/>
        </w:numPr>
        <w:spacing w:after="0"/>
        <w:jc w:val="both"/>
        <w:rPr>
          <w:rFonts w:ascii="David" w:hAnsi="David" w:cs="David"/>
          <w:sz w:val="24"/>
          <w:szCs w:val="24"/>
        </w:rPr>
      </w:pPr>
      <w:r w:rsidRPr="004A5120">
        <w:rPr>
          <w:rFonts w:ascii="David" w:hAnsi="David" w:cs="David" w:hint="cs"/>
          <w:sz w:val="24"/>
          <w:szCs w:val="24"/>
          <w:rtl/>
        </w:rPr>
        <w:t xml:space="preserve">ספר "עמודי גולה" (גם "ספר מצוות קטן\קצר") </w:t>
      </w:r>
      <w:r w:rsidRPr="004A5120">
        <w:rPr>
          <w:rFonts w:ascii="David" w:hAnsi="David" w:cs="David"/>
          <w:sz w:val="24"/>
          <w:szCs w:val="24"/>
          <w:rtl/>
        </w:rPr>
        <w:t>–</w:t>
      </w:r>
      <w:r w:rsidRPr="004A5120">
        <w:rPr>
          <w:rFonts w:ascii="David" w:hAnsi="David" w:cs="David" w:hint="cs"/>
          <w:sz w:val="24"/>
          <w:szCs w:val="24"/>
          <w:rtl/>
        </w:rPr>
        <w:t xml:space="preserve"> לר' יצחק בר' יוסף (סמ"ק):</w:t>
      </w:r>
    </w:p>
    <w:p w14:paraId="02AF2EFF" w14:textId="106AE04E"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מסודר לפי מניין המצוות, נלמד בסמוך לספר מצוות גדול של הסמ"ג.</w:t>
      </w:r>
    </w:p>
    <w:p w14:paraId="6F2BD44B" w14:textId="1E94BCEB"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מביא את ההלכה וקצת מדעות החכמים, בקיצור ובלשון פשוטה.</w:t>
      </w:r>
    </w:p>
    <w:p w14:paraId="4B20380C" w14:textId="479D7211"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מחולק לשבעה חלקים, כדי שבכל יום ילמד אדם חלק אחד.</w:t>
      </w:r>
    </w:p>
    <w:p w14:paraId="7E2DD269" w14:textId="09759E59"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מיום ההלכות בו לא נוח, הוא לא מחולק לפי נושאים, אלא לפי נימוקים שונים. </w:t>
      </w:r>
    </w:p>
    <w:p w14:paraId="004866D2" w14:textId="5891341B"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נועד לפשוטי העם, כדי שיכירו את המצוות, אך לא כדי להורות הלכה מתוכו</w:t>
      </w:r>
      <w:r w:rsidR="000275DA" w:rsidRPr="004A5120">
        <w:rPr>
          <w:rFonts w:ascii="David" w:hAnsi="David" w:cs="David" w:hint="cs"/>
          <w:sz w:val="24"/>
          <w:szCs w:val="24"/>
          <w:rtl/>
        </w:rPr>
        <w:t xml:space="preserve"> </w:t>
      </w:r>
      <w:r w:rsidR="000275DA" w:rsidRPr="004A5120">
        <w:rPr>
          <w:rFonts w:ascii="David" w:hAnsi="David" w:cs="David"/>
          <w:sz w:val="24"/>
          <w:szCs w:val="24"/>
          <w:rtl/>
        </w:rPr>
        <w:t>–</w:t>
      </w:r>
      <w:r w:rsidR="000275DA" w:rsidRPr="004A5120">
        <w:rPr>
          <w:rFonts w:ascii="David" w:hAnsi="David" w:cs="David" w:hint="cs"/>
          <w:sz w:val="24"/>
          <w:szCs w:val="24"/>
          <w:rtl/>
        </w:rPr>
        <w:t xml:space="preserve"> אלא מעיון בתלמוד. בפועל הוא כן הפך להיות ספר פסקים ופוסקים רבים הסתמכו עליו.</w:t>
      </w:r>
    </w:p>
    <w:p w14:paraId="5588CFF1" w14:textId="20096DB6" w:rsidR="004305F9" w:rsidRPr="004A5120" w:rsidRDefault="004305F9" w:rsidP="004305F9">
      <w:pPr>
        <w:spacing w:after="0"/>
        <w:jc w:val="both"/>
        <w:rPr>
          <w:rFonts w:ascii="David" w:hAnsi="David" w:cs="David"/>
          <w:sz w:val="24"/>
          <w:szCs w:val="24"/>
          <w:rtl/>
        </w:rPr>
      </w:pPr>
    </w:p>
    <w:p w14:paraId="252886EF" w14:textId="75157B69" w:rsidR="004305F9" w:rsidRPr="004A5120" w:rsidRDefault="004305F9" w:rsidP="001A492B">
      <w:pPr>
        <w:pStyle w:val="a3"/>
        <w:numPr>
          <w:ilvl w:val="0"/>
          <w:numId w:val="41"/>
        </w:numPr>
        <w:spacing w:after="0"/>
        <w:jc w:val="both"/>
        <w:rPr>
          <w:rFonts w:ascii="David" w:hAnsi="David" w:cs="David"/>
          <w:sz w:val="24"/>
          <w:szCs w:val="24"/>
        </w:rPr>
      </w:pPr>
      <w:r w:rsidRPr="004A5120">
        <w:rPr>
          <w:rFonts w:ascii="David" w:hAnsi="David" w:cs="David" w:hint="cs"/>
          <w:sz w:val="24"/>
          <w:szCs w:val="24"/>
          <w:rtl/>
        </w:rPr>
        <w:t>ספר החינוך (זהות המחבר לא ידועה):</w:t>
      </w:r>
    </w:p>
    <w:p w14:paraId="542C6EDE" w14:textId="2CE30615"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משתמש ברי"ף, הרמב"ם והרמב"ן כבסיס הלכתי (אך מוסיף מהראשונים).</w:t>
      </w:r>
    </w:p>
    <w:p w14:paraId="1C6D169E" w14:textId="3859098C"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המחבר מעיד שכתב אותו בשביל "הנערים" </w:t>
      </w:r>
      <w:r w:rsidRPr="004A5120">
        <w:rPr>
          <w:rFonts w:ascii="David" w:hAnsi="David" w:cs="David"/>
          <w:sz w:val="24"/>
          <w:szCs w:val="24"/>
          <w:rtl/>
        </w:rPr>
        <w:t>–</w:t>
      </w:r>
      <w:r w:rsidRPr="004A5120">
        <w:rPr>
          <w:rFonts w:ascii="David" w:hAnsi="David" w:cs="David" w:hint="cs"/>
          <w:sz w:val="24"/>
          <w:szCs w:val="24"/>
          <w:rtl/>
        </w:rPr>
        <w:t xml:space="preserve"> אלון סובר שבוודאי רצה שיהיה גם לגדולים.</w:t>
      </w:r>
    </w:p>
    <w:p w14:paraId="4AD00EFC" w14:textId="0BBDA345"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מונה את המצוות לפי הסדר שמופיעות בתורה. מציג קודם מצוות עשה ואח"כ לא תעשה.</w:t>
      </w:r>
    </w:p>
    <w:p w14:paraId="052D50AE" w14:textId="2E3A7A27"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הדיון בכל מצווה מתחלק ל4:</w:t>
      </w:r>
    </w:p>
    <w:p w14:paraId="146CE7FD" w14:textId="5304E2A2" w:rsidR="004305F9" w:rsidRPr="004A5120" w:rsidRDefault="004305F9" w:rsidP="001A492B">
      <w:pPr>
        <w:pStyle w:val="a3"/>
        <w:numPr>
          <w:ilvl w:val="0"/>
          <w:numId w:val="43"/>
        </w:numPr>
        <w:spacing w:after="0"/>
        <w:jc w:val="both"/>
        <w:rPr>
          <w:rFonts w:ascii="David" w:hAnsi="David" w:cs="David"/>
          <w:sz w:val="24"/>
          <w:szCs w:val="24"/>
        </w:rPr>
      </w:pPr>
      <w:r w:rsidRPr="004A5120">
        <w:rPr>
          <w:rFonts w:ascii="David" w:hAnsi="David" w:cs="David" w:hint="cs"/>
          <w:sz w:val="24"/>
          <w:szCs w:val="24"/>
          <w:rtl/>
        </w:rPr>
        <w:t xml:space="preserve">יסוד המצווה </w:t>
      </w:r>
      <w:r w:rsidRPr="004A5120">
        <w:rPr>
          <w:rFonts w:ascii="David" w:hAnsi="David" w:cs="David"/>
          <w:sz w:val="24"/>
          <w:szCs w:val="24"/>
          <w:rtl/>
        </w:rPr>
        <w:t>–</w:t>
      </w:r>
      <w:r w:rsidRPr="004A5120">
        <w:rPr>
          <w:rFonts w:ascii="David" w:hAnsi="David" w:cs="David" w:hint="cs"/>
          <w:sz w:val="24"/>
          <w:szCs w:val="24"/>
          <w:rtl/>
        </w:rPr>
        <w:t xml:space="preserve"> מקור המצווה בתורה ופירושה בתלמוד.</w:t>
      </w:r>
    </w:p>
    <w:p w14:paraId="7D7733CB" w14:textId="75DC6B15" w:rsidR="004305F9" w:rsidRPr="004A5120" w:rsidRDefault="004305F9" w:rsidP="001A492B">
      <w:pPr>
        <w:pStyle w:val="a3"/>
        <w:numPr>
          <w:ilvl w:val="0"/>
          <w:numId w:val="43"/>
        </w:numPr>
        <w:spacing w:after="0"/>
        <w:jc w:val="both"/>
        <w:rPr>
          <w:rFonts w:ascii="David" w:hAnsi="David" w:cs="David"/>
          <w:sz w:val="24"/>
          <w:szCs w:val="24"/>
        </w:rPr>
      </w:pPr>
      <w:r w:rsidRPr="004A5120">
        <w:rPr>
          <w:rFonts w:ascii="David" w:hAnsi="David" w:cs="David" w:hint="cs"/>
          <w:sz w:val="24"/>
          <w:szCs w:val="24"/>
          <w:rtl/>
        </w:rPr>
        <w:t xml:space="preserve">שורשי המצווה </w:t>
      </w:r>
      <w:r w:rsidRPr="004A5120">
        <w:rPr>
          <w:rFonts w:ascii="David" w:hAnsi="David" w:cs="David"/>
          <w:sz w:val="24"/>
          <w:szCs w:val="24"/>
          <w:rtl/>
        </w:rPr>
        <w:t>–</w:t>
      </w:r>
      <w:r w:rsidRPr="004A5120">
        <w:rPr>
          <w:rFonts w:ascii="David" w:hAnsi="David" w:cs="David" w:hint="cs"/>
          <w:sz w:val="24"/>
          <w:szCs w:val="24"/>
          <w:rtl/>
        </w:rPr>
        <w:t xml:space="preserve"> הטעם והנימוק שלה, הרעיון המהותי מאחוריה.</w:t>
      </w:r>
    </w:p>
    <w:p w14:paraId="2404F5D9" w14:textId="6025F2AB" w:rsidR="004305F9" w:rsidRPr="004A5120" w:rsidRDefault="004305F9" w:rsidP="001A492B">
      <w:pPr>
        <w:pStyle w:val="a3"/>
        <w:numPr>
          <w:ilvl w:val="0"/>
          <w:numId w:val="43"/>
        </w:numPr>
        <w:spacing w:after="0"/>
        <w:jc w:val="both"/>
        <w:rPr>
          <w:rFonts w:ascii="David" w:hAnsi="David" w:cs="David"/>
          <w:sz w:val="24"/>
          <w:szCs w:val="24"/>
        </w:rPr>
      </w:pPr>
      <w:r w:rsidRPr="004A5120">
        <w:rPr>
          <w:rFonts w:ascii="David" w:hAnsi="David" w:cs="David" w:hint="cs"/>
          <w:sz w:val="24"/>
          <w:szCs w:val="24"/>
          <w:rtl/>
        </w:rPr>
        <w:t xml:space="preserve">דיני המצווה </w:t>
      </w:r>
      <w:r w:rsidRPr="004A5120">
        <w:rPr>
          <w:rFonts w:ascii="David" w:hAnsi="David" w:cs="David"/>
          <w:sz w:val="24"/>
          <w:szCs w:val="24"/>
          <w:rtl/>
        </w:rPr>
        <w:t>–</w:t>
      </w:r>
      <w:r w:rsidRPr="004A5120">
        <w:rPr>
          <w:rFonts w:ascii="David" w:hAnsi="David" w:cs="David" w:hint="cs"/>
          <w:sz w:val="24"/>
          <w:szCs w:val="24"/>
          <w:rtl/>
        </w:rPr>
        <w:t xml:space="preserve"> עיקרי הדינים וההלכות שלה.</w:t>
      </w:r>
    </w:p>
    <w:p w14:paraId="3DB42817" w14:textId="0B806C26" w:rsidR="004305F9" w:rsidRPr="004A5120" w:rsidRDefault="004305F9" w:rsidP="001A492B">
      <w:pPr>
        <w:pStyle w:val="a3"/>
        <w:numPr>
          <w:ilvl w:val="0"/>
          <w:numId w:val="43"/>
        </w:numPr>
        <w:spacing w:after="0"/>
        <w:jc w:val="both"/>
        <w:rPr>
          <w:rFonts w:ascii="David" w:hAnsi="David" w:cs="David"/>
          <w:sz w:val="24"/>
          <w:szCs w:val="24"/>
        </w:rPr>
      </w:pPr>
      <w:r w:rsidRPr="004A5120">
        <w:rPr>
          <w:rFonts w:ascii="David" w:hAnsi="David" w:cs="David" w:hint="cs"/>
          <w:sz w:val="24"/>
          <w:szCs w:val="24"/>
          <w:rtl/>
        </w:rPr>
        <w:t xml:space="preserve">תחולת המצווה </w:t>
      </w:r>
      <w:r w:rsidRPr="004A5120">
        <w:rPr>
          <w:rFonts w:ascii="David" w:hAnsi="David" w:cs="David"/>
          <w:sz w:val="24"/>
          <w:szCs w:val="24"/>
          <w:rtl/>
        </w:rPr>
        <w:t>–</w:t>
      </w:r>
      <w:r w:rsidRPr="004A5120">
        <w:rPr>
          <w:rFonts w:ascii="David" w:hAnsi="David" w:cs="David" w:hint="cs"/>
          <w:sz w:val="24"/>
          <w:szCs w:val="24"/>
          <w:rtl/>
        </w:rPr>
        <w:t xml:space="preserve"> מתי, היכן ועל מי חלה.</w:t>
      </w:r>
    </w:p>
    <w:p w14:paraId="58C1931E" w14:textId="775BAE9B" w:rsidR="004305F9" w:rsidRPr="004A5120" w:rsidRDefault="004245D6"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לא מכריע את הדין, בהכרעה מסתמך על מסקנות גדולי החכמים שקדמו לו.</w:t>
      </w:r>
    </w:p>
    <w:p w14:paraId="134669C5" w14:textId="24482A1F" w:rsidR="00566160" w:rsidRPr="004A5120" w:rsidRDefault="00566160" w:rsidP="00566160">
      <w:pPr>
        <w:spacing w:after="0"/>
        <w:jc w:val="both"/>
        <w:rPr>
          <w:rFonts w:ascii="David" w:hAnsi="David" w:cs="David"/>
          <w:sz w:val="24"/>
          <w:szCs w:val="24"/>
          <w:rtl/>
        </w:rPr>
      </w:pPr>
    </w:p>
    <w:p w14:paraId="7F84AA18" w14:textId="527907D9" w:rsidR="00566160" w:rsidRPr="004A5120" w:rsidRDefault="00566160" w:rsidP="00566160">
      <w:pPr>
        <w:spacing w:after="0"/>
        <w:jc w:val="both"/>
        <w:rPr>
          <w:rFonts w:ascii="David" w:hAnsi="David" w:cs="David"/>
          <w:sz w:val="24"/>
          <w:szCs w:val="24"/>
          <w:u w:val="single"/>
          <w:rtl/>
        </w:rPr>
      </w:pPr>
      <w:r w:rsidRPr="004A5120">
        <w:rPr>
          <w:rFonts w:ascii="David" w:hAnsi="David" w:cs="David" w:hint="cs"/>
          <w:sz w:val="24"/>
          <w:szCs w:val="24"/>
          <w:u w:val="single"/>
          <w:rtl/>
        </w:rPr>
        <w:t>ספר "תורך הבית הארוך" ו"תורת הבית הקצר" + ספרי הלכה אחרים של הרשב"א:</w:t>
      </w:r>
    </w:p>
    <w:p w14:paraId="082EF73D" w14:textId="5DC492EE" w:rsidR="00566160" w:rsidRPr="004A5120" w:rsidRDefault="00B101CF" w:rsidP="00566160">
      <w:pPr>
        <w:spacing w:after="0"/>
        <w:jc w:val="both"/>
        <w:rPr>
          <w:rFonts w:ascii="David" w:hAnsi="David" w:cs="David"/>
          <w:sz w:val="24"/>
          <w:szCs w:val="24"/>
          <w:rtl/>
        </w:rPr>
      </w:pPr>
      <w:r w:rsidRPr="004A5120">
        <w:rPr>
          <w:rFonts w:ascii="David" w:hAnsi="David" w:cs="David" w:hint="cs"/>
          <w:sz w:val="24"/>
          <w:szCs w:val="24"/>
          <w:rtl/>
        </w:rPr>
        <w:t xml:space="preserve">ספר הלכות שהיווה נקודת מפנה בקודי' שתופיע מ200 שנה לאחריו בספרי ההלכה. מורכב משני ספרים: תורת הבית הקצר והארוך. </w:t>
      </w:r>
      <w:r w:rsidRPr="00A46A54">
        <w:rPr>
          <w:rFonts w:ascii="David" w:hAnsi="David" w:cs="David" w:hint="cs"/>
          <w:b/>
          <w:bCs/>
          <w:sz w:val="24"/>
          <w:szCs w:val="24"/>
          <w:rtl/>
        </w:rPr>
        <w:t xml:space="preserve">בארוך </w:t>
      </w:r>
      <w:r w:rsidRPr="00A46A54">
        <w:rPr>
          <w:rFonts w:ascii="David" w:hAnsi="David" w:cs="David"/>
          <w:b/>
          <w:bCs/>
          <w:sz w:val="24"/>
          <w:szCs w:val="24"/>
          <w:rtl/>
        </w:rPr>
        <w:t>–</w:t>
      </w:r>
      <w:r w:rsidRPr="00A46A54">
        <w:rPr>
          <w:rFonts w:ascii="David" w:hAnsi="David" w:cs="David" w:hint="cs"/>
          <w:b/>
          <w:bCs/>
          <w:sz w:val="24"/>
          <w:szCs w:val="24"/>
          <w:rtl/>
        </w:rPr>
        <w:t xml:space="preserve"> דיון מפורט</w:t>
      </w:r>
      <w:r w:rsidRPr="004A5120">
        <w:rPr>
          <w:rFonts w:ascii="David" w:hAnsi="David" w:cs="David" w:hint="cs"/>
          <w:sz w:val="24"/>
          <w:szCs w:val="24"/>
          <w:rtl/>
        </w:rPr>
        <w:t xml:space="preserve"> בכל המקורות התלמודיים ולאחריו, הקשורים לאתו נושא. </w:t>
      </w:r>
      <w:r w:rsidRPr="00A46A54">
        <w:rPr>
          <w:rFonts w:ascii="David" w:hAnsi="David" w:cs="David" w:hint="cs"/>
          <w:b/>
          <w:bCs/>
          <w:sz w:val="24"/>
          <w:szCs w:val="24"/>
          <w:rtl/>
        </w:rPr>
        <w:t xml:space="preserve">בקצר </w:t>
      </w:r>
      <w:r w:rsidRPr="00A46A54">
        <w:rPr>
          <w:rFonts w:ascii="David" w:hAnsi="David" w:cs="David"/>
          <w:b/>
          <w:bCs/>
          <w:sz w:val="24"/>
          <w:szCs w:val="24"/>
          <w:rtl/>
        </w:rPr>
        <w:t>–</w:t>
      </w:r>
      <w:r w:rsidRPr="00A46A54">
        <w:rPr>
          <w:rFonts w:ascii="David" w:hAnsi="David" w:cs="David" w:hint="cs"/>
          <w:b/>
          <w:bCs/>
          <w:sz w:val="24"/>
          <w:szCs w:val="24"/>
          <w:rtl/>
        </w:rPr>
        <w:t xml:space="preserve"> המסקנה ההלכתית בצורה סתמית.</w:t>
      </w:r>
      <w:r w:rsidRPr="004A5120">
        <w:rPr>
          <w:rFonts w:ascii="David" w:hAnsi="David" w:cs="David" w:hint="cs"/>
          <w:sz w:val="24"/>
          <w:szCs w:val="24"/>
          <w:rtl/>
        </w:rPr>
        <w:t xml:space="preserve"> שני הספרים עוסקים בהלכות "איסור והיתר"- הלכות שחיטה, טרפות וכו'. </w:t>
      </w:r>
    </w:p>
    <w:p w14:paraId="5945AEBE" w14:textId="02991A67" w:rsidR="00B101CF" w:rsidRPr="004A5120" w:rsidRDefault="00B101CF" w:rsidP="00566160">
      <w:pPr>
        <w:spacing w:after="0"/>
        <w:jc w:val="both"/>
        <w:rPr>
          <w:rFonts w:ascii="David" w:hAnsi="David" w:cs="David"/>
          <w:sz w:val="24"/>
          <w:szCs w:val="24"/>
          <w:rtl/>
        </w:rPr>
      </w:pPr>
      <w:r w:rsidRPr="004A5120">
        <w:rPr>
          <w:rFonts w:ascii="David" w:hAnsi="David" w:cs="David" w:hint="cs"/>
          <w:sz w:val="24"/>
          <w:szCs w:val="24"/>
          <w:rtl/>
        </w:rPr>
        <w:t xml:space="preserve">מחולק ל7 בתים, לכל בית שבעה שערים. בעל תוכן עניינים המפרט את תוכן כל בית וכל שער. </w:t>
      </w:r>
    </w:p>
    <w:p w14:paraId="46968FCC" w14:textId="69A1AF1C" w:rsidR="00B101CF" w:rsidRPr="004A5120" w:rsidRDefault="00B101CF" w:rsidP="00566160">
      <w:pPr>
        <w:spacing w:after="0"/>
        <w:jc w:val="both"/>
        <w:rPr>
          <w:rFonts w:ascii="David" w:hAnsi="David" w:cs="David"/>
          <w:sz w:val="24"/>
          <w:szCs w:val="24"/>
          <w:rtl/>
        </w:rPr>
      </w:pPr>
      <w:r w:rsidRPr="004A5120">
        <w:rPr>
          <w:rFonts w:ascii="David" w:hAnsi="David" w:cs="David" w:hint="cs"/>
          <w:sz w:val="24"/>
          <w:szCs w:val="24"/>
          <w:rtl/>
        </w:rPr>
        <w:t>מטרת הספר להתאים לכל אדם, חכם ופשוט, לכן יש אופציה להלכה בלבד- נקראת דרך "המעשה"</w:t>
      </w:r>
      <w:r w:rsidR="00B542C5" w:rsidRPr="004A5120">
        <w:rPr>
          <w:rFonts w:ascii="David" w:hAnsi="David" w:cs="David" w:hint="cs"/>
          <w:sz w:val="24"/>
          <w:szCs w:val="24"/>
          <w:rtl/>
        </w:rPr>
        <w:t xml:space="preserve">, לצד אופציה לדיון מעמיק- דרך התלמוד, המשא ומתן. </w:t>
      </w:r>
    </w:p>
    <w:p w14:paraId="7AC7AC6B" w14:textId="661A42E8" w:rsidR="00B542C5" w:rsidRPr="004A5120" w:rsidRDefault="00B542C5" w:rsidP="00566160">
      <w:pPr>
        <w:spacing w:after="0"/>
        <w:jc w:val="both"/>
        <w:rPr>
          <w:rFonts w:ascii="David" w:hAnsi="David" w:cs="David"/>
          <w:sz w:val="24"/>
          <w:szCs w:val="24"/>
          <w:rtl/>
        </w:rPr>
      </w:pPr>
      <w:r w:rsidRPr="004A5120">
        <w:rPr>
          <w:rFonts w:ascii="David" w:hAnsi="David" w:cs="David" w:hint="cs"/>
          <w:sz w:val="24"/>
          <w:szCs w:val="24"/>
          <w:rtl/>
        </w:rPr>
        <w:t>תורת הבית הארוך: ספר הלכות לכל דבר ועניין, מביא את הפסיקה רק לאחר הצגת הדיון התלמודי.</w:t>
      </w:r>
    </w:p>
    <w:p w14:paraId="1885A71C" w14:textId="7AA2E957" w:rsidR="00B542C5" w:rsidRPr="004A5120" w:rsidRDefault="00B542C5" w:rsidP="00566160">
      <w:pPr>
        <w:spacing w:after="0"/>
        <w:jc w:val="both"/>
        <w:rPr>
          <w:rFonts w:ascii="David" w:hAnsi="David" w:cs="David"/>
          <w:sz w:val="24"/>
          <w:szCs w:val="24"/>
          <w:rtl/>
        </w:rPr>
      </w:pPr>
      <w:r w:rsidRPr="004A5120">
        <w:rPr>
          <w:rFonts w:ascii="David" w:hAnsi="David" w:cs="David" w:hint="cs"/>
          <w:sz w:val="24"/>
          <w:szCs w:val="24"/>
          <w:rtl/>
        </w:rPr>
        <w:t>תורת הבית הקצר: בפני עצמו הוא ספר פסקים בלבד, מביא אך ורק את המסקנה ההלכתית.</w:t>
      </w:r>
    </w:p>
    <w:p w14:paraId="56DEA810" w14:textId="5EDDDB58" w:rsidR="00B542C5" w:rsidRPr="004A5120" w:rsidRDefault="00B542C5" w:rsidP="00566160">
      <w:pPr>
        <w:spacing w:after="0"/>
        <w:jc w:val="both"/>
        <w:rPr>
          <w:rFonts w:ascii="David" w:hAnsi="David" w:cs="David"/>
          <w:sz w:val="24"/>
          <w:szCs w:val="24"/>
          <w:rtl/>
        </w:rPr>
      </w:pPr>
      <w:r w:rsidRPr="004A5120">
        <w:rPr>
          <w:rFonts w:ascii="David" w:hAnsi="David" w:cs="David" w:hint="cs"/>
          <w:sz w:val="24"/>
          <w:szCs w:val="24"/>
          <w:rtl/>
        </w:rPr>
        <w:t>בדרך זו, התגבר על המכשולים של המפעל הקודי', הספרים מבוססים ומשלימים אחד את השני.</w:t>
      </w:r>
    </w:p>
    <w:p w14:paraId="0034B3F0" w14:textId="00E7A00F" w:rsidR="00B542C5" w:rsidRPr="004A5120" w:rsidRDefault="00B542C5" w:rsidP="00566160">
      <w:pPr>
        <w:spacing w:after="0"/>
        <w:jc w:val="both"/>
        <w:rPr>
          <w:rFonts w:ascii="David" w:hAnsi="David" w:cs="David"/>
          <w:sz w:val="24"/>
          <w:szCs w:val="24"/>
          <w:rtl/>
        </w:rPr>
      </w:pPr>
    </w:p>
    <w:p w14:paraId="50F416D2" w14:textId="563E160C" w:rsidR="00B542C5" w:rsidRPr="004A5120" w:rsidRDefault="00B542C5" w:rsidP="00566160">
      <w:pPr>
        <w:spacing w:after="0"/>
        <w:jc w:val="both"/>
        <w:rPr>
          <w:rFonts w:ascii="David" w:hAnsi="David" w:cs="David"/>
          <w:sz w:val="24"/>
          <w:szCs w:val="24"/>
          <w:u w:val="single"/>
          <w:rtl/>
        </w:rPr>
      </w:pPr>
      <w:r w:rsidRPr="004A5120">
        <w:rPr>
          <w:rFonts w:ascii="David" w:hAnsi="David" w:cs="David" w:hint="cs"/>
          <w:sz w:val="24"/>
          <w:szCs w:val="24"/>
          <w:u w:val="single"/>
          <w:rtl/>
        </w:rPr>
        <w:t>"בדק הבית" ו"משמרת הבית"</w:t>
      </w:r>
      <w:r w:rsidR="00B85EA6" w:rsidRPr="004A5120">
        <w:rPr>
          <w:rFonts w:ascii="David" w:hAnsi="David" w:cs="David" w:hint="cs"/>
          <w:sz w:val="24"/>
          <w:szCs w:val="24"/>
          <w:u w:val="single"/>
          <w:rtl/>
        </w:rPr>
        <w:t>, שעל "תורת הבית" (הרא"ה):</w:t>
      </w:r>
    </w:p>
    <w:p w14:paraId="26E0A94C" w14:textId="3152604B" w:rsidR="00B85EA6" w:rsidRPr="004A5120" w:rsidRDefault="00B85EA6" w:rsidP="00566160">
      <w:pPr>
        <w:spacing w:after="0"/>
        <w:jc w:val="both"/>
        <w:rPr>
          <w:rFonts w:ascii="David" w:hAnsi="David" w:cs="David"/>
          <w:sz w:val="24"/>
          <w:szCs w:val="24"/>
          <w:rtl/>
        </w:rPr>
      </w:pPr>
      <w:r w:rsidRPr="004A5120">
        <w:rPr>
          <w:rFonts w:ascii="David" w:hAnsi="David" w:cs="David" w:hint="cs"/>
          <w:sz w:val="24"/>
          <w:szCs w:val="24"/>
          <w:rtl/>
        </w:rPr>
        <w:t>הרא"ה, בן דורו של הרשב"א, כתב על תורת הבית הערות והשגות. הביקורת אינה על המבנה הקודי', אלא על ההלכות עצמן. קרא לספרו "בדק הבית", חיפש כל מקום ב"בית" שדרוש בו תיקון.</w:t>
      </w:r>
    </w:p>
    <w:p w14:paraId="64036A36" w14:textId="720E801E" w:rsidR="00B85EA6" w:rsidRPr="004A5120" w:rsidRDefault="00B85EA6" w:rsidP="00566160">
      <w:pPr>
        <w:spacing w:after="0"/>
        <w:jc w:val="both"/>
        <w:rPr>
          <w:rFonts w:ascii="David" w:hAnsi="David" w:cs="David"/>
          <w:sz w:val="24"/>
          <w:szCs w:val="24"/>
          <w:rtl/>
        </w:rPr>
      </w:pPr>
    </w:p>
    <w:p w14:paraId="3155EB52" w14:textId="461D8BD7" w:rsidR="00B85EA6" w:rsidRPr="004A5120" w:rsidRDefault="00B85EA6" w:rsidP="00566160">
      <w:pPr>
        <w:spacing w:after="0"/>
        <w:jc w:val="both"/>
        <w:rPr>
          <w:rFonts w:ascii="David" w:hAnsi="David" w:cs="David"/>
          <w:sz w:val="24"/>
          <w:szCs w:val="24"/>
          <w:rtl/>
        </w:rPr>
      </w:pPr>
      <w:r w:rsidRPr="004A5120">
        <w:rPr>
          <w:rFonts w:ascii="David" w:hAnsi="David" w:cs="David" w:hint="cs"/>
          <w:sz w:val="24"/>
          <w:szCs w:val="24"/>
          <w:rtl/>
        </w:rPr>
        <w:t xml:space="preserve">הרשב"א השיב על "בדק הבית" באנונימיות, בסדר שקרא לו "משמרת הבית". בו תקף את הביקורת של הרא"ה וניסה לשמור על ה"בית". </w:t>
      </w:r>
      <w:r w:rsidR="00C52E84" w:rsidRPr="004A5120">
        <w:rPr>
          <w:rFonts w:ascii="David" w:hAnsi="David" w:cs="David" w:hint="cs"/>
          <w:sz w:val="24"/>
          <w:szCs w:val="24"/>
          <w:rtl/>
        </w:rPr>
        <w:t>בעולם ההלכה כיבדו את שלושת החיבורים והדפיסו אותם יחד. דרכו של הרשב"א לא זכתה למעמד הצפוי, ככל הנראה בגלל שכתב על תחום מאד ספציפי בהלכה. רק כעבור 200 שנים דרך זו תחודש ע"י רבי יוסף קארו.</w:t>
      </w:r>
    </w:p>
    <w:p w14:paraId="768A98E2" w14:textId="4714AB15" w:rsidR="00C52E84" w:rsidRDefault="00C52E84" w:rsidP="00566160">
      <w:pPr>
        <w:spacing w:after="0"/>
        <w:jc w:val="both"/>
        <w:rPr>
          <w:rFonts w:ascii="David" w:hAnsi="David" w:cs="David"/>
          <w:sz w:val="24"/>
          <w:szCs w:val="24"/>
          <w:rtl/>
        </w:rPr>
      </w:pPr>
    </w:p>
    <w:p w14:paraId="7EF42AAD" w14:textId="2D9E4257" w:rsidR="00A46A54" w:rsidRPr="00A46A54" w:rsidRDefault="00A46A54" w:rsidP="00A46A54">
      <w:pPr>
        <w:spacing w:after="0"/>
        <w:jc w:val="center"/>
        <w:rPr>
          <w:rFonts w:ascii="David" w:hAnsi="David" w:cs="David"/>
          <w:b/>
          <w:bCs/>
          <w:sz w:val="24"/>
          <w:szCs w:val="24"/>
          <w:rtl/>
        </w:rPr>
      </w:pPr>
      <w:r w:rsidRPr="00A46A54">
        <w:rPr>
          <w:rFonts w:ascii="David" w:hAnsi="David" w:cs="David" w:hint="cs"/>
          <w:b/>
          <w:bCs/>
          <w:sz w:val="24"/>
          <w:szCs w:val="24"/>
          <w:rtl/>
        </w:rPr>
        <w:t>"תורת הבית" (הרשב"א) -&gt; "בדק הבית" (הרא"ה) -&gt; "משמרת הבית" (הרשב"א)</w:t>
      </w:r>
    </w:p>
    <w:p w14:paraId="412BC440" w14:textId="77777777" w:rsidR="00A46A54" w:rsidRPr="004A5120" w:rsidRDefault="00A46A54" w:rsidP="00566160">
      <w:pPr>
        <w:spacing w:after="0"/>
        <w:jc w:val="both"/>
        <w:rPr>
          <w:rFonts w:ascii="David" w:hAnsi="David" w:cs="David"/>
          <w:sz w:val="24"/>
          <w:szCs w:val="24"/>
          <w:rtl/>
        </w:rPr>
      </w:pPr>
    </w:p>
    <w:p w14:paraId="3D58DD4B" w14:textId="2CB2E669" w:rsidR="00C52E84" w:rsidRPr="004A5120" w:rsidRDefault="00C52E84" w:rsidP="00566160">
      <w:pPr>
        <w:spacing w:after="0"/>
        <w:jc w:val="both"/>
        <w:rPr>
          <w:rFonts w:ascii="David" w:hAnsi="David" w:cs="David"/>
          <w:sz w:val="24"/>
          <w:szCs w:val="24"/>
          <w:u w:val="single"/>
          <w:rtl/>
        </w:rPr>
      </w:pPr>
      <w:r w:rsidRPr="004A5120">
        <w:rPr>
          <w:rFonts w:ascii="David" w:hAnsi="David" w:cs="David" w:hint="cs"/>
          <w:sz w:val="24"/>
          <w:szCs w:val="24"/>
          <w:u w:val="single"/>
          <w:rtl/>
        </w:rPr>
        <w:t>ספר הטורים לר' יעקב בר' אשר (בעל הטורים):</w:t>
      </w:r>
    </w:p>
    <w:p w14:paraId="2CA10E5F" w14:textId="77777777" w:rsidR="009565FD" w:rsidRPr="004A5120" w:rsidRDefault="00C52E84" w:rsidP="00566160">
      <w:pPr>
        <w:spacing w:after="0"/>
        <w:jc w:val="both"/>
        <w:rPr>
          <w:rFonts w:ascii="David" w:hAnsi="David" w:cs="David"/>
          <w:sz w:val="24"/>
          <w:szCs w:val="24"/>
          <w:rtl/>
        </w:rPr>
      </w:pPr>
      <w:r w:rsidRPr="004A5120">
        <w:rPr>
          <w:rFonts w:ascii="David" w:hAnsi="David" w:cs="David" w:hint="cs"/>
          <w:sz w:val="24"/>
          <w:szCs w:val="24"/>
          <w:rtl/>
        </w:rPr>
        <w:t xml:space="preserve">דרך חדשה שצלחה הייתה </w:t>
      </w:r>
      <w:r w:rsidR="00260D49" w:rsidRPr="004A5120">
        <w:rPr>
          <w:rFonts w:ascii="David" w:hAnsi="David" w:cs="David" w:hint="cs"/>
          <w:sz w:val="24"/>
          <w:szCs w:val="24"/>
          <w:rtl/>
        </w:rPr>
        <w:t xml:space="preserve">בחיבור ארבעת הטורים לר' יעקב בר' אשר- המכונה בגלל חיבורו "בעל הטורים". </w:t>
      </w:r>
      <w:r w:rsidR="009565FD" w:rsidRPr="004A5120">
        <w:rPr>
          <w:rFonts w:ascii="David" w:hAnsi="David" w:cs="David" w:hint="cs"/>
          <w:sz w:val="24"/>
          <w:szCs w:val="24"/>
          <w:rtl/>
        </w:rPr>
        <w:t xml:space="preserve">(בעל הטורים </w:t>
      </w:r>
      <w:r w:rsidR="009565FD" w:rsidRPr="004A5120">
        <w:rPr>
          <w:rFonts w:ascii="David" w:hAnsi="David" w:cs="David"/>
          <w:sz w:val="24"/>
          <w:szCs w:val="24"/>
          <w:rtl/>
        </w:rPr>
        <w:t>–</w:t>
      </w:r>
      <w:r w:rsidR="009565FD" w:rsidRPr="004A5120">
        <w:rPr>
          <w:rFonts w:ascii="David" w:hAnsi="David" w:cs="David" w:hint="cs"/>
          <w:sz w:val="24"/>
          <w:szCs w:val="24"/>
          <w:rtl/>
        </w:rPr>
        <w:t xml:space="preserve"> בנו של הרא"ש). בעקבות יצירות רבות של בעלי התוספות התעורר שוב צורך בקודי', שתי סיבות: 1. עומס בדיונים וקושי למצוא הלכות. 2. חילוקי דעות רבים בקרב החכמים (במרכזים האשכנזי והספרדי). פסקי הרא"ש היוו חלק מתחילת מלאכת ההכרעה.</w:t>
      </w:r>
    </w:p>
    <w:p w14:paraId="5C4752A5" w14:textId="77777777" w:rsidR="009565FD" w:rsidRPr="004A5120" w:rsidRDefault="009565FD" w:rsidP="00566160">
      <w:pPr>
        <w:spacing w:after="0"/>
        <w:jc w:val="both"/>
        <w:rPr>
          <w:rFonts w:ascii="David" w:hAnsi="David" w:cs="David"/>
          <w:sz w:val="24"/>
          <w:szCs w:val="24"/>
          <w:rtl/>
        </w:rPr>
      </w:pPr>
    </w:p>
    <w:p w14:paraId="663E05B6" w14:textId="0CE567B3" w:rsidR="00C52E84" w:rsidRPr="004A5120" w:rsidRDefault="009565FD" w:rsidP="00566160">
      <w:pPr>
        <w:spacing w:after="0"/>
        <w:jc w:val="both"/>
        <w:rPr>
          <w:rFonts w:ascii="David" w:hAnsi="David" w:cs="David"/>
          <w:sz w:val="24"/>
          <w:szCs w:val="24"/>
          <w:rtl/>
        </w:rPr>
      </w:pPr>
      <w:r w:rsidRPr="004A5120">
        <w:rPr>
          <w:rFonts w:ascii="David" w:hAnsi="David" w:cs="David" w:hint="cs"/>
          <w:sz w:val="24"/>
          <w:szCs w:val="24"/>
          <w:rtl/>
        </w:rPr>
        <w:t>הצורך העיקרי שעלה הוא בקו</w:t>
      </w:r>
      <w:r w:rsidR="00116233">
        <w:rPr>
          <w:rFonts w:ascii="David" w:hAnsi="David" w:cs="David" w:hint="cs"/>
          <w:sz w:val="24"/>
          <w:szCs w:val="24"/>
          <w:rtl/>
        </w:rPr>
        <w:t>ד</w:t>
      </w:r>
      <w:r w:rsidRPr="004A5120">
        <w:rPr>
          <w:rFonts w:ascii="David" w:hAnsi="David" w:cs="David" w:hint="cs"/>
          <w:sz w:val="24"/>
          <w:szCs w:val="24"/>
          <w:rtl/>
        </w:rPr>
        <w:t xml:space="preserve">קס בעניינים משפטיים בהלכה </w:t>
      </w:r>
      <w:r w:rsidRPr="004A5120">
        <w:rPr>
          <w:rFonts w:ascii="David" w:hAnsi="David" w:cs="David"/>
          <w:sz w:val="24"/>
          <w:szCs w:val="24"/>
          <w:rtl/>
        </w:rPr>
        <w:t>–</w:t>
      </w:r>
      <w:r w:rsidRPr="004A5120">
        <w:rPr>
          <w:rFonts w:ascii="David" w:hAnsi="David" w:cs="David" w:hint="cs"/>
          <w:sz w:val="24"/>
          <w:szCs w:val="24"/>
          <w:rtl/>
        </w:rPr>
        <w:t xml:space="preserve"> דיני ממונות, יותר מדיני תפילה וכו'. חילוקי דעות במשפט האזרחי עשויים להוות בעיה היות ומאפשרים טענת </w:t>
      </w:r>
      <w:r w:rsidRPr="006058BF">
        <w:rPr>
          <w:rFonts w:ascii="David" w:hAnsi="David" w:cs="David" w:hint="cs"/>
          <w:b/>
          <w:bCs/>
          <w:sz w:val="24"/>
          <w:szCs w:val="24"/>
          <w:rtl/>
        </w:rPr>
        <w:t>"קים לי".</w:t>
      </w:r>
    </w:p>
    <w:p w14:paraId="1EDB453E" w14:textId="5CFC1D9C" w:rsidR="00006F85" w:rsidRPr="004A5120" w:rsidRDefault="00006F85" w:rsidP="00566160">
      <w:pPr>
        <w:spacing w:after="0"/>
        <w:jc w:val="both"/>
        <w:rPr>
          <w:rFonts w:ascii="David" w:hAnsi="David" w:cs="David"/>
          <w:sz w:val="24"/>
          <w:szCs w:val="24"/>
          <w:rtl/>
        </w:rPr>
      </w:pPr>
    </w:p>
    <w:p w14:paraId="4F08CB74" w14:textId="5F7B3735" w:rsidR="00006F85" w:rsidRPr="004A5120" w:rsidRDefault="00006F85" w:rsidP="00566160">
      <w:pPr>
        <w:spacing w:after="0"/>
        <w:jc w:val="both"/>
        <w:rPr>
          <w:rFonts w:ascii="David" w:hAnsi="David" w:cs="David"/>
          <w:sz w:val="24"/>
          <w:szCs w:val="24"/>
          <w:rtl/>
        </w:rPr>
      </w:pPr>
      <w:r w:rsidRPr="004A5120">
        <w:rPr>
          <w:rFonts w:ascii="David" w:hAnsi="David" w:cs="David" w:hint="cs"/>
          <w:sz w:val="24"/>
          <w:szCs w:val="24"/>
          <w:rtl/>
        </w:rPr>
        <w:t xml:space="preserve">2 משימות בחיבור הספר: להחזיר להלכה את ההכרעה, תוך מציאת הדרך הקודי' הראויה ששומרת על רצף וחיבור למקורות. השתמש בעיקר בפסיקת הרי"ף לקביעת ההלכה. כאשר חכמים אחרים חולקים על הריף, הוא מכריע לפי אביו </w:t>
      </w:r>
      <w:r w:rsidRPr="004A5120">
        <w:rPr>
          <w:rFonts w:ascii="David" w:hAnsi="David" w:cs="David"/>
          <w:sz w:val="24"/>
          <w:szCs w:val="24"/>
          <w:rtl/>
        </w:rPr>
        <w:t>–</w:t>
      </w:r>
      <w:r w:rsidRPr="004A5120">
        <w:rPr>
          <w:rFonts w:ascii="David" w:hAnsi="David" w:cs="David" w:hint="cs"/>
          <w:sz w:val="24"/>
          <w:szCs w:val="24"/>
          <w:rtl/>
        </w:rPr>
        <w:t xml:space="preserve"> הרא"ש: לפי הלכה כבתראי. </w:t>
      </w:r>
    </w:p>
    <w:p w14:paraId="3F652ABB" w14:textId="6B0AD7DE" w:rsidR="000922F9" w:rsidRPr="004A5120" w:rsidRDefault="000922F9" w:rsidP="00CE5DC3">
      <w:pPr>
        <w:tabs>
          <w:tab w:val="left" w:pos="7041"/>
        </w:tabs>
        <w:spacing w:after="0"/>
        <w:jc w:val="both"/>
        <w:rPr>
          <w:rFonts w:ascii="David" w:hAnsi="David" w:cs="David"/>
          <w:sz w:val="24"/>
          <w:szCs w:val="24"/>
          <w:rtl/>
        </w:rPr>
      </w:pPr>
    </w:p>
    <w:p w14:paraId="2F37B4A1" w14:textId="77777777" w:rsidR="00116233" w:rsidRDefault="00116233" w:rsidP="00CE5DC3">
      <w:pPr>
        <w:tabs>
          <w:tab w:val="left" w:pos="7041"/>
        </w:tabs>
        <w:spacing w:after="0"/>
        <w:jc w:val="both"/>
        <w:rPr>
          <w:rFonts w:ascii="David" w:hAnsi="David" w:cs="David"/>
          <w:sz w:val="24"/>
          <w:szCs w:val="24"/>
          <w:rtl/>
        </w:rPr>
      </w:pPr>
    </w:p>
    <w:p w14:paraId="6F539B94" w14:textId="77777777" w:rsidR="00116233" w:rsidRDefault="00116233" w:rsidP="00CE5DC3">
      <w:pPr>
        <w:tabs>
          <w:tab w:val="left" w:pos="7041"/>
        </w:tabs>
        <w:spacing w:after="0"/>
        <w:jc w:val="both"/>
        <w:rPr>
          <w:rFonts w:ascii="David" w:hAnsi="David" w:cs="David"/>
          <w:sz w:val="24"/>
          <w:szCs w:val="24"/>
          <w:rtl/>
        </w:rPr>
      </w:pPr>
    </w:p>
    <w:p w14:paraId="74F7BC37" w14:textId="77777777" w:rsidR="00116233" w:rsidRDefault="00116233" w:rsidP="00CE5DC3">
      <w:pPr>
        <w:tabs>
          <w:tab w:val="left" w:pos="7041"/>
        </w:tabs>
        <w:spacing w:after="0"/>
        <w:jc w:val="both"/>
        <w:rPr>
          <w:rFonts w:ascii="David" w:hAnsi="David" w:cs="David"/>
          <w:sz w:val="24"/>
          <w:szCs w:val="24"/>
          <w:rtl/>
        </w:rPr>
      </w:pPr>
    </w:p>
    <w:p w14:paraId="761AC579" w14:textId="75847134" w:rsidR="002F11C6" w:rsidRPr="004A5120" w:rsidRDefault="00CE5DC3" w:rsidP="00CE5DC3">
      <w:pPr>
        <w:tabs>
          <w:tab w:val="left" w:pos="7041"/>
        </w:tabs>
        <w:spacing w:after="0"/>
        <w:jc w:val="both"/>
        <w:rPr>
          <w:rFonts w:ascii="David" w:hAnsi="David" w:cs="David"/>
          <w:sz w:val="24"/>
          <w:szCs w:val="24"/>
          <w:rtl/>
        </w:rPr>
      </w:pPr>
      <w:r w:rsidRPr="004A5120">
        <w:rPr>
          <w:rFonts w:ascii="David" w:hAnsi="David" w:cs="David" w:hint="cs"/>
          <w:sz w:val="24"/>
          <w:szCs w:val="24"/>
          <w:rtl/>
        </w:rPr>
        <w:t>בספר ישנה תרכובת של הלכות ופסקים, אך שונה מזו של הרשב"א.</w:t>
      </w:r>
    </w:p>
    <w:p w14:paraId="3C61B2C4" w14:textId="2DCB06FC" w:rsidR="002F11C6" w:rsidRPr="004A5120" w:rsidRDefault="00CE5DC3" w:rsidP="002F11C6">
      <w:pPr>
        <w:pStyle w:val="a3"/>
        <w:numPr>
          <w:ilvl w:val="0"/>
          <w:numId w:val="44"/>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 ההלכה מובאת בצורה קצרה וסתמית</w:t>
      </w:r>
      <w:r w:rsidR="002F11C6" w:rsidRPr="004A5120">
        <w:rPr>
          <w:rFonts w:ascii="David" w:hAnsi="David" w:cs="David" w:hint="cs"/>
          <w:sz w:val="24"/>
          <w:szCs w:val="24"/>
          <w:rtl/>
        </w:rPr>
        <w:t>.</w:t>
      </w:r>
    </w:p>
    <w:p w14:paraId="13B51D49" w14:textId="77777777" w:rsidR="002F11C6" w:rsidRPr="004A5120" w:rsidRDefault="00CE5DC3" w:rsidP="002F11C6">
      <w:pPr>
        <w:pStyle w:val="a3"/>
        <w:numPr>
          <w:ilvl w:val="0"/>
          <w:numId w:val="44"/>
        </w:numPr>
        <w:tabs>
          <w:tab w:val="left" w:pos="7041"/>
        </w:tabs>
        <w:spacing w:after="0"/>
        <w:jc w:val="both"/>
        <w:rPr>
          <w:rFonts w:ascii="David" w:hAnsi="David" w:cs="David"/>
          <w:sz w:val="24"/>
          <w:szCs w:val="24"/>
        </w:rPr>
      </w:pPr>
      <w:r w:rsidRPr="004A5120">
        <w:rPr>
          <w:rFonts w:ascii="David" w:hAnsi="David" w:cs="David" w:hint="cs"/>
          <w:sz w:val="24"/>
          <w:szCs w:val="24"/>
          <w:rtl/>
        </w:rPr>
        <w:t>העקרון ההלכתי מופיע בלשון המקור התלמודי בשינויים קלים, מבלי לציין בד"כ את המקור התלמודי.</w:t>
      </w:r>
      <w:r w:rsidR="002F11C6" w:rsidRPr="004A5120">
        <w:rPr>
          <w:rFonts w:ascii="David" w:hAnsi="David" w:cs="David" w:hint="cs"/>
          <w:sz w:val="24"/>
          <w:szCs w:val="24"/>
          <w:rtl/>
        </w:rPr>
        <w:t xml:space="preserve"> </w:t>
      </w:r>
    </w:p>
    <w:p w14:paraId="1A08452E" w14:textId="59608540" w:rsidR="00CE5DC3" w:rsidRPr="004A5120" w:rsidRDefault="002F11C6" w:rsidP="002F11C6">
      <w:pPr>
        <w:pStyle w:val="a3"/>
        <w:numPr>
          <w:ilvl w:val="0"/>
          <w:numId w:val="44"/>
        </w:numPr>
        <w:tabs>
          <w:tab w:val="left" w:pos="7041"/>
        </w:tabs>
        <w:spacing w:after="0"/>
        <w:jc w:val="both"/>
        <w:rPr>
          <w:rFonts w:ascii="David" w:hAnsi="David" w:cs="David"/>
          <w:sz w:val="24"/>
          <w:szCs w:val="24"/>
        </w:rPr>
      </w:pPr>
      <w:r w:rsidRPr="004A5120">
        <w:rPr>
          <w:rFonts w:ascii="David" w:hAnsi="David" w:cs="David" w:hint="cs"/>
          <w:sz w:val="24"/>
          <w:szCs w:val="24"/>
          <w:rtl/>
        </w:rPr>
        <w:t>לאחר מכן מציג דעות שונות נוספות ומכריע ביניהן את הדין, בד"כ קביעה המשתמעת בעקיפין. כנראה מדובר בניסיון לשמור על הצגת ריבוי הדעות, למרות שבסוף הוא הכריע.</w:t>
      </w:r>
    </w:p>
    <w:p w14:paraId="66E4BFFD" w14:textId="5EFC9293" w:rsidR="002F11C6" w:rsidRDefault="002F11C6" w:rsidP="002F11C6">
      <w:pPr>
        <w:tabs>
          <w:tab w:val="left" w:pos="7041"/>
        </w:tabs>
        <w:spacing w:after="0"/>
        <w:jc w:val="both"/>
        <w:rPr>
          <w:rFonts w:ascii="David" w:hAnsi="David" w:cs="David"/>
          <w:sz w:val="24"/>
          <w:szCs w:val="24"/>
          <w:rtl/>
        </w:rPr>
      </w:pPr>
    </w:p>
    <w:p w14:paraId="1A8FF057" w14:textId="07A58846" w:rsidR="00116233" w:rsidRPr="00116233" w:rsidRDefault="00116233" w:rsidP="002F11C6">
      <w:pPr>
        <w:tabs>
          <w:tab w:val="left" w:pos="7041"/>
        </w:tabs>
        <w:spacing w:after="0"/>
        <w:jc w:val="both"/>
        <w:rPr>
          <w:rFonts w:ascii="David" w:hAnsi="David" w:cs="David"/>
          <w:b/>
          <w:bCs/>
          <w:sz w:val="24"/>
          <w:szCs w:val="24"/>
          <w:rtl/>
        </w:rPr>
      </w:pPr>
      <w:r>
        <w:rPr>
          <w:rFonts w:ascii="David" w:hAnsi="David" w:cs="David" w:hint="cs"/>
          <w:sz w:val="24"/>
          <w:szCs w:val="24"/>
          <w:rtl/>
        </w:rPr>
        <w:t>*</w:t>
      </w:r>
      <w:r>
        <w:rPr>
          <w:rFonts w:ascii="David" w:hAnsi="David" w:cs="David" w:hint="cs"/>
          <w:b/>
          <w:bCs/>
          <w:sz w:val="24"/>
          <w:szCs w:val="24"/>
          <w:rtl/>
        </w:rPr>
        <w:t>לכתוב את ההבדלים בין הרשב"א לבעל הטורים.</w:t>
      </w:r>
    </w:p>
    <w:p w14:paraId="6E031FD0" w14:textId="356D2994" w:rsidR="002F11C6" w:rsidRPr="004A5120" w:rsidRDefault="002F11C6" w:rsidP="002F11C6">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בדרך ביניים זו, מצא פתרון קודי': עיקרון יסוד של הלכה סתמית, דעות שונות של חכמים וקביעת הדין. מדובר בדרך שמזכירה מאד את כתיבת המשנה. </w:t>
      </w:r>
    </w:p>
    <w:p w14:paraId="432AE1F2" w14:textId="77777777" w:rsidR="002F11C6" w:rsidRPr="004A5120" w:rsidRDefault="002F11C6" w:rsidP="002F11C6">
      <w:pPr>
        <w:tabs>
          <w:tab w:val="left" w:pos="7041"/>
        </w:tabs>
        <w:spacing w:after="0"/>
        <w:jc w:val="both"/>
        <w:rPr>
          <w:rFonts w:ascii="David" w:hAnsi="David" w:cs="David"/>
          <w:sz w:val="24"/>
          <w:szCs w:val="24"/>
          <w:u w:val="single"/>
          <w:rtl/>
        </w:rPr>
      </w:pPr>
    </w:p>
    <w:p w14:paraId="64F7CC1C" w14:textId="4EAC4DA0" w:rsidR="002F11C6" w:rsidRPr="004A5120" w:rsidRDefault="002F11C6" w:rsidP="002F11C6">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מבנה ספר הטורים וסידורו:</w:t>
      </w:r>
    </w:p>
    <w:p w14:paraId="6BF26F7F" w14:textId="62895925" w:rsidR="002F11C6" w:rsidRPr="004A5120" w:rsidRDefault="002F11C6" w:rsidP="002F11C6">
      <w:pPr>
        <w:tabs>
          <w:tab w:val="left" w:pos="7041"/>
        </w:tabs>
        <w:spacing w:after="0"/>
        <w:jc w:val="both"/>
        <w:rPr>
          <w:rFonts w:ascii="David" w:hAnsi="David" w:cs="David"/>
          <w:sz w:val="24"/>
          <w:szCs w:val="24"/>
          <w:rtl/>
        </w:rPr>
      </w:pPr>
      <w:r w:rsidRPr="004A5120">
        <w:rPr>
          <w:rFonts w:ascii="David" w:hAnsi="David" w:cs="David" w:hint="cs"/>
          <w:sz w:val="24"/>
          <w:szCs w:val="24"/>
          <w:rtl/>
        </w:rPr>
        <w:t>מחולק לנושאים, על מנת להקל בהתמצאות. טור -&gt; הלכות -&gt; סימנים -&gt;סעיפים.</w:t>
      </w:r>
    </w:p>
    <w:p w14:paraId="4A2DBD47" w14:textId="57C328A7" w:rsidR="002F11C6" w:rsidRPr="004A5120" w:rsidRDefault="002F11C6" w:rsidP="002F11C6">
      <w:pPr>
        <w:tabs>
          <w:tab w:val="left" w:pos="7041"/>
        </w:tabs>
        <w:spacing w:after="0"/>
        <w:jc w:val="both"/>
        <w:rPr>
          <w:rFonts w:ascii="David" w:hAnsi="David" w:cs="David"/>
          <w:sz w:val="24"/>
          <w:szCs w:val="24"/>
          <w:rtl/>
        </w:rPr>
      </w:pPr>
    </w:p>
    <w:p w14:paraId="74FB8307" w14:textId="12A507BC" w:rsidR="002F11C6" w:rsidRPr="004A5120" w:rsidRDefault="002F11C6" w:rsidP="002F11C6">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ארבעת הטורים:</w:t>
      </w:r>
    </w:p>
    <w:p w14:paraId="60267FD3" w14:textId="163BC911" w:rsidR="002F11C6" w:rsidRPr="004A5120" w:rsidRDefault="002F11C6" w:rsidP="002F11C6">
      <w:pPr>
        <w:pStyle w:val="a3"/>
        <w:numPr>
          <w:ilvl w:val="0"/>
          <w:numId w:val="45"/>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אורח חיים </w:t>
      </w:r>
      <w:r w:rsidRPr="004A5120">
        <w:rPr>
          <w:rFonts w:ascii="David" w:hAnsi="David" w:cs="David"/>
          <w:sz w:val="24"/>
          <w:szCs w:val="24"/>
          <w:rtl/>
        </w:rPr>
        <w:t>–</w:t>
      </w:r>
      <w:r w:rsidRPr="004A5120">
        <w:rPr>
          <w:rFonts w:ascii="David" w:hAnsi="David" w:cs="David" w:hint="cs"/>
          <w:sz w:val="24"/>
          <w:szCs w:val="24"/>
          <w:rtl/>
        </w:rPr>
        <w:t xml:space="preserve"> הנהגות אדם בחיי היום יום.</w:t>
      </w:r>
    </w:p>
    <w:p w14:paraId="0E9D3EA9" w14:textId="3C71C240" w:rsidR="002F11C6" w:rsidRPr="004A5120" w:rsidRDefault="002F11C6" w:rsidP="002F11C6">
      <w:pPr>
        <w:pStyle w:val="a3"/>
        <w:numPr>
          <w:ilvl w:val="0"/>
          <w:numId w:val="45"/>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יורה דעה </w:t>
      </w:r>
      <w:r w:rsidRPr="004A5120">
        <w:rPr>
          <w:rFonts w:ascii="David" w:hAnsi="David" w:cs="David"/>
          <w:sz w:val="24"/>
          <w:szCs w:val="24"/>
          <w:rtl/>
        </w:rPr>
        <w:t>–</w:t>
      </w:r>
      <w:r w:rsidRPr="004A5120">
        <w:rPr>
          <w:rFonts w:ascii="David" w:hAnsi="David" w:cs="David" w:hint="cs"/>
          <w:sz w:val="24"/>
          <w:szCs w:val="24"/>
          <w:rtl/>
        </w:rPr>
        <w:t xml:space="preserve"> דיני איסור והיתר.</w:t>
      </w:r>
    </w:p>
    <w:p w14:paraId="7335F0A2" w14:textId="20D959C2" w:rsidR="002F11C6" w:rsidRPr="004A5120" w:rsidRDefault="002F11C6" w:rsidP="002F11C6">
      <w:pPr>
        <w:pStyle w:val="a3"/>
        <w:numPr>
          <w:ilvl w:val="0"/>
          <w:numId w:val="45"/>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אבן העזר </w:t>
      </w:r>
      <w:r w:rsidRPr="004A5120">
        <w:rPr>
          <w:rFonts w:ascii="David" w:hAnsi="David" w:cs="David"/>
          <w:sz w:val="24"/>
          <w:szCs w:val="24"/>
          <w:rtl/>
        </w:rPr>
        <w:t>–</w:t>
      </w:r>
      <w:r w:rsidRPr="004A5120">
        <w:rPr>
          <w:rFonts w:ascii="David" w:hAnsi="David" w:cs="David" w:hint="cs"/>
          <w:sz w:val="24"/>
          <w:szCs w:val="24"/>
          <w:rtl/>
        </w:rPr>
        <w:t xml:space="preserve"> דיני משפחה (חלוקה כרונולוגית, נישואין-קידושין-מקרים מיוחדים)</w:t>
      </w:r>
    </w:p>
    <w:p w14:paraId="6194AAE0" w14:textId="469EA34C" w:rsidR="002F11C6" w:rsidRPr="00F37BCC" w:rsidRDefault="002F11C6" w:rsidP="00F37BCC">
      <w:pPr>
        <w:pStyle w:val="a3"/>
        <w:numPr>
          <w:ilvl w:val="0"/>
          <w:numId w:val="45"/>
        </w:num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חושן משפט </w:t>
      </w:r>
      <w:r w:rsidRPr="004A5120">
        <w:rPr>
          <w:rFonts w:ascii="David" w:hAnsi="David" w:cs="David"/>
          <w:sz w:val="24"/>
          <w:szCs w:val="24"/>
          <w:rtl/>
        </w:rPr>
        <w:t>–</w:t>
      </w:r>
      <w:r w:rsidRPr="004A5120">
        <w:rPr>
          <w:rFonts w:ascii="David" w:hAnsi="David" w:cs="David" w:hint="cs"/>
          <w:sz w:val="24"/>
          <w:szCs w:val="24"/>
          <w:rtl/>
        </w:rPr>
        <w:t xml:space="preserve"> המשפט האזרחי. (מתחיל מהרכב מוסדות השיפוט, נזיקין וכו').</w:t>
      </w:r>
    </w:p>
    <w:tbl>
      <w:tblPr>
        <w:tblStyle w:val="ad"/>
        <w:bidiVisual/>
        <w:tblW w:w="10035" w:type="dxa"/>
        <w:jc w:val="center"/>
        <w:tblLayout w:type="fixed"/>
        <w:tblCellMar>
          <w:left w:w="28" w:type="dxa"/>
          <w:right w:w="28" w:type="dxa"/>
        </w:tblCellMar>
        <w:tblLook w:val="04A0" w:firstRow="1" w:lastRow="0" w:firstColumn="1" w:lastColumn="0" w:noHBand="0" w:noVBand="1"/>
      </w:tblPr>
      <w:tblGrid>
        <w:gridCol w:w="15"/>
        <w:gridCol w:w="670"/>
        <w:gridCol w:w="709"/>
        <w:gridCol w:w="1134"/>
        <w:gridCol w:w="1701"/>
        <w:gridCol w:w="986"/>
        <w:gridCol w:w="1276"/>
        <w:gridCol w:w="724"/>
        <w:gridCol w:w="1129"/>
        <w:gridCol w:w="846"/>
        <w:gridCol w:w="845"/>
      </w:tblGrid>
      <w:tr w:rsidR="004A5120" w:rsidRPr="004A5120" w14:paraId="76FEB187" w14:textId="77777777" w:rsidTr="00F37BCC">
        <w:trPr>
          <w:jc w:val="center"/>
        </w:trPr>
        <w:tc>
          <w:tcPr>
            <w:tcW w:w="685" w:type="dxa"/>
            <w:gridSpan w:val="2"/>
          </w:tcPr>
          <w:p w14:paraId="1F6C2EDD" w14:textId="77777777" w:rsidR="002F11C6" w:rsidRPr="004A5120" w:rsidRDefault="002F11C6" w:rsidP="00BC18BA">
            <w:pPr>
              <w:spacing w:line="360" w:lineRule="auto"/>
              <w:rPr>
                <w:rFonts w:ascii="David" w:hAnsi="David" w:cs="David"/>
                <w:sz w:val="20"/>
                <w:szCs w:val="20"/>
                <w:rtl/>
              </w:rPr>
            </w:pPr>
          </w:p>
        </w:tc>
        <w:tc>
          <w:tcPr>
            <w:tcW w:w="709" w:type="dxa"/>
          </w:tcPr>
          <w:p w14:paraId="144EA5CF"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המרדכי:</w:t>
            </w:r>
          </w:p>
        </w:tc>
        <w:tc>
          <w:tcPr>
            <w:tcW w:w="1134" w:type="dxa"/>
          </w:tcPr>
          <w:p w14:paraId="283BC1A7"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הרא"ש:</w:t>
            </w:r>
          </w:p>
        </w:tc>
        <w:tc>
          <w:tcPr>
            <w:tcW w:w="1701" w:type="dxa"/>
          </w:tcPr>
          <w:p w14:paraId="1780FA23"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הרא"ם:</w:t>
            </w:r>
          </w:p>
        </w:tc>
        <w:tc>
          <w:tcPr>
            <w:tcW w:w="986" w:type="dxa"/>
          </w:tcPr>
          <w:p w14:paraId="4A08DBB8"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הסמ"ג:</w:t>
            </w:r>
          </w:p>
        </w:tc>
        <w:tc>
          <w:tcPr>
            <w:tcW w:w="1276" w:type="dxa"/>
          </w:tcPr>
          <w:p w14:paraId="50E1F4D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הסמ"ק:</w:t>
            </w:r>
          </w:p>
        </w:tc>
        <w:tc>
          <w:tcPr>
            <w:tcW w:w="724" w:type="dxa"/>
          </w:tcPr>
          <w:p w14:paraId="077BA60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החינוך:</w:t>
            </w:r>
          </w:p>
        </w:tc>
        <w:tc>
          <w:tcPr>
            <w:tcW w:w="1129" w:type="dxa"/>
          </w:tcPr>
          <w:p w14:paraId="2D9CB83A"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הרשב"א:</w:t>
            </w:r>
          </w:p>
        </w:tc>
        <w:tc>
          <w:tcPr>
            <w:tcW w:w="846" w:type="dxa"/>
          </w:tcPr>
          <w:p w14:paraId="70545B90"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הרא"ה:</w:t>
            </w:r>
          </w:p>
        </w:tc>
        <w:tc>
          <w:tcPr>
            <w:tcW w:w="845" w:type="dxa"/>
          </w:tcPr>
          <w:p w14:paraId="6F49A2F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בעל הטורים</w:t>
            </w:r>
          </w:p>
        </w:tc>
      </w:tr>
      <w:tr w:rsidR="004A5120" w:rsidRPr="004A5120" w14:paraId="6842A17E" w14:textId="77777777" w:rsidTr="00F37BCC">
        <w:trPr>
          <w:gridBefore w:val="1"/>
          <w:wBefore w:w="15" w:type="dxa"/>
          <w:jc w:val="center"/>
        </w:trPr>
        <w:tc>
          <w:tcPr>
            <w:tcW w:w="670" w:type="dxa"/>
          </w:tcPr>
          <w:p w14:paraId="23ED7E5B"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החיבור:  </w:t>
            </w:r>
          </w:p>
        </w:tc>
        <w:tc>
          <w:tcPr>
            <w:tcW w:w="709" w:type="dxa"/>
            <w:vAlign w:val="center"/>
          </w:tcPr>
          <w:p w14:paraId="69153BB4" w14:textId="77777777" w:rsidR="002F11C6" w:rsidRPr="004A5120" w:rsidRDefault="002F11C6" w:rsidP="00BC18BA">
            <w:pPr>
              <w:spacing w:line="360" w:lineRule="auto"/>
              <w:jc w:val="center"/>
              <w:rPr>
                <w:rFonts w:ascii="David" w:hAnsi="David" w:cs="David"/>
                <w:sz w:val="20"/>
                <w:szCs w:val="20"/>
                <w:rtl/>
              </w:rPr>
            </w:pPr>
            <w:r w:rsidRPr="004A5120">
              <w:rPr>
                <w:rFonts w:ascii="David" w:hAnsi="David" w:cs="David" w:hint="cs"/>
                <w:sz w:val="20"/>
                <w:szCs w:val="20"/>
                <w:rtl/>
              </w:rPr>
              <w:t>ספר המרדכי</w:t>
            </w:r>
          </w:p>
        </w:tc>
        <w:tc>
          <w:tcPr>
            <w:tcW w:w="1134" w:type="dxa"/>
          </w:tcPr>
          <w:p w14:paraId="6EA04FA4"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פסקי הרא"ש</w:t>
            </w:r>
          </w:p>
        </w:tc>
        <w:tc>
          <w:tcPr>
            <w:tcW w:w="1701" w:type="dxa"/>
          </w:tcPr>
          <w:p w14:paraId="171C2BF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יראים</w:t>
            </w:r>
          </w:p>
        </w:tc>
        <w:tc>
          <w:tcPr>
            <w:tcW w:w="986" w:type="dxa"/>
          </w:tcPr>
          <w:p w14:paraId="2ECF26B4"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מצוות גדול</w:t>
            </w:r>
          </w:p>
        </w:tc>
        <w:tc>
          <w:tcPr>
            <w:tcW w:w="1276" w:type="dxa"/>
          </w:tcPr>
          <w:p w14:paraId="5C0C92EB"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עמודי גולה</w:t>
            </w:r>
          </w:p>
        </w:tc>
        <w:tc>
          <w:tcPr>
            <w:tcW w:w="724" w:type="dxa"/>
          </w:tcPr>
          <w:p w14:paraId="696D1EC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החינוך</w:t>
            </w:r>
          </w:p>
        </w:tc>
        <w:tc>
          <w:tcPr>
            <w:tcW w:w="1129" w:type="dxa"/>
          </w:tcPr>
          <w:p w14:paraId="1A43B21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תורת הבית הקצר+הארוך </w:t>
            </w:r>
          </w:p>
        </w:tc>
        <w:tc>
          <w:tcPr>
            <w:tcW w:w="846" w:type="dxa"/>
          </w:tcPr>
          <w:p w14:paraId="3213A30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בדק הבית+ משמרת הבית </w:t>
            </w:r>
          </w:p>
        </w:tc>
        <w:tc>
          <w:tcPr>
            <w:tcW w:w="845" w:type="dxa"/>
          </w:tcPr>
          <w:p w14:paraId="3661FD63"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4 הטורים </w:t>
            </w:r>
          </w:p>
        </w:tc>
      </w:tr>
      <w:tr w:rsidR="004A5120" w:rsidRPr="004A5120" w14:paraId="3B9BEC3B" w14:textId="77777777" w:rsidTr="00F37BCC">
        <w:trPr>
          <w:gridBefore w:val="1"/>
          <w:wBefore w:w="15" w:type="dxa"/>
          <w:jc w:val="center"/>
        </w:trPr>
        <w:tc>
          <w:tcPr>
            <w:tcW w:w="670" w:type="dxa"/>
          </w:tcPr>
          <w:p w14:paraId="5F3A5981"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מסודר לפי:</w:t>
            </w:r>
            <w:r w:rsidRPr="004A5120">
              <w:rPr>
                <w:rFonts w:ascii="David" w:hAnsi="David" w:cs="David" w:hint="cs"/>
                <w:sz w:val="20"/>
                <w:szCs w:val="20"/>
              </w:rPr>
              <w:t xml:space="preserve"> </w:t>
            </w:r>
          </w:p>
        </w:tc>
        <w:tc>
          <w:tcPr>
            <w:tcW w:w="709" w:type="dxa"/>
          </w:tcPr>
          <w:p w14:paraId="5C8897E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סדר ההלכות של הרי"ף= סדר המסכתות בתלמוד </w:t>
            </w:r>
          </w:p>
        </w:tc>
        <w:tc>
          <w:tcPr>
            <w:tcW w:w="1134" w:type="dxa"/>
          </w:tcPr>
          <w:p w14:paraId="7F397F24"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סדר ההלכות של הרי"ף= סדר המסכתות בתלמוד </w:t>
            </w:r>
          </w:p>
        </w:tc>
        <w:tc>
          <w:tcPr>
            <w:tcW w:w="1701" w:type="dxa"/>
          </w:tcPr>
          <w:p w14:paraId="5BCF87A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מניין מצוות- חלוקה לנושאים (עמודים) כל מצווה מופיעה עם הפסוק מהתורה. </w:t>
            </w:r>
          </w:p>
        </w:tc>
        <w:tc>
          <w:tcPr>
            <w:tcW w:w="986" w:type="dxa"/>
          </w:tcPr>
          <w:p w14:paraId="439504F0"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סדר העניינים במשנה תורה. </w:t>
            </w:r>
          </w:p>
        </w:tc>
        <w:tc>
          <w:tcPr>
            <w:tcW w:w="1276" w:type="dxa"/>
          </w:tcPr>
          <w:p w14:paraId="46EB462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7 חלקים כנגד 7 ימים בשבוע- מחולק לפי נימוקים שונים. </w:t>
            </w:r>
          </w:p>
        </w:tc>
        <w:tc>
          <w:tcPr>
            <w:tcW w:w="724" w:type="dxa"/>
          </w:tcPr>
          <w:p w14:paraId="4AEF0D4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סדר הפרשות בתורה </w:t>
            </w:r>
          </w:p>
        </w:tc>
        <w:tc>
          <w:tcPr>
            <w:tcW w:w="1129" w:type="dxa"/>
          </w:tcPr>
          <w:p w14:paraId="4FDD1EBB"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עוסק רק באיסור והיתר</w:t>
            </w:r>
          </w:p>
        </w:tc>
        <w:tc>
          <w:tcPr>
            <w:tcW w:w="846" w:type="dxa"/>
          </w:tcPr>
          <w:p w14:paraId="70F0BFC7"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הערות על הרשב"א </w:t>
            </w:r>
          </w:p>
        </w:tc>
        <w:tc>
          <w:tcPr>
            <w:tcW w:w="845" w:type="dxa"/>
          </w:tcPr>
          <w:p w14:paraId="5EFA18F2"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לפי נושאים</w:t>
            </w:r>
          </w:p>
        </w:tc>
      </w:tr>
      <w:tr w:rsidR="004A5120" w:rsidRPr="004A5120" w14:paraId="2B4E5649" w14:textId="77777777" w:rsidTr="00F37BCC">
        <w:trPr>
          <w:gridBefore w:val="1"/>
          <w:wBefore w:w="15" w:type="dxa"/>
          <w:jc w:val="center"/>
        </w:trPr>
        <w:tc>
          <w:tcPr>
            <w:tcW w:w="670" w:type="dxa"/>
          </w:tcPr>
          <w:p w14:paraId="67C277FC"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תוכן:</w:t>
            </w:r>
          </w:p>
        </w:tc>
        <w:tc>
          <w:tcPr>
            <w:tcW w:w="709" w:type="dxa"/>
          </w:tcPr>
          <w:p w14:paraId="2A81F59C"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תוספות אשכנז על הרי"ף-אוסף מקורות, הצגת דעות בלי דיון </w:t>
            </w:r>
            <w:r w:rsidRPr="004A5120">
              <w:rPr>
                <w:rFonts w:ascii="David" w:hAnsi="David" w:cs="David" w:hint="cs"/>
                <w:sz w:val="20"/>
                <w:szCs w:val="20"/>
                <w:rtl/>
              </w:rPr>
              <w:lastRenderedPageBreak/>
              <w:t>והכרעה ישירה.</w:t>
            </w:r>
          </w:p>
        </w:tc>
        <w:tc>
          <w:tcPr>
            <w:tcW w:w="1134" w:type="dxa"/>
          </w:tcPr>
          <w:p w14:paraId="56B82D33"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lastRenderedPageBreak/>
              <w:t>לשון הרי"ף+מו"מ הלכתי+ הכרעה בין אשכנז לספרד.</w:t>
            </w:r>
          </w:p>
        </w:tc>
        <w:tc>
          <w:tcPr>
            <w:tcW w:w="1701" w:type="dxa"/>
          </w:tcPr>
          <w:p w14:paraId="72AADAF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הדרכה לקיום מצוות.</w:t>
            </w:r>
          </w:p>
          <w:p w14:paraId="1F9EFC9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תורה+תלמוד+חכמים+פסיקה </w:t>
            </w:r>
          </w:p>
        </w:tc>
        <w:tc>
          <w:tcPr>
            <w:tcW w:w="986" w:type="dxa"/>
          </w:tcPr>
          <w:p w14:paraId="314DE69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חלוקה למצוות עשה ולא תעשה.</w:t>
            </w:r>
          </w:p>
          <w:p w14:paraId="1493A9EA"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תורה+מדרש+תלמוד+ חכמים+ אגדה ומוסר+ פסיקה.</w:t>
            </w:r>
          </w:p>
        </w:tc>
        <w:tc>
          <w:tcPr>
            <w:tcW w:w="1276" w:type="dxa"/>
          </w:tcPr>
          <w:p w14:paraId="7FEA29E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הלכה תלמודית וקצת דעו חכמים</w:t>
            </w:r>
          </w:p>
        </w:tc>
        <w:tc>
          <w:tcPr>
            <w:tcW w:w="724" w:type="dxa"/>
          </w:tcPr>
          <w:p w14:paraId="55578AF1"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w:t>
            </w:r>
          </w:p>
        </w:tc>
        <w:tc>
          <w:tcPr>
            <w:tcW w:w="1129" w:type="dxa"/>
          </w:tcPr>
          <w:p w14:paraId="1A7A2694"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ארוך-דיון מקורות תלמודיים</w:t>
            </w:r>
          </w:p>
          <w:p w14:paraId="5B26CC3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קצר-פסיקת הלכת סתמית</w:t>
            </w:r>
          </w:p>
        </w:tc>
        <w:tc>
          <w:tcPr>
            <w:tcW w:w="846" w:type="dxa"/>
          </w:tcPr>
          <w:p w14:paraId="7A761D2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הערות על הרשב"א </w:t>
            </w:r>
          </w:p>
        </w:tc>
        <w:tc>
          <w:tcPr>
            <w:tcW w:w="845" w:type="dxa"/>
          </w:tcPr>
          <w:p w14:paraId="2048FE3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הלכה סתמית+דעות גאונים/ראשונים בשמותיהם+ פסיקה</w:t>
            </w:r>
          </w:p>
        </w:tc>
      </w:tr>
      <w:tr w:rsidR="004A5120" w:rsidRPr="004A5120" w14:paraId="07F97C94" w14:textId="77777777" w:rsidTr="00F37BCC">
        <w:trPr>
          <w:gridBefore w:val="1"/>
          <w:wBefore w:w="15" w:type="dxa"/>
          <w:jc w:val="center"/>
        </w:trPr>
        <w:tc>
          <w:tcPr>
            <w:tcW w:w="670" w:type="dxa"/>
          </w:tcPr>
          <w:p w14:paraId="7750E61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מה מיוחד בו:</w:t>
            </w:r>
          </w:p>
        </w:tc>
        <w:tc>
          <w:tcPr>
            <w:tcW w:w="709" w:type="dxa"/>
          </w:tcPr>
          <w:p w14:paraId="7598DE31" w14:textId="77777777" w:rsidR="002F11C6" w:rsidRPr="004A5120" w:rsidRDefault="002F11C6" w:rsidP="00BC18BA">
            <w:pPr>
              <w:spacing w:line="360" w:lineRule="auto"/>
              <w:rPr>
                <w:rFonts w:ascii="David" w:hAnsi="David" w:cs="David"/>
                <w:sz w:val="20"/>
                <w:szCs w:val="20"/>
                <w:rtl/>
              </w:rPr>
            </w:pPr>
          </w:p>
        </w:tc>
        <w:tc>
          <w:tcPr>
            <w:tcW w:w="1134" w:type="dxa"/>
          </w:tcPr>
          <w:p w14:paraId="04910127"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עצמאות בפסיקה- פרשן</w:t>
            </w:r>
          </w:p>
        </w:tc>
        <w:tc>
          <w:tcPr>
            <w:tcW w:w="1701" w:type="dxa"/>
          </w:tcPr>
          <w:p w14:paraId="49E5F8AE"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סידור מקשה ומבלבל</w:t>
            </w:r>
          </w:p>
        </w:tc>
        <w:tc>
          <w:tcPr>
            <w:tcW w:w="986" w:type="dxa"/>
          </w:tcPr>
          <w:p w14:paraId="1681F7F1"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פוסק בניגוד לרמב"ם, פסיקה אשכנזית. </w:t>
            </w:r>
          </w:p>
          <w:p w14:paraId="13118C08" w14:textId="77777777" w:rsidR="002F11C6" w:rsidRPr="004A5120" w:rsidRDefault="002F11C6" w:rsidP="00BC18BA">
            <w:pPr>
              <w:spacing w:line="360" w:lineRule="auto"/>
              <w:rPr>
                <w:rFonts w:ascii="David" w:hAnsi="David" w:cs="David"/>
                <w:sz w:val="20"/>
                <w:szCs w:val="20"/>
                <w:rtl/>
              </w:rPr>
            </w:pPr>
          </w:p>
          <w:p w14:paraId="2335BA38"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הוא חלק מבעלי התוספות. </w:t>
            </w:r>
          </w:p>
          <w:p w14:paraId="5F35A95E" w14:textId="77777777" w:rsidR="002F11C6" w:rsidRPr="004A5120" w:rsidRDefault="002F11C6" w:rsidP="00BC18BA">
            <w:pPr>
              <w:spacing w:line="360" w:lineRule="auto"/>
              <w:rPr>
                <w:rFonts w:ascii="David" w:hAnsi="David" w:cs="David"/>
                <w:sz w:val="20"/>
                <w:szCs w:val="20"/>
                <w:rtl/>
              </w:rPr>
            </w:pPr>
          </w:p>
        </w:tc>
        <w:tc>
          <w:tcPr>
            <w:tcW w:w="1276" w:type="dxa"/>
          </w:tcPr>
          <w:p w14:paraId="28AF6FBD"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פק"ל מצוות- נועד לפשוטי העם.</w:t>
            </w:r>
          </w:p>
          <w:p w14:paraId="6D5E7169"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נלמד בסמוך לסמ"ג.</w:t>
            </w:r>
          </w:p>
        </w:tc>
        <w:tc>
          <w:tcPr>
            <w:tcW w:w="724" w:type="dxa"/>
          </w:tcPr>
          <w:p w14:paraId="5B31BB7C"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מניין המצוות- והרחבה עליהן </w:t>
            </w:r>
          </w:p>
        </w:tc>
        <w:tc>
          <w:tcPr>
            <w:tcW w:w="1129" w:type="dxa"/>
          </w:tcPr>
          <w:p w14:paraId="1DF2651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פיתרון לבעיית הקודיפיאקטיביות </w:t>
            </w:r>
          </w:p>
        </w:tc>
        <w:tc>
          <w:tcPr>
            <w:tcW w:w="846" w:type="dxa"/>
          </w:tcPr>
          <w:p w14:paraId="771C92B8" w14:textId="77777777" w:rsidR="002F11C6" w:rsidRPr="004A5120" w:rsidRDefault="002F11C6" w:rsidP="00BC18BA">
            <w:pPr>
              <w:spacing w:line="360" w:lineRule="auto"/>
              <w:rPr>
                <w:rFonts w:ascii="David" w:hAnsi="David" w:cs="David"/>
                <w:sz w:val="20"/>
                <w:szCs w:val="20"/>
                <w:rtl/>
              </w:rPr>
            </w:pPr>
          </w:p>
        </w:tc>
        <w:tc>
          <w:tcPr>
            <w:tcW w:w="845" w:type="dxa"/>
          </w:tcPr>
          <w:p w14:paraId="1E35909C"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דומה לדרכו של רבי במשנה- פיתרון קודיפיאקטיבי </w:t>
            </w:r>
          </w:p>
        </w:tc>
      </w:tr>
      <w:tr w:rsidR="002F11C6" w:rsidRPr="004A5120" w14:paraId="5FBA68A1" w14:textId="77777777" w:rsidTr="00F37BCC">
        <w:trPr>
          <w:gridBefore w:val="1"/>
          <w:wBefore w:w="15" w:type="dxa"/>
          <w:trHeight w:val="60"/>
          <w:jc w:val="center"/>
        </w:trPr>
        <w:tc>
          <w:tcPr>
            <w:tcW w:w="670" w:type="dxa"/>
          </w:tcPr>
          <w:p w14:paraId="092CED52"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שיוך:</w:t>
            </w:r>
          </w:p>
        </w:tc>
        <w:tc>
          <w:tcPr>
            <w:tcW w:w="709" w:type="dxa"/>
          </w:tcPr>
          <w:p w14:paraId="1B991512" w14:textId="77777777" w:rsidR="002F11C6" w:rsidRPr="004A5120" w:rsidRDefault="002F11C6" w:rsidP="00BC18BA">
            <w:pPr>
              <w:spacing w:line="360" w:lineRule="auto"/>
              <w:rPr>
                <w:rFonts w:ascii="David" w:hAnsi="David" w:cs="David"/>
                <w:sz w:val="20"/>
                <w:szCs w:val="20"/>
                <w:rtl/>
              </w:rPr>
            </w:pPr>
          </w:p>
        </w:tc>
        <w:tc>
          <w:tcPr>
            <w:tcW w:w="1134" w:type="dxa"/>
          </w:tcPr>
          <w:p w14:paraId="5ACA0271" w14:textId="77777777" w:rsidR="002F11C6" w:rsidRPr="004A5120" w:rsidRDefault="002F11C6" w:rsidP="00BC18BA">
            <w:pPr>
              <w:spacing w:line="360" w:lineRule="auto"/>
              <w:rPr>
                <w:rFonts w:ascii="David" w:hAnsi="David" w:cs="David"/>
                <w:sz w:val="20"/>
                <w:szCs w:val="20"/>
                <w:rtl/>
              </w:rPr>
            </w:pPr>
          </w:p>
        </w:tc>
        <w:tc>
          <w:tcPr>
            <w:tcW w:w="1701" w:type="dxa"/>
          </w:tcPr>
          <w:p w14:paraId="12CC9E04"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ספר הלכות </w:t>
            </w:r>
          </w:p>
        </w:tc>
        <w:tc>
          <w:tcPr>
            <w:tcW w:w="986" w:type="dxa"/>
          </w:tcPr>
          <w:p w14:paraId="4ED6C7AF"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הלכות</w:t>
            </w:r>
          </w:p>
        </w:tc>
        <w:tc>
          <w:tcPr>
            <w:tcW w:w="1276" w:type="dxa"/>
          </w:tcPr>
          <w:p w14:paraId="20B76250"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ספר פסקים </w:t>
            </w:r>
          </w:p>
        </w:tc>
        <w:tc>
          <w:tcPr>
            <w:tcW w:w="724" w:type="dxa"/>
          </w:tcPr>
          <w:p w14:paraId="36435375"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ספר הלכות </w:t>
            </w:r>
          </w:p>
        </w:tc>
        <w:tc>
          <w:tcPr>
            <w:tcW w:w="1129" w:type="dxa"/>
          </w:tcPr>
          <w:p w14:paraId="4FE5726A"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ארוך- הלכות</w:t>
            </w:r>
          </w:p>
          <w:p w14:paraId="30632E37"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 xml:space="preserve">קצר- פסקים </w:t>
            </w:r>
          </w:p>
        </w:tc>
        <w:tc>
          <w:tcPr>
            <w:tcW w:w="846" w:type="dxa"/>
          </w:tcPr>
          <w:p w14:paraId="67F0C86C" w14:textId="77777777" w:rsidR="002F11C6" w:rsidRPr="004A5120" w:rsidRDefault="002F11C6" w:rsidP="00BC18BA">
            <w:pPr>
              <w:spacing w:line="360" w:lineRule="auto"/>
              <w:rPr>
                <w:rFonts w:ascii="David" w:hAnsi="David" w:cs="David"/>
                <w:sz w:val="20"/>
                <w:szCs w:val="20"/>
                <w:rtl/>
              </w:rPr>
            </w:pPr>
          </w:p>
        </w:tc>
        <w:tc>
          <w:tcPr>
            <w:tcW w:w="845" w:type="dxa"/>
          </w:tcPr>
          <w:p w14:paraId="1B45CC46" w14:textId="77777777" w:rsidR="002F11C6" w:rsidRPr="004A5120" w:rsidRDefault="002F11C6" w:rsidP="00BC18BA">
            <w:pPr>
              <w:spacing w:line="360" w:lineRule="auto"/>
              <w:rPr>
                <w:rFonts w:ascii="David" w:hAnsi="David" w:cs="David"/>
                <w:sz w:val="20"/>
                <w:szCs w:val="20"/>
                <w:rtl/>
              </w:rPr>
            </w:pPr>
            <w:r w:rsidRPr="004A5120">
              <w:rPr>
                <w:rFonts w:ascii="David" w:hAnsi="David" w:cs="David" w:hint="cs"/>
                <w:sz w:val="20"/>
                <w:szCs w:val="20"/>
                <w:rtl/>
              </w:rPr>
              <w:t>ספר הלכות+פסקים</w:t>
            </w:r>
          </w:p>
        </w:tc>
      </w:tr>
    </w:tbl>
    <w:p w14:paraId="0D4CC21B" w14:textId="77777777" w:rsidR="002F11C6" w:rsidRPr="004A5120" w:rsidRDefault="002F11C6" w:rsidP="002F11C6">
      <w:pPr>
        <w:spacing w:line="360" w:lineRule="auto"/>
        <w:rPr>
          <w:rFonts w:ascii="David" w:hAnsi="David" w:cs="David"/>
          <w:sz w:val="20"/>
          <w:szCs w:val="20"/>
          <w:rtl/>
        </w:rPr>
      </w:pPr>
    </w:p>
    <w:p w14:paraId="16439B5B" w14:textId="2BB729A2" w:rsidR="002F11C6" w:rsidRPr="00D606EF" w:rsidRDefault="00BA2542" w:rsidP="00D606EF">
      <w:pPr>
        <w:tabs>
          <w:tab w:val="left" w:pos="7041"/>
        </w:tabs>
        <w:spacing w:after="0"/>
        <w:jc w:val="center"/>
        <w:rPr>
          <w:rFonts w:ascii="David" w:hAnsi="David" w:cs="David"/>
          <w:b/>
          <w:bCs/>
          <w:sz w:val="28"/>
          <w:szCs w:val="28"/>
          <w:u w:val="single"/>
          <w:rtl/>
        </w:rPr>
      </w:pPr>
      <w:r w:rsidRPr="00D606EF">
        <w:rPr>
          <w:rFonts w:ascii="David" w:hAnsi="David" w:cs="David" w:hint="cs"/>
          <w:b/>
          <w:bCs/>
          <w:sz w:val="28"/>
          <w:szCs w:val="28"/>
          <w:u w:val="single"/>
          <w:rtl/>
        </w:rPr>
        <w:t>סיכום קובץ 7:</w:t>
      </w:r>
    </w:p>
    <w:p w14:paraId="2CC4EAA5" w14:textId="0F669ABC" w:rsidR="00BA2542" w:rsidRPr="004A5120" w:rsidRDefault="00BA2542" w:rsidP="002F11C6">
      <w:pPr>
        <w:tabs>
          <w:tab w:val="left" w:pos="7041"/>
        </w:tabs>
        <w:spacing w:after="0"/>
        <w:jc w:val="both"/>
        <w:rPr>
          <w:rFonts w:ascii="David" w:hAnsi="David" w:cs="David"/>
          <w:b/>
          <w:bCs/>
          <w:sz w:val="24"/>
          <w:szCs w:val="24"/>
          <w:rtl/>
        </w:rPr>
      </w:pPr>
    </w:p>
    <w:p w14:paraId="6E4AD4D8" w14:textId="674B697B" w:rsidR="00771982" w:rsidRPr="004A5120" w:rsidRDefault="00771982" w:rsidP="002F11C6">
      <w:pPr>
        <w:tabs>
          <w:tab w:val="left" w:pos="7041"/>
        </w:tabs>
        <w:spacing w:after="0"/>
        <w:jc w:val="both"/>
        <w:rPr>
          <w:rFonts w:ascii="David" w:hAnsi="David" w:cs="David"/>
          <w:b/>
          <w:bCs/>
          <w:sz w:val="24"/>
          <w:szCs w:val="24"/>
          <w:u w:val="single"/>
          <w:rtl/>
        </w:rPr>
      </w:pPr>
      <w:r w:rsidRPr="004A5120">
        <w:rPr>
          <w:rFonts w:ascii="David" w:hAnsi="David" w:cs="David" w:hint="cs"/>
          <w:b/>
          <w:bCs/>
          <w:sz w:val="24"/>
          <w:szCs w:val="24"/>
          <w:u w:val="single"/>
          <w:rtl/>
        </w:rPr>
        <w:t>רבי יוסף קארו:</w:t>
      </w:r>
    </w:p>
    <w:p w14:paraId="531A8952" w14:textId="77777777" w:rsidR="00771982" w:rsidRPr="004A5120" w:rsidRDefault="00771982" w:rsidP="002F11C6">
      <w:pPr>
        <w:tabs>
          <w:tab w:val="left" w:pos="7041"/>
        </w:tabs>
        <w:spacing w:after="0"/>
        <w:jc w:val="both"/>
        <w:rPr>
          <w:rFonts w:ascii="David" w:hAnsi="David" w:cs="David"/>
          <w:b/>
          <w:bCs/>
          <w:sz w:val="24"/>
          <w:szCs w:val="24"/>
          <w:u w:val="single"/>
          <w:rtl/>
        </w:rPr>
      </w:pPr>
    </w:p>
    <w:p w14:paraId="247D5F52" w14:textId="64619A3A" w:rsidR="00BA2542" w:rsidRPr="004A5120" w:rsidRDefault="00BA2542" w:rsidP="002F11C6">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המציאות ההיסטורית והפנים הלכתית:</w:t>
      </w:r>
    </w:p>
    <w:p w14:paraId="7B194224" w14:textId="125DFF82" w:rsidR="00BA2542" w:rsidRPr="004A5120" w:rsidRDefault="00BA2542" w:rsidP="002F11C6">
      <w:pPr>
        <w:tabs>
          <w:tab w:val="left" w:pos="7041"/>
        </w:tabs>
        <w:spacing w:after="0"/>
        <w:jc w:val="both"/>
        <w:rPr>
          <w:rFonts w:ascii="David" w:hAnsi="David" w:cs="David"/>
          <w:sz w:val="24"/>
          <w:szCs w:val="24"/>
          <w:rtl/>
        </w:rPr>
      </w:pPr>
    </w:p>
    <w:p w14:paraId="3B1FD1DA" w14:textId="4B6081B6" w:rsidR="00BA2542" w:rsidRPr="004A5120" w:rsidRDefault="00BA2542" w:rsidP="002F11C6">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בין בעל הטורים ליוסף קארו קרו אירועים מהותיים היסטורית: </w:t>
      </w:r>
      <w:r w:rsidR="00771982" w:rsidRPr="004A5120">
        <w:rPr>
          <w:rFonts w:ascii="David" w:hAnsi="David" w:cs="David" w:hint="cs"/>
          <w:sz w:val="24"/>
          <w:szCs w:val="24"/>
          <w:rtl/>
        </w:rPr>
        <w:t xml:space="preserve">מרכזים יהודיים קמו ונפלו באשכנז ובספרד בעקבות פרעות וגירושים שונים. תנודות אלו יצרו תופעות חברתיות והלכתיות </w:t>
      </w:r>
      <w:r w:rsidR="00771982" w:rsidRPr="004A5120">
        <w:rPr>
          <w:rFonts w:ascii="David" w:hAnsi="David" w:cs="David"/>
          <w:sz w:val="24"/>
          <w:szCs w:val="24"/>
          <w:rtl/>
        </w:rPr>
        <w:t>–</w:t>
      </w:r>
      <w:r w:rsidR="00771982" w:rsidRPr="004A5120">
        <w:rPr>
          <w:rFonts w:ascii="David" w:hAnsi="David" w:cs="David" w:hint="cs"/>
          <w:sz w:val="24"/>
          <w:szCs w:val="24"/>
          <w:rtl/>
        </w:rPr>
        <w:t xml:space="preserve"> התעוררה כמיהה לגאולה ולחזרתה של סמכות הלכתית עליונה שתלכד את העם. אחד הביטויים לכמיהה זו היה חידוש פעולות הסמיכה (הסמכת חכמים\דיינים). בעקבות הנדודים נוצרו בעיות הלכתיות וניגודי מנהגים, מה שגרם להתרחבות ספרות השו"ת, התקנת תקנו</w:t>
      </w:r>
      <w:r w:rsidR="006C0DE5">
        <w:rPr>
          <w:rFonts w:ascii="David" w:hAnsi="David" w:cs="David" w:hint="cs"/>
          <w:sz w:val="24"/>
          <w:szCs w:val="24"/>
          <w:rtl/>
        </w:rPr>
        <w:t>ת</w:t>
      </w:r>
      <w:r w:rsidR="00771982" w:rsidRPr="004A5120">
        <w:rPr>
          <w:rFonts w:ascii="David" w:hAnsi="David" w:cs="David" w:hint="cs"/>
          <w:sz w:val="24"/>
          <w:szCs w:val="24"/>
          <w:rtl/>
        </w:rPr>
        <w:t xml:space="preserve"> וחיבור ספרי הלכות ופסקים. שוב, יותר ספרים </w:t>
      </w:r>
      <w:r w:rsidR="00771982" w:rsidRPr="004A5120">
        <w:rPr>
          <w:rFonts w:ascii="David" w:hAnsi="David" w:cs="David"/>
          <w:sz w:val="24"/>
          <w:szCs w:val="24"/>
          <w:rtl/>
        </w:rPr>
        <w:t>–</w:t>
      </w:r>
      <w:r w:rsidR="00771982" w:rsidRPr="004A5120">
        <w:rPr>
          <w:rFonts w:ascii="David" w:hAnsi="David" w:cs="David" w:hint="cs"/>
          <w:sz w:val="24"/>
          <w:szCs w:val="24"/>
          <w:rtl/>
        </w:rPr>
        <w:t xml:space="preserve"> יותר קשה להתמצא. בהקדמה ל"בית יוסף", כותב רב יוסף קארו: "כי לא נעשית התורה כשתי תורות אלא כתורות אין מספר".</w:t>
      </w:r>
    </w:p>
    <w:p w14:paraId="3D75EE85" w14:textId="704C4A71" w:rsidR="00771982" w:rsidRPr="004A5120" w:rsidRDefault="00771982" w:rsidP="002F11C6">
      <w:pPr>
        <w:tabs>
          <w:tab w:val="left" w:pos="7041"/>
        </w:tabs>
        <w:spacing w:after="0"/>
        <w:jc w:val="both"/>
        <w:rPr>
          <w:rFonts w:ascii="David" w:hAnsi="David" w:cs="David"/>
          <w:sz w:val="24"/>
          <w:szCs w:val="24"/>
          <w:rtl/>
        </w:rPr>
      </w:pPr>
    </w:p>
    <w:p w14:paraId="39D0C0FF" w14:textId="00DD9492" w:rsidR="00771982" w:rsidRPr="004A5120" w:rsidRDefault="00771982" w:rsidP="002F11C6">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 xml:space="preserve">קודקס המורכב משניים </w:t>
      </w:r>
      <w:r w:rsidRPr="004A5120">
        <w:rPr>
          <w:rFonts w:ascii="David" w:hAnsi="David" w:cs="David"/>
          <w:sz w:val="24"/>
          <w:szCs w:val="24"/>
          <w:u w:val="single"/>
          <w:rtl/>
        </w:rPr>
        <w:t>–</w:t>
      </w:r>
      <w:r w:rsidRPr="004A5120">
        <w:rPr>
          <w:rFonts w:ascii="David" w:hAnsi="David" w:cs="David" w:hint="cs"/>
          <w:sz w:val="24"/>
          <w:szCs w:val="24"/>
          <w:u w:val="single"/>
          <w:rtl/>
        </w:rPr>
        <w:t xml:space="preserve"> ספר הלכות וספר פסקים:</w:t>
      </w:r>
    </w:p>
    <w:p w14:paraId="2687E6D6" w14:textId="59C24D35" w:rsidR="00771982" w:rsidRPr="004A5120" w:rsidRDefault="00771982" w:rsidP="002F11C6">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כמו שהרמב"ם רצה לעשות עם </w:t>
      </w:r>
      <w:r w:rsidR="006C0DE5">
        <w:rPr>
          <w:rFonts w:ascii="David" w:hAnsi="David" w:cs="David" w:hint="cs"/>
          <w:sz w:val="24"/>
          <w:szCs w:val="24"/>
          <w:rtl/>
        </w:rPr>
        <w:t>"</w:t>
      </w:r>
      <w:r w:rsidRPr="004A5120">
        <w:rPr>
          <w:rFonts w:ascii="David" w:hAnsi="David" w:cs="David" w:hint="cs"/>
          <w:sz w:val="24"/>
          <w:szCs w:val="24"/>
          <w:rtl/>
        </w:rPr>
        <w:t>משנה תורה</w:t>
      </w:r>
      <w:r w:rsidR="006C0DE5">
        <w:rPr>
          <w:rFonts w:ascii="David" w:hAnsi="David" w:cs="David" w:hint="cs"/>
          <w:sz w:val="24"/>
          <w:szCs w:val="24"/>
          <w:rtl/>
        </w:rPr>
        <w:t>"</w:t>
      </w:r>
      <w:r w:rsidRPr="004A5120">
        <w:rPr>
          <w:rFonts w:ascii="David" w:hAnsi="David" w:cs="David" w:hint="cs"/>
          <w:sz w:val="24"/>
          <w:szCs w:val="24"/>
          <w:rtl/>
        </w:rPr>
        <w:t xml:space="preserve"> וכמו שהרשב"א עשה בפועל</w:t>
      </w:r>
      <w:r w:rsidR="006C0DE5">
        <w:rPr>
          <w:rFonts w:ascii="David" w:hAnsi="David" w:cs="David" w:hint="cs"/>
          <w:sz w:val="24"/>
          <w:szCs w:val="24"/>
          <w:rtl/>
        </w:rPr>
        <w:t>,</w:t>
      </w:r>
      <w:r w:rsidRPr="004A5120">
        <w:rPr>
          <w:rFonts w:ascii="David" w:hAnsi="David" w:cs="David" w:hint="cs"/>
          <w:sz w:val="24"/>
          <w:szCs w:val="24"/>
          <w:rtl/>
        </w:rPr>
        <w:t xml:space="preserve"> עם </w:t>
      </w:r>
      <w:r w:rsidR="006C0DE5">
        <w:rPr>
          <w:rFonts w:ascii="David" w:hAnsi="David" w:cs="David" w:hint="cs"/>
          <w:sz w:val="24"/>
          <w:szCs w:val="24"/>
          <w:rtl/>
        </w:rPr>
        <w:t>"</w:t>
      </w:r>
      <w:r w:rsidRPr="004A5120">
        <w:rPr>
          <w:rFonts w:ascii="David" w:hAnsi="David" w:cs="David" w:hint="cs"/>
          <w:sz w:val="24"/>
          <w:szCs w:val="24"/>
          <w:rtl/>
        </w:rPr>
        <w:t>תורת הבית הארוך והקצר</w:t>
      </w:r>
      <w:r w:rsidR="006C0DE5">
        <w:rPr>
          <w:rFonts w:ascii="David" w:hAnsi="David" w:cs="David" w:hint="cs"/>
          <w:sz w:val="24"/>
          <w:szCs w:val="24"/>
          <w:rtl/>
        </w:rPr>
        <w:t>"</w:t>
      </w:r>
      <w:r w:rsidRPr="004A5120">
        <w:rPr>
          <w:rFonts w:ascii="David" w:hAnsi="David" w:cs="David" w:hint="cs"/>
          <w:sz w:val="24"/>
          <w:szCs w:val="24"/>
          <w:rtl/>
        </w:rPr>
        <w:t>.</w:t>
      </w:r>
      <w:r w:rsidR="0050299B" w:rsidRPr="004A5120">
        <w:rPr>
          <w:rFonts w:ascii="David" w:hAnsi="David" w:cs="David" w:hint="cs"/>
          <w:sz w:val="24"/>
          <w:szCs w:val="24"/>
          <w:rtl/>
        </w:rPr>
        <w:t xml:space="preserve"> הרמב"ם כידוע לא הוציא לפועל את מבוקשו והרשב"א, רק בחלק מסוים מאד מההלכה. במשך 250 שנים אחרי הרשב"א, לא אימצו את דרכו, עד רבי יוסף קארו בחיבוריו: ה"בית יוסף"</w:t>
      </w:r>
      <w:r w:rsidR="006C0DE5">
        <w:rPr>
          <w:rFonts w:ascii="David" w:hAnsi="David" w:cs="David" w:hint="cs"/>
          <w:sz w:val="24"/>
          <w:szCs w:val="24"/>
          <w:rtl/>
        </w:rPr>
        <w:t xml:space="preserve"> (מקביל ל"תורת הבית הארוך"),</w:t>
      </w:r>
      <w:r w:rsidR="0050299B" w:rsidRPr="004A5120">
        <w:rPr>
          <w:rFonts w:ascii="David" w:hAnsi="David" w:cs="David" w:hint="cs"/>
          <w:sz w:val="24"/>
          <w:szCs w:val="24"/>
          <w:rtl/>
        </w:rPr>
        <w:t xml:space="preserve"> ו"השולחן ערוך"</w:t>
      </w:r>
      <w:r w:rsidR="006C0DE5">
        <w:rPr>
          <w:rFonts w:ascii="David" w:hAnsi="David" w:cs="David" w:hint="cs"/>
          <w:sz w:val="24"/>
          <w:szCs w:val="24"/>
          <w:rtl/>
        </w:rPr>
        <w:t xml:space="preserve"> (מקביל ל"תורת הבית הקצר")</w:t>
      </w:r>
      <w:r w:rsidR="0050299B" w:rsidRPr="004A5120">
        <w:rPr>
          <w:rFonts w:ascii="David" w:hAnsi="David" w:cs="David" w:hint="cs"/>
          <w:sz w:val="24"/>
          <w:szCs w:val="24"/>
          <w:rtl/>
        </w:rPr>
        <w:t>.</w:t>
      </w:r>
    </w:p>
    <w:p w14:paraId="753D892A" w14:textId="54C4054B" w:rsidR="0050299B" w:rsidRPr="004A5120" w:rsidRDefault="0050299B" w:rsidP="002F11C6">
      <w:pPr>
        <w:tabs>
          <w:tab w:val="left" w:pos="7041"/>
        </w:tabs>
        <w:spacing w:after="0"/>
        <w:jc w:val="both"/>
        <w:rPr>
          <w:rFonts w:ascii="David" w:hAnsi="David" w:cs="David"/>
          <w:sz w:val="24"/>
          <w:szCs w:val="24"/>
          <w:rtl/>
        </w:rPr>
      </w:pPr>
    </w:p>
    <w:p w14:paraId="7F0C03F4" w14:textId="2350A8ED" w:rsidR="0050299B" w:rsidRPr="004A5120" w:rsidRDefault="0050299B" w:rsidP="002F11C6">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ה"בית יוסף":</w:t>
      </w:r>
    </w:p>
    <w:p w14:paraId="5E617B5F" w14:textId="4BAC5B72" w:rsidR="009939DC" w:rsidRPr="004A5120" w:rsidRDefault="009939DC" w:rsidP="009939DC">
      <w:pPr>
        <w:tabs>
          <w:tab w:val="left" w:pos="7041"/>
        </w:tabs>
        <w:spacing w:after="0"/>
        <w:jc w:val="both"/>
        <w:rPr>
          <w:rFonts w:ascii="David" w:hAnsi="David" w:cs="David"/>
          <w:sz w:val="24"/>
          <w:szCs w:val="24"/>
          <w:rtl/>
        </w:rPr>
      </w:pPr>
      <w:r w:rsidRPr="004A5120">
        <w:rPr>
          <w:rFonts w:ascii="David" w:hAnsi="David" w:cs="David" w:hint="cs"/>
          <w:sz w:val="24"/>
          <w:szCs w:val="24"/>
          <w:rtl/>
        </w:rPr>
        <w:t>הספר הראשון, מוצמד לספר הטורים. 2 מטרות לספר: 1. כלילת כל החומר ההלכתי עד ימי</w:t>
      </w:r>
      <w:r w:rsidR="00741F6D">
        <w:rPr>
          <w:rFonts w:ascii="David" w:hAnsi="David" w:cs="David" w:hint="cs"/>
          <w:sz w:val="24"/>
          <w:szCs w:val="24"/>
          <w:rtl/>
        </w:rPr>
        <w:t>ו</w:t>
      </w:r>
      <w:r w:rsidRPr="004A5120">
        <w:rPr>
          <w:rFonts w:ascii="David" w:hAnsi="David" w:cs="David" w:hint="cs"/>
          <w:sz w:val="24"/>
          <w:szCs w:val="24"/>
          <w:rtl/>
        </w:rPr>
        <w:t>. 2. הבאת הדעות השונות בהלכה.</w:t>
      </w:r>
    </w:p>
    <w:p w14:paraId="1998E7D4" w14:textId="1A025CC0" w:rsidR="009939DC" w:rsidRPr="004A5120" w:rsidRDefault="009939DC" w:rsidP="009939DC">
      <w:pPr>
        <w:tabs>
          <w:tab w:val="left" w:pos="7041"/>
        </w:tabs>
        <w:spacing w:after="0"/>
        <w:jc w:val="both"/>
        <w:rPr>
          <w:rFonts w:ascii="David" w:hAnsi="David" w:cs="David"/>
          <w:sz w:val="24"/>
          <w:szCs w:val="24"/>
          <w:rtl/>
        </w:rPr>
      </w:pPr>
    </w:p>
    <w:p w14:paraId="67ACF615" w14:textId="72E40439" w:rsidR="009939DC" w:rsidRPr="004A5120" w:rsidRDefault="009939DC" w:rsidP="009939DC">
      <w:pPr>
        <w:tabs>
          <w:tab w:val="left" w:pos="7041"/>
        </w:tabs>
        <w:spacing w:after="0"/>
        <w:jc w:val="both"/>
        <w:rPr>
          <w:rFonts w:ascii="David" w:hAnsi="David" w:cs="David"/>
          <w:sz w:val="24"/>
          <w:szCs w:val="24"/>
          <w:rtl/>
        </w:rPr>
      </w:pPr>
      <w:r w:rsidRPr="004A5120">
        <w:rPr>
          <w:rFonts w:ascii="David" w:hAnsi="David" w:cs="David" w:hint="cs"/>
          <w:sz w:val="24"/>
          <w:szCs w:val="24"/>
          <w:rtl/>
        </w:rPr>
        <w:t>על מנת להימנע מחזרה על אותם מקורות כפי שנעשה בעבר, קבע את הבית יוסף כצמוד לספר הטורים. בכך, הוא מציין את המקורות התלמודיים להלכות, מבאר את הדעות ומתקן טעויות.</w:t>
      </w:r>
    </w:p>
    <w:p w14:paraId="3082EB48" w14:textId="2988E447" w:rsidR="009939DC" w:rsidRPr="004A5120" w:rsidRDefault="009939DC" w:rsidP="009939DC">
      <w:pPr>
        <w:tabs>
          <w:tab w:val="left" w:pos="7041"/>
        </w:tabs>
        <w:spacing w:after="0"/>
        <w:jc w:val="both"/>
        <w:rPr>
          <w:rFonts w:ascii="David" w:hAnsi="David" w:cs="David"/>
          <w:sz w:val="24"/>
          <w:szCs w:val="24"/>
          <w:rtl/>
        </w:rPr>
      </w:pPr>
    </w:p>
    <w:p w14:paraId="03AA3756" w14:textId="0E10CCB7" w:rsidR="009939DC" w:rsidRPr="004A5120" w:rsidRDefault="005536ED" w:rsidP="009939DC">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 xml:space="preserve">פסיקת הלכה והכרעה בין הדעות השונות: </w:t>
      </w:r>
    </w:p>
    <w:p w14:paraId="358A519D" w14:textId="0FD6545F" w:rsidR="005536ED" w:rsidRPr="004A5120" w:rsidRDefault="005536ED" w:rsidP="009939DC">
      <w:pPr>
        <w:tabs>
          <w:tab w:val="left" w:pos="7041"/>
        </w:tabs>
        <w:spacing w:after="0"/>
        <w:jc w:val="both"/>
        <w:rPr>
          <w:rFonts w:ascii="David" w:hAnsi="David" w:cs="David"/>
          <w:sz w:val="24"/>
          <w:szCs w:val="24"/>
          <w:rtl/>
        </w:rPr>
      </w:pPr>
      <w:r w:rsidRPr="004A5120">
        <w:rPr>
          <w:rFonts w:ascii="David" w:hAnsi="David" w:cs="David" w:hint="cs"/>
          <w:sz w:val="24"/>
          <w:szCs w:val="24"/>
          <w:rtl/>
        </w:rPr>
        <w:t>מו"מ עיוני בדעות השונות טרם הכרעה אולי נראה הגיוני, אבל לפי קארו אינו מעשי, מ2 סיבות:</w:t>
      </w:r>
    </w:p>
    <w:p w14:paraId="2C6F744A" w14:textId="65317952" w:rsidR="005536ED" w:rsidRPr="004A5120" w:rsidRDefault="005536ED" w:rsidP="005536ED">
      <w:pPr>
        <w:pStyle w:val="a3"/>
        <w:numPr>
          <w:ilvl w:val="0"/>
          <w:numId w:val="46"/>
        </w:numPr>
        <w:tabs>
          <w:tab w:val="left" w:pos="7041"/>
        </w:tabs>
        <w:spacing w:after="0"/>
        <w:jc w:val="both"/>
        <w:rPr>
          <w:rFonts w:ascii="David" w:hAnsi="David" w:cs="David"/>
          <w:sz w:val="24"/>
          <w:szCs w:val="24"/>
        </w:rPr>
      </w:pPr>
      <w:r w:rsidRPr="004A5120">
        <w:rPr>
          <w:rFonts w:ascii="David" w:hAnsi="David" w:cs="David" w:hint="cs"/>
          <w:sz w:val="24"/>
          <w:szCs w:val="24"/>
          <w:rtl/>
        </w:rPr>
        <w:t>הראשונים ביססו את דעותיהם ע"פ הוכחות וראיות, איך הוא יכנס בניהם? ("ו</w:t>
      </w:r>
      <w:r w:rsidR="00741F6D">
        <w:rPr>
          <w:rFonts w:ascii="David" w:hAnsi="David" w:cs="David" w:hint="cs"/>
          <w:sz w:val="24"/>
          <w:szCs w:val="24"/>
          <w:rtl/>
        </w:rPr>
        <w:t>אי</w:t>
      </w:r>
      <w:r w:rsidRPr="004A5120">
        <w:rPr>
          <w:rFonts w:ascii="David" w:hAnsi="David" w:cs="David" w:hint="cs"/>
          <w:sz w:val="24"/>
          <w:szCs w:val="24"/>
          <w:rtl/>
        </w:rPr>
        <w:t>זהו אשר ימלאהו לבו להכניס ראשו בין ההרים?").</w:t>
      </w:r>
    </w:p>
    <w:p w14:paraId="303A2891" w14:textId="36082DAF" w:rsidR="005536ED" w:rsidRPr="004A5120" w:rsidRDefault="005536ED" w:rsidP="005536ED">
      <w:pPr>
        <w:pStyle w:val="a3"/>
        <w:numPr>
          <w:ilvl w:val="0"/>
          <w:numId w:val="46"/>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חוסר יעילות </w:t>
      </w:r>
      <w:r w:rsidRPr="004A5120">
        <w:rPr>
          <w:rFonts w:ascii="David" w:hAnsi="David" w:cs="David"/>
          <w:sz w:val="24"/>
          <w:szCs w:val="24"/>
          <w:rtl/>
        </w:rPr>
        <w:t>–</w:t>
      </w:r>
      <w:r w:rsidRPr="004A5120">
        <w:rPr>
          <w:rFonts w:ascii="David" w:hAnsi="David" w:cs="David" w:hint="cs"/>
          <w:sz w:val="24"/>
          <w:szCs w:val="24"/>
          <w:rtl/>
        </w:rPr>
        <w:t xml:space="preserve"> בירור ארוך ומייגע שלוקח זמן רב כ"כ</w:t>
      </w:r>
      <w:r w:rsidR="00741F6D">
        <w:rPr>
          <w:rFonts w:ascii="David" w:hAnsi="David" w:cs="David" w:hint="cs"/>
          <w:sz w:val="24"/>
          <w:szCs w:val="24"/>
          <w:rtl/>
        </w:rPr>
        <w:t>,</w:t>
      </w:r>
      <w:r w:rsidRPr="004A5120">
        <w:rPr>
          <w:rFonts w:ascii="David" w:hAnsi="David" w:cs="David" w:hint="cs"/>
          <w:sz w:val="24"/>
          <w:szCs w:val="24"/>
          <w:rtl/>
        </w:rPr>
        <w:t xml:space="preserve"> שכמעט בלתי סביר להכריע בסוף.</w:t>
      </w:r>
    </w:p>
    <w:p w14:paraId="42DC80E6" w14:textId="62CD9EA2" w:rsidR="00B919A8" w:rsidRPr="00741F6D" w:rsidRDefault="00B919A8" w:rsidP="00B919A8">
      <w:pPr>
        <w:tabs>
          <w:tab w:val="left" w:pos="7041"/>
        </w:tabs>
        <w:spacing w:after="0"/>
        <w:jc w:val="both"/>
        <w:rPr>
          <w:rFonts w:ascii="David" w:hAnsi="David" w:cs="David"/>
          <w:sz w:val="24"/>
          <w:szCs w:val="24"/>
          <w:rtl/>
        </w:rPr>
      </w:pPr>
    </w:p>
    <w:p w14:paraId="4ECAD4C5" w14:textId="77777777" w:rsidR="00EA7EF2" w:rsidRDefault="00EA7EF2" w:rsidP="00B919A8">
      <w:pPr>
        <w:tabs>
          <w:tab w:val="left" w:pos="7041"/>
        </w:tabs>
        <w:spacing w:after="0"/>
        <w:jc w:val="both"/>
        <w:rPr>
          <w:rFonts w:ascii="David" w:hAnsi="David" w:cs="David"/>
          <w:sz w:val="24"/>
          <w:szCs w:val="24"/>
          <w:rtl/>
        </w:rPr>
      </w:pPr>
    </w:p>
    <w:p w14:paraId="0AB8A5F5" w14:textId="77777777" w:rsidR="00EA7EF2" w:rsidRDefault="00EA7EF2" w:rsidP="00B919A8">
      <w:pPr>
        <w:tabs>
          <w:tab w:val="left" w:pos="7041"/>
        </w:tabs>
        <w:spacing w:after="0"/>
        <w:jc w:val="both"/>
        <w:rPr>
          <w:rFonts w:ascii="David" w:hAnsi="David" w:cs="David"/>
          <w:sz w:val="24"/>
          <w:szCs w:val="24"/>
          <w:rtl/>
        </w:rPr>
      </w:pPr>
    </w:p>
    <w:p w14:paraId="2ADB40DF" w14:textId="77777777" w:rsidR="00EA7EF2" w:rsidRDefault="00EA7EF2" w:rsidP="00B919A8">
      <w:pPr>
        <w:tabs>
          <w:tab w:val="left" w:pos="7041"/>
        </w:tabs>
        <w:spacing w:after="0"/>
        <w:jc w:val="both"/>
        <w:rPr>
          <w:rFonts w:ascii="David" w:hAnsi="David" w:cs="David"/>
          <w:sz w:val="24"/>
          <w:szCs w:val="24"/>
          <w:rtl/>
        </w:rPr>
      </w:pPr>
    </w:p>
    <w:p w14:paraId="054BA0C5" w14:textId="68C363DF" w:rsidR="00B919A8" w:rsidRPr="004A5120" w:rsidRDefault="00B919A8"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lastRenderedPageBreak/>
        <w:t>לכן בחר קארו דרך מקורית להכריע הלכה, נוסחה "מתמטית" של מס' דעות מבין גדולי ההלכה.</w:t>
      </w:r>
    </w:p>
    <w:p w14:paraId="4ACEAB77" w14:textId="48AEF6C8" w:rsidR="00B919A8" w:rsidRPr="004A5120" w:rsidRDefault="00B919A8"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3 כללי פסיקה:</w:t>
      </w:r>
    </w:p>
    <w:p w14:paraId="7B3E20AF" w14:textId="43D0BA38" w:rsidR="00B919A8" w:rsidRPr="004A5120" w:rsidRDefault="00B919A8" w:rsidP="00B919A8">
      <w:pPr>
        <w:pStyle w:val="a3"/>
        <w:numPr>
          <w:ilvl w:val="0"/>
          <w:numId w:val="47"/>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אם הרי"ף, הרמב"ם והרא"ש דנים באותו עניין </w:t>
      </w:r>
      <w:r w:rsidRPr="004A5120">
        <w:rPr>
          <w:rFonts w:ascii="David" w:hAnsi="David" w:cs="David"/>
          <w:sz w:val="24"/>
          <w:szCs w:val="24"/>
          <w:rtl/>
        </w:rPr>
        <w:t>–</w:t>
      </w:r>
      <w:r w:rsidRPr="004A5120">
        <w:rPr>
          <w:rFonts w:ascii="David" w:hAnsi="David" w:cs="David" w:hint="cs"/>
          <w:sz w:val="24"/>
          <w:szCs w:val="24"/>
          <w:rtl/>
        </w:rPr>
        <w:t xml:space="preserve"> הלכה כדעת הרוב בניהם. (בסיסי)</w:t>
      </w:r>
    </w:p>
    <w:p w14:paraId="05648707" w14:textId="625F4E66" w:rsidR="00B919A8" w:rsidRPr="004A5120" w:rsidRDefault="00B919A8" w:rsidP="00B919A8">
      <w:pPr>
        <w:pStyle w:val="a3"/>
        <w:numPr>
          <w:ilvl w:val="0"/>
          <w:numId w:val="47"/>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אם רק שניים מהם דנים בעניין והם חלוקים, מצרפים את דעות הרמב"ן, הרשב"א, הר"ן, המרדכי והסמ"ג </w:t>
      </w:r>
      <w:r w:rsidRPr="004A5120">
        <w:rPr>
          <w:rFonts w:ascii="David" w:hAnsi="David" w:cs="David"/>
          <w:sz w:val="24"/>
          <w:szCs w:val="24"/>
          <w:rtl/>
        </w:rPr>
        <w:t>–</w:t>
      </w:r>
      <w:r w:rsidRPr="004A5120">
        <w:rPr>
          <w:rFonts w:ascii="David" w:hAnsi="David" w:cs="David" w:hint="cs"/>
          <w:sz w:val="24"/>
          <w:szCs w:val="24"/>
          <w:rtl/>
        </w:rPr>
        <w:t xml:space="preserve"> וגם כאן נלך לפי הרוב (הרחבת הנוסחה הבסיסית).</w:t>
      </w:r>
    </w:p>
    <w:p w14:paraId="7D4F8C72" w14:textId="0B6E5386" w:rsidR="00B919A8" w:rsidRPr="004A5120" w:rsidRDefault="00B919A8" w:rsidP="00B919A8">
      <w:pPr>
        <w:pStyle w:val="a3"/>
        <w:numPr>
          <w:ilvl w:val="0"/>
          <w:numId w:val="47"/>
        </w:numPr>
        <w:tabs>
          <w:tab w:val="left" w:pos="7041"/>
        </w:tabs>
        <w:spacing w:after="0"/>
        <w:jc w:val="both"/>
        <w:rPr>
          <w:rFonts w:ascii="David" w:hAnsi="David" w:cs="David"/>
          <w:sz w:val="24"/>
          <w:szCs w:val="24"/>
        </w:rPr>
      </w:pPr>
      <w:r w:rsidRPr="004A5120">
        <w:rPr>
          <w:rFonts w:ascii="David" w:hAnsi="David" w:cs="David" w:hint="cs"/>
          <w:sz w:val="24"/>
          <w:szCs w:val="24"/>
          <w:rtl/>
        </w:rPr>
        <w:t>אם אף אחד מהשלושה לא דן בנושא, יכריע לפי דעת חכמי הלכה "מפורסמים" שדנו בעניין.</w:t>
      </w:r>
    </w:p>
    <w:p w14:paraId="228704BD" w14:textId="44710FA3" w:rsidR="00B919A8" w:rsidRPr="004A5120" w:rsidRDefault="00B919A8" w:rsidP="00B919A8">
      <w:pPr>
        <w:tabs>
          <w:tab w:val="left" w:pos="7041"/>
        </w:tabs>
        <w:spacing w:after="0"/>
        <w:jc w:val="both"/>
        <w:rPr>
          <w:rFonts w:ascii="David" w:hAnsi="David" w:cs="David"/>
          <w:sz w:val="24"/>
          <w:szCs w:val="24"/>
          <w:rtl/>
        </w:rPr>
      </w:pPr>
    </w:p>
    <w:p w14:paraId="4071AD8B" w14:textId="72CD65D1" w:rsidR="00B919A8" w:rsidRPr="004A5120" w:rsidRDefault="00B919A8"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ר"י קארו מדגיש כי זו אינה הדרך האידיאלית, דרך מתמטית מביאה סיכון שההלכה שת</w:t>
      </w:r>
      <w:r w:rsidR="00741F6D">
        <w:rPr>
          <w:rFonts w:ascii="David" w:hAnsi="David" w:cs="David" w:hint="cs"/>
          <w:sz w:val="24"/>
          <w:szCs w:val="24"/>
          <w:rtl/>
        </w:rPr>
        <w:t>י</w:t>
      </w:r>
      <w:r w:rsidRPr="004A5120">
        <w:rPr>
          <w:rFonts w:ascii="David" w:hAnsi="David" w:cs="David" w:hint="cs"/>
          <w:sz w:val="24"/>
          <w:szCs w:val="24"/>
          <w:rtl/>
        </w:rPr>
        <w:t xml:space="preserve">קבע היא לא באמת הדעה הנכונה. </w:t>
      </w:r>
      <w:r w:rsidR="004F4B19" w:rsidRPr="004A5120">
        <w:rPr>
          <w:rFonts w:ascii="David" w:hAnsi="David" w:cs="David" w:hint="cs"/>
          <w:sz w:val="24"/>
          <w:szCs w:val="24"/>
          <w:rtl/>
        </w:rPr>
        <w:t>בנוסף, יש חוסר אחידות פנימי, כאשר כל פעם הפסיקה משתנה בין השניים מתוך השלושה שהם הרוב, לא ברור באיזה מצבים פוסקים לפי מי מהם בפועל.</w:t>
      </w:r>
    </w:p>
    <w:p w14:paraId="24CD6D7B" w14:textId="77EDC5F2" w:rsidR="004F4B19" w:rsidRPr="004A5120" w:rsidRDefault="004F4B19" w:rsidP="00B919A8">
      <w:pPr>
        <w:tabs>
          <w:tab w:val="left" w:pos="7041"/>
        </w:tabs>
        <w:spacing w:after="0"/>
        <w:jc w:val="both"/>
        <w:rPr>
          <w:rFonts w:ascii="David" w:hAnsi="David" w:cs="David"/>
          <w:sz w:val="24"/>
          <w:szCs w:val="24"/>
          <w:rtl/>
        </w:rPr>
      </w:pPr>
    </w:p>
    <w:p w14:paraId="77CFD2F1" w14:textId="23D46CD4" w:rsidR="004F4B19" w:rsidRPr="004A5120" w:rsidRDefault="004F4B19"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עדיין, שיטתו עדיפה על השיטה העיונית, הארוכה והמסובכת. קארו יצר מעין "הערבים שיפוטיים" לבעיות עתידיות, דרך 3 כללי הפסיקה לעיל. גדולת החכמים שבחר, הופכת את השיטה לטובה.</w:t>
      </w:r>
    </w:p>
    <w:p w14:paraId="275FCF51" w14:textId="21A12926" w:rsidR="004F4B19" w:rsidRPr="004A5120" w:rsidRDefault="004F4B19" w:rsidP="00B919A8">
      <w:pPr>
        <w:tabs>
          <w:tab w:val="left" w:pos="7041"/>
        </w:tabs>
        <w:spacing w:after="0"/>
        <w:jc w:val="both"/>
        <w:rPr>
          <w:rFonts w:ascii="David" w:hAnsi="David" w:cs="David"/>
          <w:sz w:val="24"/>
          <w:szCs w:val="24"/>
          <w:rtl/>
        </w:rPr>
      </w:pPr>
    </w:p>
    <w:p w14:paraId="3EB45EA9" w14:textId="026EB0FF" w:rsidR="004F4B19" w:rsidRPr="004A5120" w:rsidRDefault="004F4B19" w:rsidP="00B919A8">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שולחן ערוך:</w:t>
      </w:r>
    </w:p>
    <w:p w14:paraId="436EDC4C" w14:textId="79F3D56D" w:rsidR="004F4B19" w:rsidRPr="004A5120" w:rsidRDefault="004F4B19"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השלמה לבית יוסף, היה נחוץ גם ספר פסקים פשוט וקל להתמצאות.</w:t>
      </w:r>
    </w:p>
    <w:p w14:paraId="1A4FA4F8" w14:textId="6BF8D631" w:rsidR="001379AA" w:rsidRPr="004A5120" w:rsidRDefault="001379AA"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מתייחס לביקורת שהייתה כנגד הרמב"ם על משנה תורה, וטוען כי זו הדרך שמתאימה לרוב האנשים. מתיישב עם מגמתו הקודי', לפיה צריכים להיות שני ספרים: פסקים והלכות, מרחיב ומקצר. כמו כל המחברים הקודי',</w:t>
      </w:r>
      <w:r w:rsidR="00065DE0" w:rsidRPr="004A5120">
        <w:rPr>
          <w:rFonts w:ascii="David" w:hAnsi="David" w:cs="David" w:hint="cs"/>
          <w:sz w:val="24"/>
          <w:szCs w:val="24"/>
          <w:rtl/>
        </w:rPr>
        <w:t xml:space="preserve"> </w:t>
      </w:r>
      <w:r w:rsidRPr="004A5120">
        <w:rPr>
          <w:rFonts w:ascii="David" w:hAnsi="David" w:cs="David" w:hint="cs"/>
          <w:sz w:val="24"/>
          <w:szCs w:val="24"/>
          <w:rtl/>
        </w:rPr>
        <w:t>רצה קארו שהספר ישמש גם את הפשוטים וגם את החכמים.</w:t>
      </w:r>
    </w:p>
    <w:p w14:paraId="04D32EBA" w14:textId="34B43CAF" w:rsidR="001379AA" w:rsidRPr="004A5120" w:rsidRDefault="001379AA" w:rsidP="00B919A8">
      <w:pPr>
        <w:tabs>
          <w:tab w:val="left" w:pos="7041"/>
        </w:tabs>
        <w:spacing w:after="0"/>
        <w:jc w:val="both"/>
        <w:rPr>
          <w:rFonts w:ascii="David" w:hAnsi="David" w:cs="David"/>
          <w:sz w:val="24"/>
          <w:szCs w:val="24"/>
          <w:rtl/>
        </w:rPr>
      </w:pPr>
    </w:p>
    <w:p w14:paraId="0188D860" w14:textId="4631A52D" w:rsidR="001379AA" w:rsidRPr="004A5120" w:rsidRDefault="001379AA" w:rsidP="00B919A8">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המבנה והסידור של ה"שולחן ערוך":</w:t>
      </w:r>
    </w:p>
    <w:p w14:paraId="4066FDCE" w14:textId="1BA7DCAF" w:rsidR="008A630B" w:rsidRPr="004A5120" w:rsidRDefault="001379AA"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מחולק ל4 חלקים, כמו ספר הטורים, עם שמות זהים. </w:t>
      </w:r>
      <w:r w:rsidR="008A630B" w:rsidRPr="004A5120">
        <w:rPr>
          <w:rFonts w:ascii="David" w:hAnsi="David" w:cs="David" w:hint="cs"/>
          <w:sz w:val="24"/>
          <w:szCs w:val="24"/>
          <w:rtl/>
        </w:rPr>
        <w:t>חלוקה זו נובעת מהיות שולחן ערוך תמצית לבית יוסף, והוא הרי נסמך על ספר הטורים. הבדל אחד: חלוקה פנימית שונה מהטור, יותר מרכז עניינים שונים לנושא אחד. לעתים הוא אף מוסיף נושא שלם שלא מופיע בטור (דוג': בשולחן ערוך מופיעים דיני עשיית מעקה והסת מכשול שיש בו סכנת נפשות, לא מופיע בטור).</w:t>
      </w:r>
    </w:p>
    <w:p w14:paraId="09C11C47" w14:textId="77777777" w:rsidR="008A630B" w:rsidRPr="004A5120" w:rsidRDefault="008A630B" w:rsidP="00B919A8">
      <w:pPr>
        <w:tabs>
          <w:tab w:val="left" w:pos="7041"/>
        </w:tabs>
        <w:spacing w:after="0"/>
        <w:jc w:val="both"/>
        <w:rPr>
          <w:rFonts w:ascii="David" w:hAnsi="David" w:cs="David"/>
          <w:sz w:val="24"/>
          <w:szCs w:val="24"/>
          <w:rtl/>
        </w:rPr>
      </w:pPr>
    </w:p>
    <w:p w14:paraId="799A8AC2" w14:textId="64B82086" w:rsidR="001379AA" w:rsidRPr="004A5120" w:rsidRDefault="008A630B"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קבע שם וכותרת בראש כל "סימן" שבארבעת חלקי הספר, בכך השיג 2 מטרות:</w:t>
      </w:r>
    </w:p>
    <w:p w14:paraId="5493FFDD" w14:textId="2DA20E0F" w:rsidR="008A630B" w:rsidRPr="004A5120" w:rsidRDefault="008A630B" w:rsidP="008A630B">
      <w:pPr>
        <w:pStyle w:val="a3"/>
        <w:numPr>
          <w:ilvl w:val="0"/>
          <w:numId w:val="48"/>
        </w:numPr>
        <w:tabs>
          <w:tab w:val="left" w:pos="7041"/>
        </w:tabs>
        <w:spacing w:after="0"/>
        <w:jc w:val="both"/>
        <w:rPr>
          <w:rFonts w:ascii="David" w:hAnsi="David" w:cs="David"/>
          <w:sz w:val="24"/>
          <w:szCs w:val="24"/>
        </w:rPr>
      </w:pPr>
      <w:r w:rsidRPr="004A5120">
        <w:rPr>
          <w:rFonts w:ascii="David" w:hAnsi="David" w:cs="David" w:hint="cs"/>
          <w:sz w:val="24"/>
          <w:szCs w:val="24"/>
          <w:rtl/>
        </w:rPr>
        <w:t>התמצאות קלה יותר.</w:t>
      </w:r>
    </w:p>
    <w:p w14:paraId="3D021F54" w14:textId="2459BA06" w:rsidR="008A630B" w:rsidRPr="004A5120" w:rsidRDefault="008A630B" w:rsidP="008A630B">
      <w:pPr>
        <w:pStyle w:val="a3"/>
        <w:numPr>
          <w:ilvl w:val="0"/>
          <w:numId w:val="48"/>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כותרת מאפשרת לרכז נושאי משנה בנושא כללי אחד </w:t>
      </w:r>
      <w:r w:rsidRPr="004A5120">
        <w:rPr>
          <w:rFonts w:ascii="David" w:hAnsi="David" w:cs="David"/>
          <w:sz w:val="24"/>
          <w:szCs w:val="24"/>
          <w:rtl/>
        </w:rPr>
        <w:t>–</w:t>
      </w:r>
      <w:r w:rsidRPr="004A5120">
        <w:rPr>
          <w:rFonts w:ascii="David" w:hAnsi="David" w:cs="David" w:hint="cs"/>
          <w:sz w:val="24"/>
          <w:szCs w:val="24"/>
          <w:rtl/>
        </w:rPr>
        <w:t xml:space="preserve"> רומזת על קשר ביניהם.</w:t>
      </w:r>
    </w:p>
    <w:p w14:paraId="082B54FC" w14:textId="62EE2932" w:rsidR="008A630B" w:rsidRPr="004A5120" w:rsidRDefault="008A630B" w:rsidP="008A630B">
      <w:pPr>
        <w:tabs>
          <w:tab w:val="left" w:pos="7041"/>
        </w:tabs>
        <w:spacing w:after="0"/>
        <w:jc w:val="both"/>
        <w:rPr>
          <w:rFonts w:ascii="David" w:hAnsi="David" w:cs="David"/>
          <w:sz w:val="24"/>
          <w:szCs w:val="24"/>
          <w:rtl/>
        </w:rPr>
      </w:pPr>
    </w:p>
    <w:p w14:paraId="65AF605E" w14:textId="77C5362C" w:rsidR="008A630B" w:rsidRPr="004A5120" w:rsidRDefault="00287937" w:rsidP="008A630B">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התגבשות דרך הקודי' של ההלכה:</w:t>
      </w:r>
    </w:p>
    <w:p w14:paraId="63BC1B23" w14:textId="635E7750" w:rsidR="00287937" w:rsidRPr="004A5120" w:rsidRDefault="00287937" w:rsidP="008A630B">
      <w:pPr>
        <w:tabs>
          <w:tab w:val="left" w:pos="7041"/>
        </w:tabs>
        <w:spacing w:after="0"/>
        <w:jc w:val="both"/>
        <w:rPr>
          <w:rFonts w:ascii="David" w:hAnsi="David" w:cs="David"/>
          <w:sz w:val="24"/>
          <w:szCs w:val="24"/>
          <w:rtl/>
        </w:rPr>
      </w:pPr>
      <w:r w:rsidRPr="004A5120">
        <w:rPr>
          <w:rFonts w:ascii="David" w:hAnsi="David" w:cs="David" w:hint="cs"/>
          <w:sz w:val="24"/>
          <w:szCs w:val="24"/>
          <w:rtl/>
        </w:rPr>
        <w:t>יצירתו הכפולה של קארו קרתה רק בזכות השלבים שקדמו לה: חיבורם של הרמב"ם, הרשב"א והטור, בלעדיהם ככל הנראה יצירתו של קארו לא הייתה מתקבלת. הצורך של כולם זהה: לעשות סדר ב"ים" ההלכה וליצור קודקס ברור ונגיש.</w:t>
      </w:r>
      <w:r w:rsidR="00FF3E07" w:rsidRPr="004A5120">
        <w:rPr>
          <w:rFonts w:ascii="David" w:hAnsi="David" w:cs="David" w:hint="cs"/>
          <w:sz w:val="24"/>
          <w:szCs w:val="24"/>
          <w:rtl/>
        </w:rPr>
        <w:t xml:space="preserve"> </w:t>
      </w:r>
    </w:p>
    <w:p w14:paraId="3A143485" w14:textId="342FA0D8" w:rsidR="00FF3E07" w:rsidRPr="004A5120" w:rsidRDefault="00FF3E07" w:rsidP="008A630B">
      <w:pPr>
        <w:tabs>
          <w:tab w:val="left" w:pos="7041"/>
        </w:tabs>
        <w:spacing w:after="0"/>
        <w:jc w:val="both"/>
        <w:rPr>
          <w:rFonts w:ascii="David" w:hAnsi="David" w:cs="David"/>
          <w:sz w:val="24"/>
          <w:szCs w:val="24"/>
          <w:rtl/>
        </w:rPr>
      </w:pPr>
    </w:p>
    <w:p w14:paraId="223A3FBC" w14:textId="031A4C44" w:rsidR="00FF3E07" w:rsidRPr="004A5120" w:rsidRDefault="00FF3E07" w:rsidP="008A630B">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כך, לאחר 1300 שנים של ניסיון לפתור את בעיית הקודיפקציה, ניסיון שהחל במשנה והסתיים בחיבור שני הספרים </w:t>
      </w:r>
      <w:r w:rsidRPr="004A5120">
        <w:rPr>
          <w:rFonts w:ascii="David" w:hAnsi="David" w:cs="David"/>
          <w:sz w:val="24"/>
          <w:szCs w:val="24"/>
          <w:rtl/>
        </w:rPr>
        <w:t>–</w:t>
      </w:r>
      <w:r w:rsidRPr="004A5120">
        <w:rPr>
          <w:rFonts w:ascii="David" w:hAnsi="David" w:cs="David" w:hint="cs"/>
          <w:sz w:val="24"/>
          <w:szCs w:val="24"/>
          <w:rtl/>
        </w:rPr>
        <w:t xml:space="preserve"> הבית יוסף והשולחן ערוך.</w:t>
      </w:r>
    </w:p>
    <w:p w14:paraId="22EC8247" w14:textId="664EB2C3" w:rsidR="00FF3E07" w:rsidRPr="004A5120" w:rsidRDefault="00FF3E07" w:rsidP="008A630B">
      <w:pPr>
        <w:tabs>
          <w:tab w:val="left" w:pos="7041"/>
        </w:tabs>
        <w:spacing w:after="0"/>
        <w:jc w:val="both"/>
        <w:rPr>
          <w:rFonts w:ascii="David" w:hAnsi="David" w:cs="David"/>
          <w:sz w:val="24"/>
          <w:szCs w:val="24"/>
          <w:rtl/>
        </w:rPr>
      </w:pPr>
    </w:p>
    <w:p w14:paraId="742CD2EE" w14:textId="0C4C1AB8" w:rsidR="00FF3E07" w:rsidRPr="004A5120" w:rsidRDefault="00FF3E07" w:rsidP="008A630B">
      <w:pPr>
        <w:tabs>
          <w:tab w:val="left" w:pos="7041"/>
        </w:tabs>
        <w:spacing w:after="0"/>
        <w:jc w:val="both"/>
        <w:rPr>
          <w:rFonts w:ascii="David" w:hAnsi="David" w:cs="David"/>
          <w:b/>
          <w:bCs/>
          <w:sz w:val="24"/>
          <w:szCs w:val="24"/>
          <w:u w:val="single"/>
          <w:rtl/>
        </w:rPr>
      </w:pPr>
      <w:r w:rsidRPr="004A5120">
        <w:rPr>
          <w:rFonts w:ascii="David" w:hAnsi="David" w:cs="David" w:hint="cs"/>
          <w:b/>
          <w:bCs/>
          <w:sz w:val="24"/>
          <w:szCs w:val="24"/>
          <w:u w:val="single"/>
          <w:rtl/>
        </w:rPr>
        <w:t xml:space="preserve">הרמ"א </w:t>
      </w:r>
      <w:r w:rsidRPr="004A5120">
        <w:rPr>
          <w:rFonts w:ascii="David" w:hAnsi="David" w:cs="David"/>
          <w:b/>
          <w:bCs/>
          <w:sz w:val="24"/>
          <w:szCs w:val="24"/>
          <w:u w:val="single"/>
          <w:rtl/>
        </w:rPr>
        <w:t>–</w:t>
      </w:r>
      <w:r w:rsidRPr="004A5120">
        <w:rPr>
          <w:rFonts w:ascii="David" w:hAnsi="David" w:cs="David" w:hint="cs"/>
          <w:b/>
          <w:bCs/>
          <w:sz w:val="24"/>
          <w:szCs w:val="24"/>
          <w:u w:val="single"/>
          <w:rtl/>
        </w:rPr>
        <w:t xml:space="preserve"> (רבי משה איסרליש):</w:t>
      </w:r>
    </w:p>
    <w:p w14:paraId="5EA9CEF2" w14:textId="67067988" w:rsidR="00FF3E07" w:rsidRPr="004A5120" w:rsidRDefault="00F44C26" w:rsidP="008A630B">
      <w:pPr>
        <w:tabs>
          <w:tab w:val="left" w:pos="7041"/>
        </w:tabs>
        <w:spacing w:after="0"/>
        <w:jc w:val="both"/>
        <w:rPr>
          <w:rFonts w:ascii="David" w:hAnsi="David" w:cs="David"/>
          <w:sz w:val="24"/>
          <w:szCs w:val="24"/>
          <w:rtl/>
        </w:rPr>
      </w:pPr>
      <w:r w:rsidRPr="004A5120">
        <w:rPr>
          <w:rFonts w:ascii="David" w:hAnsi="David" w:cs="David" w:hint="cs"/>
          <w:sz w:val="24"/>
          <w:szCs w:val="24"/>
          <w:rtl/>
        </w:rPr>
        <w:t>גישה שונה לבעיית הקודיפיקציה. פע</w:t>
      </w:r>
      <w:r w:rsidR="00FA7A0B">
        <w:rPr>
          <w:rFonts w:ascii="David" w:hAnsi="David" w:cs="David" w:hint="cs"/>
          <w:sz w:val="24"/>
          <w:szCs w:val="24"/>
          <w:rtl/>
        </w:rPr>
        <w:t>ל</w:t>
      </w:r>
      <w:r w:rsidRPr="004A5120">
        <w:rPr>
          <w:rFonts w:ascii="David" w:hAnsi="David" w:cs="David" w:hint="cs"/>
          <w:sz w:val="24"/>
          <w:szCs w:val="24"/>
          <w:rtl/>
        </w:rPr>
        <w:t xml:space="preserve"> במקביל לקארו והם אף היו בקשר מסוים.</w:t>
      </w:r>
    </w:p>
    <w:p w14:paraId="23243261" w14:textId="4C6CD259" w:rsidR="00F44C26" w:rsidRDefault="002B6BC8" w:rsidP="008A630B">
      <w:pPr>
        <w:tabs>
          <w:tab w:val="left" w:pos="7041"/>
        </w:tabs>
        <w:spacing w:after="0"/>
        <w:jc w:val="both"/>
        <w:rPr>
          <w:rFonts w:ascii="David" w:hAnsi="David" w:cs="David"/>
          <w:sz w:val="24"/>
          <w:szCs w:val="24"/>
          <w:rtl/>
        </w:rPr>
      </w:pPr>
      <w:r>
        <w:rPr>
          <w:rFonts w:ascii="David" w:hAnsi="David" w:cs="David" w:hint="cs"/>
          <w:sz w:val="24"/>
          <w:szCs w:val="24"/>
          <w:rtl/>
        </w:rPr>
        <w:t>כתב את הספרים "דרכי משה" (מקביל לתורת הבית הארוך + הבית יוסף), ו"המפה לשולחן ערוך" (מקביל לתו</w:t>
      </w:r>
      <w:r w:rsidR="00E64B72">
        <w:rPr>
          <w:rFonts w:ascii="David" w:hAnsi="David" w:cs="David" w:hint="cs"/>
          <w:sz w:val="24"/>
          <w:szCs w:val="24"/>
          <w:rtl/>
        </w:rPr>
        <w:t>רת</w:t>
      </w:r>
      <w:r>
        <w:rPr>
          <w:rFonts w:ascii="David" w:hAnsi="David" w:cs="David" w:hint="cs"/>
          <w:sz w:val="24"/>
          <w:szCs w:val="24"/>
          <w:rtl/>
        </w:rPr>
        <w:t xml:space="preserve"> הבית הקצר + שולחן ערוך)</w:t>
      </w:r>
    </w:p>
    <w:p w14:paraId="0FC540F6" w14:textId="77777777" w:rsidR="002B6BC8" w:rsidRPr="004A5120" w:rsidRDefault="002B6BC8" w:rsidP="008A630B">
      <w:pPr>
        <w:tabs>
          <w:tab w:val="left" w:pos="7041"/>
        </w:tabs>
        <w:spacing w:after="0"/>
        <w:jc w:val="both"/>
        <w:rPr>
          <w:rFonts w:ascii="David" w:hAnsi="David" w:cs="David"/>
          <w:sz w:val="24"/>
          <w:szCs w:val="24"/>
          <w:rtl/>
        </w:rPr>
      </w:pPr>
    </w:p>
    <w:p w14:paraId="7B8B1403" w14:textId="5B4D70D5" w:rsidR="001379AA" w:rsidRPr="002B6BC8" w:rsidRDefault="00F44C26" w:rsidP="002B6BC8">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"דרכי משה" -  המניעים לחיבורו ועקרונות הקודיפיקציה שבו:</w:t>
      </w:r>
    </w:p>
    <w:p w14:paraId="4DF59AD0" w14:textId="266EF6CB" w:rsidR="00F44C26" w:rsidRPr="004A5120" w:rsidRDefault="00F44C26"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2 מטרות:</w:t>
      </w:r>
    </w:p>
    <w:p w14:paraId="09FE8DDC" w14:textId="7C32A4A7" w:rsidR="00F44C26" w:rsidRPr="004A5120" w:rsidRDefault="00F44C26" w:rsidP="00F44C26">
      <w:pPr>
        <w:pStyle w:val="a3"/>
        <w:numPr>
          <w:ilvl w:val="0"/>
          <w:numId w:val="49"/>
        </w:numPr>
        <w:tabs>
          <w:tab w:val="left" w:pos="7041"/>
        </w:tabs>
        <w:spacing w:after="0"/>
        <w:jc w:val="both"/>
        <w:rPr>
          <w:rFonts w:ascii="David" w:hAnsi="David" w:cs="David"/>
          <w:sz w:val="24"/>
          <w:szCs w:val="24"/>
        </w:rPr>
      </w:pPr>
      <w:r w:rsidRPr="004A5120">
        <w:rPr>
          <w:rFonts w:ascii="David" w:hAnsi="David" w:cs="David" w:hint="cs"/>
          <w:sz w:val="24"/>
          <w:szCs w:val="24"/>
          <w:rtl/>
        </w:rPr>
        <w:t>קיבוץ הדעות השונות בנושא הלכתי מסוים.</w:t>
      </w:r>
    </w:p>
    <w:p w14:paraId="3DE3A609" w14:textId="4EDA6616" w:rsidR="00F44C26" w:rsidRPr="004A5120" w:rsidRDefault="00F44C26" w:rsidP="00F44C26">
      <w:pPr>
        <w:pStyle w:val="a3"/>
        <w:numPr>
          <w:ilvl w:val="0"/>
          <w:numId w:val="49"/>
        </w:numPr>
        <w:tabs>
          <w:tab w:val="left" w:pos="7041"/>
        </w:tabs>
        <w:spacing w:after="0"/>
        <w:jc w:val="both"/>
        <w:rPr>
          <w:rFonts w:ascii="David" w:hAnsi="David" w:cs="David"/>
          <w:sz w:val="24"/>
          <w:szCs w:val="24"/>
        </w:rPr>
      </w:pPr>
      <w:r w:rsidRPr="004A5120">
        <w:rPr>
          <w:rFonts w:ascii="David" w:hAnsi="David" w:cs="David" w:hint="cs"/>
          <w:sz w:val="24"/>
          <w:szCs w:val="24"/>
          <w:rtl/>
        </w:rPr>
        <w:t>ריכוז דעות אלו בדרך נוחה וקצרה.</w:t>
      </w:r>
    </w:p>
    <w:p w14:paraId="2B8B413F" w14:textId="3FB94370" w:rsidR="00F44C26" w:rsidRPr="004A5120" w:rsidRDefault="00F44C26" w:rsidP="00F44C26">
      <w:pPr>
        <w:tabs>
          <w:tab w:val="left" w:pos="7041"/>
        </w:tabs>
        <w:spacing w:after="0"/>
        <w:jc w:val="both"/>
        <w:rPr>
          <w:rFonts w:ascii="David" w:hAnsi="David" w:cs="David"/>
          <w:sz w:val="24"/>
          <w:szCs w:val="24"/>
          <w:rtl/>
        </w:rPr>
      </w:pPr>
    </w:p>
    <w:p w14:paraId="409E5DFA" w14:textId="0A23136B" w:rsidR="00C6588A" w:rsidRPr="004A5120" w:rsidRDefault="00C6588A"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שוב, מטרת הספר היא לסדר ולהקל על חיפוש ההלכה. גם הוא בחר </w:t>
      </w:r>
      <w:r w:rsidR="002021A7">
        <w:rPr>
          <w:rFonts w:ascii="David" w:hAnsi="David" w:cs="David" w:hint="cs"/>
          <w:sz w:val="24"/>
          <w:szCs w:val="24"/>
          <w:rtl/>
        </w:rPr>
        <w:t>ב</w:t>
      </w:r>
      <w:r w:rsidRPr="004A5120">
        <w:rPr>
          <w:rFonts w:ascii="David" w:hAnsi="David" w:cs="David" w:hint="cs"/>
          <w:sz w:val="24"/>
          <w:szCs w:val="24"/>
          <w:rtl/>
        </w:rPr>
        <w:t xml:space="preserve">ספר הטורים להצמיד את ספרו אליו. במהלך כתיבת הספר, נודע לו כי כבר נכתב קונספט בספר זהה </w:t>
      </w:r>
      <w:r w:rsidRPr="004A5120">
        <w:rPr>
          <w:rFonts w:ascii="David" w:hAnsi="David" w:cs="David"/>
          <w:sz w:val="24"/>
          <w:szCs w:val="24"/>
          <w:rtl/>
        </w:rPr>
        <w:t>–</w:t>
      </w:r>
      <w:r w:rsidRPr="004A5120">
        <w:rPr>
          <w:rFonts w:ascii="David" w:hAnsi="David" w:cs="David" w:hint="cs"/>
          <w:sz w:val="24"/>
          <w:szCs w:val="24"/>
          <w:rtl/>
        </w:rPr>
        <w:t xml:space="preserve"> הבית יוסף.</w:t>
      </w:r>
    </w:p>
    <w:p w14:paraId="3E45CCB7" w14:textId="7EACACA2" w:rsidR="00C6588A" w:rsidRPr="004A5120" w:rsidRDefault="00C6588A"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כך קיבל "דרכי משה</w:t>
      </w:r>
      <w:r w:rsidR="002021A7">
        <w:rPr>
          <w:rFonts w:ascii="David" w:hAnsi="David" w:cs="David" w:hint="cs"/>
          <w:sz w:val="24"/>
          <w:szCs w:val="24"/>
          <w:rtl/>
        </w:rPr>
        <w:t>"</w:t>
      </w:r>
      <w:r w:rsidRPr="004A5120">
        <w:rPr>
          <w:rFonts w:ascii="David" w:hAnsi="David" w:cs="David" w:hint="cs"/>
          <w:sz w:val="24"/>
          <w:szCs w:val="24"/>
          <w:rtl/>
        </w:rPr>
        <w:t xml:space="preserve"> תפנית בעלילה ונוספו לו מטרות שונות:</w:t>
      </w:r>
    </w:p>
    <w:p w14:paraId="6C9E9D02" w14:textId="0D3B8F2D" w:rsidR="00C6588A" w:rsidRPr="004A5120" w:rsidRDefault="00C6588A" w:rsidP="00C6588A">
      <w:pPr>
        <w:pStyle w:val="a3"/>
        <w:numPr>
          <w:ilvl w:val="0"/>
          <w:numId w:val="50"/>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"להביא הדברים בלא אורך הצעות" </w:t>
      </w:r>
      <w:r w:rsidRPr="004A5120">
        <w:rPr>
          <w:rFonts w:ascii="David" w:hAnsi="David" w:cs="David"/>
          <w:sz w:val="24"/>
          <w:szCs w:val="24"/>
          <w:rtl/>
        </w:rPr>
        <w:t>–</w:t>
      </w:r>
      <w:r w:rsidRPr="004A5120">
        <w:rPr>
          <w:rFonts w:ascii="David" w:hAnsi="David" w:cs="David" w:hint="cs"/>
          <w:sz w:val="24"/>
          <w:szCs w:val="24"/>
          <w:rtl/>
        </w:rPr>
        <w:t xml:space="preserve"> כתיבה תמציתית. לוקח את הסיכון בהבנה לא ראויה של הדברים, אך מאמין שדרך זו תעודד לימוד, גם לחכמים וגם לפשוטים.</w:t>
      </w:r>
    </w:p>
    <w:p w14:paraId="40F06F50" w14:textId="386AB0B1" w:rsidR="00C6588A" w:rsidRPr="004A5120" w:rsidRDefault="00C6588A" w:rsidP="00C6588A">
      <w:pPr>
        <w:pStyle w:val="a3"/>
        <w:numPr>
          <w:ilvl w:val="0"/>
          <w:numId w:val="50"/>
        </w:numPr>
        <w:tabs>
          <w:tab w:val="left" w:pos="7041"/>
        </w:tabs>
        <w:spacing w:after="0"/>
        <w:jc w:val="both"/>
        <w:rPr>
          <w:rFonts w:ascii="David" w:hAnsi="David" w:cs="David"/>
          <w:sz w:val="24"/>
          <w:szCs w:val="24"/>
        </w:rPr>
      </w:pPr>
      <w:r w:rsidRPr="004A5120">
        <w:rPr>
          <w:rFonts w:ascii="David" w:hAnsi="David" w:cs="David" w:hint="cs"/>
          <w:sz w:val="24"/>
          <w:szCs w:val="24"/>
          <w:rtl/>
        </w:rPr>
        <w:lastRenderedPageBreak/>
        <w:t xml:space="preserve">השלים את החסר שראה בבית יוסף </w:t>
      </w:r>
      <w:r w:rsidRPr="004A5120">
        <w:rPr>
          <w:rFonts w:ascii="David" w:hAnsi="David" w:cs="David"/>
          <w:sz w:val="24"/>
          <w:szCs w:val="24"/>
          <w:rtl/>
        </w:rPr>
        <w:t>–</w:t>
      </w:r>
      <w:r w:rsidRPr="004A5120">
        <w:rPr>
          <w:rFonts w:ascii="David" w:hAnsi="David" w:cs="David" w:hint="cs"/>
          <w:sz w:val="24"/>
          <w:szCs w:val="24"/>
          <w:rtl/>
        </w:rPr>
        <w:t xml:space="preserve"> חלקים ניכרים מספרות החידושים, השו"ת והפוסקים, במיוחד אלו של חכמי אשכנז.</w:t>
      </w:r>
    </w:p>
    <w:p w14:paraId="70094160" w14:textId="3E19B897" w:rsidR="00C6588A" w:rsidRPr="004A5120" w:rsidRDefault="00C6588A" w:rsidP="00C6588A">
      <w:pPr>
        <w:pStyle w:val="a3"/>
        <w:numPr>
          <w:ilvl w:val="0"/>
          <w:numId w:val="50"/>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המטרה העיקרית החדשה </w:t>
      </w:r>
      <w:r w:rsidRPr="004A5120">
        <w:rPr>
          <w:rFonts w:ascii="David" w:hAnsi="David" w:cs="David"/>
          <w:sz w:val="24"/>
          <w:szCs w:val="24"/>
          <w:rtl/>
        </w:rPr>
        <w:t>–</w:t>
      </w:r>
      <w:r w:rsidRPr="004A5120">
        <w:rPr>
          <w:rFonts w:ascii="David" w:hAnsi="David" w:cs="David" w:hint="cs"/>
          <w:sz w:val="24"/>
          <w:szCs w:val="24"/>
          <w:rtl/>
        </w:rPr>
        <w:t xml:space="preserve"> חולק על כללי הפס</w:t>
      </w:r>
      <w:r w:rsidR="002021A7">
        <w:rPr>
          <w:rFonts w:ascii="David" w:hAnsi="David" w:cs="David" w:hint="cs"/>
          <w:sz w:val="24"/>
          <w:szCs w:val="24"/>
          <w:rtl/>
        </w:rPr>
        <w:t>י</w:t>
      </w:r>
      <w:r w:rsidRPr="004A5120">
        <w:rPr>
          <w:rFonts w:ascii="David" w:hAnsi="David" w:cs="David" w:hint="cs"/>
          <w:sz w:val="24"/>
          <w:szCs w:val="24"/>
          <w:rtl/>
        </w:rPr>
        <w:t>קה של קארו, משום ש</w:t>
      </w:r>
      <w:r w:rsidR="00796389">
        <w:rPr>
          <w:rFonts w:ascii="David" w:hAnsi="David" w:cs="David" w:hint="cs"/>
          <w:sz w:val="24"/>
          <w:szCs w:val="24"/>
          <w:rtl/>
        </w:rPr>
        <w:t>אלו מנוגדים לכלל</w:t>
      </w:r>
      <w:r w:rsidRPr="004A5120">
        <w:rPr>
          <w:rFonts w:ascii="David" w:hAnsi="David" w:cs="David" w:hint="cs"/>
          <w:sz w:val="24"/>
          <w:szCs w:val="24"/>
          <w:rtl/>
        </w:rPr>
        <w:t xml:space="preserve"> </w:t>
      </w:r>
      <w:r w:rsidR="00796389">
        <w:rPr>
          <w:rFonts w:ascii="David" w:hAnsi="David" w:cs="David" w:hint="cs"/>
          <w:sz w:val="24"/>
          <w:szCs w:val="24"/>
          <w:rtl/>
        </w:rPr>
        <w:t>"</w:t>
      </w:r>
      <w:r w:rsidRPr="004A5120">
        <w:rPr>
          <w:rFonts w:ascii="David" w:hAnsi="David" w:cs="David" w:hint="cs"/>
          <w:sz w:val="24"/>
          <w:szCs w:val="24"/>
          <w:rtl/>
        </w:rPr>
        <w:t xml:space="preserve">הלכה </w:t>
      </w:r>
      <w:proofErr w:type="spellStart"/>
      <w:r w:rsidRPr="004A5120">
        <w:rPr>
          <w:rFonts w:ascii="David" w:hAnsi="David" w:cs="David" w:hint="cs"/>
          <w:sz w:val="24"/>
          <w:szCs w:val="24"/>
          <w:rtl/>
        </w:rPr>
        <w:t>כבתראי</w:t>
      </w:r>
      <w:proofErr w:type="spellEnd"/>
      <w:r w:rsidR="00796389">
        <w:rPr>
          <w:rFonts w:ascii="David" w:hAnsi="David" w:cs="David" w:hint="cs"/>
          <w:sz w:val="24"/>
          <w:szCs w:val="24"/>
          <w:rtl/>
        </w:rPr>
        <w:t>"</w:t>
      </w:r>
      <w:r w:rsidRPr="004A5120">
        <w:rPr>
          <w:rFonts w:ascii="David" w:hAnsi="David" w:cs="David" w:hint="cs"/>
          <w:sz w:val="24"/>
          <w:szCs w:val="24"/>
          <w:rtl/>
        </w:rPr>
        <w:t>. אף מוכיח כי לעתים קארו לא פסק לפי הרוב משלושת החכמים שקבע, על כן מפקפק באמינות הכרעת ההלכה בשיטה זו.</w:t>
      </w:r>
    </w:p>
    <w:p w14:paraId="781E8AB5" w14:textId="2F5FA8EB" w:rsidR="00C6588A" w:rsidRPr="004A5120" w:rsidRDefault="00C6588A" w:rsidP="00C6588A">
      <w:pPr>
        <w:tabs>
          <w:tab w:val="left" w:pos="7041"/>
        </w:tabs>
        <w:spacing w:after="0"/>
        <w:jc w:val="both"/>
        <w:rPr>
          <w:rFonts w:ascii="David" w:hAnsi="David" w:cs="David"/>
          <w:sz w:val="24"/>
          <w:szCs w:val="24"/>
          <w:rtl/>
        </w:rPr>
      </w:pPr>
    </w:p>
    <w:p w14:paraId="03E01924" w14:textId="19CAB181" w:rsidR="00C6588A" w:rsidRPr="004A5120" w:rsidRDefault="00C6588A"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כך הפך "דרכי משה" לספר השלמה למפעלו של קארו.</w:t>
      </w:r>
    </w:p>
    <w:p w14:paraId="1008563E" w14:textId="2AE13ABA" w:rsidR="00C6588A" w:rsidRPr="004A5120" w:rsidRDefault="00C6588A" w:rsidP="00C6588A">
      <w:pPr>
        <w:tabs>
          <w:tab w:val="left" w:pos="7041"/>
        </w:tabs>
        <w:spacing w:after="0"/>
        <w:jc w:val="both"/>
        <w:rPr>
          <w:rFonts w:ascii="David" w:hAnsi="David" w:cs="David"/>
          <w:sz w:val="24"/>
          <w:szCs w:val="24"/>
          <w:rtl/>
        </w:rPr>
      </w:pPr>
    </w:p>
    <w:p w14:paraId="16818D3A" w14:textId="77777777" w:rsidR="002021A7" w:rsidRDefault="002021A7" w:rsidP="00C6588A">
      <w:pPr>
        <w:tabs>
          <w:tab w:val="left" w:pos="7041"/>
        </w:tabs>
        <w:spacing w:after="0"/>
        <w:jc w:val="both"/>
        <w:rPr>
          <w:rFonts w:ascii="David" w:hAnsi="David" w:cs="David"/>
          <w:b/>
          <w:bCs/>
          <w:sz w:val="24"/>
          <w:szCs w:val="24"/>
          <w:u w:val="single"/>
          <w:rtl/>
        </w:rPr>
      </w:pPr>
    </w:p>
    <w:p w14:paraId="22C39335" w14:textId="77777777" w:rsidR="002021A7" w:rsidRDefault="002021A7" w:rsidP="00C6588A">
      <w:pPr>
        <w:tabs>
          <w:tab w:val="left" w:pos="7041"/>
        </w:tabs>
        <w:spacing w:after="0"/>
        <w:jc w:val="both"/>
        <w:rPr>
          <w:rFonts w:ascii="David" w:hAnsi="David" w:cs="David"/>
          <w:b/>
          <w:bCs/>
          <w:sz w:val="24"/>
          <w:szCs w:val="24"/>
          <w:u w:val="single"/>
          <w:rtl/>
        </w:rPr>
      </w:pPr>
    </w:p>
    <w:p w14:paraId="5E6669FC" w14:textId="77777777" w:rsidR="002021A7" w:rsidRDefault="002021A7" w:rsidP="00C6588A">
      <w:pPr>
        <w:tabs>
          <w:tab w:val="left" w:pos="7041"/>
        </w:tabs>
        <w:spacing w:after="0"/>
        <w:jc w:val="both"/>
        <w:rPr>
          <w:rFonts w:ascii="David" w:hAnsi="David" w:cs="David"/>
          <w:b/>
          <w:bCs/>
          <w:sz w:val="24"/>
          <w:szCs w:val="24"/>
          <w:u w:val="single"/>
          <w:rtl/>
        </w:rPr>
      </w:pPr>
    </w:p>
    <w:p w14:paraId="1501505E" w14:textId="77777777" w:rsidR="002021A7" w:rsidRDefault="002021A7" w:rsidP="00C6588A">
      <w:pPr>
        <w:tabs>
          <w:tab w:val="left" w:pos="7041"/>
        </w:tabs>
        <w:spacing w:after="0"/>
        <w:jc w:val="both"/>
        <w:rPr>
          <w:rFonts w:ascii="David" w:hAnsi="David" w:cs="David"/>
          <w:b/>
          <w:bCs/>
          <w:sz w:val="24"/>
          <w:szCs w:val="24"/>
          <w:u w:val="single"/>
          <w:rtl/>
        </w:rPr>
      </w:pPr>
    </w:p>
    <w:p w14:paraId="238F9D6D" w14:textId="0862B484" w:rsidR="000941C8" w:rsidRDefault="000941C8" w:rsidP="00C6588A">
      <w:pPr>
        <w:tabs>
          <w:tab w:val="left" w:pos="7041"/>
        </w:tabs>
        <w:spacing w:after="0"/>
        <w:jc w:val="both"/>
        <w:rPr>
          <w:rFonts w:ascii="David" w:hAnsi="David" w:cs="David"/>
          <w:b/>
          <w:bCs/>
          <w:sz w:val="24"/>
          <w:szCs w:val="24"/>
          <w:u w:val="single"/>
          <w:rtl/>
        </w:rPr>
      </w:pPr>
      <w:r>
        <w:rPr>
          <w:rFonts w:ascii="David" w:hAnsi="David" w:cs="David" w:hint="cs"/>
          <w:b/>
          <w:bCs/>
          <w:sz w:val="24"/>
          <w:szCs w:val="24"/>
          <w:u w:val="single"/>
          <w:rtl/>
        </w:rPr>
        <w:t>שלושה נ</w:t>
      </w:r>
      <w:r w:rsidR="009E3E9B">
        <w:rPr>
          <w:rFonts w:ascii="David" w:hAnsi="David" w:cs="David" w:hint="cs"/>
          <w:b/>
          <w:bCs/>
          <w:sz w:val="24"/>
          <w:szCs w:val="24"/>
          <w:u w:val="single"/>
          <w:rtl/>
        </w:rPr>
        <w:t>י</w:t>
      </w:r>
      <w:r>
        <w:rPr>
          <w:rFonts w:ascii="David" w:hAnsi="David" w:cs="David" w:hint="cs"/>
          <w:b/>
          <w:bCs/>
          <w:sz w:val="24"/>
          <w:szCs w:val="24"/>
          <w:u w:val="single"/>
          <w:rtl/>
        </w:rPr>
        <w:t>סיונות לקודקס שמורכב משני ספרים:</w:t>
      </w:r>
    </w:p>
    <w:p w14:paraId="1B9A02C3" w14:textId="3A876CE5" w:rsidR="000941C8" w:rsidRDefault="000941C8" w:rsidP="000941C8">
      <w:pPr>
        <w:pStyle w:val="a3"/>
        <w:numPr>
          <w:ilvl w:val="0"/>
          <w:numId w:val="55"/>
        </w:numPr>
        <w:tabs>
          <w:tab w:val="left" w:pos="7041"/>
        </w:tabs>
        <w:spacing w:after="0"/>
        <w:jc w:val="both"/>
        <w:rPr>
          <w:rFonts w:ascii="David" w:hAnsi="David" w:cs="David"/>
          <w:sz w:val="24"/>
          <w:szCs w:val="24"/>
        </w:rPr>
      </w:pPr>
      <w:r>
        <w:rPr>
          <w:rFonts w:ascii="David" w:hAnsi="David" w:cs="David" w:hint="cs"/>
          <w:sz w:val="24"/>
          <w:szCs w:val="24"/>
          <w:rtl/>
        </w:rPr>
        <w:t xml:space="preserve">הרשב"א </w:t>
      </w:r>
      <w:r>
        <w:rPr>
          <w:rFonts w:ascii="David" w:hAnsi="David" w:cs="David"/>
          <w:sz w:val="24"/>
          <w:szCs w:val="24"/>
          <w:rtl/>
        </w:rPr>
        <w:t>–</w:t>
      </w:r>
      <w:r>
        <w:rPr>
          <w:rFonts w:ascii="David" w:hAnsi="David" w:cs="David" w:hint="cs"/>
          <w:sz w:val="24"/>
          <w:szCs w:val="24"/>
          <w:rtl/>
        </w:rPr>
        <w:t xml:space="preserve"> "תורת הבית הארוך" (ספר חופר), "תורת הבית הקצר" (ספר חוקים קצר).</w:t>
      </w:r>
    </w:p>
    <w:p w14:paraId="5BBEC5CA" w14:textId="2B58F01C" w:rsidR="000941C8" w:rsidRDefault="009E3E9B" w:rsidP="000941C8">
      <w:pPr>
        <w:pStyle w:val="a3"/>
        <w:numPr>
          <w:ilvl w:val="0"/>
          <w:numId w:val="55"/>
        </w:numPr>
        <w:tabs>
          <w:tab w:val="left" w:pos="7041"/>
        </w:tabs>
        <w:spacing w:after="0"/>
        <w:jc w:val="both"/>
        <w:rPr>
          <w:rFonts w:ascii="David" w:hAnsi="David" w:cs="David"/>
          <w:sz w:val="24"/>
          <w:szCs w:val="24"/>
        </w:rPr>
      </w:pPr>
      <w:r>
        <w:rPr>
          <w:rFonts w:ascii="David" w:hAnsi="David" w:cs="David" w:hint="cs"/>
          <w:sz w:val="24"/>
          <w:szCs w:val="24"/>
          <w:rtl/>
        </w:rPr>
        <w:t xml:space="preserve">רבי יוסף </w:t>
      </w:r>
      <w:r w:rsidR="000941C8">
        <w:rPr>
          <w:rFonts w:ascii="David" w:hAnsi="David" w:cs="David" w:hint="cs"/>
          <w:sz w:val="24"/>
          <w:szCs w:val="24"/>
          <w:rtl/>
        </w:rPr>
        <w:t xml:space="preserve">קארו </w:t>
      </w:r>
      <w:r w:rsidR="000941C8">
        <w:rPr>
          <w:rFonts w:ascii="David" w:hAnsi="David" w:cs="David"/>
          <w:sz w:val="24"/>
          <w:szCs w:val="24"/>
          <w:rtl/>
        </w:rPr>
        <w:t>–</w:t>
      </w:r>
      <w:r w:rsidR="000941C8">
        <w:rPr>
          <w:rFonts w:ascii="David" w:hAnsi="David" w:cs="David" w:hint="cs"/>
          <w:sz w:val="24"/>
          <w:szCs w:val="24"/>
          <w:rtl/>
        </w:rPr>
        <w:t xml:space="preserve"> "הבית יוסף" (ספר חופר), "שולחן ערוך" (ספר חוקים קצר).</w:t>
      </w:r>
    </w:p>
    <w:p w14:paraId="408F7159" w14:textId="59F01064" w:rsidR="000941C8" w:rsidRPr="000941C8" w:rsidRDefault="000941C8" w:rsidP="000941C8">
      <w:pPr>
        <w:pStyle w:val="a3"/>
        <w:numPr>
          <w:ilvl w:val="0"/>
          <w:numId w:val="55"/>
        </w:numPr>
        <w:tabs>
          <w:tab w:val="left" w:pos="7041"/>
        </w:tabs>
        <w:spacing w:after="0"/>
        <w:jc w:val="both"/>
        <w:rPr>
          <w:rFonts w:ascii="David" w:hAnsi="David" w:cs="David"/>
          <w:sz w:val="24"/>
          <w:szCs w:val="24"/>
          <w:rtl/>
        </w:rPr>
      </w:pPr>
      <w:r>
        <w:rPr>
          <w:rFonts w:ascii="David" w:hAnsi="David" w:cs="David" w:hint="cs"/>
          <w:sz w:val="24"/>
          <w:szCs w:val="24"/>
          <w:rtl/>
        </w:rPr>
        <w:t xml:space="preserve">הרמ"א </w:t>
      </w:r>
      <w:r>
        <w:rPr>
          <w:rFonts w:ascii="David" w:hAnsi="David" w:cs="David"/>
          <w:sz w:val="24"/>
          <w:szCs w:val="24"/>
          <w:rtl/>
        </w:rPr>
        <w:t>–</w:t>
      </w:r>
      <w:r>
        <w:rPr>
          <w:rFonts w:ascii="David" w:hAnsi="David" w:cs="David" w:hint="cs"/>
          <w:sz w:val="24"/>
          <w:szCs w:val="24"/>
          <w:rtl/>
        </w:rPr>
        <w:t xml:space="preserve"> "דרכי משה" (השלמה לבית יוסף, ספר חופר), "המפה לשולחן ערוך" (השלמה לשולחן ערוך, ספר חוקים קצר)</w:t>
      </w:r>
    </w:p>
    <w:p w14:paraId="59B153AB" w14:textId="77777777" w:rsidR="000941C8" w:rsidRDefault="000941C8" w:rsidP="00C6588A">
      <w:pPr>
        <w:tabs>
          <w:tab w:val="left" w:pos="7041"/>
        </w:tabs>
        <w:spacing w:after="0"/>
        <w:jc w:val="both"/>
        <w:rPr>
          <w:rFonts w:ascii="David" w:hAnsi="David" w:cs="David"/>
          <w:b/>
          <w:bCs/>
          <w:sz w:val="24"/>
          <w:szCs w:val="24"/>
          <w:u w:val="single"/>
          <w:rtl/>
        </w:rPr>
      </w:pPr>
    </w:p>
    <w:p w14:paraId="1D96BFDF" w14:textId="57971299" w:rsidR="00C6588A" w:rsidRPr="004A5120" w:rsidRDefault="00C6588A" w:rsidP="00C6588A">
      <w:pPr>
        <w:tabs>
          <w:tab w:val="left" w:pos="7041"/>
        </w:tabs>
        <w:spacing w:after="0"/>
        <w:jc w:val="both"/>
        <w:rPr>
          <w:rFonts w:ascii="David" w:hAnsi="David" w:cs="David"/>
          <w:b/>
          <w:bCs/>
          <w:sz w:val="24"/>
          <w:szCs w:val="24"/>
          <w:u w:val="single"/>
          <w:rtl/>
        </w:rPr>
      </w:pPr>
      <w:r w:rsidRPr="004A5120">
        <w:rPr>
          <w:rFonts w:ascii="David" w:hAnsi="David" w:cs="David" w:hint="cs"/>
          <w:b/>
          <w:bCs/>
          <w:sz w:val="24"/>
          <w:szCs w:val="24"/>
          <w:u w:val="single"/>
          <w:rtl/>
        </w:rPr>
        <w:t>פועלם של רבי יוסף קארו ורבינו משה איסרליש:</w:t>
      </w:r>
    </w:p>
    <w:p w14:paraId="3A4F4406" w14:textId="0DF1749F" w:rsidR="00C6588A" w:rsidRPr="004A5120" w:rsidRDefault="00C6588A" w:rsidP="00C6588A">
      <w:pPr>
        <w:tabs>
          <w:tab w:val="left" w:pos="7041"/>
        </w:tabs>
        <w:spacing w:after="0"/>
        <w:jc w:val="both"/>
        <w:rPr>
          <w:rFonts w:ascii="David" w:hAnsi="David" w:cs="David"/>
          <w:b/>
          <w:bCs/>
          <w:sz w:val="24"/>
          <w:szCs w:val="24"/>
          <w:u w:val="single"/>
          <w:rtl/>
        </w:rPr>
      </w:pPr>
    </w:p>
    <w:p w14:paraId="0313B475" w14:textId="786B4DC6" w:rsidR="00C6588A" w:rsidRPr="004A5120" w:rsidRDefault="00C6588A" w:rsidP="00C6588A">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 xml:space="preserve">ההגהות ל"שולחן ערוך" </w:t>
      </w:r>
      <w:r w:rsidRPr="004A5120">
        <w:rPr>
          <w:rFonts w:ascii="David" w:hAnsi="David" w:cs="David"/>
          <w:sz w:val="24"/>
          <w:szCs w:val="24"/>
          <w:u w:val="single"/>
          <w:rtl/>
        </w:rPr>
        <w:t>–</w:t>
      </w:r>
      <w:r w:rsidRPr="004A5120">
        <w:rPr>
          <w:rFonts w:ascii="David" w:hAnsi="David" w:cs="David" w:hint="cs"/>
          <w:sz w:val="24"/>
          <w:szCs w:val="24"/>
          <w:u w:val="single"/>
          <w:rtl/>
        </w:rPr>
        <w:t xml:space="preserve"> "המפה", מטרת חיבורו ודרכה:</w:t>
      </w:r>
    </w:p>
    <w:p w14:paraId="47939420" w14:textId="64526507" w:rsidR="00C6588A" w:rsidRPr="004A5120" w:rsidRDefault="00BF5EAC"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רבי משה </w:t>
      </w:r>
      <w:proofErr w:type="spellStart"/>
      <w:r w:rsidRPr="004A5120">
        <w:rPr>
          <w:rFonts w:ascii="David" w:hAnsi="David" w:cs="David" w:hint="cs"/>
          <w:sz w:val="24"/>
          <w:szCs w:val="24"/>
          <w:rtl/>
        </w:rPr>
        <w:t>איסרליש</w:t>
      </w:r>
      <w:proofErr w:type="spellEnd"/>
      <w:r w:rsidRPr="004A5120">
        <w:rPr>
          <w:rFonts w:ascii="David" w:hAnsi="David" w:cs="David" w:hint="cs"/>
          <w:sz w:val="24"/>
          <w:szCs w:val="24"/>
          <w:rtl/>
        </w:rPr>
        <w:t xml:space="preserve"> סיכם את יצירתו בחיבור ספר הפסקים השלישי </w:t>
      </w:r>
      <w:r w:rsidRPr="004A5120">
        <w:rPr>
          <w:rFonts w:ascii="David" w:hAnsi="David" w:cs="David"/>
          <w:sz w:val="24"/>
          <w:szCs w:val="24"/>
          <w:rtl/>
        </w:rPr>
        <w:t>–</w:t>
      </w:r>
      <w:r w:rsidRPr="004A5120">
        <w:rPr>
          <w:rFonts w:ascii="David" w:hAnsi="David" w:cs="David" w:hint="cs"/>
          <w:sz w:val="24"/>
          <w:szCs w:val="24"/>
          <w:rtl/>
        </w:rPr>
        <w:t xml:space="preserve"> הגהות ל"שולחן ערוך".</w:t>
      </w:r>
    </w:p>
    <w:p w14:paraId="58FEF3F1" w14:textId="47E15CA9" w:rsidR="00AB062A" w:rsidRPr="004A5120" w:rsidRDefault="00AB062A" w:rsidP="00C6588A">
      <w:pPr>
        <w:tabs>
          <w:tab w:val="left" w:pos="7041"/>
        </w:tabs>
        <w:spacing w:after="0"/>
        <w:jc w:val="both"/>
        <w:rPr>
          <w:rFonts w:ascii="David" w:hAnsi="David" w:cs="David"/>
          <w:sz w:val="24"/>
          <w:szCs w:val="24"/>
          <w:rtl/>
        </w:rPr>
      </w:pPr>
    </w:p>
    <w:p w14:paraId="2BAC9FC1" w14:textId="4AC42BA4" w:rsidR="00AB062A" w:rsidRPr="004A5120" w:rsidRDefault="00AB062A"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הרמ"א שינה את דרכי משה לאור הבית יוסף ולאחר מכן ביקש לקצרו לספר פסקים</w:t>
      </w:r>
      <w:r w:rsidR="007C47A5" w:rsidRPr="004A5120">
        <w:rPr>
          <w:rFonts w:ascii="David" w:hAnsi="David" w:cs="David" w:hint="cs"/>
          <w:sz w:val="24"/>
          <w:szCs w:val="24"/>
          <w:rtl/>
        </w:rPr>
        <w:t xml:space="preserve"> </w:t>
      </w:r>
      <w:r w:rsidR="007C47A5" w:rsidRPr="004A5120">
        <w:rPr>
          <w:rFonts w:ascii="David" w:hAnsi="David" w:cs="David"/>
          <w:sz w:val="24"/>
          <w:szCs w:val="24"/>
          <w:rtl/>
        </w:rPr>
        <w:t>–</w:t>
      </w:r>
      <w:r w:rsidR="007C47A5" w:rsidRPr="004A5120">
        <w:rPr>
          <w:rFonts w:ascii="David" w:hAnsi="David" w:cs="David" w:hint="cs"/>
          <w:sz w:val="24"/>
          <w:szCs w:val="24"/>
          <w:rtl/>
        </w:rPr>
        <w:t xml:space="preserve"> שוב קארו </w:t>
      </w:r>
      <w:r w:rsidR="000941C8">
        <w:rPr>
          <w:rFonts w:ascii="David" w:hAnsi="David" w:cs="David" w:hint="cs"/>
          <w:sz w:val="24"/>
          <w:szCs w:val="24"/>
          <w:rtl/>
        </w:rPr>
        <w:t xml:space="preserve">היה </w:t>
      </w:r>
      <w:r w:rsidR="007C47A5" w:rsidRPr="004A5120">
        <w:rPr>
          <w:rFonts w:ascii="David" w:hAnsi="David" w:cs="David" w:hint="cs"/>
          <w:sz w:val="24"/>
          <w:szCs w:val="24"/>
          <w:rtl/>
        </w:rPr>
        <w:t xml:space="preserve">צעד לפניו עם השולחן ערוך ושוב, הרמ"א כתב חיבור משלים לשולחן ערוך </w:t>
      </w:r>
      <w:r w:rsidR="007C47A5" w:rsidRPr="004A5120">
        <w:rPr>
          <w:rFonts w:ascii="David" w:hAnsi="David" w:cs="David"/>
          <w:sz w:val="24"/>
          <w:szCs w:val="24"/>
          <w:rtl/>
        </w:rPr>
        <w:t>–</w:t>
      </w:r>
      <w:r w:rsidR="007C47A5" w:rsidRPr="004A5120">
        <w:rPr>
          <w:rFonts w:ascii="David" w:hAnsi="David" w:cs="David" w:hint="cs"/>
          <w:sz w:val="24"/>
          <w:szCs w:val="24"/>
          <w:rtl/>
        </w:rPr>
        <w:t xml:space="preserve"> "מפה לשולחן ערוך".</w:t>
      </w:r>
    </w:p>
    <w:p w14:paraId="47563AEE" w14:textId="521F9B8B" w:rsidR="007C47A5" w:rsidRPr="004A5120" w:rsidRDefault="007C47A5" w:rsidP="00C6588A">
      <w:pPr>
        <w:tabs>
          <w:tab w:val="left" w:pos="7041"/>
        </w:tabs>
        <w:spacing w:after="0"/>
        <w:jc w:val="both"/>
        <w:rPr>
          <w:rFonts w:ascii="David" w:hAnsi="David" w:cs="David"/>
          <w:sz w:val="24"/>
          <w:szCs w:val="24"/>
          <w:rtl/>
        </w:rPr>
      </w:pPr>
    </w:p>
    <w:p w14:paraId="219F1098" w14:textId="72E63921" w:rsidR="007C47A5" w:rsidRPr="004A5120" w:rsidRDefault="007C47A5"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לכאורה הרמ"א הגשים את מטרותיו כבר בדרכי משה, מלכתחילה לא התכוון לכתוב ספק פסקים. אך משראה שכך נהג קארו, החליט לעשות כך גם בעקבות אותם הנימוקים שעשה תוספת לבית יוסף. הביא את הש</w:t>
      </w:r>
      <w:r w:rsidR="009E3E9B">
        <w:rPr>
          <w:rFonts w:ascii="David" w:hAnsi="David" w:cs="David" w:hint="cs"/>
          <w:sz w:val="24"/>
          <w:szCs w:val="24"/>
          <w:rtl/>
        </w:rPr>
        <w:t>ו</w:t>
      </w:r>
      <w:r w:rsidRPr="004A5120">
        <w:rPr>
          <w:rFonts w:ascii="David" w:hAnsi="David" w:cs="David" w:hint="cs"/>
          <w:sz w:val="24"/>
          <w:szCs w:val="24"/>
          <w:rtl/>
        </w:rPr>
        <w:t>רה התחתונה של הכרעת ההלכה לשיטתו, בצמוד להכרעה של השולחן ערוך.</w:t>
      </w:r>
    </w:p>
    <w:p w14:paraId="43CA7387" w14:textId="48BEC807" w:rsidR="007C47A5" w:rsidRPr="004A5120" w:rsidRDefault="007C47A5" w:rsidP="00C6588A">
      <w:pPr>
        <w:tabs>
          <w:tab w:val="left" w:pos="7041"/>
        </w:tabs>
        <w:spacing w:after="0"/>
        <w:jc w:val="both"/>
        <w:rPr>
          <w:rFonts w:ascii="David" w:hAnsi="David" w:cs="David"/>
          <w:sz w:val="24"/>
          <w:szCs w:val="24"/>
          <w:rtl/>
        </w:rPr>
      </w:pPr>
    </w:p>
    <w:p w14:paraId="5A0C810B" w14:textId="37E8E956" w:rsidR="007C47A5" w:rsidRPr="004A5120" w:rsidRDefault="007C47A5"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הוספת המקורות האשכנזים קצת חטאה למטרתו המקורית של שולחן ערוך </w:t>
      </w:r>
      <w:r w:rsidRPr="004A5120">
        <w:rPr>
          <w:rFonts w:ascii="David" w:hAnsi="David" w:cs="David"/>
          <w:sz w:val="24"/>
          <w:szCs w:val="24"/>
          <w:rtl/>
        </w:rPr>
        <w:t>–</w:t>
      </w:r>
      <w:r w:rsidRPr="004A5120">
        <w:rPr>
          <w:rFonts w:ascii="David" w:hAnsi="David" w:cs="David" w:hint="cs"/>
          <w:sz w:val="24"/>
          <w:szCs w:val="24"/>
          <w:rtl/>
        </w:rPr>
        <w:t xml:space="preserve"> להיות מקור סתמי ואחיד. אבל זו הייתה חלק מכוונתו של הרמ"א, שסב</w:t>
      </w:r>
      <w:r w:rsidR="009E3E9B">
        <w:rPr>
          <w:rFonts w:ascii="David" w:hAnsi="David" w:cs="David" w:hint="cs"/>
          <w:sz w:val="24"/>
          <w:szCs w:val="24"/>
          <w:rtl/>
        </w:rPr>
        <w:t>ר</w:t>
      </w:r>
      <w:r w:rsidRPr="004A5120">
        <w:rPr>
          <w:rFonts w:ascii="David" w:hAnsi="David" w:cs="David" w:hint="cs"/>
          <w:sz w:val="24"/>
          <w:szCs w:val="24"/>
          <w:rtl/>
        </w:rPr>
        <w:t xml:space="preserve"> שצריך להביא את ריבוי הדעות השונות של חכמי ההלכה, שכן הן תנאי הכרחי לפסיקת הדין, שצריכה להיות לפי הלכה כבתראי.</w:t>
      </w:r>
    </w:p>
    <w:p w14:paraId="01BEDB7D" w14:textId="11F6F067" w:rsidR="007C47A5" w:rsidRPr="004A5120" w:rsidRDefault="007C47A5" w:rsidP="00C6588A">
      <w:pPr>
        <w:tabs>
          <w:tab w:val="left" w:pos="7041"/>
        </w:tabs>
        <w:spacing w:after="0"/>
        <w:jc w:val="both"/>
        <w:rPr>
          <w:rFonts w:ascii="David" w:hAnsi="David" w:cs="David"/>
          <w:sz w:val="24"/>
          <w:szCs w:val="24"/>
          <w:rtl/>
        </w:rPr>
      </w:pPr>
    </w:p>
    <w:p w14:paraId="4971566B" w14:textId="7FE6A51F" w:rsidR="007C47A5" w:rsidRPr="004A5120" w:rsidRDefault="007363A7"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עוד ערך הרמ"א תיקונים לשוניים בשולחן ערוך, בעיקר טעויות של העתקות והדפסות. לעתים מפרש את כוונתו של קארו ולעתים מוסיף הלכות, זו תופעה קודי' מעניינת ב</w:t>
      </w:r>
      <w:r w:rsidR="008434F6">
        <w:rPr>
          <w:rFonts w:ascii="David" w:hAnsi="David" w:cs="David" w:hint="cs"/>
          <w:sz w:val="24"/>
          <w:szCs w:val="24"/>
          <w:rtl/>
        </w:rPr>
        <w:t>ה</w:t>
      </w:r>
      <w:r w:rsidRPr="004A5120">
        <w:rPr>
          <w:rFonts w:ascii="David" w:hAnsi="David" w:cs="David" w:hint="cs"/>
          <w:sz w:val="24"/>
          <w:szCs w:val="24"/>
          <w:rtl/>
        </w:rPr>
        <w:t>גהות הרמ"א.</w:t>
      </w:r>
    </w:p>
    <w:p w14:paraId="5EAF39B9" w14:textId="63765503" w:rsidR="007363A7" w:rsidRPr="004A5120" w:rsidRDefault="007363A7" w:rsidP="007363A7">
      <w:pPr>
        <w:tabs>
          <w:tab w:val="left" w:pos="7041"/>
        </w:tabs>
        <w:spacing w:after="0"/>
        <w:jc w:val="both"/>
        <w:rPr>
          <w:rFonts w:ascii="David" w:hAnsi="David" w:cs="David"/>
          <w:sz w:val="24"/>
          <w:szCs w:val="24"/>
          <w:rtl/>
        </w:rPr>
      </w:pPr>
      <w:r w:rsidRPr="004A5120">
        <w:rPr>
          <w:rFonts w:ascii="David" w:hAnsi="David" w:cs="David" w:hint="cs"/>
          <w:sz w:val="24"/>
          <w:szCs w:val="24"/>
          <w:rtl/>
        </w:rPr>
        <w:t>דוג' בהלכות שליחות:</w:t>
      </w:r>
    </w:p>
    <w:p w14:paraId="64F09872" w14:textId="77777777" w:rsidR="007363A7" w:rsidRPr="004A5120" w:rsidRDefault="007363A7" w:rsidP="007363A7">
      <w:pPr>
        <w:pStyle w:val="a3"/>
        <w:numPr>
          <w:ilvl w:val="0"/>
          <w:numId w:val="28"/>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 פותח הרמב"ם בתיאור ההלכה </w:t>
      </w:r>
      <w:r w:rsidRPr="004A5120">
        <w:rPr>
          <w:rFonts w:ascii="David" w:hAnsi="David" w:cs="David"/>
          <w:sz w:val="24"/>
          <w:szCs w:val="24"/>
          <w:rtl/>
        </w:rPr>
        <w:t>–</w:t>
      </w:r>
      <w:r w:rsidRPr="004A5120">
        <w:rPr>
          <w:rFonts w:ascii="David" w:hAnsi="David" w:cs="David" w:hint="cs"/>
          <w:sz w:val="24"/>
          <w:szCs w:val="24"/>
          <w:rtl/>
        </w:rPr>
        <w:t xml:space="preserve"> מי ששלח שליח לקנות או למכור בשמו </w:t>
      </w:r>
      <w:r w:rsidRPr="004A5120">
        <w:rPr>
          <w:rFonts w:ascii="David" w:hAnsi="David" w:cs="David"/>
          <w:sz w:val="24"/>
          <w:szCs w:val="24"/>
          <w:rtl/>
        </w:rPr>
        <w:t>–</w:t>
      </w:r>
      <w:r w:rsidRPr="004A5120">
        <w:rPr>
          <w:rFonts w:ascii="David" w:hAnsi="David" w:cs="David" w:hint="cs"/>
          <w:sz w:val="24"/>
          <w:szCs w:val="24"/>
          <w:rtl/>
        </w:rPr>
        <w:t xml:space="preserve"> "מעשיו קיימים", משמע זה תקף בשמו. </w:t>
      </w:r>
    </w:p>
    <w:p w14:paraId="293657C9" w14:textId="463BFDC6" w:rsidR="007363A7" w:rsidRPr="004A5120" w:rsidRDefault="007363A7" w:rsidP="007363A7">
      <w:pPr>
        <w:pStyle w:val="a3"/>
        <w:numPr>
          <w:ilvl w:val="0"/>
          <w:numId w:val="28"/>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בטור פתחו את ההלכה בעיקרון: "שולחו של אדם כמותו, חוץ מלדבר עבירה", ואח"כ ציטוט ההלכה מהרמב"ם. </w:t>
      </w:r>
    </w:p>
    <w:p w14:paraId="06836A21" w14:textId="2AFE1D90" w:rsidR="0076659F" w:rsidRPr="004A5120" w:rsidRDefault="0076659F" w:rsidP="007363A7">
      <w:pPr>
        <w:pStyle w:val="a3"/>
        <w:numPr>
          <w:ilvl w:val="0"/>
          <w:numId w:val="28"/>
        </w:numPr>
        <w:tabs>
          <w:tab w:val="left" w:pos="7041"/>
        </w:tabs>
        <w:spacing w:after="0"/>
        <w:jc w:val="both"/>
        <w:rPr>
          <w:rFonts w:ascii="David" w:hAnsi="David" w:cs="David"/>
          <w:sz w:val="24"/>
          <w:szCs w:val="24"/>
        </w:rPr>
      </w:pPr>
      <w:r w:rsidRPr="004A5120">
        <w:rPr>
          <w:rFonts w:ascii="David" w:hAnsi="David" w:cs="David" w:hint="cs"/>
          <w:sz w:val="24"/>
          <w:szCs w:val="24"/>
          <w:rtl/>
        </w:rPr>
        <w:t>קארו משמיט את העיקרון המ</w:t>
      </w:r>
      <w:r w:rsidR="00676B92">
        <w:rPr>
          <w:rFonts w:ascii="David" w:hAnsi="David" w:cs="David" w:hint="cs"/>
          <w:sz w:val="24"/>
          <w:szCs w:val="24"/>
          <w:rtl/>
        </w:rPr>
        <w:t>וב</w:t>
      </w:r>
      <w:r w:rsidRPr="004A5120">
        <w:rPr>
          <w:rFonts w:ascii="David" w:hAnsi="David" w:cs="David" w:hint="cs"/>
          <w:sz w:val="24"/>
          <w:szCs w:val="24"/>
          <w:rtl/>
        </w:rPr>
        <w:t>א בטור ומתחיל בדוג' קונקרטית, כמו הרמב"ם, מקצר.</w:t>
      </w:r>
    </w:p>
    <w:p w14:paraId="01E76A29" w14:textId="22CC3F43" w:rsidR="0076659F" w:rsidRPr="004A5120" w:rsidRDefault="0076659F" w:rsidP="007363A7">
      <w:pPr>
        <w:pStyle w:val="a3"/>
        <w:numPr>
          <w:ilvl w:val="0"/>
          <w:numId w:val="28"/>
        </w:numPr>
        <w:tabs>
          <w:tab w:val="left" w:pos="7041"/>
        </w:tabs>
        <w:spacing w:after="0"/>
        <w:jc w:val="both"/>
        <w:rPr>
          <w:rFonts w:ascii="David" w:hAnsi="David" w:cs="David"/>
          <w:sz w:val="24"/>
          <w:szCs w:val="24"/>
        </w:rPr>
      </w:pPr>
      <w:r w:rsidRPr="004A5120">
        <w:rPr>
          <w:rFonts w:ascii="David" w:hAnsi="David" w:cs="David" w:hint="cs"/>
          <w:sz w:val="24"/>
          <w:szCs w:val="24"/>
          <w:rtl/>
        </w:rPr>
        <w:t>הרמ"א הוסיף את העיקרון והרחיב אותו כעיקרון כללי ויסודי לדיני שליחות.</w:t>
      </w:r>
    </w:p>
    <w:p w14:paraId="03308D6A" w14:textId="49C830E8" w:rsidR="0076659F" w:rsidRPr="004A5120" w:rsidRDefault="0076659F"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ישנו "זיגזג" מעניין במקומות בהם חלק מהחכמים בחרו להרחיב, בעוד אחרים בחרו לצמצם.</w:t>
      </w:r>
    </w:p>
    <w:p w14:paraId="20090641" w14:textId="1541BA84" w:rsidR="0076659F" w:rsidRPr="004A5120" w:rsidRDefault="0076659F" w:rsidP="0076659F">
      <w:pPr>
        <w:tabs>
          <w:tab w:val="left" w:pos="7041"/>
        </w:tabs>
        <w:spacing w:after="0"/>
        <w:jc w:val="both"/>
        <w:rPr>
          <w:rFonts w:ascii="David" w:hAnsi="David" w:cs="David"/>
          <w:sz w:val="24"/>
          <w:szCs w:val="24"/>
          <w:rtl/>
        </w:rPr>
      </w:pPr>
    </w:p>
    <w:p w14:paraId="159D17B2" w14:textId="7E0185D7" w:rsidR="0076659F" w:rsidRPr="004A5120" w:rsidRDefault="0076659F" w:rsidP="0076659F">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השולחן ערוך כקודקס של ההלכה העברית:</w:t>
      </w:r>
    </w:p>
    <w:p w14:paraId="1B789094" w14:textId="71C0F6ED" w:rsidR="0076659F" w:rsidRDefault="003F3966"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עד ימינו, השולחן ערוך בתוספת הגהות הרמ"א </w:t>
      </w:r>
      <w:r w:rsidRPr="004A5120">
        <w:rPr>
          <w:rFonts w:ascii="David" w:hAnsi="David" w:cs="David"/>
          <w:sz w:val="24"/>
          <w:szCs w:val="24"/>
          <w:rtl/>
        </w:rPr>
        <w:t>–</w:t>
      </w:r>
      <w:r w:rsidRPr="004A5120">
        <w:rPr>
          <w:rFonts w:ascii="David" w:hAnsi="David" w:cs="David" w:hint="cs"/>
          <w:sz w:val="24"/>
          <w:szCs w:val="24"/>
          <w:rtl/>
        </w:rPr>
        <w:t xml:space="preserve"> הוא הקודקס המוסמך והמחייב של ההלכה.</w:t>
      </w:r>
    </w:p>
    <w:p w14:paraId="12CDC53B" w14:textId="567031F8" w:rsidR="00676B92" w:rsidRPr="004A5120" w:rsidRDefault="00676B92" w:rsidP="0076659F">
      <w:pPr>
        <w:tabs>
          <w:tab w:val="left" w:pos="7041"/>
        </w:tabs>
        <w:spacing w:after="0"/>
        <w:jc w:val="both"/>
        <w:rPr>
          <w:rFonts w:ascii="David" w:hAnsi="David" w:cs="David"/>
          <w:sz w:val="24"/>
          <w:szCs w:val="24"/>
          <w:rtl/>
        </w:rPr>
      </w:pPr>
      <w:r>
        <w:rPr>
          <w:rFonts w:ascii="David" w:hAnsi="David" w:cs="David" w:hint="cs"/>
          <w:sz w:val="24"/>
          <w:szCs w:val="24"/>
          <w:rtl/>
        </w:rPr>
        <w:t>שולחן ערוך + המפה לשולחן ערוך = קודקס מחייב של ההלכה</w:t>
      </w:r>
      <w:r w:rsidR="002830D4">
        <w:rPr>
          <w:rFonts w:ascii="David" w:hAnsi="David" w:cs="David" w:hint="cs"/>
          <w:sz w:val="24"/>
          <w:szCs w:val="24"/>
          <w:rtl/>
        </w:rPr>
        <w:t>, מודפסים ביחד</w:t>
      </w:r>
      <w:r>
        <w:rPr>
          <w:rFonts w:ascii="David" w:hAnsi="David" w:cs="David" w:hint="cs"/>
          <w:sz w:val="24"/>
          <w:szCs w:val="24"/>
          <w:rtl/>
        </w:rPr>
        <w:t>.</w:t>
      </w:r>
    </w:p>
    <w:p w14:paraId="1A362117" w14:textId="29A0406E" w:rsidR="003F3966" w:rsidRPr="004A5120" w:rsidRDefault="003F3966" w:rsidP="0076659F">
      <w:pPr>
        <w:tabs>
          <w:tab w:val="left" w:pos="7041"/>
        </w:tabs>
        <w:spacing w:after="0"/>
        <w:jc w:val="both"/>
        <w:rPr>
          <w:rFonts w:ascii="David" w:hAnsi="David" w:cs="David"/>
          <w:sz w:val="24"/>
          <w:szCs w:val="24"/>
          <w:rtl/>
        </w:rPr>
      </w:pPr>
    </w:p>
    <w:p w14:paraId="03D483F9" w14:textId="6044262B" w:rsidR="003F3966" w:rsidRPr="004A5120" w:rsidRDefault="003F3966"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בעיקרון ניתן להגיד, שבניגוד לביקורת על משנה התורה של הרמב"ם (שניתנה על ידי הראב"ד),</w:t>
      </w:r>
      <w:r w:rsidR="007A130B" w:rsidRPr="004A5120">
        <w:rPr>
          <w:rFonts w:ascii="David" w:hAnsi="David" w:cs="David" w:hint="cs"/>
          <w:sz w:val="24"/>
          <w:szCs w:val="24"/>
          <w:rtl/>
        </w:rPr>
        <w:t xml:space="preserve"> שגרמה לדחייתו,</w:t>
      </w:r>
      <w:r w:rsidRPr="004A5120">
        <w:rPr>
          <w:rFonts w:ascii="David" w:hAnsi="David" w:cs="David" w:hint="cs"/>
          <w:sz w:val="24"/>
          <w:szCs w:val="24"/>
          <w:rtl/>
        </w:rPr>
        <w:t xml:space="preserve"> הגהות הרמ"א השלימו את יצירתו של קארו ועזרו לה</w:t>
      </w:r>
      <w:r w:rsidR="007A130B" w:rsidRPr="004A5120">
        <w:rPr>
          <w:rFonts w:ascii="David" w:hAnsi="David" w:cs="David" w:hint="cs"/>
          <w:sz w:val="24"/>
          <w:szCs w:val="24"/>
          <w:rtl/>
        </w:rPr>
        <w:t xml:space="preserve"> להתקבל כמחייבת לכל.</w:t>
      </w:r>
    </w:p>
    <w:p w14:paraId="317934BC" w14:textId="11E8E678" w:rsidR="007A130B" w:rsidRPr="004A5120" w:rsidRDefault="007A130B" w:rsidP="0076659F">
      <w:pPr>
        <w:tabs>
          <w:tab w:val="left" w:pos="7041"/>
        </w:tabs>
        <w:spacing w:after="0"/>
        <w:jc w:val="both"/>
        <w:rPr>
          <w:rFonts w:ascii="David" w:hAnsi="David" w:cs="David"/>
          <w:sz w:val="24"/>
          <w:szCs w:val="24"/>
          <w:rtl/>
        </w:rPr>
      </w:pPr>
    </w:p>
    <w:p w14:paraId="2EDE38BA" w14:textId="2315BA21" w:rsidR="007A130B" w:rsidRPr="004A5120" w:rsidRDefault="007A130B" w:rsidP="0076659F">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lastRenderedPageBreak/>
        <w:t>חיבורי</w:t>
      </w:r>
      <w:r w:rsidR="00201ADE">
        <w:rPr>
          <w:rFonts w:ascii="David" w:hAnsi="David" w:cs="David" w:hint="cs"/>
          <w:sz w:val="24"/>
          <w:szCs w:val="24"/>
          <w:u w:val="single"/>
          <w:rtl/>
        </w:rPr>
        <w:t xml:space="preserve"> </w:t>
      </w:r>
      <w:r w:rsidRPr="004A5120">
        <w:rPr>
          <w:rFonts w:ascii="David" w:hAnsi="David" w:cs="David" w:hint="cs"/>
          <w:sz w:val="24"/>
          <w:szCs w:val="24"/>
          <w:u w:val="single"/>
          <w:rtl/>
        </w:rPr>
        <w:t>קודי'</w:t>
      </w:r>
      <w:r w:rsidR="00201ADE">
        <w:rPr>
          <w:rFonts w:ascii="David" w:hAnsi="David" w:cs="David" w:hint="cs"/>
          <w:sz w:val="24"/>
          <w:szCs w:val="24"/>
          <w:u w:val="single"/>
          <w:rtl/>
        </w:rPr>
        <w:t xml:space="preserve"> </w:t>
      </w:r>
      <w:r w:rsidRPr="004A5120">
        <w:rPr>
          <w:rFonts w:ascii="David" w:hAnsi="David" w:cs="David" w:hint="cs"/>
          <w:sz w:val="24"/>
          <w:szCs w:val="24"/>
          <w:u w:val="single"/>
          <w:rtl/>
        </w:rPr>
        <w:t>שונים משולחן ערוך:</w:t>
      </w:r>
    </w:p>
    <w:p w14:paraId="35FA623B" w14:textId="3663F623" w:rsidR="007A130B" w:rsidRPr="004A5120" w:rsidRDefault="007A130B"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שלושה גדולי הלכה שחלקו על קארו והרמ"א, חיברו כל אחד קודקס משלהם, כאשר אחד מהם חיבר פירוש לפסקי הרא"ש.</w:t>
      </w:r>
    </w:p>
    <w:p w14:paraId="33E67E33" w14:textId="2C842A11" w:rsidR="007A130B" w:rsidRPr="004A5120" w:rsidRDefault="007A130B" w:rsidP="0076659F">
      <w:pPr>
        <w:tabs>
          <w:tab w:val="left" w:pos="7041"/>
        </w:tabs>
        <w:spacing w:after="0"/>
        <w:jc w:val="both"/>
        <w:rPr>
          <w:rFonts w:ascii="David" w:hAnsi="David" w:cs="David"/>
          <w:sz w:val="24"/>
          <w:szCs w:val="24"/>
          <w:rtl/>
        </w:rPr>
      </w:pPr>
    </w:p>
    <w:p w14:paraId="654EA936" w14:textId="20CB866B" w:rsidR="007A130B" w:rsidRPr="004A5120" w:rsidRDefault="007A130B" w:rsidP="0076659F">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 xml:space="preserve">המהרש"ל </w:t>
      </w:r>
      <w:r w:rsidRPr="004A5120">
        <w:rPr>
          <w:rFonts w:ascii="David" w:hAnsi="David" w:cs="David"/>
          <w:sz w:val="24"/>
          <w:szCs w:val="24"/>
          <w:u w:val="single"/>
          <w:rtl/>
        </w:rPr>
        <w:t>–</w:t>
      </w:r>
      <w:r w:rsidRPr="004A5120">
        <w:rPr>
          <w:rFonts w:ascii="David" w:hAnsi="David" w:cs="David" w:hint="cs"/>
          <w:sz w:val="24"/>
          <w:szCs w:val="24"/>
          <w:u w:val="single"/>
          <w:rtl/>
        </w:rPr>
        <w:t xml:space="preserve"> ר' </w:t>
      </w:r>
      <w:r w:rsidR="002830D4">
        <w:rPr>
          <w:rFonts w:ascii="David" w:hAnsi="David" w:cs="David" w:hint="cs"/>
          <w:sz w:val="24"/>
          <w:szCs w:val="24"/>
          <w:u w:val="single"/>
          <w:rtl/>
        </w:rPr>
        <w:t xml:space="preserve">שלמה </w:t>
      </w:r>
      <w:r w:rsidRPr="004A5120">
        <w:rPr>
          <w:rFonts w:ascii="David" w:hAnsi="David" w:cs="David" w:hint="cs"/>
          <w:sz w:val="24"/>
          <w:szCs w:val="24"/>
          <w:u w:val="single"/>
          <w:rtl/>
        </w:rPr>
        <w:t xml:space="preserve">בר' יחיאל לוריא </w:t>
      </w:r>
      <w:r w:rsidRPr="004A5120">
        <w:rPr>
          <w:rFonts w:ascii="David" w:hAnsi="David" w:cs="David"/>
          <w:sz w:val="24"/>
          <w:szCs w:val="24"/>
          <w:u w:val="single"/>
          <w:rtl/>
        </w:rPr>
        <w:t>–</w:t>
      </w:r>
      <w:r w:rsidRPr="004A5120">
        <w:rPr>
          <w:rFonts w:ascii="David" w:hAnsi="David" w:cs="David" w:hint="cs"/>
          <w:sz w:val="24"/>
          <w:szCs w:val="24"/>
          <w:u w:val="single"/>
          <w:rtl/>
        </w:rPr>
        <w:t xml:space="preserve"> ים של שלמה:</w:t>
      </w:r>
    </w:p>
    <w:p w14:paraId="12761D64" w14:textId="3F86B211" w:rsidR="007A130B" w:rsidRPr="004A5120" w:rsidRDefault="007A130B"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החל בדומה לרמ"א לחבר ספר הלכות, מבלי שידע על פועלו הדומה של קארו, כאשר הונע מאותם צרכים. כתב ספר הלכות שנקרא "ים של שלמה" </w:t>
      </w:r>
      <w:r w:rsidRPr="004A5120">
        <w:rPr>
          <w:rFonts w:ascii="David" w:hAnsi="David" w:cs="David"/>
          <w:sz w:val="24"/>
          <w:szCs w:val="24"/>
          <w:rtl/>
        </w:rPr>
        <w:t>–</w:t>
      </w:r>
      <w:r w:rsidRPr="004A5120">
        <w:rPr>
          <w:rFonts w:ascii="David" w:hAnsi="David" w:cs="David" w:hint="cs"/>
          <w:sz w:val="24"/>
          <w:szCs w:val="24"/>
          <w:rtl/>
        </w:rPr>
        <w:t xml:space="preserve"> </w:t>
      </w:r>
      <w:r w:rsidRPr="004A5120">
        <w:rPr>
          <w:rFonts w:ascii="David" w:hAnsi="David" w:cs="David" w:hint="cs"/>
          <w:b/>
          <w:bCs/>
          <w:sz w:val="24"/>
          <w:szCs w:val="24"/>
          <w:rtl/>
        </w:rPr>
        <w:t xml:space="preserve">השונה משאר ספרות הפוסקים. </w:t>
      </w:r>
      <w:r w:rsidRPr="004A5120">
        <w:rPr>
          <w:rFonts w:ascii="David" w:hAnsi="David" w:cs="David" w:hint="cs"/>
          <w:sz w:val="24"/>
          <w:szCs w:val="24"/>
          <w:rtl/>
        </w:rPr>
        <w:t>הוא מכריע לפי שיקול דעתו בלבד, לפי הבנתו את התלמוד ומבלי מחויבות לגדולי ההלכה לפניו.</w:t>
      </w:r>
      <w:r w:rsidR="0053270C" w:rsidRPr="004A5120">
        <w:rPr>
          <w:rFonts w:ascii="David" w:hAnsi="David" w:cs="David" w:hint="cs"/>
          <w:sz w:val="24"/>
          <w:szCs w:val="24"/>
          <w:rtl/>
        </w:rPr>
        <w:t xml:space="preserve"> הוא ריכז את כל הדעות בנושא, כאשר הוא פוסק כפי שמבין שמשתמע מהתלמוד. זאת בניגוד לקארו, שחשש מניסיון להכריע בין גדולי ההלכה. סותר לגמרי את עקרונותיהם של הרמ"א וקארו, חוסר התחשבות בהלכה כבתראי והתעלמות משלושת עמודי ההוראה. הוא הציג דעות חכמים נוספים, רק כדי להסיר ספק ממקרה של פספוס. </w:t>
      </w:r>
      <w:r w:rsidR="0053270C" w:rsidRPr="004A5120">
        <w:rPr>
          <w:rFonts w:ascii="David" w:hAnsi="David" w:cs="David" w:hint="cs"/>
          <w:b/>
          <w:bCs/>
          <w:sz w:val="24"/>
          <w:szCs w:val="24"/>
          <w:rtl/>
        </w:rPr>
        <w:t xml:space="preserve">חיבורו לפי סדר התלמוד ולא לפי נושאים </w:t>
      </w:r>
      <w:r w:rsidR="0053270C" w:rsidRPr="004A5120">
        <w:rPr>
          <w:rFonts w:ascii="David" w:hAnsi="David" w:cs="David"/>
          <w:b/>
          <w:bCs/>
          <w:sz w:val="24"/>
          <w:szCs w:val="24"/>
          <w:rtl/>
        </w:rPr>
        <w:t>–</w:t>
      </w:r>
      <w:r w:rsidR="0053270C" w:rsidRPr="004A5120">
        <w:rPr>
          <w:rFonts w:ascii="David" w:hAnsi="David" w:cs="David" w:hint="cs"/>
          <w:sz w:val="24"/>
          <w:szCs w:val="24"/>
          <w:rtl/>
        </w:rPr>
        <w:t xml:space="preserve"> דבר המכביד על מציאת ההלכה, אבל מדגיש את מגמתו לפסוק לפי התלמוד.</w:t>
      </w:r>
    </w:p>
    <w:p w14:paraId="2D6A0B39" w14:textId="583D4367" w:rsidR="0053270C" w:rsidRPr="004A5120" w:rsidRDefault="0053270C" w:rsidP="0076659F">
      <w:pPr>
        <w:tabs>
          <w:tab w:val="left" w:pos="7041"/>
        </w:tabs>
        <w:spacing w:after="0"/>
        <w:jc w:val="both"/>
        <w:rPr>
          <w:rFonts w:ascii="David" w:hAnsi="David" w:cs="David"/>
          <w:sz w:val="24"/>
          <w:szCs w:val="24"/>
          <w:rtl/>
        </w:rPr>
      </w:pPr>
    </w:p>
    <w:p w14:paraId="414F9B03" w14:textId="217A64B9" w:rsidR="0053270C" w:rsidRPr="004A5120" w:rsidRDefault="007B7972"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גודל הקושי התגלה לו במסכת חולין, </w:t>
      </w:r>
      <w:r w:rsidR="00DB7C02">
        <w:rPr>
          <w:rFonts w:ascii="David" w:hAnsi="David" w:cs="David" w:hint="cs"/>
          <w:sz w:val="24"/>
          <w:szCs w:val="24"/>
          <w:rtl/>
        </w:rPr>
        <w:t>משום</w:t>
      </w:r>
      <w:r w:rsidRPr="004A5120">
        <w:rPr>
          <w:rFonts w:ascii="David" w:hAnsi="David" w:cs="David" w:hint="cs"/>
          <w:sz w:val="24"/>
          <w:szCs w:val="24"/>
          <w:rtl/>
        </w:rPr>
        <w:t xml:space="preserve"> שהקפת כל חומר התלמוד הייתה בלתי אפשרית. לכן ויתר על דיון מפורט בכל נושא, למעט מקרים עם צורך מיוחד (סוגיות קשות). </w:t>
      </w:r>
      <w:r w:rsidR="00640C7C" w:rsidRPr="004A5120">
        <w:rPr>
          <w:rFonts w:ascii="David" w:hAnsi="David" w:cs="David" w:hint="cs"/>
          <w:sz w:val="24"/>
          <w:szCs w:val="24"/>
          <w:rtl/>
        </w:rPr>
        <w:t>הפסיקה עדיין לפי התלמוד, אך מקוצרת יותר. כשהתכוון להמשיך בקונספט הזה, הגיע לידיו הבית יוסף.</w:t>
      </w:r>
    </w:p>
    <w:p w14:paraId="144B7161" w14:textId="2D494E70" w:rsidR="00640C7C" w:rsidRPr="004A5120" w:rsidRDefault="00640C7C" w:rsidP="0076659F">
      <w:pPr>
        <w:tabs>
          <w:tab w:val="left" w:pos="7041"/>
        </w:tabs>
        <w:spacing w:after="0"/>
        <w:jc w:val="both"/>
        <w:rPr>
          <w:rFonts w:ascii="David" w:hAnsi="David" w:cs="David"/>
          <w:sz w:val="24"/>
          <w:szCs w:val="24"/>
          <w:rtl/>
        </w:rPr>
      </w:pPr>
    </w:p>
    <w:p w14:paraId="7052DB01" w14:textId="13C94804" w:rsidR="00640C7C" w:rsidRPr="004A5120" w:rsidRDefault="00640C7C" w:rsidP="0076659F">
      <w:pPr>
        <w:tabs>
          <w:tab w:val="left" w:pos="7041"/>
        </w:tabs>
        <w:spacing w:after="0"/>
        <w:jc w:val="both"/>
        <w:rPr>
          <w:rFonts w:ascii="David" w:hAnsi="David" w:cs="David"/>
          <w:sz w:val="24"/>
          <w:szCs w:val="24"/>
          <w:rtl/>
        </w:rPr>
      </w:pPr>
      <w:r w:rsidRPr="004A5120">
        <w:rPr>
          <w:rFonts w:ascii="David" w:hAnsi="David" w:cs="David" w:hint="cs"/>
          <w:sz w:val="24"/>
          <w:szCs w:val="24"/>
          <w:rtl/>
        </w:rPr>
        <w:t>3 חסרונות מצא בו:</w:t>
      </w:r>
    </w:p>
    <w:p w14:paraId="2BDC790D" w14:textId="1AB46C6C" w:rsidR="00640C7C" w:rsidRPr="004A5120" w:rsidRDefault="00640C7C" w:rsidP="00640C7C">
      <w:pPr>
        <w:pStyle w:val="a3"/>
        <w:numPr>
          <w:ilvl w:val="0"/>
          <w:numId w:val="51"/>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דרך "הפשרות" </w:t>
      </w:r>
      <w:r w:rsidRPr="004A5120">
        <w:rPr>
          <w:rFonts w:ascii="David" w:hAnsi="David" w:cs="David"/>
          <w:sz w:val="24"/>
          <w:szCs w:val="24"/>
          <w:rtl/>
        </w:rPr>
        <w:t>–</w:t>
      </w:r>
      <w:r w:rsidRPr="004A5120">
        <w:rPr>
          <w:rFonts w:ascii="David" w:hAnsi="David" w:cs="David" w:hint="cs"/>
          <w:sz w:val="24"/>
          <w:szCs w:val="24"/>
          <w:rtl/>
        </w:rPr>
        <w:t xml:space="preserve"> כך כינה את קביעת הרוב של קארו, מונח זה התקבע. </w:t>
      </w:r>
    </w:p>
    <w:p w14:paraId="16B035B7" w14:textId="09605119" w:rsidR="00640C7C" w:rsidRPr="004A5120" w:rsidRDefault="00640C7C" w:rsidP="00640C7C">
      <w:pPr>
        <w:pStyle w:val="a3"/>
        <w:numPr>
          <w:ilvl w:val="0"/>
          <w:numId w:val="51"/>
        </w:numPr>
        <w:tabs>
          <w:tab w:val="left" w:pos="7041"/>
        </w:tabs>
        <w:spacing w:after="0"/>
        <w:jc w:val="both"/>
        <w:rPr>
          <w:rFonts w:ascii="David" w:hAnsi="David" w:cs="David"/>
          <w:sz w:val="24"/>
          <w:szCs w:val="24"/>
        </w:rPr>
      </w:pPr>
      <w:r w:rsidRPr="004A5120">
        <w:rPr>
          <w:rFonts w:ascii="David" w:hAnsi="David" w:cs="David" w:hint="cs"/>
          <w:sz w:val="24"/>
          <w:szCs w:val="24"/>
          <w:rtl/>
        </w:rPr>
        <w:t>בכמה מקומות לא ירד לעומק ההלכה.</w:t>
      </w:r>
    </w:p>
    <w:p w14:paraId="4F13D5E4" w14:textId="381E773A" w:rsidR="00640C7C" w:rsidRPr="004A5120" w:rsidRDefault="00640C7C" w:rsidP="00640C7C">
      <w:pPr>
        <w:pStyle w:val="a3"/>
        <w:numPr>
          <w:ilvl w:val="0"/>
          <w:numId w:val="51"/>
        </w:numPr>
        <w:tabs>
          <w:tab w:val="left" w:pos="7041"/>
        </w:tabs>
        <w:spacing w:after="0"/>
        <w:jc w:val="both"/>
        <w:rPr>
          <w:rFonts w:ascii="David" w:hAnsi="David" w:cs="David"/>
          <w:sz w:val="24"/>
          <w:szCs w:val="24"/>
        </w:rPr>
      </w:pPr>
      <w:r w:rsidRPr="004A5120">
        <w:rPr>
          <w:rFonts w:ascii="David" w:hAnsi="David" w:cs="David" w:hint="cs"/>
          <w:sz w:val="24"/>
          <w:szCs w:val="24"/>
          <w:rtl/>
        </w:rPr>
        <w:t>שיבושי נוסח בעקבות העתקים לא מדויקים.</w:t>
      </w:r>
    </w:p>
    <w:p w14:paraId="03D0C83C" w14:textId="1199B088" w:rsidR="00640C7C" w:rsidRPr="004A5120" w:rsidRDefault="00640C7C" w:rsidP="00640C7C">
      <w:pPr>
        <w:tabs>
          <w:tab w:val="left" w:pos="7041"/>
        </w:tabs>
        <w:spacing w:after="0"/>
        <w:jc w:val="both"/>
        <w:rPr>
          <w:rFonts w:ascii="David" w:hAnsi="David" w:cs="David"/>
          <w:sz w:val="24"/>
          <w:szCs w:val="24"/>
          <w:rtl/>
        </w:rPr>
      </w:pPr>
    </w:p>
    <w:p w14:paraId="501614EA" w14:textId="056BD474" w:rsidR="00640C7C" w:rsidRPr="004A5120" w:rsidRDefault="00640C7C" w:rsidP="00640C7C">
      <w:pPr>
        <w:tabs>
          <w:tab w:val="left" w:pos="7041"/>
        </w:tabs>
        <w:spacing w:after="0"/>
        <w:jc w:val="both"/>
        <w:rPr>
          <w:rFonts w:ascii="David" w:hAnsi="David" w:cs="David"/>
          <w:sz w:val="24"/>
          <w:szCs w:val="24"/>
          <w:rtl/>
        </w:rPr>
      </w:pPr>
      <w:r w:rsidRPr="004A5120">
        <w:rPr>
          <w:rFonts w:ascii="David" w:hAnsi="David" w:cs="David" w:hint="cs"/>
          <w:sz w:val="24"/>
          <w:szCs w:val="24"/>
          <w:rtl/>
        </w:rPr>
        <w:t>שלושת אלו החזירו את המהרש"ל לכתיבתו הראשונה, האריך בדיון ההלכתי ואף הוסיף את כתבי קארו, שוב למנוע טענות של פספוס. לא מצא לנכון לשלב את ספרו עם הבית יוסף, 2 סיבות:</w:t>
      </w:r>
    </w:p>
    <w:p w14:paraId="14C20F0E" w14:textId="33E4096D" w:rsidR="00640C7C" w:rsidRPr="004A5120" w:rsidRDefault="00640C7C" w:rsidP="00640C7C">
      <w:pPr>
        <w:pStyle w:val="a3"/>
        <w:numPr>
          <w:ilvl w:val="0"/>
          <w:numId w:val="52"/>
        </w:numPr>
        <w:tabs>
          <w:tab w:val="left" w:pos="7041"/>
        </w:tabs>
        <w:spacing w:after="0"/>
        <w:jc w:val="both"/>
        <w:rPr>
          <w:rFonts w:ascii="David" w:hAnsi="David" w:cs="David"/>
          <w:sz w:val="24"/>
          <w:szCs w:val="24"/>
        </w:rPr>
      </w:pPr>
      <w:r w:rsidRPr="004A5120">
        <w:rPr>
          <w:rFonts w:ascii="David" w:hAnsi="David" w:cs="David" w:hint="cs"/>
          <w:sz w:val="24"/>
          <w:szCs w:val="24"/>
          <w:rtl/>
        </w:rPr>
        <w:t xml:space="preserve">סדר שונה </w:t>
      </w:r>
      <w:r w:rsidRPr="004A5120">
        <w:rPr>
          <w:rFonts w:ascii="David" w:hAnsi="David" w:cs="David"/>
          <w:sz w:val="24"/>
          <w:szCs w:val="24"/>
          <w:rtl/>
        </w:rPr>
        <w:t>–</w:t>
      </w:r>
      <w:r w:rsidRPr="004A5120">
        <w:rPr>
          <w:rFonts w:ascii="David" w:hAnsi="David" w:cs="David" w:hint="cs"/>
          <w:sz w:val="24"/>
          <w:szCs w:val="24"/>
          <w:rtl/>
        </w:rPr>
        <w:t xml:space="preserve"> קארו ערך לפי סדר הט</w:t>
      </w:r>
      <w:r w:rsidR="00DB7C02">
        <w:rPr>
          <w:rFonts w:ascii="David" w:hAnsi="David" w:cs="David" w:hint="cs"/>
          <w:sz w:val="24"/>
          <w:szCs w:val="24"/>
          <w:rtl/>
        </w:rPr>
        <w:t>ו</w:t>
      </w:r>
      <w:r w:rsidRPr="004A5120">
        <w:rPr>
          <w:rFonts w:ascii="David" w:hAnsi="David" w:cs="David" w:hint="cs"/>
          <w:sz w:val="24"/>
          <w:szCs w:val="24"/>
          <w:rtl/>
        </w:rPr>
        <w:t>רים, המהרש"ל לפי התלמוד, אי אפשר לשלב.</w:t>
      </w:r>
    </w:p>
    <w:p w14:paraId="7F7016D2" w14:textId="39CACB3F" w:rsidR="00640C7C" w:rsidRPr="004A5120" w:rsidRDefault="00640C7C" w:rsidP="00640C7C">
      <w:pPr>
        <w:pStyle w:val="a3"/>
        <w:numPr>
          <w:ilvl w:val="0"/>
          <w:numId w:val="52"/>
        </w:num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שוני מהותי בדרכי הפסיקה </w:t>
      </w:r>
      <w:r w:rsidRPr="004A5120">
        <w:rPr>
          <w:rFonts w:ascii="David" w:hAnsi="David" w:cs="David"/>
          <w:sz w:val="24"/>
          <w:szCs w:val="24"/>
          <w:rtl/>
        </w:rPr>
        <w:t>–</w:t>
      </w:r>
      <w:r w:rsidRPr="004A5120">
        <w:rPr>
          <w:rFonts w:ascii="David" w:hAnsi="David" w:cs="David" w:hint="cs"/>
          <w:sz w:val="24"/>
          <w:szCs w:val="24"/>
          <w:rtl/>
        </w:rPr>
        <w:t xml:space="preserve"> קארו שלושת עמוד</w:t>
      </w:r>
      <w:r w:rsidR="00DB7C02">
        <w:rPr>
          <w:rFonts w:ascii="David" w:hAnsi="David" w:cs="David" w:hint="cs"/>
          <w:sz w:val="24"/>
          <w:szCs w:val="24"/>
          <w:rtl/>
        </w:rPr>
        <w:t>י</w:t>
      </w:r>
      <w:r w:rsidRPr="004A5120">
        <w:rPr>
          <w:rFonts w:ascii="David" w:hAnsi="David" w:cs="David" w:hint="cs"/>
          <w:sz w:val="24"/>
          <w:szCs w:val="24"/>
          <w:rtl/>
        </w:rPr>
        <w:t xml:space="preserve"> ההוראה, המהרש"ל </w:t>
      </w:r>
      <w:r w:rsidRPr="004A5120">
        <w:rPr>
          <w:rFonts w:ascii="David" w:hAnsi="David" w:cs="David"/>
          <w:sz w:val="24"/>
          <w:szCs w:val="24"/>
          <w:rtl/>
        </w:rPr>
        <w:t>–</w:t>
      </w:r>
      <w:r w:rsidRPr="004A5120">
        <w:rPr>
          <w:rFonts w:ascii="David" w:hAnsi="David" w:cs="David" w:hint="cs"/>
          <w:sz w:val="24"/>
          <w:szCs w:val="24"/>
          <w:rtl/>
        </w:rPr>
        <w:t xml:space="preserve"> תלמוד.</w:t>
      </w:r>
    </w:p>
    <w:p w14:paraId="5C4AB24A" w14:textId="19BADA5A" w:rsidR="007363A7" w:rsidRDefault="000A1E8C"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קשיים אלו לא עמדו בפני הרמ"א</w:t>
      </w:r>
      <w:r w:rsidR="00DB7C02">
        <w:rPr>
          <w:rFonts w:ascii="David" w:hAnsi="David" w:cs="David" w:hint="cs"/>
          <w:sz w:val="24"/>
          <w:szCs w:val="24"/>
          <w:rtl/>
        </w:rPr>
        <w:t>,</w:t>
      </w:r>
      <w:r w:rsidRPr="004A5120">
        <w:rPr>
          <w:rFonts w:ascii="David" w:hAnsi="David" w:cs="David" w:hint="cs"/>
          <w:sz w:val="24"/>
          <w:szCs w:val="24"/>
          <w:rtl/>
        </w:rPr>
        <w:t xml:space="preserve"> כיוון שהסדר היה מלכתחילה לפי סדר הטורים, כל שנותר לו היה להוסיף את הפסיקה האשכנזית ולהכריע לפי העיקרון של הלכתא </w:t>
      </w:r>
      <w:proofErr w:type="spellStart"/>
      <w:r w:rsidRPr="004A5120">
        <w:rPr>
          <w:rFonts w:ascii="David" w:hAnsi="David" w:cs="David" w:hint="cs"/>
          <w:sz w:val="24"/>
          <w:szCs w:val="24"/>
          <w:rtl/>
        </w:rPr>
        <w:t>כבתראי</w:t>
      </w:r>
      <w:proofErr w:type="spellEnd"/>
      <w:r w:rsidRPr="004A5120">
        <w:rPr>
          <w:rFonts w:ascii="David" w:hAnsi="David" w:cs="David" w:hint="cs"/>
          <w:sz w:val="24"/>
          <w:szCs w:val="24"/>
          <w:rtl/>
        </w:rPr>
        <w:t>.</w:t>
      </w:r>
    </w:p>
    <w:p w14:paraId="2E470328" w14:textId="77777777" w:rsidR="00B210D9" w:rsidRDefault="00B210D9" w:rsidP="00C6588A">
      <w:pPr>
        <w:tabs>
          <w:tab w:val="left" w:pos="7041"/>
        </w:tabs>
        <w:spacing w:after="0"/>
        <w:jc w:val="both"/>
        <w:rPr>
          <w:rFonts w:ascii="David" w:hAnsi="David" w:cs="David"/>
          <w:b/>
          <w:bCs/>
          <w:sz w:val="24"/>
          <w:szCs w:val="24"/>
          <w:rtl/>
        </w:rPr>
      </w:pPr>
    </w:p>
    <w:p w14:paraId="30577B6C" w14:textId="46193725" w:rsidR="00DB7C02" w:rsidRPr="004A5120" w:rsidRDefault="00DB7C02" w:rsidP="00C6588A">
      <w:pPr>
        <w:tabs>
          <w:tab w:val="left" w:pos="7041"/>
        </w:tabs>
        <w:spacing w:after="0"/>
        <w:jc w:val="both"/>
        <w:rPr>
          <w:rFonts w:ascii="David" w:hAnsi="David" w:cs="David"/>
          <w:sz w:val="24"/>
          <w:szCs w:val="24"/>
          <w:rtl/>
        </w:rPr>
      </w:pPr>
      <w:bookmarkStart w:id="4" w:name="_Hlk103429879"/>
      <w:r w:rsidRPr="00B210D9">
        <w:rPr>
          <w:rFonts w:ascii="David" w:hAnsi="David" w:cs="David" w:hint="cs"/>
          <w:b/>
          <w:bCs/>
          <w:sz w:val="24"/>
          <w:szCs w:val="24"/>
          <w:rtl/>
        </w:rPr>
        <w:t>קארו</w:t>
      </w:r>
      <w:r>
        <w:rPr>
          <w:rFonts w:ascii="David" w:hAnsi="David" w:cs="David" w:hint="cs"/>
          <w:sz w:val="24"/>
          <w:szCs w:val="24"/>
          <w:rtl/>
        </w:rPr>
        <w:t xml:space="preserve"> (הראשי</w:t>
      </w:r>
      <w:r w:rsidR="00B210D9">
        <w:rPr>
          <w:rFonts w:ascii="David" w:hAnsi="David" w:cs="David" w:hint="cs"/>
          <w:sz w:val="24"/>
          <w:szCs w:val="24"/>
          <w:rtl/>
        </w:rPr>
        <w:t>, "שולחן ערוך", כתב לפי "ספר הטורים"</w:t>
      </w:r>
      <w:r>
        <w:rPr>
          <w:rFonts w:ascii="David" w:hAnsi="David" w:cs="David" w:hint="cs"/>
          <w:sz w:val="24"/>
          <w:szCs w:val="24"/>
          <w:rtl/>
        </w:rPr>
        <w:t>) -&gt;</w:t>
      </w:r>
      <w:r w:rsidR="00B210D9">
        <w:rPr>
          <w:rFonts w:ascii="David" w:hAnsi="David" w:cs="David" w:hint="cs"/>
          <w:sz w:val="24"/>
          <w:szCs w:val="24"/>
          <w:rtl/>
        </w:rPr>
        <w:t xml:space="preserve"> </w:t>
      </w:r>
      <w:r w:rsidRPr="00B210D9">
        <w:rPr>
          <w:rFonts w:ascii="David" w:hAnsi="David" w:cs="David" w:hint="cs"/>
          <w:b/>
          <w:bCs/>
          <w:sz w:val="24"/>
          <w:szCs w:val="24"/>
          <w:rtl/>
        </w:rPr>
        <w:t>הרמ"א</w:t>
      </w:r>
      <w:r w:rsidR="00B210D9">
        <w:rPr>
          <w:rFonts w:ascii="David" w:hAnsi="David" w:cs="David" w:hint="cs"/>
          <w:sz w:val="24"/>
          <w:szCs w:val="24"/>
          <w:rtl/>
        </w:rPr>
        <w:t xml:space="preserve"> ("המפה לשולחן ערוך", כתב לפי "ספר הטורים") -&gt; </w:t>
      </w:r>
      <w:proofErr w:type="spellStart"/>
      <w:r w:rsidR="00B210D9" w:rsidRPr="00B210D9">
        <w:rPr>
          <w:rFonts w:ascii="David" w:hAnsi="David" w:cs="David" w:hint="cs"/>
          <w:b/>
          <w:bCs/>
          <w:sz w:val="24"/>
          <w:szCs w:val="24"/>
          <w:rtl/>
        </w:rPr>
        <w:t>מהרש"ל</w:t>
      </w:r>
      <w:proofErr w:type="spellEnd"/>
      <w:r w:rsidR="00B210D9">
        <w:rPr>
          <w:rFonts w:ascii="David" w:hAnsi="David" w:cs="David" w:hint="cs"/>
          <w:sz w:val="24"/>
          <w:szCs w:val="24"/>
          <w:rtl/>
        </w:rPr>
        <w:t xml:space="preserve"> ("ים של שלמה". פעל במקביל לשניהם, אבל סיים אחריהם. כתב לפי התלמוד).</w:t>
      </w:r>
    </w:p>
    <w:bookmarkEnd w:id="4"/>
    <w:p w14:paraId="36820452" w14:textId="34EC8C04" w:rsidR="000A1E8C" w:rsidRPr="004A5120" w:rsidRDefault="000A1E8C" w:rsidP="00C6588A">
      <w:pPr>
        <w:tabs>
          <w:tab w:val="left" w:pos="7041"/>
        </w:tabs>
        <w:spacing w:after="0"/>
        <w:jc w:val="both"/>
        <w:rPr>
          <w:rFonts w:ascii="David" w:hAnsi="David" w:cs="David"/>
          <w:sz w:val="24"/>
          <w:szCs w:val="24"/>
          <w:rtl/>
        </w:rPr>
      </w:pPr>
    </w:p>
    <w:p w14:paraId="71C44134" w14:textId="6CAE2ED4" w:rsidR="000A1E8C" w:rsidRPr="004A5120" w:rsidRDefault="000A1E8C" w:rsidP="00C6588A">
      <w:pPr>
        <w:tabs>
          <w:tab w:val="left" w:pos="7041"/>
        </w:tabs>
        <w:spacing w:after="0"/>
        <w:jc w:val="both"/>
        <w:rPr>
          <w:rFonts w:ascii="David" w:hAnsi="David" w:cs="David"/>
          <w:sz w:val="24"/>
          <w:szCs w:val="24"/>
          <w:rtl/>
        </w:rPr>
      </w:pPr>
      <w:r w:rsidRPr="004A5120">
        <w:rPr>
          <w:rFonts w:ascii="David" w:hAnsi="David" w:cs="David" w:hint="cs"/>
          <w:sz w:val="24"/>
          <w:szCs w:val="24"/>
          <w:rtl/>
        </w:rPr>
        <w:t>הכרעתו של המהרש"ל נתפרסמה אך לא התקבלה, כנראה בגלל הקושי בהתמצאות או בשל עצמאות הפסיקה, בניגוד לפסיקה המקובלת זה דורות.</w:t>
      </w:r>
    </w:p>
    <w:p w14:paraId="6D13804C" w14:textId="77777777" w:rsidR="00201ADE" w:rsidRDefault="00201ADE" w:rsidP="00C6588A">
      <w:pPr>
        <w:tabs>
          <w:tab w:val="left" w:pos="7041"/>
        </w:tabs>
        <w:spacing w:after="0"/>
        <w:jc w:val="both"/>
        <w:rPr>
          <w:rFonts w:ascii="David" w:hAnsi="David" w:cs="David"/>
          <w:b/>
          <w:bCs/>
          <w:sz w:val="24"/>
          <w:szCs w:val="24"/>
          <w:u w:val="single"/>
          <w:rtl/>
        </w:rPr>
      </w:pPr>
    </w:p>
    <w:p w14:paraId="71477572" w14:textId="7A1E0785" w:rsidR="000A1E8C" w:rsidRPr="004A5120" w:rsidRDefault="000A1E8C" w:rsidP="00C6588A">
      <w:pPr>
        <w:tabs>
          <w:tab w:val="left" w:pos="7041"/>
        </w:tabs>
        <w:spacing w:after="0"/>
        <w:jc w:val="both"/>
        <w:rPr>
          <w:rFonts w:ascii="David" w:hAnsi="David" w:cs="David"/>
          <w:b/>
          <w:bCs/>
          <w:sz w:val="24"/>
          <w:szCs w:val="24"/>
          <w:u w:val="single"/>
          <w:rtl/>
        </w:rPr>
      </w:pPr>
      <w:r w:rsidRPr="004A5120">
        <w:rPr>
          <w:rFonts w:ascii="David" w:hAnsi="David" w:cs="David" w:hint="cs"/>
          <w:b/>
          <w:bCs/>
          <w:sz w:val="24"/>
          <w:szCs w:val="24"/>
          <w:u w:val="single"/>
          <w:rtl/>
        </w:rPr>
        <w:t>התקבלותו של השולחן ערוך כקודקס של ההלכה:</w:t>
      </w:r>
    </w:p>
    <w:p w14:paraId="5B05BDE4" w14:textId="77777777" w:rsidR="000A1E8C" w:rsidRPr="004A5120" w:rsidRDefault="000A1E8C" w:rsidP="00C6588A">
      <w:pPr>
        <w:tabs>
          <w:tab w:val="left" w:pos="7041"/>
        </w:tabs>
        <w:spacing w:after="0"/>
        <w:jc w:val="both"/>
        <w:rPr>
          <w:rFonts w:ascii="David" w:hAnsi="David" w:cs="David"/>
          <w:sz w:val="24"/>
          <w:szCs w:val="24"/>
          <w:u w:val="single"/>
          <w:rtl/>
        </w:rPr>
      </w:pPr>
    </w:p>
    <w:p w14:paraId="7BD4F767" w14:textId="14E99B06" w:rsidR="004F4B19" w:rsidRPr="004A5120" w:rsidRDefault="00AA4EA2" w:rsidP="00B919A8">
      <w:pPr>
        <w:tabs>
          <w:tab w:val="left" w:pos="7041"/>
        </w:tabs>
        <w:spacing w:after="0"/>
        <w:jc w:val="both"/>
        <w:rPr>
          <w:rFonts w:ascii="David" w:hAnsi="David" w:cs="David"/>
          <w:sz w:val="24"/>
          <w:szCs w:val="24"/>
          <w:u w:val="single"/>
          <w:rtl/>
        </w:rPr>
      </w:pPr>
      <w:r>
        <w:rPr>
          <w:rFonts w:ascii="David" w:hAnsi="David" w:cs="David" w:hint="cs"/>
          <w:sz w:val="24"/>
          <w:szCs w:val="24"/>
          <w:u w:val="single"/>
          <w:rtl/>
        </w:rPr>
        <w:t>"</w:t>
      </w:r>
      <w:r w:rsidR="000A1E8C" w:rsidRPr="004A5120">
        <w:rPr>
          <w:rFonts w:ascii="David" w:hAnsi="David" w:cs="David" w:hint="cs"/>
          <w:sz w:val="24"/>
          <w:szCs w:val="24"/>
          <w:u w:val="single"/>
          <w:rtl/>
        </w:rPr>
        <w:t>נושאי כלים</w:t>
      </w:r>
      <w:r>
        <w:rPr>
          <w:rFonts w:ascii="David" w:hAnsi="David" w:cs="David" w:hint="cs"/>
          <w:sz w:val="24"/>
          <w:szCs w:val="24"/>
          <w:u w:val="single"/>
          <w:rtl/>
        </w:rPr>
        <w:t>"</w:t>
      </w:r>
      <w:r w:rsidR="000A1E8C" w:rsidRPr="004A5120">
        <w:rPr>
          <w:rFonts w:ascii="David" w:hAnsi="David" w:cs="David" w:hint="cs"/>
          <w:sz w:val="24"/>
          <w:szCs w:val="24"/>
          <w:u w:val="single"/>
          <w:rtl/>
        </w:rPr>
        <w:t xml:space="preserve"> </w:t>
      </w:r>
      <w:r w:rsidR="000A1E8C" w:rsidRPr="004A5120">
        <w:rPr>
          <w:rFonts w:ascii="David" w:hAnsi="David" w:cs="David"/>
          <w:sz w:val="24"/>
          <w:szCs w:val="24"/>
          <w:u w:val="single"/>
          <w:rtl/>
        </w:rPr>
        <w:t>–</w:t>
      </w:r>
      <w:r w:rsidR="000A1E8C" w:rsidRPr="004A5120">
        <w:rPr>
          <w:rFonts w:ascii="David" w:hAnsi="David" w:cs="David" w:hint="cs"/>
          <w:sz w:val="24"/>
          <w:szCs w:val="24"/>
          <w:u w:val="single"/>
          <w:rtl/>
        </w:rPr>
        <w:t xml:space="preserve"> השלמת הצורה הקודי' של ההלכה:</w:t>
      </w:r>
    </w:p>
    <w:p w14:paraId="502501B0" w14:textId="01FC53AA" w:rsidR="000A1E8C" w:rsidRPr="004A5120" w:rsidRDefault="000A1E8C"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פירוש מוסמך ובלתי נפרד משולחן ערוך, הדיין חייב לעיין בו לפני שהוא פוסק. פתר את בעיית החשש מפני ניתוק רצף ההלכה, הקשר עם המקורות ומגוון הדעות. בפועל, ההלכה העברית לא יכלה לקבל ספר פסקים סתמי, מנותק ממקורות. </w:t>
      </w:r>
      <w:r w:rsidRPr="004A5120">
        <w:rPr>
          <w:rFonts w:ascii="David" w:hAnsi="David" w:cs="David" w:hint="cs"/>
          <w:b/>
          <w:bCs/>
          <w:sz w:val="24"/>
          <w:szCs w:val="24"/>
          <w:rtl/>
        </w:rPr>
        <w:t>הדרך הראויה הייתה להצמיד באותו המקום ממש, צמוד להלכה הפסוקה, פירוש מוסמך שהדיין חייב לעיין בו כדי לפסוק את הדין.</w:t>
      </w:r>
      <w:r w:rsidRPr="004A5120">
        <w:rPr>
          <w:rFonts w:ascii="David" w:hAnsi="David" w:cs="David" w:hint="cs"/>
          <w:sz w:val="24"/>
          <w:szCs w:val="24"/>
          <w:rtl/>
        </w:rPr>
        <w:t xml:space="preserve"> כך נכתבו ארבעת נושאי הכלים, </w:t>
      </w:r>
      <w:r w:rsidRPr="00AA4EA2">
        <w:rPr>
          <w:rFonts w:ascii="David" w:hAnsi="David" w:cs="David" w:hint="cs"/>
          <w:b/>
          <w:bCs/>
          <w:sz w:val="24"/>
          <w:szCs w:val="24"/>
          <w:rtl/>
        </w:rPr>
        <w:t>הקובעים כי ניתן לערער עליהם ומטרתם היא לעורר שאלות ונקודות חשובות.</w:t>
      </w:r>
      <w:r w:rsidRPr="004A5120">
        <w:rPr>
          <w:rFonts w:ascii="David" w:hAnsi="David" w:cs="David" w:hint="cs"/>
          <w:sz w:val="24"/>
          <w:szCs w:val="24"/>
          <w:rtl/>
        </w:rPr>
        <w:t xml:space="preserve"> העיון בנושאי הכלים הפך לחלק מהותי של הפסיקה מתוך השולחן ערוך, בלעדיהם לא ניתן לפסוק.</w:t>
      </w:r>
    </w:p>
    <w:p w14:paraId="48224EFD" w14:textId="673D1C86" w:rsidR="000A1E8C" w:rsidRPr="004A5120" w:rsidRDefault="000A1E8C" w:rsidP="00B919A8">
      <w:pPr>
        <w:tabs>
          <w:tab w:val="left" w:pos="7041"/>
        </w:tabs>
        <w:spacing w:after="0"/>
        <w:jc w:val="both"/>
        <w:rPr>
          <w:rFonts w:ascii="David" w:hAnsi="David" w:cs="David"/>
          <w:sz w:val="24"/>
          <w:szCs w:val="24"/>
          <w:rtl/>
        </w:rPr>
      </w:pPr>
    </w:p>
    <w:p w14:paraId="2E7C1EA4" w14:textId="4A9F2A2D" w:rsidR="000A1E8C" w:rsidRPr="004A5120" w:rsidRDefault="000A1E8C" w:rsidP="00B919A8">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המציאות ההיסטורית כגורם התקבלותו של השולחן ערוך:</w:t>
      </w:r>
    </w:p>
    <w:p w14:paraId="5721E74C" w14:textId="4CA64A1F" w:rsidR="000A1E8C" w:rsidRPr="004A5120" w:rsidRDefault="00AA4EA2" w:rsidP="00B919A8">
      <w:pPr>
        <w:tabs>
          <w:tab w:val="left" w:pos="7041"/>
        </w:tabs>
        <w:spacing w:after="0"/>
        <w:jc w:val="both"/>
        <w:rPr>
          <w:rFonts w:ascii="David" w:hAnsi="David" w:cs="David"/>
          <w:b/>
          <w:bCs/>
          <w:sz w:val="24"/>
          <w:szCs w:val="24"/>
          <w:rtl/>
        </w:rPr>
      </w:pPr>
      <w:r>
        <w:rPr>
          <w:rFonts w:ascii="David" w:hAnsi="David" w:cs="David" w:hint="cs"/>
          <w:sz w:val="24"/>
          <w:szCs w:val="24"/>
          <w:rtl/>
        </w:rPr>
        <w:t>עקב</w:t>
      </w:r>
      <w:r w:rsidR="00756D86" w:rsidRPr="004A5120">
        <w:rPr>
          <w:rFonts w:ascii="David" w:hAnsi="David" w:cs="David" w:hint="cs"/>
          <w:sz w:val="24"/>
          <w:szCs w:val="24"/>
          <w:rtl/>
        </w:rPr>
        <w:t xml:space="preserve"> פרעות שה</w:t>
      </w:r>
      <w:r>
        <w:rPr>
          <w:rFonts w:ascii="David" w:hAnsi="David" w:cs="David" w:hint="cs"/>
          <w:sz w:val="24"/>
          <w:szCs w:val="24"/>
          <w:rtl/>
        </w:rPr>
        <w:t>חר</w:t>
      </w:r>
      <w:r w:rsidR="00756D86" w:rsidRPr="004A5120">
        <w:rPr>
          <w:rFonts w:ascii="David" w:hAnsi="David" w:cs="David" w:hint="cs"/>
          <w:sz w:val="24"/>
          <w:szCs w:val="24"/>
          <w:rtl/>
        </w:rPr>
        <w:t xml:space="preserve">יבו מרכזי יהדות גדולים, נוצרה קרקע פורייה למתן סמכות לספרי הפוסקים. שולחן ערוך, הגהות הרמ"א ונושאי הכלים </w:t>
      </w:r>
      <w:r w:rsidR="00756D86" w:rsidRPr="004A5120">
        <w:rPr>
          <w:rFonts w:ascii="David" w:hAnsi="David" w:cs="David"/>
          <w:sz w:val="24"/>
          <w:szCs w:val="24"/>
          <w:rtl/>
        </w:rPr>
        <w:t>–</w:t>
      </w:r>
      <w:r w:rsidR="00756D86" w:rsidRPr="004A5120">
        <w:rPr>
          <w:rFonts w:ascii="David" w:hAnsi="David" w:cs="David" w:hint="cs"/>
          <w:sz w:val="24"/>
          <w:szCs w:val="24"/>
          <w:rtl/>
        </w:rPr>
        <w:t xml:space="preserve"> קיבלו כל אחד כוח הכרעה בנסיבות מסוימות, כאשר </w:t>
      </w:r>
      <w:r w:rsidR="00756D86" w:rsidRPr="004A5120">
        <w:rPr>
          <w:rFonts w:ascii="David" w:hAnsi="David" w:cs="David" w:hint="cs"/>
          <w:sz w:val="24"/>
          <w:szCs w:val="24"/>
          <w:u w:val="single"/>
          <w:rtl/>
        </w:rPr>
        <w:t>הטועה בדבריהם הוא טועה בדבר משנה</w:t>
      </w:r>
      <w:r w:rsidR="00FD5CCA">
        <w:rPr>
          <w:rFonts w:ascii="David" w:hAnsi="David" w:cs="David" w:hint="cs"/>
          <w:sz w:val="24"/>
          <w:szCs w:val="24"/>
          <w:rtl/>
        </w:rPr>
        <w:t xml:space="preserve"> </w:t>
      </w:r>
      <w:r w:rsidR="00FD5CCA">
        <w:rPr>
          <w:rFonts w:ascii="David" w:hAnsi="David" w:cs="David"/>
          <w:sz w:val="24"/>
          <w:szCs w:val="24"/>
          <w:rtl/>
        </w:rPr>
        <w:t>–</w:t>
      </w:r>
      <w:r w:rsidR="00FD5CCA">
        <w:rPr>
          <w:rFonts w:ascii="David" w:hAnsi="David" w:cs="David" w:hint="cs"/>
          <w:sz w:val="24"/>
          <w:szCs w:val="24"/>
          <w:rtl/>
        </w:rPr>
        <w:t xml:space="preserve"> משמע, לא ניתן לפקפק בדבריהם.</w:t>
      </w:r>
      <w:r w:rsidR="00756D86" w:rsidRPr="004A5120">
        <w:rPr>
          <w:rFonts w:ascii="David" w:hAnsi="David" w:cs="David" w:hint="cs"/>
          <w:sz w:val="24"/>
          <w:szCs w:val="24"/>
          <w:rtl/>
        </w:rPr>
        <w:t xml:space="preserve"> זו לא רק הכרעה בכוחם, אלא </w:t>
      </w:r>
      <w:r w:rsidR="00756D86" w:rsidRPr="004A5120">
        <w:rPr>
          <w:rFonts w:ascii="David" w:hAnsi="David" w:cs="David" w:hint="cs"/>
          <w:b/>
          <w:bCs/>
          <w:sz w:val="24"/>
          <w:szCs w:val="24"/>
          <w:rtl/>
        </w:rPr>
        <w:t>כמקור לפסוק מכוחו.</w:t>
      </w:r>
    </w:p>
    <w:p w14:paraId="60378CDE" w14:textId="4E241CA7" w:rsidR="00756D86" w:rsidRPr="004A5120" w:rsidRDefault="00756D86" w:rsidP="00B919A8">
      <w:pPr>
        <w:tabs>
          <w:tab w:val="left" w:pos="7041"/>
        </w:tabs>
        <w:spacing w:after="0"/>
        <w:jc w:val="both"/>
        <w:rPr>
          <w:rFonts w:ascii="David" w:hAnsi="David" w:cs="David"/>
          <w:b/>
          <w:bCs/>
          <w:sz w:val="24"/>
          <w:szCs w:val="24"/>
          <w:rtl/>
        </w:rPr>
      </w:pPr>
    </w:p>
    <w:p w14:paraId="5A6C241C" w14:textId="1BA5C21E" w:rsidR="00756D86" w:rsidRPr="004A5120" w:rsidRDefault="00756D86" w:rsidP="00B919A8">
      <w:pPr>
        <w:tabs>
          <w:tab w:val="left" w:pos="7041"/>
        </w:tabs>
        <w:spacing w:after="0"/>
        <w:jc w:val="both"/>
        <w:rPr>
          <w:rFonts w:ascii="David" w:hAnsi="David" w:cs="David"/>
          <w:sz w:val="24"/>
          <w:szCs w:val="24"/>
          <w:rtl/>
        </w:rPr>
      </w:pPr>
      <w:r w:rsidRPr="004A5120">
        <w:rPr>
          <w:rFonts w:ascii="David" w:hAnsi="David" w:cs="David" w:hint="cs"/>
          <w:sz w:val="24"/>
          <w:szCs w:val="24"/>
          <w:u w:val="single"/>
          <w:rtl/>
        </w:rPr>
        <w:t xml:space="preserve">חיבור נושאי הכלים, </w:t>
      </w:r>
      <w:r w:rsidRPr="004A5120">
        <w:rPr>
          <w:rFonts w:ascii="David" w:hAnsi="David" w:cs="David" w:hint="cs"/>
          <w:sz w:val="24"/>
          <w:szCs w:val="24"/>
          <w:rtl/>
        </w:rPr>
        <w:t>הוא שהקנה לשולחן ערוך את כוחו הרב והפכו למקור מוסמך לפסיקה.</w:t>
      </w:r>
    </w:p>
    <w:p w14:paraId="4114C83F" w14:textId="55530070" w:rsidR="00756D86" w:rsidRPr="004A5120" w:rsidRDefault="00756D86" w:rsidP="00B919A8">
      <w:pPr>
        <w:tabs>
          <w:tab w:val="left" w:pos="7041"/>
        </w:tabs>
        <w:spacing w:after="0"/>
        <w:jc w:val="both"/>
        <w:rPr>
          <w:rFonts w:ascii="David" w:hAnsi="David" w:cs="David"/>
          <w:sz w:val="24"/>
          <w:szCs w:val="24"/>
          <w:rtl/>
        </w:rPr>
      </w:pPr>
    </w:p>
    <w:p w14:paraId="6C44A393" w14:textId="3D60868E" w:rsidR="00756D86" w:rsidRPr="004A5120" w:rsidRDefault="00756D86" w:rsidP="00B919A8">
      <w:pPr>
        <w:tabs>
          <w:tab w:val="left" w:pos="7041"/>
        </w:tabs>
        <w:spacing w:after="0"/>
        <w:jc w:val="both"/>
        <w:rPr>
          <w:rFonts w:ascii="David" w:hAnsi="David" w:cs="David"/>
          <w:sz w:val="24"/>
          <w:szCs w:val="24"/>
          <w:rtl/>
        </w:rPr>
      </w:pPr>
      <w:r w:rsidRPr="004A5120">
        <w:rPr>
          <w:rFonts w:ascii="David" w:hAnsi="David" w:cs="David" w:hint="cs"/>
          <w:sz w:val="24"/>
          <w:szCs w:val="24"/>
          <w:rtl/>
        </w:rPr>
        <w:t xml:space="preserve">כך התקבל הקודקס המקסים שלנו </w:t>
      </w:r>
      <w:r w:rsidRPr="004A5120">
        <w:rPr>
          <w:rFonts w:ascii="David" w:hAnsi="David" w:cs="David"/>
          <w:sz w:val="24"/>
          <w:szCs w:val="24"/>
          <w:rtl/>
        </w:rPr>
        <w:t>–</w:t>
      </w:r>
      <w:r w:rsidRPr="004A5120">
        <w:rPr>
          <w:rFonts w:ascii="David" w:hAnsi="David" w:cs="David" w:hint="cs"/>
          <w:sz w:val="24"/>
          <w:szCs w:val="24"/>
          <w:rtl/>
        </w:rPr>
        <w:t xml:space="preserve"> שולחן ערוך, המורכב מדברי קארו והגהות הרמ"א </w:t>
      </w:r>
      <w:r w:rsidRPr="004A5120">
        <w:rPr>
          <w:rFonts w:ascii="David" w:hAnsi="David" w:cs="David"/>
          <w:sz w:val="24"/>
          <w:szCs w:val="24"/>
          <w:rtl/>
        </w:rPr>
        <w:t>–</w:t>
      </w:r>
      <w:r w:rsidRPr="004A5120">
        <w:rPr>
          <w:rFonts w:ascii="David" w:hAnsi="David" w:cs="David" w:hint="cs"/>
          <w:sz w:val="24"/>
          <w:szCs w:val="24"/>
          <w:rtl/>
        </w:rPr>
        <w:t xml:space="preserve"> במרכז (ספר סתמי). לצד הבית יוסף (ספר הלכות). כל אלו משלימים לכדי יצירה אחת מושלמת. </w:t>
      </w:r>
    </w:p>
    <w:p w14:paraId="6A2ACB71" w14:textId="77777777" w:rsidR="004F4B19" w:rsidRPr="004A5120" w:rsidRDefault="004F4B19" w:rsidP="00B919A8">
      <w:pPr>
        <w:tabs>
          <w:tab w:val="left" w:pos="7041"/>
        </w:tabs>
        <w:spacing w:after="0"/>
        <w:jc w:val="both"/>
        <w:rPr>
          <w:rFonts w:ascii="David" w:hAnsi="David" w:cs="David"/>
          <w:sz w:val="24"/>
          <w:szCs w:val="24"/>
        </w:rPr>
      </w:pPr>
    </w:p>
    <w:p w14:paraId="2E200EDA" w14:textId="77777777" w:rsidR="009F1D75" w:rsidRDefault="009F1D75" w:rsidP="00D606EF">
      <w:pPr>
        <w:tabs>
          <w:tab w:val="left" w:pos="7041"/>
        </w:tabs>
        <w:spacing w:after="0"/>
        <w:jc w:val="center"/>
        <w:rPr>
          <w:rFonts w:ascii="David" w:hAnsi="David" w:cs="David"/>
          <w:b/>
          <w:bCs/>
          <w:sz w:val="28"/>
          <w:szCs w:val="28"/>
          <w:u w:val="single"/>
          <w:rtl/>
        </w:rPr>
      </w:pPr>
    </w:p>
    <w:p w14:paraId="0D893475" w14:textId="77777777" w:rsidR="009F1D75" w:rsidRDefault="009F1D75" w:rsidP="00D606EF">
      <w:pPr>
        <w:tabs>
          <w:tab w:val="left" w:pos="7041"/>
        </w:tabs>
        <w:spacing w:after="0"/>
        <w:jc w:val="center"/>
        <w:rPr>
          <w:rFonts w:ascii="David" w:hAnsi="David" w:cs="David"/>
          <w:b/>
          <w:bCs/>
          <w:sz w:val="28"/>
          <w:szCs w:val="28"/>
          <w:u w:val="single"/>
          <w:rtl/>
        </w:rPr>
      </w:pPr>
    </w:p>
    <w:p w14:paraId="2A1C1136" w14:textId="77777777" w:rsidR="009F1D75" w:rsidRDefault="009F1D75" w:rsidP="00D606EF">
      <w:pPr>
        <w:tabs>
          <w:tab w:val="left" w:pos="7041"/>
        </w:tabs>
        <w:spacing w:after="0"/>
        <w:jc w:val="center"/>
        <w:rPr>
          <w:rFonts w:ascii="David" w:hAnsi="David" w:cs="David"/>
          <w:b/>
          <w:bCs/>
          <w:sz w:val="28"/>
          <w:szCs w:val="28"/>
          <w:u w:val="single"/>
          <w:rtl/>
        </w:rPr>
      </w:pPr>
    </w:p>
    <w:p w14:paraId="01EE8485" w14:textId="77777777" w:rsidR="009F1D75" w:rsidRDefault="009F1D75" w:rsidP="00D606EF">
      <w:pPr>
        <w:tabs>
          <w:tab w:val="left" w:pos="7041"/>
        </w:tabs>
        <w:spacing w:after="0"/>
        <w:jc w:val="center"/>
        <w:rPr>
          <w:rFonts w:ascii="David" w:hAnsi="David" w:cs="David"/>
          <w:b/>
          <w:bCs/>
          <w:sz w:val="28"/>
          <w:szCs w:val="28"/>
          <w:u w:val="single"/>
          <w:rtl/>
        </w:rPr>
      </w:pPr>
    </w:p>
    <w:p w14:paraId="66A532E9" w14:textId="77777777" w:rsidR="009F1D75" w:rsidRDefault="009F1D75" w:rsidP="00D606EF">
      <w:pPr>
        <w:tabs>
          <w:tab w:val="left" w:pos="7041"/>
        </w:tabs>
        <w:spacing w:after="0"/>
        <w:jc w:val="center"/>
        <w:rPr>
          <w:rFonts w:ascii="David" w:hAnsi="David" w:cs="David"/>
          <w:b/>
          <w:bCs/>
          <w:sz w:val="28"/>
          <w:szCs w:val="28"/>
          <w:u w:val="single"/>
          <w:rtl/>
        </w:rPr>
      </w:pPr>
    </w:p>
    <w:p w14:paraId="6E581AE8" w14:textId="77777777" w:rsidR="009F1D75" w:rsidRDefault="009F1D75" w:rsidP="00D606EF">
      <w:pPr>
        <w:tabs>
          <w:tab w:val="left" w:pos="7041"/>
        </w:tabs>
        <w:spacing w:after="0"/>
        <w:jc w:val="center"/>
        <w:rPr>
          <w:rFonts w:ascii="David" w:hAnsi="David" w:cs="David"/>
          <w:b/>
          <w:bCs/>
          <w:sz w:val="28"/>
          <w:szCs w:val="28"/>
          <w:u w:val="single"/>
          <w:rtl/>
        </w:rPr>
      </w:pPr>
    </w:p>
    <w:p w14:paraId="487C7B2A" w14:textId="6A9EEF88" w:rsidR="009F257D" w:rsidRPr="00D606EF" w:rsidRDefault="009F257D" w:rsidP="00D606EF">
      <w:pPr>
        <w:tabs>
          <w:tab w:val="left" w:pos="7041"/>
        </w:tabs>
        <w:spacing w:after="0"/>
        <w:jc w:val="center"/>
        <w:rPr>
          <w:rFonts w:ascii="David" w:hAnsi="David" w:cs="David"/>
          <w:b/>
          <w:bCs/>
          <w:sz w:val="28"/>
          <w:szCs w:val="28"/>
          <w:u w:val="single"/>
          <w:rtl/>
        </w:rPr>
      </w:pPr>
      <w:r w:rsidRPr="00D606EF">
        <w:rPr>
          <w:rFonts w:ascii="David" w:hAnsi="David" w:cs="David" w:hint="cs"/>
          <w:b/>
          <w:bCs/>
          <w:sz w:val="28"/>
          <w:szCs w:val="28"/>
          <w:u w:val="single"/>
          <w:rtl/>
        </w:rPr>
        <w:t>סיכום בוחן 8</w:t>
      </w:r>
    </w:p>
    <w:p w14:paraId="2971BF1E" w14:textId="77777777" w:rsidR="009F257D" w:rsidRPr="004A5120" w:rsidRDefault="009F257D" w:rsidP="009F257D">
      <w:pPr>
        <w:tabs>
          <w:tab w:val="left" w:pos="7041"/>
        </w:tabs>
        <w:spacing w:after="0"/>
        <w:jc w:val="both"/>
        <w:rPr>
          <w:rFonts w:ascii="David" w:hAnsi="David" w:cs="David"/>
          <w:b/>
          <w:bCs/>
          <w:sz w:val="24"/>
          <w:szCs w:val="24"/>
          <w:rtl/>
        </w:rPr>
      </w:pPr>
    </w:p>
    <w:p w14:paraId="002086E5" w14:textId="2546D54D" w:rsidR="009F257D" w:rsidRPr="004A5120" w:rsidRDefault="009F257D" w:rsidP="009F257D">
      <w:pPr>
        <w:tabs>
          <w:tab w:val="left" w:pos="7041"/>
        </w:tabs>
        <w:spacing w:after="0"/>
        <w:jc w:val="both"/>
        <w:rPr>
          <w:rFonts w:ascii="David" w:hAnsi="David" w:cs="David"/>
          <w:sz w:val="24"/>
          <w:szCs w:val="24"/>
          <w:u w:val="single"/>
          <w:rtl/>
        </w:rPr>
      </w:pPr>
      <w:r w:rsidRPr="004A5120">
        <w:rPr>
          <w:rFonts w:ascii="David" w:hAnsi="David" w:cs="David" w:hint="cs"/>
          <w:sz w:val="24"/>
          <w:szCs w:val="24"/>
          <w:u w:val="single"/>
          <w:rtl/>
        </w:rPr>
        <w:t>תקופת הגאונים:</w:t>
      </w:r>
    </w:p>
    <w:p w14:paraId="63CE8363" w14:textId="04935F02" w:rsidR="009F257D" w:rsidRPr="004A5120" w:rsidRDefault="009F257D" w:rsidP="009F257D">
      <w:pPr>
        <w:tabs>
          <w:tab w:val="left" w:pos="7041"/>
        </w:tabs>
        <w:spacing w:after="0"/>
        <w:jc w:val="both"/>
        <w:rPr>
          <w:rFonts w:ascii="David" w:hAnsi="David" w:cs="David"/>
          <w:sz w:val="24"/>
          <w:szCs w:val="24"/>
          <w:rtl/>
        </w:rPr>
      </w:pPr>
    </w:p>
    <w:p w14:paraId="24B094BD" w14:textId="2BF19784" w:rsidR="009F257D" w:rsidRPr="004A5120" w:rsidRDefault="009F257D" w:rsidP="009F257D">
      <w:pPr>
        <w:tabs>
          <w:tab w:val="left" w:pos="7041"/>
        </w:tabs>
        <w:spacing w:after="0"/>
        <w:jc w:val="both"/>
        <w:rPr>
          <w:rFonts w:ascii="David" w:hAnsi="David" w:cs="David"/>
          <w:sz w:val="24"/>
          <w:szCs w:val="24"/>
          <w:rtl/>
        </w:rPr>
      </w:pPr>
      <w:r w:rsidRPr="004A5120">
        <w:rPr>
          <w:rFonts w:ascii="David" w:hAnsi="David" w:cs="David" w:hint="cs"/>
          <w:sz w:val="24"/>
          <w:szCs w:val="24"/>
          <w:rtl/>
        </w:rPr>
        <w:t>אמצע המאה השמינית</w:t>
      </w:r>
      <w:r w:rsidR="005D5A7C" w:rsidRPr="004A5120">
        <w:rPr>
          <w:rFonts w:ascii="David" w:hAnsi="David" w:cs="David" w:hint="cs"/>
          <w:sz w:val="24"/>
          <w:szCs w:val="24"/>
          <w:rtl/>
        </w:rPr>
        <w:t xml:space="preserve">, ישיבות בבל היו במעמד-על לעומת כל המרכזים היהודים בעולם. נשלחו לגאונים שאלות מכל העולם, באמצעות סוחרים ושיירות. במצרים ישב אחד הנציגים של בבל, משם עברו רוב השיירות, </w:t>
      </w:r>
      <w:r w:rsidR="009F1D75">
        <w:rPr>
          <w:rFonts w:ascii="David" w:hAnsi="David" w:cs="David" w:hint="cs"/>
          <w:sz w:val="24"/>
          <w:szCs w:val="24"/>
          <w:rtl/>
        </w:rPr>
        <w:t>כ</w:t>
      </w:r>
      <w:r w:rsidR="005D5A7C" w:rsidRPr="004A5120">
        <w:rPr>
          <w:rFonts w:ascii="David" w:hAnsi="David" w:cs="David" w:hint="cs"/>
          <w:sz w:val="24"/>
          <w:szCs w:val="24"/>
          <w:rtl/>
        </w:rPr>
        <w:t xml:space="preserve">אשר היה תלמיד חכם וטיפל במיון השאלות, הבהרתן ומניעה של כפילויות. עם השאלות צורפו סכומי כסף שתחזקו את הישיבות. התהליך היה ארוך, לעתים אפילו שנה, כאשר התשובות חזרו באותה הדרך, הועתקו והועברו לקהילות אחרות. עריכת התשובות התבצעה ע"י כל חכמי הישיבה ולבסוף נוסחה ע"י ראש הישיבה, הגאון. זה מה שמבדיל את תשובות הגאונים </w:t>
      </w:r>
      <w:r w:rsidR="005D5A7C" w:rsidRPr="004A5120">
        <w:rPr>
          <w:rFonts w:ascii="David" w:hAnsi="David" w:cs="David"/>
          <w:sz w:val="24"/>
          <w:szCs w:val="24"/>
          <w:rtl/>
        </w:rPr>
        <w:t>–</w:t>
      </w:r>
      <w:r w:rsidR="005D5A7C" w:rsidRPr="004A5120">
        <w:rPr>
          <w:rFonts w:ascii="David" w:hAnsi="David" w:cs="David" w:hint="cs"/>
          <w:sz w:val="24"/>
          <w:szCs w:val="24"/>
          <w:rtl/>
        </w:rPr>
        <w:t xml:space="preserve"> לתשובות של התקופה הרבני</w:t>
      </w:r>
      <w:r w:rsidR="00CD44BF">
        <w:rPr>
          <w:rFonts w:ascii="David" w:hAnsi="David" w:cs="David" w:hint="cs"/>
          <w:sz w:val="24"/>
          <w:szCs w:val="24"/>
          <w:rtl/>
        </w:rPr>
        <w:t>ת</w:t>
      </w:r>
      <w:r w:rsidR="005D5A7C" w:rsidRPr="004A5120">
        <w:rPr>
          <w:rFonts w:ascii="David" w:hAnsi="David" w:cs="David" w:hint="cs"/>
          <w:sz w:val="24"/>
          <w:szCs w:val="24"/>
          <w:rtl/>
        </w:rPr>
        <w:t>. לעתים היו שולחים הגאונים קונטרסים (אסופת תשובות), גדולים.</w:t>
      </w:r>
    </w:p>
    <w:p w14:paraId="54C8A64E" w14:textId="7D22067B" w:rsidR="002B5F21" w:rsidRPr="004A5120" w:rsidRDefault="002B5F21" w:rsidP="002B5F21">
      <w:pPr>
        <w:spacing w:after="0"/>
        <w:jc w:val="both"/>
        <w:rPr>
          <w:rFonts w:ascii="David" w:hAnsi="David" w:cs="David"/>
          <w:sz w:val="24"/>
          <w:szCs w:val="24"/>
          <w:rtl/>
        </w:rPr>
      </w:pPr>
    </w:p>
    <w:p w14:paraId="1D5F8BE1" w14:textId="50CDA01B" w:rsidR="00912C7D" w:rsidRPr="004A5120" w:rsidRDefault="00912C7D" w:rsidP="002B5F21">
      <w:pPr>
        <w:spacing w:after="0"/>
        <w:jc w:val="both"/>
        <w:rPr>
          <w:rFonts w:ascii="David" w:hAnsi="David" w:cs="David"/>
          <w:sz w:val="24"/>
          <w:szCs w:val="24"/>
          <w:rtl/>
        </w:rPr>
      </w:pPr>
      <w:r w:rsidRPr="004A5120">
        <w:rPr>
          <w:rFonts w:ascii="David" w:hAnsi="David" w:cs="David" w:hint="cs"/>
          <w:sz w:val="24"/>
          <w:szCs w:val="24"/>
          <w:rtl/>
        </w:rPr>
        <w:t xml:space="preserve">הסמכות של ישיבות בבל על השאר, באה לידי ביטוי בניסוח תשובות </w:t>
      </w:r>
      <w:r w:rsidR="00CD44BF">
        <w:rPr>
          <w:rFonts w:ascii="David" w:hAnsi="David" w:cs="David" w:hint="cs"/>
          <w:sz w:val="24"/>
          <w:szCs w:val="24"/>
          <w:rtl/>
        </w:rPr>
        <w:t xml:space="preserve">בצורה </w:t>
      </w:r>
      <w:r w:rsidRPr="004A5120">
        <w:rPr>
          <w:rFonts w:ascii="David" w:hAnsi="David" w:cs="David" w:hint="cs"/>
          <w:sz w:val="24"/>
          <w:szCs w:val="24"/>
          <w:rtl/>
        </w:rPr>
        <w:t>החלטי</w:t>
      </w:r>
      <w:r w:rsidR="00CD44BF">
        <w:rPr>
          <w:rFonts w:ascii="David" w:hAnsi="David" w:cs="David" w:hint="cs"/>
          <w:sz w:val="24"/>
          <w:szCs w:val="24"/>
          <w:rtl/>
        </w:rPr>
        <w:t>ת</w:t>
      </w:r>
      <w:r w:rsidRPr="004A5120">
        <w:rPr>
          <w:rFonts w:ascii="David" w:hAnsi="David" w:cs="David" w:hint="cs"/>
          <w:sz w:val="24"/>
          <w:szCs w:val="24"/>
          <w:rtl/>
        </w:rPr>
        <w:t xml:space="preserve"> ומצווה, </w:t>
      </w:r>
      <w:r w:rsidRPr="004A5120">
        <w:rPr>
          <w:rFonts w:ascii="David" w:hAnsi="David" w:cs="David" w:hint="cs"/>
          <w:b/>
          <w:bCs/>
          <w:sz w:val="24"/>
          <w:szCs w:val="24"/>
          <w:rtl/>
        </w:rPr>
        <w:t>ההחלטה התקבלה כמחייבת.</w:t>
      </w:r>
      <w:r w:rsidRPr="004A5120">
        <w:rPr>
          <w:rFonts w:ascii="David" w:hAnsi="David" w:cs="David" w:hint="cs"/>
          <w:sz w:val="24"/>
          <w:szCs w:val="24"/>
          <w:rtl/>
        </w:rPr>
        <w:t xml:space="preserve"> תשובות מקוצרות, מסתמכות על מקורות תלמודיים, מה שעזר על קבלת סמכותן והפצתן. תשובותיהם נאספו כבר בתקופה הקדומה לקבצים, לעתים העורכי</w:t>
      </w:r>
      <w:r w:rsidR="00CD44BF">
        <w:rPr>
          <w:rFonts w:ascii="David" w:hAnsi="David" w:cs="David" w:hint="cs"/>
          <w:sz w:val="24"/>
          <w:szCs w:val="24"/>
          <w:rtl/>
        </w:rPr>
        <w:t>ם</w:t>
      </w:r>
      <w:r w:rsidRPr="004A5120">
        <w:rPr>
          <w:rFonts w:ascii="David" w:hAnsi="David" w:cs="David" w:hint="cs"/>
          <w:sz w:val="24"/>
          <w:szCs w:val="24"/>
          <w:rtl/>
        </w:rPr>
        <w:t xml:space="preserve"> קיצרו ועיוותו את התשובות </w:t>
      </w:r>
      <w:r w:rsidRPr="004A5120">
        <w:rPr>
          <w:rFonts w:ascii="David" w:hAnsi="David" w:cs="David"/>
          <w:sz w:val="24"/>
          <w:szCs w:val="24"/>
          <w:rtl/>
        </w:rPr>
        <w:t>–</w:t>
      </w:r>
      <w:r w:rsidRPr="004A5120">
        <w:rPr>
          <w:rFonts w:ascii="David" w:hAnsi="David" w:cs="David" w:hint="cs"/>
          <w:sz w:val="24"/>
          <w:szCs w:val="24"/>
          <w:rtl/>
        </w:rPr>
        <w:t xml:space="preserve"> מה שגורם לקושי חמור בזיהוי תשובות והבנתן. תופעה שרואים בתקופה זו </w:t>
      </w:r>
      <w:r w:rsidRPr="004A5120">
        <w:rPr>
          <w:rFonts w:ascii="David" w:hAnsi="David" w:cs="David"/>
          <w:sz w:val="24"/>
          <w:szCs w:val="24"/>
          <w:rtl/>
        </w:rPr>
        <w:t>–</w:t>
      </w:r>
      <w:r w:rsidRPr="004A5120">
        <w:rPr>
          <w:rFonts w:ascii="David" w:hAnsi="David" w:cs="David" w:hint="cs"/>
          <w:sz w:val="24"/>
          <w:szCs w:val="24"/>
          <w:rtl/>
        </w:rPr>
        <w:t xml:space="preserve"> החלפת שמות בעלי הדין, בשמות כמו: ראובן, שמעון וכו'.</w:t>
      </w:r>
    </w:p>
    <w:p w14:paraId="14749639" w14:textId="57B3D535" w:rsidR="00912C7D" w:rsidRPr="004A5120" w:rsidRDefault="00912C7D" w:rsidP="002B5F21">
      <w:pPr>
        <w:spacing w:after="0"/>
        <w:jc w:val="both"/>
        <w:rPr>
          <w:rFonts w:ascii="David" w:hAnsi="David" w:cs="David"/>
          <w:sz w:val="24"/>
          <w:szCs w:val="24"/>
          <w:rtl/>
        </w:rPr>
      </w:pPr>
    </w:p>
    <w:p w14:paraId="29073D8E" w14:textId="54641A2F" w:rsidR="00912C7D" w:rsidRPr="004A5120" w:rsidRDefault="00912C7D" w:rsidP="002B5F21">
      <w:pPr>
        <w:spacing w:after="0"/>
        <w:jc w:val="both"/>
        <w:rPr>
          <w:rFonts w:ascii="David" w:hAnsi="David" w:cs="David"/>
          <w:sz w:val="24"/>
          <w:szCs w:val="24"/>
          <w:rtl/>
        </w:rPr>
      </w:pPr>
      <w:r w:rsidRPr="004A5120">
        <w:rPr>
          <w:rFonts w:ascii="David" w:hAnsi="David" w:cs="David" w:hint="cs"/>
          <w:sz w:val="24"/>
          <w:szCs w:val="24"/>
          <w:rtl/>
        </w:rPr>
        <w:t xml:space="preserve">בפועל, כיום יש לנו חלק קטן בלבד מהתשובות </w:t>
      </w:r>
      <w:r w:rsidRPr="004A5120">
        <w:rPr>
          <w:rFonts w:ascii="David" w:hAnsi="David" w:cs="David"/>
          <w:sz w:val="24"/>
          <w:szCs w:val="24"/>
          <w:rtl/>
        </w:rPr>
        <w:t>–</w:t>
      </w:r>
      <w:r w:rsidRPr="004A5120">
        <w:rPr>
          <w:rFonts w:ascii="David" w:hAnsi="David" w:cs="David" w:hint="cs"/>
          <w:sz w:val="24"/>
          <w:szCs w:val="24"/>
          <w:rtl/>
        </w:rPr>
        <w:t xml:space="preserve"> בגלל חורבן הקהילות. ספר חשוב שנמצא בידנו הוא "אוצר הגאונים", המחובר לפי סדר המסכתות ובו מובאות תשובות הגאונים.</w:t>
      </w:r>
    </w:p>
    <w:p w14:paraId="1F4D562B" w14:textId="74EF61F8" w:rsidR="00912C7D" w:rsidRPr="004A5120" w:rsidRDefault="00912C7D" w:rsidP="002B5F21">
      <w:pPr>
        <w:spacing w:after="0"/>
        <w:jc w:val="both"/>
        <w:rPr>
          <w:rFonts w:ascii="David" w:hAnsi="David" w:cs="David"/>
          <w:sz w:val="24"/>
          <w:szCs w:val="24"/>
          <w:rtl/>
        </w:rPr>
      </w:pPr>
    </w:p>
    <w:p w14:paraId="1E8E69B2" w14:textId="3D9148AD" w:rsidR="00912C7D" w:rsidRPr="004A5120" w:rsidRDefault="00912C7D" w:rsidP="002B5F21">
      <w:pPr>
        <w:spacing w:after="0"/>
        <w:jc w:val="both"/>
        <w:rPr>
          <w:rFonts w:ascii="David" w:hAnsi="David" w:cs="David"/>
          <w:sz w:val="24"/>
          <w:szCs w:val="24"/>
          <w:u w:val="single"/>
          <w:rtl/>
        </w:rPr>
      </w:pPr>
      <w:r w:rsidRPr="004A5120">
        <w:rPr>
          <w:rFonts w:ascii="David" w:hAnsi="David" w:cs="David" w:hint="cs"/>
          <w:sz w:val="24"/>
          <w:szCs w:val="24"/>
          <w:u w:val="single"/>
          <w:rtl/>
        </w:rPr>
        <w:t xml:space="preserve">תקופת הראשונים </w:t>
      </w:r>
      <w:r w:rsidRPr="004A5120">
        <w:rPr>
          <w:rFonts w:ascii="David" w:hAnsi="David" w:cs="David"/>
          <w:sz w:val="24"/>
          <w:szCs w:val="24"/>
          <w:u w:val="single"/>
          <w:rtl/>
        </w:rPr>
        <w:t>–</w:t>
      </w:r>
      <w:r w:rsidRPr="004A5120">
        <w:rPr>
          <w:rFonts w:ascii="David" w:hAnsi="David" w:cs="David" w:hint="cs"/>
          <w:sz w:val="24"/>
          <w:szCs w:val="24"/>
          <w:u w:val="single"/>
          <w:rtl/>
        </w:rPr>
        <w:t xml:space="preserve"> מהות השו"ת:</w:t>
      </w:r>
    </w:p>
    <w:p w14:paraId="099DE9D2" w14:textId="0A1FD005" w:rsidR="00912C7D" w:rsidRPr="004A5120" w:rsidRDefault="00912C7D" w:rsidP="002B5F21">
      <w:pPr>
        <w:spacing w:after="0"/>
        <w:jc w:val="both"/>
        <w:rPr>
          <w:rFonts w:ascii="David" w:hAnsi="David" w:cs="David"/>
          <w:sz w:val="24"/>
          <w:szCs w:val="24"/>
          <w:rtl/>
        </w:rPr>
      </w:pPr>
    </w:p>
    <w:p w14:paraId="017C022C" w14:textId="67313FED" w:rsidR="00912C7D" w:rsidRPr="004A5120" w:rsidRDefault="00912C7D" w:rsidP="002B5F21">
      <w:pPr>
        <w:spacing w:after="0"/>
        <w:jc w:val="both"/>
        <w:rPr>
          <w:rFonts w:ascii="David" w:hAnsi="David" w:cs="David"/>
          <w:sz w:val="24"/>
          <w:szCs w:val="24"/>
          <w:rtl/>
        </w:rPr>
      </w:pPr>
      <w:r w:rsidRPr="004A5120">
        <w:rPr>
          <w:rFonts w:ascii="David" w:hAnsi="David" w:cs="David" w:hint="cs"/>
          <w:sz w:val="24"/>
          <w:szCs w:val="24"/>
          <w:rtl/>
        </w:rPr>
        <w:t xml:space="preserve">לקראת </w:t>
      </w:r>
      <w:r w:rsidR="00EE1C8D" w:rsidRPr="004A5120">
        <w:rPr>
          <w:rFonts w:ascii="David" w:hAnsi="David" w:cs="David" w:hint="cs"/>
          <w:sz w:val="24"/>
          <w:szCs w:val="24"/>
          <w:rtl/>
        </w:rPr>
        <w:t xml:space="preserve">סוף תקופת הגאונים, ירדה בבל מגדולתה והמרכזים היהודים פעלו באופן אוטונומי, מבלי שיש לאחד סמכות על האחר. לכל מרכז היה "ראשון", שלפיו היו נוהגים. שינוי זה הפך את השו"ת לספרות פחות החלטית, הלכות מסתייגות ולעתים רחוקות אף </w:t>
      </w:r>
      <w:r w:rsidR="00CD44BF">
        <w:rPr>
          <w:rFonts w:ascii="David" w:hAnsi="David" w:cs="David" w:hint="cs"/>
          <w:sz w:val="24"/>
          <w:szCs w:val="24"/>
          <w:rtl/>
        </w:rPr>
        <w:t xml:space="preserve">ללא </w:t>
      </w:r>
      <w:r w:rsidR="00EE1C8D" w:rsidRPr="004A5120">
        <w:rPr>
          <w:rFonts w:ascii="David" w:hAnsi="David" w:cs="David" w:hint="cs"/>
          <w:sz w:val="24"/>
          <w:szCs w:val="24"/>
          <w:rtl/>
        </w:rPr>
        <w:t>הכרעה</w:t>
      </w:r>
      <w:r w:rsidR="00CD44BF">
        <w:rPr>
          <w:rFonts w:ascii="David" w:hAnsi="David" w:cs="David" w:hint="cs"/>
          <w:sz w:val="24"/>
          <w:szCs w:val="24"/>
          <w:rtl/>
        </w:rPr>
        <w:t>, תוך ציון</w:t>
      </w:r>
      <w:r w:rsidR="00EE1C8D" w:rsidRPr="004A5120">
        <w:rPr>
          <w:rFonts w:ascii="David" w:hAnsi="David" w:cs="David" w:hint="cs"/>
          <w:sz w:val="24"/>
          <w:szCs w:val="24"/>
          <w:rtl/>
        </w:rPr>
        <w:t xml:space="preserve"> כי התשובה היא לה</w:t>
      </w:r>
      <w:r w:rsidR="00CD44BF">
        <w:rPr>
          <w:rFonts w:ascii="David" w:hAnsi="David" w:cs="David" w:hint="cs"/>
          <w:sz w:val="24"/>
          <w:szCs w:val="24"/>
          <w:rtl/>
        </w:rPr>
        <w:t>לכ</w:t>
      </w:r>
      <w:r w:rsidR="00EE1C8D" w:rsidRPr="004A5120">
        <w:rPr>
          <w:rFonts w:ascii="David" w:hAnsi="David" w:cs="David" w:hint="cs"/>
          <w:sz w:val="24"/>
          <w:szCs w:val="24"/>
          <w:rtl/>
        </w:rPr>
        <w:t xml:space="preserve">ה ולא למעשה. התשובות ניתנו בצורה פרטנית, מחכם לשואל, כאשר אלו מחייבות רק את הקהילה ולא את כלל ישראל </w:t>
      </w:r>
      <w:r w:rsidR="00EE1C8D" w:rsidRPr="004A5120">
        <w:rPr>
          <w:rFonts w:ascii="David" w:hAnsi="David" w:cs="David"/>
          <w:sz w:val="24"/>
          <w:szCs w:val="24"/>
          <w:rtl/>
        </w:rPr>
        <w:t>–</w:t>
      </w:r>
      <w:r w:rsidR="00EE1C8D" w:rsidRPr="004A5120">
        <w:rPr>
          <w:rFonts w:ascii="David" w:hAnsi="David" w:cs="David" w:hint="cs"/>
          <w:sz w:val="24"/>
          <w:szCs w:val="24"/>
          <w:rtl/>
        </w:rPr>
        <w:t xml:space="preserve"> תשובה פרסונלית. תשובות ארוכות ומפורטת, בניגוד לגאונים. 2 סיבות אפשריות לאריכות:</w:t>
      </w:r>
      <w:r w:rsidR="00EE1C8D" w:rsidRPr="004A5120">
        <w:rPr>
          <w:rFonts w:ascii="David" w:hAnsi="David" w:cs="David" w:hint="cs"/>
          <w:sz w:val="24"/>
          <w:szCs w:val="24"/>
        </w:rPr>
        <w:t xml:space="preserve"> </w:t>
      </w:r>
      <w:r w:rsidR="00EE1C8D" w:rsidRPr="004A5120">
        <w:rPr>
          <w:rFonts w:ascii="David" w:hAnsi="David" w:cs="David" w:hint="cs"/>
          <w:sz w:val="24"/>
          <w:szCs w:val="24"/>
          <w:rtl/>
        </w:rPr>
        <w:t xml:space="preserve">1. </w:t>
      </w:r>
      <w:r w:rsidR="00E01DAB" w:rsidRPr="004A5120">
        <w:rPr>
          <w:rFonts w:ascii="David" w:hAnsi="David" w:cs="David" w:hint="cs"/>
          <w:sz w:val="24"/>
          <w:szCs w:val="24"/>
          <w:rtl/>
        </w:rPr>
        <w:t>חוסר הסמכות שלהם. 2. שכנוע בנכונות התשובה.</w:t>
      </w:r>
    </w:p>
    <w:p w14:paraId="5BBB6005" w14:textId="3E5F81C0" w:rsidR="00E01DAB" w:rsidRPr="004A5120" w:rsidRDefault="00E01DAB" w:rsidP="002B5F21">
      <w:pPr>
        <w:spacing w:after="0"/>
        <w:jc w:val="both"/>
        <w:rPr>
          <w:rFonts w:ascii="David" w:hAnsi="David" w:cs="David"/>
          <w:sz w:val="24"/>
          <w:szCs w:val="24"/>
          <w:rtl/>
        </w:rPr>
      </w:pPr>
    </w:p>
    <w:p w14:paraId="710165BC" w14:textId="58B24335" w:rsidR="00E01DAB" w:rsidRPr="004A5120" w:rsidRDefault="00E01DAB" w:rsidP="002B5F21">
      <w:pPr>
        <w:spacing w:after="0"/>
        <w:jc w:val="both"/>
        <w:rPr>
          <w:rFonts w:ascii="David" w:hAnsi="David" w:cs="David"/>
          <w:sz w:val="24"/>
          <w:szCs w:val="24"/>
          <w:rtl/>
        </w:rPr>
      </w:pPr>
      <w:r w:rsidRPr="004A5120">
        <w:rPr>
          <w:rFonts w:ascii="David" w:hAnsi="David" w:cs="David" w:hint="cs"/>
          <w:sz w:val="24"/>
          <w:szCs w:val="24"/>
          <w:rtl/>
        </w:rPr>
        <w:t>בחלק האחרון של תקופה זו חל שינוי, לא רק מקורות הכרחיים למסקנה, אלא כל המקורות האפשריים שמהם ניתן להגיע למסקנה. רוב השאלות שהופנו לראשונים היו בנושאי משפט והלכה, פחות דנו בפירוש התלמוד, אמונות וכד'. גם היה פחות צורך בפרשנות לתלמוד, כבר נכתבה ספרות רחבה. כתוצאה משינוי זה, התקצר זמן התשובה, היות ולא צריך לפנות לבבל, אלא למרכז התורני.</w:t>
      </w:r>
    </w:p>
    <w:p w14:paraId="49C92098" w14:textId="43F446FA" w:rsidR="00E01DAB" w:rsidRPr="004A5120" w:rsidRDefault="00E01DAB" w:rsidP="002B5F21">
      <w:pPr>
        <w:spacing w:after="0"/>
        <w:jc w:val="both"/>
        <w:rPr>
          <w:rFonts w:ascii="David" w:hAnsi="David" w:cs="David"/>
          <w:sz w:val="24"/>
          <w:szCs w:val="24"/>
          <w:rtl/>
        </w:rPr>
      </w:pPr>
    </w:p>
    <w:p w14:paraId="15ED2566" w14:textId="1890757F" w:rsidR="00E01DAB" w:rsidRPr="004A5120" w:rsidRDefault="00E01DAB" w:rsidP="00E01DAB">
      <w:pPr>
        <w:spacing w:after="0"/>
        <w:jc w:val="both"/>
        <w:rPr>
          <w:rFonts w:ascii="David" w:hAnsi="David" w:cs="David"/>
          <w:sz w:val="24"/>
          <w:szCs w:val="24"/>
          <w:rtl/>
        </w:rPr>
      </w:pPr>
      <w:r w:rsidRPr="004A5120">
        <w:rPr>
          <w:rFonts w:ascii="David" w:hAnsi="David" w:cs="David" w:hint="cs"/>
          <w:sz w:val="24"/>
          <w:szCs w:val="24"/>
          <w:rtl/>
        </w:rPr>
        <w:t xml:space="preserve">חשוב להבהיר </w:t>
      </w:r>
      <w:r w:rsidRPr="004A5120">
        <w:rPr>
          <w:rFonts w:ascii="David" w:hAnsi="David" w:cs="David"/>
          <w:sz w:val="24"/>
          <w:szCs w:val="24"/>
          <w:rtl/>
        </w:rPr>
        <w:t>–</w:t>
      </w:r>
      <w:r w:rsidRPr="004A5120">
        <w:rPr>
          <w:rFonts w:ascii="David" w:hAnsi="David" w:cs="David" w:hint="cs"/>
          <w:sz w:val="24"/>
          <w:szCs w:val="24"/>
          <w:rtl/>
        </w:rPr>
        <w:t xml:space="preserve"> ספרות השו"ת בתקופת הראשונים נחשבת מהותית מאד ביחס לשאר התקופות.</w:t>
      </w:r>
    </w:p>
    <w:p w14:paraId="78F8532A" w14:textId="699B6C25" w:rsidR="00E01DAB" w:rsidRPr="004A5120" w:rsidRDefault="00E01DAB" w:rsidP="00E01DAB">
      <w:pPr>
        <w:spacing w:after="0"/>
        <w:jc w:val="both"/>
        <w:rPr>
          <w:rFonts w:ascii="David" w:hAnsi="David" w:cs="David"/>
          <w:sz w:val="24"/>
          <w:szCs w:val="24"/>
          <w:rtl/>
        </w:rPr>
      </w:pPr>
    </w:p>
    <w:p w14:paraId="0A90BD75" w14:textId="115880F9" w:rsidR="00E01DAB" w:rsidRPr="004A5120" w:rsidRDefault="00E01DAB" w:rsidP="00E01DAB">
      <w:pPr>
        <w:spacing w:after="0"/>
        <w:jc w:val="both"/>
        <w:rPr>
          <w:rFonts w:ascii="David" w:hAnsi="David" w:cs="David"/>
          <w:b/>
          <w:bCs/>
          <w:sz w:val="24"/>
          <w:szCs w:val="24"/>
          <w:u w:val="single"/>
          <w:rtl/>
        </w:rPr>
      </w:pPr>
      <w:r w:rsidRPr="004A5120">
        <w:rPr>
          <w:rFonts w:ascii="David" w:hAnsi="David" w:cs="David" w:hint="cs"/>
          <w:b/>
          <w:bCs/>
          <w:sz w:val="24"/>
          <w:szCs w:val="24"/>
          <w:u w:val="single"/>
          <w:rtl/>
        </w:rPr>
        <w:t>קווים כללים בדרכם של המשיבים, במבנה, בצורה ובעריכת קובצי השו"ת (בעיקר הראשונים):</w:t>
      </w:r>
    </w:p>
    <w:p w14:paraId="0B5897DE" w14:textId="60C6D718" w:rsidR="00E01DAB" w:rsidRPr="004A5120" w:rsidRDefault="00E01DAB" w:rsidP="00E01DAB">
      <w:pPr>
        <w:spacing w:after="0"/>
        <w:jc w:val="both"/>
        <w:rPr>
          <w:rFonts w:ascii="David" w:hAnsi="David" w:cs="David"/>
          <w:b/>
          <w:bCs/>
          <w:sz w:val="24"/>
          <w:szCs w:val="24"/>
          <w:u w:val="single"/>
          <w:rtl/>
        </w:rPr>
      </w:pPr>
    </w:p>
    <w:p w14:paraId="47369D71" w14:textId="6A1AD6DD" w:rsidR="00E01DAB" w:rsidRPr="004A5120" w:rsidRDefault="00E01DAB" w:rsidP="00E01DAB">
      <w:pPr>
        <w:spacing w:after="0"/>
        <w:jc w:val="both"/>
        <w:rPr>
          <w:rFonts w:ascii="David" w:hAnsi="David" w:cs="David"/>
          <w:sz w:val="24"/>
          <w:szCs w:val="24"/>
          <w:u w:val="single"/>
          <w:rtl/>
        </w:rPr>
      </w:pPr>
      <w:r w:rsidRPr="004A5120">
        <w:rPr>
          <w:rFonts w:ascii="David" w:hAnsi="David" w:cs="David" w:hint="cs"/>
          <w:sz w:val="24"/>
          <w:szCs w:val="24"/>
          <w:u w:val="single"/>
          <w:rtl/>
        </w:rPr>
        <w:t xml:space="preserve">סוגי השואלים </w:t>
      </w:r>
      <w:r w:rsidRPr="004A5120">
        <w:rPr>
          <w:rFonts w:ascii="David" w:hAnsi="David" w:cs="David"/>
          <w:sz w:val="24"/>
          <w:szCs w:val="24"/>
          <w:u w:val="single"/>
          <w:rtl/>
        </w:rPr>
        <w:t>–</w:t>
      </w:r>
      <w:r w:rsidRPr="004A5120">
        <w:rPr>
          <w:rFonts w:ascii="David" w:hAnsi="David" w:cs="David" w:hint="cs"/>
          <w:sz w:val="24"/>
          <w:szCs w:val="24"/>
          <w:u w:val="single"/>
          <w:rtl/>
        </w:rPr>
        <w:t xml:space="preserve"> פנייה ליותר ממשיב אחד:</w:t>
      </w:r>
    </w:p>
    <w:p w14:paraId="22B1BB99" w14:textId="0F135474" w:rsidR="00E01DAB" w:rsidRPr="004A5120" w:rsidRDefault="00E01DAB" w:rsidP="00E01DA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בני הקהילה פנו בשאלות לחכמי ההלכה או לדיינים שישבו לבירור משפטי.</w:t>
      </w:r>
    </w:p>
    <w:p w14:paraId="739B8FCC" w14:textId="6D92761D" w:rsidR="00E01DAB" w:rsidRPr="004A5120" w:rsidRDefault="00E01DAB" w:rsidP="00E01DA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כאשר הייתה שאלה קשה, הלך הדיין\חכם לסמכות הלכתית ממרכז הלכתי אחר.</w:t>
      </w:r>
    </w:p>
    <w:p w14:paraId="26CA19E4" w14:textId="5E1AD788" w:rsidR="00E01DAB" w:rsidRPr="004A5120" w:rsidRDefault="00B044D3" w:rsidP="00E01DA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lastRenderedPageBreak/>
        <w:t>הקפדה על השבת שאלות רק לאחר שמיעת קולות כל הצדדים, במטרה למנוע מהחכם\דיין לשמש כבא כוח לאחד הצדדים. (נימוק חוזר)</w:t>
      </w:r>
    </w:p>
    <w:p w14:paraId="281B97C5" w14:textId="77777777" w:rsidR="00B044D3" w:rsidRPr="004A5120" w:rsidRDefault="00B044D3" w:rsidP="00E01DAB">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 xml:space="preserve">חשש משיבוש הדין: </w:t>
      </w:r>
    </w:p>
    <w:p w14:paraId="46CB7424" w14:textId="0499CE7D" w:rsidR="00B044D3" w:rsidRPr="004A5120" w:rsidRDefault="00B044D3" w:rsidP="00B044D3">
      <w:pPr>
        <w:pStyle w:val="a3"/>
        <w:numPr>
          <w:ilvl w:val="0"/>
          <w:numId w:val="42"/>
        </w:numPr>
        <w:spacing w:after="0"/>
        <w:jc w:val="both"/>
        <w:rPr>
          <w:rFonts w:ascii="David" w:hAnsi="David" w:cs="David"/>
          <w:sz w:val="24"/>
          <w:szCs w:val="24"/>
          <w:u w:val="single"/>
        </w:rPr>
      </w:pPr>
      <w:r w:rsidRPr="004A5120">
        <w:rPr>
          <w:rFonts w:ascii="David" w:hAnsi="David" w:cs="David" w:hint="cs"/>
          <w:sz w:val="24"/>
          <w:szCs w:val="24"/>
          <w:rtl/>
        </w:rPr>
        <w:t>הריב"ש סבור שאם לא שומעים את כל הצדדים</w:t>
      </w:r>
      <w:r w:rsidR="00D65A46">
        <w:rPr>
          <w:rFonts w:ascii="David" w:hAnsi="David" w:cs="David" w:hint="cs"/>
          <w:sz w:val="24"/>
          <w:szCs w:val="24"/>
          <w:rtl/>
        </w:rPr>
        <w:t>,</w:t>
      </w:r>
      <w:r w:rsidRPr="004A5120">
        <w:rPr>
          <w:rFonts w:ascii="David" w:hAnsi="David" w:cs="David" w:hint="cs"/>
          <w:sz w:val="24"/>
          <w:szCs w:val="24"/>
          <w:rtl/>
        </w:rPr>
        <w:t xml:space="preserve"> אזי לא יודעים את כל העובדות, על כן המסקנה עלולה להיות שגויה. </w:t>
      </w:r>
    </w:p>
    <w:p w14:paraId="6E05D9CD" w14:textId="47ADC30C" w:rsidR="00B044D3" w:rsidRPr="004A5120" w:rsidRDefault="00B044D3" w:rsidP="00B044D3">
      <w:pPr>
        <w:pStyle w:val="a3"/>
        <w:numPr>
          <w:ilvl w:val="0"/>
          <w:numId w:val="42"/>
        </w:numPr>
        <w:spacing w:after="0"/>
        <w:jc w:val="both"/>
        <w:rPr>
          <w:rFonts w:ascii="David" w:hAnsi="David" w:cs="David"/>
          <w:sz w:val="24"/>
          <w:szCs w:val="24"/>
          <w:u w:val="single"/>
        </w:rPr>
      </w:pPr>
      <w:r w:rsidRPr="004A5120">
        <w:rPr>
          <w:rFonts w:ascii="David" w:hAnsi="David" w:cs="David" w:hint="cs"/>
          <w:sz w:val="24"/>
          <w:szCs w:val="24"/>
          <w:rtl/>
        </w:rPr>
        <w:t xml:space="preserve">כשחכם מציג צד אחד, הוא משפיע בצורה בלתי הוגנת על בית הדין ויכול להביא לטענת "קים לי" ובכך להתחמק מעונש. דבר שעלול ליצור מחלוקת בין החכם, שהציג רק צד אחד, או בין פוסקי הדין, לבין האנשים הפשוטים </w:t>
      </w:r>
      <w:r w:rsidRPr="004A5120">
        <w:rPr>
          <w:rFonts w:ascii="David" w:hAnsi="David" w:cs="David"/>
          <w:sz w:val="24"/>
          <w:szCs w:val="24"/>
          <w:rtl/>
        </w:rPr>
        <w:t>–</w:t>
      </w:r>
      <w:r w:rsidRPr="004A5120">
        <w:rPr>
          <w:rFonts w:ascii="David" w:hAnsi="David" w:cs="David" w:hint="cs"/>
          <w:sz w:val="24"/>
          <w:szCs w:val="24"/>
          <w:rtl/>
        </w:rPr>
        <w:t xml:space="preserve"> שקולם לא נשמע.</w:t>
      </w:r>
    </w:p>
    <w:p w14:paraId="70208DC1" w14:textId="1E958C88" w:rsidR="00B044D3" w:rsidRPr="004A5120" w:rsidRDefault="00B044D3" w:rsidP="00B044D3">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למרות זאת, לעתים ניתן למצוא תשובות לטענות של צד אחד, בד"כ יפתח בהתנצלות.</w:t>
      </w:r>
    </w:p>
    <w:p w14:paraId="4F649A10" w14:textId="7196A0A8" w:rsidR="00B044D3" w:rsidRPr="004A5120" w:rsidRDefault="00B044D3" w:rsidP="00B044D3">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rtl/>
        </w:rPr>
        <w:t>לעתים חכמים מסרו תשובות וסותרות. בשאלות רגישות, כמו אשת איש, היו המשיבים (החכמים), מביאים את תשובתם לפני חכמים נוספים ונמנעים מהכרעה על דעת יחיד.</w:t>
      </w:r>
    </w:p>
    <w:p w14:paraId="3A9E3E53" w14:textId="4713F471" w:rsidR="00B044D3" w:rsidRPr="004A5120" w:rsidRDefault="00B044D3" w:rsidP="00B044D3">
      <w:pPr>
        <w:spacing w:after="0"/>
        <w:jc w:val="both"/>
        <w:rPr>
          <w:rFonts w:ascii="David" w:hAnsi="David" w:cs="David"/>
          <w:sz w:val="24"/>
          <w:szCs w:val="24"/>
          <w:u w:val="single"/>
          <w:rtl/>
        </w:rPr>
      </w:pPr>
    </w:p>
    <w:p w14:paraId="63957B80" w14:textId="0CB6F04B" w:rsidR="00B044D3" w:rsidRPr="004A5120" w:rsidRDefault="00B044D3" w:rsidP="00B044D3">
      <w:pPr>
        <w:spacing w:after="0"/>
        <w:jc w:val="both"/>
        <w:rPr>
          <w:rFonts w:ascii="David" w:hAnsi="David" w:cs="David"/>
          <w:sz w:val="24"/>
          <w:szCs w:val="24"/>
          <w:u w:val="single"/>
          <w:rtl/>
        </w:rPr>
      </w:pPr>
      <w:r w:rsidRPr="004A5120">
        <w:rPr>
          <w:rFonts w:ascii="David" w:hAnsi="David" w:cs="David" w:hint="cs"/>
          <w:sz w:val="24"/>
          <w:szCs w:val="24"/>
          <w:u w:val="single"/>
          <w:rtl/>
        </w:rPr>
        <w:t xml:space="preserve">השאלה והתשובה </w:t>
      </w:r>
      <w:r w:rsidRPr="004A5120">
        <w:rPr>
          <w:rFonts w:ascii="David" w:hAnsi="David" w:cs="David"/>
          <w:sz w:val="24"/>
          <w:szCs w:val="24"/>
          <w:u w:val="single"/>
          <w:rtl/>
        </w:rPr>
        <w:t>–</w:t>
      </w:r>
      <w:r w:rsidRPr="004A5120">
        <w:rPr>
          <w:rFonts w:ascii="David" w:hAnsi="David" w:cs="David" w:hint="cs"/>
          <w:sz w:val="24"/>
          <w:szCs w:val="24"/>
          <w:u w:val="single"/>
          <w:rtl/>
        </w:rPr>
        <w:t xml:space="preserve"> מבנה, צורה וסגנון. משלוח השו"ת והעתקתן:</w:t>
      </w:r>
    </w:p>
    <w:p w14:paraId="612D273D" w14:textId="1C473FA1" w:rsidR="00310D58" w:rsidRPr="004A5120" w:rsidRDefault="00310D58" w:rsidP="00B044D3">
      <w:pPr>
        <w:spacing w:after="0"/>
        <w:jc w:val="both"/>
        <w:rPr>
          <w:rFonts w:ascii="David" w:hAnsi="David" w:cs="David"/>
          <w:sz w:val="24"/>
          <w:szCs w:val="24"/>
          <w:rtl/>
        </w:rPr>
      </w:pPr>
    </w:p>
    <w:p w14:paraId="7460CF9D" w14:textId="6A3CFC92" w:rsidR="00310D58" w:rsidRPr="004A5120" w:rsidRDefault="009349E9" w:rsidP="00B044D3">
      <w:pPr>
        <w:spacing w:after="0"/>
        <w:jc w:val="both"/>
        <w:rPr>
          <w:rFonts w:ascii="David" w:hAnsi="David" w:cs="David"/>
          <w:sz w:val="24"/>
          <w:szCs w:val="24"/>
          <w:rtl/>
        </w:rPr>
      </w:pPr>
      <w:r w:rsidRPr="004A5120">
        <w:rPr>
          <w:rFonts w:ascii="David" w:hAnsi="David" w:cs="David" w:hint="cs"/>
          <w:sz w:val="24"/>
          <w:szCs w:val="24"/>
          <w:rtl/>
        </w:rPr>
        <w:t>המשיבים הקפידו להשיב רק על טענות הצדדים שהושמעו, מבלי להוסיף טענות בפיהם, על מנת להימנע מהטיית הדין. לעתים סטה המשיב מהנושא העיקרי או התעלם מנושאים לא רלוונטים.</w:t>
      </w:r>
    </w:p>
    <w:p w14:paraId="647AA665" w14:textId="504E6C66" w:rsidR="009349E9" w:rsidRPr="004A5120" w:rsidRDefault="009349E9" w:rsidP="00B044D3">
      <w:pPr>
        <w:spacing w:after="0"/>
        <w:jc w:val="both"/>
        <w:rPr>
          <w:rFonts w:ascii="David" w:hAnsi="David" w:cs="David"/>
          <w:sz w:val="24"/>
          <w:szCs w:val="24"/>
          <w:rtl/>
        </w:rPr>
      </w:pPr>
    </w:p>
    <w:p w14:paraId="6BA15A9F" w14:textId="130B0F44" w:rsidR="009349E9" w:rsidRPr="004A5120" w:rsidRDefault="009349E9" w:rsidP="00B044D3">
      <w:pPr>
        <w:spacing w:after="0"/>
        <w:jc w:val="both"/>
        <w:rPr>
          <w:rFonts w:ascii="David" w:hAnsi="David" w:cs="David"/>
          <w:sz w:val="24"/>
          <w:szCs w:val="24"/>
          <w:rtl/>
        </w:rPr>
      </w:pPr>
      <w:r w:rsidRPr="004A5120">
        <w:rPr>
          <w:rFonts w:ascii="David" w:hAnsi="David" w:cs="David" w:hint="cs"/>
          <w:sz w:val="24"/>
          <w:szCs w:val="24"/>
          <w:rtl/>
        </w:rPr>
        <w:t xml:space="preserve">מבנה התשובה </w:t>
      </w:r>
      <w:r w:rsidRPr="004A5120">
        <w:rPr>
          <w:rFonts w:ascii="David" w:hAnsi="David" w:cs="David"/>
          <w:sz w:val="24"/>
          <w:szCs w:val="24"/>
          <w:rtl/>
        </w:rPr>
        <w:t>–</w:t>
      </w:r>
      <w:r w:rsidRPr="004A5120">
        <w:rPr>
          <w:rFonts w:ascii="David" w:hAnsi="David" w:cs="David" w:hint="cs"/>
          <w:sz w:val="24"/>
          <w:szCs w:val="24"/>
          <w:rtl/>
        </w:rPr>
        <w:t xml:space="preserve"> </w:t>
      </w:r>
      <w:r w:rsidR="00065DE0" w:rsidRPr="004A5120">
        <w:rPr>
          <w:rFonts w:ascii="David" w:hAnsi="David" w:cs="David" w:hint="cs"/>
          <w:sz w:val="24"/>
          <w:szCs w:val="24"/>
          <w:rtl/>
        </w:rPr>
        <w:t>אינדיבידואלי</w:t>
      </w:r>
      <w:r w:rsidRPr="004A5120">
        <w:rPr>
          <w:rFonts w:ascii="David" w:hAnsi="David" w:cs="David" w:hint="cs"/>
          <w:sz w:val="24"/>
          <w:szCs w:val="24"/>
          <w:rtl/>
        </w:rPr>
        <w:t xml:space="preserve">, תלוי במשיב. לשון בד"כ עברית משולבת ארמית. בתקופות מסוימות כתבו בעיקר בערבית, הוביל ל2 תוצאות קשות: 1. התשובות </w:t>
      </w:r>
      <w:r w:rsidR="004E63B4">
        <w:rPr>
          <w:rFonts w:ascii="David" w:hAnsi="David" w:cs="David" w:hint="cs"/>
          <w:sz w:val="24"/>
          <w:szCs w:val="24"/>
          <w:rtl/>
        </w:rPr>
        <w:t>א</w:t>
      </w:r>
      <w:r w:rsidRPr="004A5120">
        <w:rPr>
          <w:rFonts w:ascii="David" w:hAnsi="David" w:cs="David" w:hint="cs"/>
          <w:sz w:val="24"/>
          <w:szCs w:val="24"/>
          <w:rtl/>
        </w:rPr>
        <w:t>בדו כאשר יהודים חיו במקומות שלא דוברים ערבית. 2. תרגום ברמה ירודה והכביד על הבנת התשובה.</w:t>
      </w:r>
    </w:p>
    <w:p w14:paraId="7420746E" w14:textId="1C1FA530" w:rsidR="009349E9" w:rsidRPr="004A5120" w:rsidRDefault="009349E9" w:rsidP="00B044D3">
      <w:pPr>
        <w:spacing w:after="0"/>
        <w:jc w:val="both"/>
        <w:rPr>
          <w:rFonts w:ascii="David" w:hAnsi="David" w:cs="David"/>
          <w:sz w:val="24"/>
          <w:szCs w:val="24"/>
          <w:rtl/>
        </w:rPr>
      </w:pPr>
    </w:p>
    <w:p w14:paraId="0510DFCF" w14:textId="45AD324B" w:rsidR="009349E9" w:rsidRPr="004A5120" w:rsidRDefault="009349E9" w:rsidP="00B044D3">
      <w:pPr>
        <w:spacing w:after="0"/>
        <w:jc w:val="both"/>
        <w:rPr>
          <w:rFonts w:ascii="David" w:hAnsi="David" w:cs="David"/>
          <w:sz w:val="24"/>
          <w:szCs w:val="24"/>
          <w:rtl/>
        </w:rPr>
      </w:pPr>
      <w:r w:rsidRPr="004A5120">
        <w:rPr>
          <w:rFonts w:ascii="David" w:hAnsi="David" w:cs="David" w:hint="cs"/>
          <w:sz w:val="24"/>
          <w:szCs w:val="24"/>
          <w:rtl/>
        </w:rPr>
        <w:t>מספר מילים שונו בעקבות פחד מהנוצרים, ביטויים כמו "גוי" וכו'. שילוב עברית בתשובות שמרה על השפה חיה ובועטת, גם מבחינת עולם המושגים המשפטי המשתנה, שהובע בעברית במשך דורות.</w:t>
      </w:r>
    </w:p>
    <w:p w14:paraId="206F47AE" w14:textId="681DAF48" w:rsidR="009349E9" w:rsidRPr="004A5120" w:rsidRDefault="009349E9" w:rsidP="00B044D3">
      <w:pPr>
        <w:spacing w:after="0"/>
        <w:jc w:val="both"/>
        <w:rPr>
          <w:rFonts w:ascii="David" w:hAnsi="David" w:cs="David"/>
          <w:sz w:val="24"/>
          <w:szCs w:val="24"/>
          <w:rtl/>
        </w:rPr>
      </w:pPr>
    </w:p>
    <w:p w14:paraId="55DA4B86" w14:textId="516A43A8" w:rsidR="009349E9" w:rsidRPr="004A5120" w:rsidRDefault="009349E9" w:rsidP="00B044D3">
      <w:pPr>
        <w:spacing w:after="0"/>
        <w:jc w:val="both"/>
        <w:rPr>
          <w:rFonts w:ascii="David" w:hAnsi="David" w:cs="David"/>
          <w:sz w:val="24"/>
          <w:szCs w:val="24"/>
          <w:rtl/>
        </w:rPr>
      </w:pPr>
      <w:r w:rsidRPr="004A5120">
        <w:rPr>
          <w:rFonts w:ascii="David" w:hAnsi="David" w:cs="David" w:hint="cs"/>
          <w:sz w:val="24"/>
          <w:szCs w:val="24"/>
          <w:rtl/>
        </w:rPr>
        <w:t>התשובות נכתבו בידי המשיב או אחד מתלמידיו, אך נשמעו מפיו. תשובות רבות הועתקו, אך לעתים היו שיבושים בזיהוי המשיב או בתוכן התשובה בגלל העתקה לא מדויקת.</w:t>
      </w:r>
    </w:p>
    <w:p w14:paraId="74B252DA" w14:textId="782178B1" w:rsidR="009349E9" w:rsidRPr="004A5120" w:rsidRDefault="009349E9" w:rsidP="00B044D3">
      <w:pPr>
        <w:spacing w:after="0"/>
        <w:jc w:val="both"/>
        <w:rPr>
          <w:rFonts w:ascii="David" w:hAnsi="David" w:cs="David"/>
          <w:sz w:val="24"/>
          <w:szCs w:val="24"/>
          <w:rtl/>
        </w:rPr>
      </w:pPr>
    </w:p>
    <w:p w14:paraId="3720161D" w14:textId="7213653B" w:rsidR="009349E9" w:rsidRPr="004A5120" w:rsidRDefault="009349E9" w:rsidP="00B044D3">
      <w:pPr>
        <w:spacing w:after="0"/>
        <w:jc w:val="both"/>
        <w:rPr>
          <w:rFonts w:ascii="David" w:hAnsi="David" w:cs="David"/>
          <w:sz w:val="24"/>
          <w:szCs w:val="24"/>
          <w:u w:val="single"/>
          <w:rtl/>
        </w:rPr>
      </w:pPr>
      <w:r w:rsidRPr="004A5120">
        <w:rPr>
          <w:rFonts w:ascii="David" w:hAnsi="David" w:cs="David" w:hint="cs"/>
          <w:sz w:val="24"/>
          <w:szCs w:val="24"/>
          <w:u w:val="single"/>
          <w:rtl/>
        </w:rPr>
        <w:t>שמות אנונימיים ופיקטיביים של בעלי הדין, ומקומות גיאוגרפיים:</w:t>
      </w:r>
    </w:p>
    <w:p w14:paraId="6D1F717B" w14:textId="6A516EFF" w:rsidR="009349E9" w:rsidRPr="004A5120" w:rsidRDefault="009349E9" w:rsidP="00B044D3">
      <w:pPr>
        <w:spacing w:after="0"/>
        <w:jc w:val="both"/>
        <w:rPr>
          <w:rFonts w:ascii="David" w:hAnsi="David" w:cs="David"/>
          <w:sz w:val="24"/>
          <w:szCs w:val="24"/>
          <w:u w:val="single"/>
          <w:rtl/>
        </w:rPr>
      </w:pPr>
    </w:p>
    <w:p w14:paraId="511C1B74" w14:textId="6A2EFD1E" w:rsidR="009349E9" w:rsidRPr="004A5120" w:rsidRDefault="009349E9" w:rsidP="00B044D3">
      <w:pPr>
        <w:spacing w:after="0"/>
        <w:jc w:val="both"/>
        <w:rPr>
          <w:rFonts w:ascii="David" w:hAnsi="David" w:cs="David"/>
          <w:sz w:val="24"/>
          <w:szCs w:val="24"/>
          <w:rtl/>
        </w:rPr>
      </w:pPr>
      <w:r w:rsidRPr="004A5120">
        <w:rPr>
          <w:rFonts w:ascii="David" w:hAnsi="David" w:cs="David" w:hint="cs"/>
          <w:sz w:val="24"/>
          <w:szCs w:val="24"/>
          <w:rtl/>
        </w:rPr>
        <w:t xml:space="preserve">מבחינה צורנית, מאופיינת ספרות השו"ת בכך שלא הובאו שמות בעלי הדין. הגברים מכונים כשמות שלושת האבות, הנשים שמות ארבע האימהות. תופעה שהחלה בגאונים ואחריהם. </w:t>
      </w:r>
    </w:p>
    <w:p w14:paraId="27B1573E" w14:textId="596CBC37" w:rsidR="00111F67" w:rsidRPr="004A5120" w:rsidRDefault="00111F67" w:rsidP="00B044D3">
      <w:pPr>
        <w:spacing w:after="0"/>
        <w:jc w:val="both"/>
        <w:rPr>
          <w:rFonts w:ascii="David" w:hAnsi="David" w:cs="David"/>
          <w:sz w:val="24"/>
          <w:szCs w:val="24"/>
          <w:rtl/>
        </w:rPr>
      </w:pPr>
    </w:p>
    <w:p w14:paraId="3B7D69E4" w14:textId="3EBE93AB" w:rsidR="00111F67" w:rsidRPr="004A5120" w:rsidRDefault="00111F67" w:rsidP="00B044D3">
      <w:pPr>
        <w:spacing w:after="0"/>
        <w:jc w:val="both"/>
        <w:rPr>
          <w:rFonts w:ascii="David" w:hAnsi="David" w:cs="David"/>
          <w:sz w:val="24"/>
          <w:szCs w:val="24"/>
          <w:rtl/>
        </w:rPr>
      </w:pPr>
      <w:r w:rsidRPr="004A5120">
        <w:rPr>
          <w:rFonts w:ascii="David" w:hAnsi="David" w:cs="David" w:hint="cs"/>
          <w:sz w:val="24"/>
          <w:szCs w:val="24"/>
          <w:rtl/>
        </w:rPr>
        <w:t>לדעת החוקרים, יש שני טעמים לאנונימיות הזו:</w:t>
      </w:r>
    </w:p>
    <w:p w14:paraId="3033DB44" w14:textId="6A3B6FBD" w:rsidR="00111F67" w:rsidRPr="004A5120" w:rsidRDefault="00111F67" w:rsidP="00111F67">
      <w:pPr>
        <w:pStyle w:val="a3"/>
        <w:numPr>
          <w:ilvl w:val="0"/>
          <w:numId w:val="53"/>
        </w:numPr>
        <w:spacing w:after="0"/>
        <w:jc w:val="both"/>
        <w:rPr>
          <w:rFonts w:ascii="David" w:hAnsi="David" w:cs="David"/>
          <w:sz w:val="24"/>
          <w:szCs w:val="24"/>
        </w:rPr>
      </w:pPr>
      <w:r w:rsidRPr="004A5120">
        <w:rPr>
          <w:rFonts w:ascii="David" w:hAnsi="David" w:cs="David" w:hint="cs"/>
          <w:sz w:val="24"/>
          <w:szCs w:val="24"/>
          <w:rtl/>
        </w:rPr>
        <w:t>לא הייתה חשיבות להזכרת השמות, רק לפרסום המשפטי וההכרעה ע"י המשיב.</w:t>
      </w:r>
    </w:p>
    <w:p w14:paraId="6D687253" w14:textId="77777777" w:rsidR="00111F67" w:rsidRPr="004A5120" w:rsidRDefault="00111F67" w:rsidP="00111F67">
      <w:pPr>
        <w:pStyle w:val="a3"/>
        <w:numPr>
          <w:ilvl w:val="0"/>
          <w:numId w:val="53"/>
        </w:numPr>
        <w:spacing w:after="0"/>
        <w:jc w:val="both"/>
        <w:rPr>
          <w:rFonts w:ascii="David" w:hAnsi="David" w:cs="David"/>
          <w:sz w:val="24"/>
          <w:szCs w:val="24"/>
        </w:rPr>
      </w:pPr>
      <w:r w:rsidRPr="004A5120">
        <w:rPr>
          <w:rFonts w:ascii="David" w:hAnsi="David" w:cs="David" w:hint="cs"/>
          <w:sz w:val="24"/>
          <w:szCs w:val="24"/>
          <w:rtl/>
        </w:rPr>
        <w:t>הזכרת שמות בעלי הדין עלולה לפגוע בכבודם, חכמי ההלכה נזהרו בכך.</w:t>
      </w:r>
    </w:p>
    <w:p w14:paraId="463B7F65" w14:textId="77777777" w:rsidR="00111F67" w:rsidRPr="004A5120" w:rsidRDefault="00111F67" w:rsidP="00111F67">
      <w:pPr>
        <w:pStyle w:val="a3"/>
        <w:spacing w:after="0"/>
        <w:jc w:val="both"/>
        <w:rPr>
          <w:rFonts w:ascii="David" w:hAnsi="David" w:cs="David"/>
          <w:sz w:val="24"/>
          <w:szCs w:val="24"/>
        </w:rPr>
      </w:pPr>
    </w:p>
    <w:p w14:paraId="22811EE5" w14:textId="040F16C0"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מפי המשיבים עצמם אנו רואים 2 נימוקים אחרים:</w:t>
      </w:r>
    </w:p>
    <w:p w14:paraId="51E88550" w14:textId="51983B6A" w:rsidR="00111F67" w:rsidRPr="004A5120" w:rsidRDefault="00111F67" w:rsidP="00111F67">
      <w:pPr>
        <w:pStyle w:val="a3"/>
        <w:numPr>
          <w:ilvl w:val="0"/>
          <w:numId w:val="54"/>
        </w:numPr>
        <w:spacing w:after="0"/>
        <w:jc w:val="both"/>
        <w:rPr>
          <w:rFonts w:ascii="David" w:hAnsi="David" w:cs="David"/>
          <w:sz w:val="24"/>
          <w:szCs w:val="24"/>
        </w:rPr>
      </w:pPr>
      <w:r w:rsidRPr="004A5120">
        <w:rPr>
          <w:rFonts w:ascii="David" w:hAnsi="David" w:cs="David" w:hint="cs"/>
          <w:sz w:val="24"/>
          <w:szCs w:val="24"/>
          <w:rtl/>
        </w:rPr>
        <w:t xml:space="preserve">לא לגרום להעדפת צד אחד בדין בגלל היכרות מוקדמת </w:t>
      </w:r>
      <w:r w:rsidRPr="004A5120">
        <w:rPr>
          <w:rFonts w:ascii="David" w:hAnsi="David" w:cs="David"/>
          <w:sz w:val="24"/>
          <w:szCs w:val="24"/>
          <w:rtl/>
        </w:rPr>
        <w:t>–</w:t>
      </w:r>
      <w:r w:rsidRPr="004A5120">
        <w:rPr>
          <w:rFonts w:ascii="David" w:hAnsi="David" w:cs="David" w:hint="cs"/>
          <w:sz w:val="24"/>
          <w:szCs w:val="24"/>
          <w:rtl/>
        </w:rPr>
        <w:t xml:space="preserve"> "משוא פנים".</w:t>
      </w:r>
    </w:p>
    <w:p w14:paraId="582C3815" w14:textId="6C0CBD30" w:rsidR="00111F67" w:rsidRPr="004A5120" w:rsidRDefault="00111F67" w:rsidP="00111F67">
      <w:pPr>
        <w:pStyle w:val="a3"/>
        <w:numPr>
          <w:ilvl w:val="0"/>
          <w:numId w:val="54"/>
        </w:numPr>
        <w:spacing w:after="0"/>
        <w:jc w:val="both"/>
        <w:rPr>
          <w:rFonts w:ascii="David" w:hAnsi="David" w:cs="David"/>
          <w:sz w:val="24"/>
          <w:szCs w:val="24"/>
        </w:rPr>
      </w:pPr>
      <w:r w:rsidRPr="004A5120">
        <w:rPr>
          <w:rFonts w:ascii="David" w:hAnsi="David" w:cs="David" w:hint="cs"/>
          <w:sz w:val="24"/>
          <w:szCs w:val="24"/>
          <w:rtl/>
        </w:rPr>
        <w:t>פסק הדין יהיה רשמי ופורמ</w:t>
      </w:r>
      <w:r w:rsidR="00D21ECA">
        <w:rPr>
          <w:rFonts w:ascii="David" w:hAnsi="David" w:cs="David" w:hint="cs"/>
          <w:sz w:val="24"/>
          <w:szCs w:val="24"/>
          <w:rtl/>
        </w:rPr>
        <w:t>ל</w:t>
      </w:r>
      <w:r w:rsidRPr="004A5120">
        <w:rPr>
          <w:rFonts w:ascii="David" w:hAnsi="David" w:cs="David" w:hint="cs"/>
          <w:sz w:val="24"/>
          <w:szCs w:val="24"/>
          <w:rtl/>
        </w:rPr>
        <w:t>י מבית הדין, לא חוות דעת.</w:t>
      </w:r>
    </w:p>
    <w:p w14:paraId="0FEF25DB" w14:textId="0F9E0C1F" w:rsidR="00111F67" w:rsidRPr="004A5120" w:rsidRDefault="00111F67" w:rsidP="00111F67">
      <w:pPr>
        <w:spacing w:after="0"/>
        <w:jc w:val="both"/>
        <w:rPr>
          <w:rFonts w:ascii="David" w:hAnsi="David" w:cs="David"/>
          <w:sz w:val="24"/>
          <w:szCs w:val="24"/>
          <w:rtl/>
        </w:rPr>
      </w:pPr>
    </w:p>
    <w:p w14:paraId="3D43C6B9" w14:textId="3FC2DA7E"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 xml:space="preserve">גם היום, בתי הדין הרבניים מסווים </w:t>
      </w:r>
      <w:r w:rsidR="00D21ECA">
        <w:rPr>
          <w:rFonts w:ascii="David" w:hAnsi="David" w:cs="David" w:hint="cs"/>
          <w:sz w:val="24"/>
          <w:szCs w:val="24"/>
          <w:rtl/>
        </w:rPr>
        <w:t>ש</w:t>
      </w:r>
      <w:r w:rsidRPr="004A5120">
        <w:rPr>
          <w:rFonts w:ascii="David" w:hAnsi="David" w:cs="David" w:hint="cs"/>
          <w:sz w:val="24"/>
          <w:szCs w:val="24"/>
          <w:rtl/>
        </w:rPr>
        <w:t>מות בפרסום פסקי דין, על מנת למנוע פגיעה בכבוד בעלי הדין בתחום מעמדם האישי (גרושה\עגונה וכו').</w:t>
      </w:r>
    </w:p>
    <w:p w14:paraId="5727AD44" w14:textId="282EEB09" w:rsidR="00111F67" w:rsidRPr="004A5120" w:rsidRDefault="00111F67" w:rsidP="00111F67">
      <w:pPr>
        <w:spacing w:after="0"/>
        <w:jc w:val="both"/>
        <w:rPr>
          <w:rFonts w:ascii="David" w:hAnsi="David" w:cs="David"/>
          <w:sz w:val="24"/>
          <w:szCs w:val="24"/>
          <w:rtl/>
        </w:rPr>
      </w:pPr>
    </w:p>
    <w:p w14:paraId="2AFB903D" w14:textId="77575355"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 xml:space="preserve">לפעמים הוסוו גם המקומות המוזכרים בשו"ת, מתוך חשש של "עינא בישא", להישאר מתחת לרדאר של השלטון, בענייני מיסים ונושאים רגישים. </w:t>
      </w:r>
    </w:p>
    <w:p w14:paraId="6C24E162" w14:textId="5DE75008" w:rsidR="00111F67" w:rsidRPr="004A5120" w:rsidRDefault="00111F67" w:rsidP="00111F67">
      <w:pPr>
        <w:spacing w:after="0"/>
        <w:jc w:val="both"/>
        <w:rPr>
          <w:rFonts w:ascii="David" w:hAnsi="David" w:cs="David"/>
          <w:sz w:val="24"/>
          <w:szCs w:val="24"/>
          <w:rtl/>
        </w:rPr>
      </w:pPr>
    </w:p>
    <w:p w14:paraId="0DF61E3F" w14:textId="390F57BB" w:rsidR="00111F67" w:rsidRPr="004A5120" w:rsidRDefault="00111F67" w:rsidP="00111F67">
      <w:pPr>
        <w:spacing w:after="0"/>
        <w:jc w:val="both"/>
        <w:rPr>
          <w:rFonts w:ascii="David" w:hAnsi="David" w:cs="David"/>
          <w:sz w:val="24"/>
          <w:szCs w:val="24"/>
          <w:u w:val="single"/>
          <w:rtl/>
        </w:rPr>
      </w:pPr>
      <w:r w:rsidRPr="004A5120">
        <w:rPr>
          <w:rFonts w:ascii="David" w:hAnsi="David" w:cs="David" w:hint="cs"/>
          <w:sz w:val="24"/>
          <w:szCs w:val="24"/>
          <w:u w:val="single"/>
          <w:rtl/>
        </w:rPr>
        <w:t xml:space="preserve">שאלות ותשובות היפותטיות </w:t>
      </w:r>
      <w:r w:rsidRPr="004A5120">
        <w:rPr>
          <w:rFonts w:ascii="David" w:hAnsi="David" w:cs="David"/>
          <w:sz w:val="24"/>
          <w:szCs w:val="24"/>
          <w:u w:val="single"/>
          <w:rtl/>
        </w:rPr>
        <w:t>–</w:t>
      </w:r>
      <w:r w:rsidRPr="004A5120">
        <w:rPr>
          <w:rFonts w:ascii="David" w:hAnsi="David" w:cs="David" w:hint="cs"/>
          <w:sz w:val="24"/>
          <w:szCs w:val="24"/>
          <w:u w:val="single"/>
          <w:rtl/>
        </w:rPr>
        <w:t xml:space="preserve"> שו"ת תר</w:t>
      </w:r>
      <w:r w:rsidR="00D21ECA">
        <w:rPr>
          <w:rFonts w:ascii="David" w:hAnsi="David" w:cs="David" w:hint="cs"/>
          <w:sz w:val="24"/>
          <w:szCs w:val="24"/>
          <w:u w:val="single"/>
          <w:rtl/>
        </w:rPr>
        <w:t>ו</w:t>
      </w:r>
      <w:r w:rsidRPr="004A5120">
        <w:rPr>
          <w:rFonts w:ascii="David" w:hAnsi="David" w:cs="David" w:hint="cs"/>
          <w:sz w:val="24"/>
          <w:szCs w:val="24"/>
          <w:u w:val="single"/>
          <w:rtl/>
        </w:rPr>
        <w:t>מת הדשן:</w:t>
      </w:r>
    </w:p>
    <w:p w14:paraId="4E18EF0F" w14:textId="32DA4AE4"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 xml:space="preserve">רוב השאלות והתשובות התפתחו מבעיות בחיי היום יום והובאו להכרעת החכמים. אך לצידן, קיימות גם שאלות תיאורטיות בלבד </w:t>
      </w:r>
      <w:r w:rsidRPr="004A5120">
        <w:rPr>
          <w:rFonts w:ascii="David" w:hAnsi="David" w:cs="David"/>
          <w:sz w:val="24"/>
          <w:szCs w:val="24"/>
          <w:rtl/>
        </w:rPr>
        <w:t>–</w:t>
      </w:r>
      <w:r w:rsidRPr="004A5120">
        <w:rPr>
          <w:rFonts w:ascii="David" w:hAnsi="David" w:cs="David" w:hint="cs"/>
          <w:sz w:val="24"/>
          <w:szCs w:val="24"/>
          <w:rtl/>
        </w:rPr>
        <w:t xml:space="preserve"> מתוך סקרנות או רצון לעיון.</w:t>
      </w:r>
    </w:p>
    <w:p w14:paraId="7B77E46A" w14:textId="4182C3AC" w:rsidR="00111F67" w:rsidRPr="004A5120" w:rsidRDefault="00111F67" w:rsidP="00111F67">
      <w:pPr>
        <w:spacing w:after="0"/>
        <w:jc w:val="both"/>
        <w:rPr>
          <w:rFonts w:ascii="David" w:hAnsi="David" w:cs="David"/>
          <w:sz w:val="24"/>
          <w:szCs w:val="24"/>
          <w:rtl/>
        </w:rPr>
      </w:pPr>
    </w:p>
    <w:p w14:paraId="50997F6A" w14:textId="57F42D6B"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סוג דומה של שאלות נראה בספר "תרומת הדשן". מחבר הספר ניסח וענה על השאלות (פיקטיביות). חוקרים הוכיחו שחלק מהשאלות בספר אכן קרו במציאות.</w:t>
      </w:r>
    </w:p>
    <w:p w14:paraId="3EAB9711" w14:textId="03F3F1AA" w:rsidR="00111F67" w:rsidRPr="004A5120" w:rsidRDefault="00111F67" w:rsidP="00111F67">
      <w:pPr>
        <w:spacing w:after="0"/>
        <w:jc w:val="both"/>
        <w:rPr>
          <w:rFonts w:ascii="David" w:hAnsi="David" w:cs="David"/>
          <w:sz w:val="24"/>
          <w:szCs w:val="24"/>
          <w:rtl/>
        </w:rPr>
      </w:pPr>
      <w:r w:rsidRPr="004A5120">
        <w:rPr>
          <w:rFonts w:ascii="David" w:hAnsi="David" w:cs="David" w:hint="cs"/>
          <w:sz w:val="24"/>
          <w:szCs w:val="24"/>
          <w:rtl/>
        </w:rPr>
        <w:t xml:space="preserve">כך נוצר ז'אנר חדש, בעל השפעות מבחינת הפסיקה ההלכתית, שאלות עיון </w:t>
      </w:r>
      <w:r w:rsidRPr="004A5120">
        <w:rPr>
          <w:rFonts w:ascii="David" w:hAnsi="David" w:cs="David"/>
          <w:sz w:val="24"/>
          <w:szCs w:val="24"/>
          <w:rtl/>
        </w:rPr>
        <w:t>–</w:t>
      </w:r>
      <w:r w:rsidRPr="004A5120">
        <w:rPr>
          <w:rFonts w:ascii="David" w:hAnsi="David" w:cs="David" w:hint="cs"/>
          <w:sz w:val="24"/>
          <w:szCs w:val="24"/>
          <w:rtl/>
        </w:rPr>
        <w:t xml:space="preserve"> תיאוריה בלבד.</w:t>
      </w:r>
    </w:p>
    <w:p w14:paraId="26F0B83E" w14:textId="7BD8F7DD" w:rsidR="002B5F21" w:rsidRPr="004A5120" w:rsidRDefault="002B5F21" w:rsidP="002B5F21">
      <w:pPr>
        <w:spacing w:after="0"/>
        <w:jc w:val="both"/>
        <w:rPr>
          <w:rFonts w:ascii="David" w:hAnsi="David" w:cs="David"/>
          <w:sz w:val="24"/>
          <w:szCs w:val="24"/>
          <w:rtl/>
        </w:rPr>
      </w:pPr>
    </w:p>
    <w:p w14:paraId="372E7C75" w14:textId="77777777" w:rsidR="002B5F21" w:rsidRPr="004A5120" w:rsidRDefault="002B5F21" w:rsidP="002B5F21">
      <w:pPr>
        <w:spacing w:after="0"/>
        <w:jc w:val="both"/>
        <w:rPr>
          <w:rFonts w:ascii="David" w:hAnsi="David" w:cs="David"/>
          <w:sz w:val="24"/>
          <w:szCs w:val="24"/>
        </w:rPr>
      </w:pPr>
    </w:p>
    <w:sectPr w:rsidR="002B5F21" w:rsidRPr="004A5120" w:rsidSect="00BB5D3F">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C706" w14:textId="77777777" w:rsidR="00646D82" w:rsidRDefault="00646D82" w:rsidP="007517BD">
      <w:pPr>
        <w:spacing w:after="0" w:line="240" w:lineRule="auto"/>
      </w:pPr>
      <w:r>
        <w:separator/>
      </w:r>
    </w:p>
  </w:endnote>
  <w:endnote w:type="continuationSeparator" w:id="0">
    <w:p w14:paraId="4F67C675" w14:textId="77777777" w:rsidR="00646D82" w:rsidRDefault="00646D82" w:rsidP="007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A7D3" w14:textId="77777777" w:rsidR="00646D82" w:rsidRDefault="00646D82" w:rsidP="007517BD">
      <w:pPr>
        <w:spacing w:after="0" w:line="240" w:lineRule="auto"/>
      </w:pPr>
      <w:r>
        <w:separator/>
      </w:r>
    </w:p>
  </w:footnote>
  <w:footnote w:type="continuationSeparator" w:id="0">
    <w:p w14:paraId="4555C1A7" w14:textId="77777777" w:rsidR="00646D82" w:rsidRDefault="00646D82" w:rsidP="0075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DC7" w14:textId="2ECC9C96" w:rsidR="004A5120" w:rsidRDefault="004A5120" w:rsidP="004A5120">
    <w:pPr>
      <w:spacing w:after="0" w:line="276" w:lineRule="auto"/>
      <w:jc w:val="both"/>
      <w:rPr>
        <w:rFonts w:ascii="David" w:hAnsi="David" w:cs="David"/>
        <w:rtl/>
      </w:rPr>
    </w:pPr>
    <w:r>
      <w:rPr>
        <w:rFonts w:ascii="David" w:hAnsi="David" w:cs="David" w:hint="cs"/>
        <w:rtl/>
      </w:rPr>
      <w:t>משפט עברי</w:t>
    </w:r>
    <w:r w:rsidRPr="00993924">
      <w:rPr>
        <w:rFonts w:ascii="David" w:hAnsi="David" w:cs="David" w:hint="cs"/>
        <w:rtl/>
      </w:rPr>
      <w:t xml:space="preserve">: </w:t>
    </w:r>
    <w:r>
      <w:rPr>
        <w:rFonts w:ascii="David" w:hAnsi="David" w:cs="David" w:hint="cs"/>
        <w:rtl/>
      </w:rPr>
      <w:t>ד"ר יעקב חבה</w:t>
    </w:r>
    <w:r w:rsidRPr="00993924">
      <w:rPr>
        <w:rFonts w:ascii="David" w:hAnsi="David" w:cs="David" w:hint="cs"/>
        <w:b/>
        <w:bCs/>
        <w:rtl/>
      </w:rPr>
      <w:t>,</w:t>
    </w:r>
    <w:r w:rsidRPr="00993924">
      <w:rPr>
        <w:rFonts w:ascii="David" w:hAnsi="David" w:cs="David" w:hint="cs"/>
        <w:rtl/>
      </w:rPr>
      <w:t xml:space="preserve"> תשפ״</w:t>
    </w:r>
    <w:r>
      <w:rPr>
        <w:rFonts w:ascii="David" w:hAnsi="David" w:cs="David" w:hint="cs"/>
        <w:rtl/>
      </w:rPr>
      <w:t>ב</w:t>
    </w:r>
  </w:p>
  <w:p w14:paraId="7A9FF5C3" w14:textId="6EDB3A21" w:rsidR="004A5120" w:rsidRDefault="004A5120" w:rsidP="004A5120">
    <w:pPr>
      <w:spacing w:after="0" w:line="276" w:lineRule="auto"/>
      <w:jc w:val="both"/>
      <w:rPr>
        <w:rFonts w:ascii="David" w:hAnsi="David" w:cs="David"/>
        <w:rtl/>
      </w:rPr>
    </w:pPr>
    <w:r>
      <w:rPr>
        <w:rFonts w:ascii="David" w:hAnsi="David" w:cs="David" w:hint="cs"/>
        <w:rtl/>
      </w:rPr>
      <w:t>סיכום ספרו של מנחם אלון</w:t>
    </w:r>
  </w:p>
  <w:p w14:paraId="38F5401B" w14:textId="7D6AA7C3" w:rsidR="004A5120" w:rsidRPr="004A5120" w:rsidRDefault="004A5120" w:rsidP="004A5120">
    <w:pPr>
      <w:spacing w:after="0" w:line="276" w:lineRule="auto"/>
      <w:jc w:val="center"/>
      <w:rPr>
        <w:rFonts w:ascii="David" w:hAnsi="David" w:cs="David"/>
      </w:rPr>
    </w:pPr>
    <w:r>
      <w:rPr>
        <w:rFonts w:ascii="David" w:hAnsi="David" w:cs="David" w:hint="cs"/>
        <w:b/>
        <w:bCs/>
        <w:rtl/>
      </w:rPr>
      <w:t xml:space="preserve">נועה בר </w:t>
    </w:r>
    <w:r>
      <w:rPr>
        <w:rFonts w:ascii="David" w:hAnsi="David" w:cs="David" w:hint="cs"/>
        <w:rtl/>
      </w:rPr>
      <w:t>מבוסס על שילת לוי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0DD"/>
    <w:multiLevelType w:val="hybridMultilevel"/>
    <w:tmpl w:val="CA4E9EC8"/>
    <w:lvl w:ilvl="0" w:tplc="C2BAD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7CF7"/>
    <w:multiLevelType w:val="hybridMultilevel"/>
    <w:tmpl w:val="A94C6624"/>
    <w:lvl w:ilvl="0" w:tplc="C69A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220F"/>
    <w:multiLevelType w:val="hybridMultilevel"/>
    <w:tmpl w:val="1D021BBA"/>
    <w:lvl w:ilvl="0" w:tplc="47B8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673C2"/>
    <w:multiLevelType w:val="hybridMultilevel"/>
    <w:tmpl w:val="59BE230C"/>
    <w:lvl w:ilvl="0" w:tplc="30AC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4E0"/>
    <w:multiLevelType w:val="hybridMultilevel"/>
    <w:tmpl w:val="0D1AF222"/>
    <w:lvl w:ilvl="0" w:tplc="BFA8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A3449"/>
    <w:multiLevelType w:val="hybridMultilevel"/>
    <w:tmpl w:val="9394FBA4"/>
    <w:lvl w:ilvl="0" w:tplc="0E7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557CB"/>
    <w:multiLevelType w:val="hybridMultilevel"/>
    <w:tmpl w:val="6FF68EFC"/>
    <w:lvl w:ilvl="0" w:tplc="B9F4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A2F1C"/>
    <w:multiLevelType w:val="hybridMultilevel"/>
    <w:tmpl w:val="477261F8"/>
    <w:lvl w:ilvl="0" w:tplc="C884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93A5B"/>
    <w:multiLevelType w:val="hybridMultilevel"/>
    <w:tmpl w:val="50868670"/>
    <w:lvl w:ilvl="0" w:tplc="55924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F6FF7"/>
    <w:multiLevelType w:val="hybridMultilevel"/>
    <w:tmpl w:val="FEC0C060"/>
    <w:lvl w:ilvl="0" w:tplc="10B8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14A07"/>
    <w:multiLevelType w:val="hybridMultilevel"/>
    <w:tmpl w:val="A47EEEEE"/>
    <w:lvl w:ilvl="0" w:tplc="1CA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3232"/>
    <w:multiLevelType w:val="hybridMultilevel"/>
    <w:tmpl w:val="4DDC5790"/>
    <w:lvl w:ilvl="0" w:tplc="C47E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008DA"/>
    <w:multiLevelType w:val="hybridMultilevel"/>
    <w:tmpl w:val="D9D08594"/>
    <w:lvl w:ilvl="0" w:tplc="DA0CA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C3069"/>
    <w:multiLevelType w:val="hybridMultilevel"/>
    <w:tmpl w:val="E58A6990"/>
    <w:lvl w:ilvl="0" w:tplc="4B50A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564FF"/>
    <w:multiLevelType w:val="hybridMultilevel"/>
    <w:tmpl w:val="DF30B56C"/>
    <w:lvl w:ilvl="0" w:tplc="AA4E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C12FE"/>
    <w:multiLevelType w:val="hybridMultilevel"/>
    <w:tmpl w:val="799CD034"/>
    <w:lvl w:ilvl="0" w:tplc="3D928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7045E"/>
    <w:multiLevelType w:val="hybridMultilevel"/>
    <w:tmpl w:val="623ACD5E"/>
    <w:lvl w:ilvl="0" w:tplc="E48C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C45B5"/>
    <w:multiLevelType w:val="hybridMultilevel"/>
    <w:tmpl w:val="8D5A32AC"/>
    <w:lvl w:ilvl="0" w:tplc="FA0EA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0022C"/>
    <w:multiLevelType w:val="hybridMultilevel"/>
    <w:tmpl w:val="6E6CAC9C"/>
    <w:lvl w:ilvl="0" w:tplc="F73E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DC"/>
    <w:multiLevelType w:val="hybridMultilevel"/>
    <w:tmpl w:val="CE8A43A8"/>
    <w:lvl w:ilvl="0" w:tplc="5984A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00C23"/>
    <w:multiLevelType w:val="hybridMultilevel"/>
    <w:tmpl w:val="2B48B52A"/>
    <w:lvl w:ilvl="0" w:tplc="3BC8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84AC0"/>
    <w:multiLevelType w:val="hybridMultilevel"/>
    <w:tmpl w:val="A0FEB9F0"/>
    <w:lvl w:ilvl="0" w:tplc="FEB0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B4624D"/>
    <w:multiLevelType w:val="hybridMultilevel"/>
    <w:tmpl w:val="544E8D8C"/>
    <w:lvl w:ilvl="0" w:tplc="C8F63E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C605F3"/>
    <w:multiLevelType w:val="hybridMultilevel"/>
    <w:tmpl w:val="8DA43518"/>
    <w:lvl w:ilvl="0" w:tplc="FD58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D11C5"/>
    <w:multiLevelType w:val="hybridMultilevel"/>
    <w:tmpl w:val="D46CCCF4"/>
    <w:lvl w:ilvl="0" w:tplc="894E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A7C7A"/>
    <w:multiLevelType w:val="hybridMultilevel"/>
    <w:tmpl w:val="4BC093F2"/>
    <w:lvl w:ilvl="0" w:tplc="5984A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92479"/>
    <w:multiLevelType w:val="hybridMultilevel"/>
    <w:tmpl w:val="BC84B136"/>
    <w:lvl w:ilvl="0" w:tplc="8362E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B7EA3"/>
    <w:multiLevelType w:val="hybridMultilevel"/>
    <w:tmpl w:val="1BD2B3F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EFD"/>
    <w:multiLevelType w:val="hybridMultilevel"/>
    <w:tmpl w:val="F08E28EA"/>
    <w:lvl w:ilvl="0" w:tplc="21BA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00225"/>
    <w:multiLevelType w:val="hybridMultilevel"/>
    <w:tmpl w:val="A83CB76E"/>
    <w:lvl w:ilvl="0" w:tplc="7C46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043DE"/>
    <w:multiLevelType w:val="hybridMultilevel"/>
    <w:tmpl w:val="EAE4AF4C"/>
    <w:lvl w:ilvl="0" w:tplc="ADB47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06F8D"/>
    <w:multiLevelType w:val="hybridMultilevel"/>
    <w:tmpl w:val="387A1E76"/>
    <w:lvl w:ilvl="0" w:tplc="80F23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757B7"/>
    <w:multiLevelType w:val="hybridMultilevel"/>
    <w:tmpl w:val="9B8278AE"/>
    <w:lvl w:ilvl="0" w:tplc="934E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C1506"/>
    <w:multiLevelType w:val="hybridMultilevel"/>
    <w:tmpl w:val="07163400"/>
    <w:lvl w:ilvl="0" w:tplc="0408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930A2"/>
    <w:multiLevelType w:val="hybridMultilevel"/>
    <w:tmpl w:val="C31ECED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84CE8"/>
    <w:multiLevelType w:val="hybridMultilevel"/>
    <w:tmpl w:val="03F412A6"/>
    <w:lvl w:ilvl="0" w:tplc="7222EF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74B6A"/>
    <w:multiLevelType w:val="hybridMultilevel"/>
    <w:tmpl w:val="56C068C4"/>
    <w:lvl w:ilvl="0" w:tplc="A2BC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02C04"/>
    <w:multiLevelType w:val="hybridMultilevel"/>
    <w:tmpl w:val="8C36843E"/>
    <w:lvl w:ilvl="0" w:tplc="6810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F252F"/>
    <w:multiLevelType w:val="hybridMultilevel"/>
    <w:tmpl w:val="F17018A4"/>
    <w:lvl w:ilvl="0" w:tplc="20D01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5311F0"/>
    <w:multiLevelType w:val="hybridMultilevel"/>
    <w:tmpl w:val="A9E8DB42"/>
    <w:lvl w:ilvl="0" w:tplc="FCF6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AF404E"/>
    <w:multiLevelType w:val="hybridMultilevel"/>
    <w:tmpl w:val="CD58232C"/>
    <w:lvl w:ilvl="0" w:tplc="B322C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391DE9"/>
    <w:multiLevelType w:val="hybridMultilevel"/>
    <w:tmpl w:val="397005C6"/>
    <w:lvl w:ilvl="0" w:tplc="9B8C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C5421"/>
    <w:multiLevelType w:val="hybridMultilevel"/>
    <w:tmpl w:val="7EC0312C"/>
    <w:lvl w:ilvl="0" w:tplc="9288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C57BF"/>
    <w:multiLevelType w:val="hybridMultilevel"/>
    <w:tmpl w:val="F1EE0262"/>
    <w:lvl w:ilvl="0" w:tplc="5B64A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25BEC"/>
    <w:multiLevelType w:val="hybridMultilevel"/>
    <w:tmpl w:val="EAC87AF4"/>
    <w:lvl w:ilvl="0" w:tplc="7128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BF67B7"/>
    <w:multiLevelType w:val="hybridMultilevel"/>
    <w:tmpl w:val="981C0C12"/>
    <w:lvl w:ilvl="0" w:tplc="25B023D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35E43"/>
    <w:multiLevelType w:val="hybridMultilevel"/>
    <w:tmpl w:val="E270A1E0"/>
    <w:lvl w:ilvl="0" w:tplc="5AC49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1F74DD"/>
    <w:multiLevelType w:val="hybridMultilevel"/>
    <w:tmpl w:val="16BCB364"/>
    <w:lvl w:ilvl="0" w:tplc="5984A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C14ABA"/>
    <w:multiLevelType w:val="hybridMultilevel"/>
    <w:tmpl w:val="EAC0451C"/>
    <w:lvl w:ilvl="0" w:tplc="A9CC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A1FF0"/>
    <w:multiLevelType w:val="hybridMultilevel"/>
    <w:tmpl w:val="908E090C"/>
    <w:lvl w:ilvl="0" w:tplc="1748A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913CBA"/>
    <w:multiLevelType w:val="hybridMultilevel"/>
    <w:tmpl w:val="7AE085F2"/>
    <w:lvl w:ilvl="0" w:tplc="9D125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61E69"/>
    <w:multiLevelType w:val="hybridMultilevel"/>
    <w:tmpl w:val="C504A4CA"/>
    <w:lvl w:ilvl="0" w:tplc="942E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A553F"/>
    <w:multiLevelType w:val="hybridMultilevel"/>
    <w:tmpl w:val="59C8B250"/>
    <w:lvl w:ilvl="0" w:tplc="FE8AB06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E986334"/>
    <w:multiLevelType w:val="hybridMultilevel"/>
    <w:tmpl w:val="A094BC2A"/>
    <w:lvl w:ilvl="0" w:tplc="3AB2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8D21C3"/>
    <w:multiLevelType w:val="hybridMultilevel"/>
    <w:tmpl w:val="904C21F8"/>
    <w:lvl w:ilvl="0" w:tplc="ED72C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05408">
    <w:abstractNumId w:val="25"/>
  </w:num>
  <w:num w:numId="2" w16cid:durableId="720908177">
    <w:abstractNumId w:val="27"/>
  </w:num>
  <w:num w:numId="3" w16cid:durableId="1116170450">
    <w:abstractNumId w:val="3"/>
  </w:num>
  <w:num w:numId="4" w16cid:durableId="244191990">
    <w:abstractNumId w:val="38"/>
  </w:num>
  <w:num w:numId="5" w16cid:durableId="289867436">
    <w:abstractNumId w:val="15"/>
  </w:num>
  <w:num w:numId="6" w16cid:durableId="1892035745">
    <w:abstractNumId w:val="41"/>
  </w:num>
  <w:num w:numId="7" w16cid:durableId="1204947346">
    <w:abstractNumId w:val="30"/>
  </w:num>
  <w:num w:numId="8" w16cid:durableId="1979451357">
    <w:abstractNumId w:val="1"/>
  </w:num>
  <w:num w:numId="9" w16cid:durableId="305625812">
    <w:abstractNumId w:val="40"/>
  </w:num>
  <w:num w:numId="10" w16cid:durableId="2088263286">
    <w:abstractNumId w:val="20"/>
  </w:num>
  <w:num w:numId="11" w16cid:durableId="2114132912">
    <w:abstractNumId w:val="12"/>
  </w:num>
  <w:num w:numId="12" w16cid:durableId="902373627">
    <w:abstractNumId w:val="7"/>
  </w:num>
  <w:num w:numId="13" w16cid:durableId="1431241577">
    <w:abstractNumId w:val="5"/>
  </w:num>
  <w:num w:numId="14" w16cid:durableId="1494292634">
    <w:abstractNumId w:val="16"/>
  </w:num>
  <w:num w:numId="15" w16cid:durableId="1122304556">
    <w:abstractNumId w:val="23"/>
  </w:num>
  <w:num w:numId="16" w16cid:durableId="1194267894">
    <w:abstractNumId w:val="51"/>
  </w:num>
  <w:num w:numId="17" w16cid:durableId="631712537">
    <w:abstractNumId w:val="10"/>
  </w:num>
  <w:num w:numId="18" w16cid:durableId="158162538">
    <w:abstractNumId w:val="48"/>
  </w:num>
  <w:num w:numId="19" w16cid:durableId="76631556">
    <w:abstractNumId w:val="26"/>
  </w:num>
  <w:num w:numId="20" w16cid:durableId="204873527">
    <w:abstractNumId w:val="43"/>
  </w:num>
  <w:num w:numId="21" w16cid:durableId="962154030">
    <w:abstractNumId w:val="18"/>
  </w:num>
  <w:num w:numId="22" w16cid:durableId="965506839">
    <w:abstractNumId w:val="47"/>
  </w:num>
  <w:num w:numId="23" w16cid:durableId="1533149840">
    <w:abstractNumId w:val="54"/>
  </w:num>
  <w:num w:numId="24" w16cid:durableId="365718105">
    <w:abstractNumId w:val="13"/>
  </w:num>
  <w:num w:numId="25" w16cid:durableId="460467276">
    <w:abstractNumId w:val="28"/>
  </w:num>
  <w:num w:numId="26" w16cid:durableId="1940331152">
    <w:abstractNumId w:val="35"/>
  </w:num>
  <w:num w:numId="27" w16cid:durableId="831724688">
    <w:abstractNumId w:val="21"/>
  </w:num>
  <w:num w:numId="28" w16cid:durableId="44381465">
    <w:abstractNumId w:val="19"/>
  </w:num>
  <w:num w:numId="29" w16cid:durableId="2058122873">
    <w:abstractNumId w:val="0"/>
  </w:num>
  <w:num w:numId="30" w16cid:durableId="724185986">
    <w:abstractNumId w:val="50"/>
  </w:num>
  <w:num w:numId="31" w16cid:durableId="817915945">
    <w:abstractNumId w:val="31"/>
  </w:num>
  <w:num w:numId="32" w16cid:durableId="1850094416">
    <w:abstractNumId w:val="32"/>
  </w:num>
  <w:num w:numId="33" w16cid:durableId="1524903480">
    <w:abstractNumId w:val="24"/>
  </w:num>
  <w:num w:numId="34" w16cid:durableId="1524050285">
    <w:abstractNumId w:val="11"/>
  </w:num>
  <w:num w:numId="35" w16cid:durableId="762410859">
    <w:abstractNumId w:val="45"/>
  </w:num>
  <w:num w:numId="36" w16cid:durableId="229996938">
    <w:abstractNumId w:val="33"/>
  </w:num>
  <w:num w:numId="37" w16cid:durableId="1577125849">
    <w:abstractNumId w:val="29"/>
  </w:num>
  <w:num w:numId="38" w16cid:durableId="1843666463">
    <w:abstractNumId w:val="44"/>
  </w:num>
  <w:num w:numId="39" w16cid:durableId="523057236">
    <w:abstractNumId w:val="46"/>
  </w:num>
  <w:num w:numId="40" w16cid:durableId="1990283394">
    <w:abstractNumId w:val="34"/>
  </w:num>
  <w:num w:numId="41" w16cid:durableId="490563832">
    <w:abstractNumId w:val="36"/>
  </w:num>
  <w:num w:numId="42" w16cid:durableId="500973416">
    <w:abstractNumId w:val="52"/>
  </w:num>
  <w:num w:numId="43" w16cid:durableId="990063714">
    <w:abstractNumId w:val="22"/>
  </w:num>
  <w:num w:numId="44" w16cid:durableId="1792935956">
    <w:abstractNumId w:val="9"/>
  </w:num>
  <w:num w:numId="45" w16cid:durableId="1861385491">
    <w:abstractNumId w:val="53"/>
  </w:num>
  <w:num w:numId="46" w16cid:durableId="1644195959">
    <w:abstractNumId w:val="42"/>
  </w:num>
  <w:num w:numId="47" w16cid:durableId="735856454">
    <w:abstractNumId w:val="49"/>
  </w:num>
  <w:num w:numId="48" w16cid:durableId="636299884">
    <w:abstractNumId w:val="2"/>
  </w:num>
  <w:num w:numId="49" w16cid:durableId="1613242196">
    <w:abstractNumId w:val="39"/>
  </w:num>
  <w:num w:numId="50" w16cid:durableId="1423453653">
    <w:abstractNumId w:val="17"/>
  </w:num>
  <w:num w:numId="51" w16cid:durableId="1158887855">
    <w:abstractNumId w:val="8"/>
  </w:num>
  <w:num w:numId="52" w16cid:durableId="466775235">
    <w:abstractNumId w:val="14"/>
  </w:num>
  <w:num w:numId="53" w16cid:durableId="44256483">
    <w:abstractNumId w:val="4"/>
  </w:num>
  <w:num w:numId="54" w16cid:durableId="1692297400">
    <w:abstractNumId w:val="37"/>
  </w:num>
  <w:num w:numId="55" w16cid:durableId="109891038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D5"/>
    <w:rsid w:val="0000187E"/>
    <w:rsid w:val="00006F85"/>
    <w:rsid w:val="00012FCB"/>
    <w:rsid w:val="00014962"/>
    <w:rsid w:val="0002244B"/>
    <w:rsid w:val="0002450A"/>
    <w:rsid w:val="000275DA"/>
    <w:rsid w:val="000374E5"/>
    <w:rsid w:val="00062003"/>
    <w:rsid w:val="00065DE0"/>
    <w:rsid w:val="00071A76"/>
    <w:rsid w:val="00076ABC"/>
    <w:rsid w:val="000903D0"/>
    <w:rsid w:val="000922F9"/>
    <w:rsid w:val="000941C8"/>
    <w:rsid w:val="000A1E8C"/>
    <w:rsid w:val="000B0FAE"/>
    <w:rsid w:val="000B3B8D"/>
    <w:rsid w:val="000B666E"/>
    <w:rsid w:val="0010604C"/>
    <w:rsid w:val="00111F67"/>
    <w:rsid w:val="00113EF2"/>
    <w:rsid w:val="00114DF0"/>
    <w:rsid w:val="00116233"/>
    <w:rsid w:val="00131AC3"/>
    <w:rsid w:val="001379AA"/>
    <w:rsid w:val="00151F84"/>
    <w:rsid w:val="0016752A"/>
    <w:rsid w:val="001A492B"/>
    <w:rsid w:val="001C035D"/>
    <w:rsid w:val="001D4D29"/>
    <w:rsid w:val="001D7624"/>
    <w:rsid w:val="001E1A4B"/>
    <w:rsid w:val="001E2277"/>
    <w:rsid w:val="001E398C"/>
    <w:rsid w:val="00201ADE"/>
    <w:rsid w:val="002021A7"/>
    <w:rsid w:val="00211366"/>
    <w:rsid w:val="00242629"/>
    <w:rsid w:val="0024306D"/>
    <w:rsid w:val="002550E4"/>
    <w:rsid w:val="00257DD3"/>
    <w:rsid w:val="00260D49"/>
    <w:rsid w:val="0026479E"/>
    <w:rsid w:val="002761B0"/>
    <w:rsid w:val="00280C78"/>
    <w:rsid w:val="0028208D"/>
    <w:rsid w:val="00282CD9"/>
    <w:rsid w:val="002830D4"/>
    <w:rsid w:val="00287937"/>
    <w:rsid w:val="00290411"/>
    <w:rsid w:val="002B3F3F"/>
    <w:rsid w:val="002B50EB"/>
    <w:rsid w:val="002B5F21"/>
    <w:rsid w:val="002B6BC8"/>
    <w:rsid w:val="002C1FF0"/>
    <w:rsid w:val="002E5194"/>
    <w:rsid w:val="002F11C6"/>
    <w:rsid w:val="002F3F6E"/>
    <w:rsid w:val="002F7D7B"/>
    <w:rsid w:val="00310D58"/>
    <w:rsid w:val="00331259"/>
    <w:rsid w:val="003344D4"/>
    <w:rsid w:val="00337354"/>
    <w:rsid w:val="00352189"/>
    <w:rsid w:val="00372468"/>
    <w:rsid w:val="00390C85"/>
    <w:rsid w:val="003A17A2"/>
    <w:rsid w:val="003A7CEE"/>
    <w:rsid w:val="003B24B3"/>
    <w:rsid w:val="003F3652"/>
    <w:rsid w:val="003F3966"/>
    <w:rsid w:val="003F6EB7"/>
    <w:rsid w:val="00423159"/>
    <w:rsid w:val="004245D6"/>
    <w:rsid w:val="004305F9"/>
    <w:rsid w:val="0043062B"/>
    <w:rsid w:val="00454519"/>
    <w:rsid w:val="00464BA0"/>
    <w:rsid w:val="004807D8"/>
    <w:rsid w:val="00480E4F"/>
    <w:rsid w:val="0048448B"/>
    <w:rsid w:val="004933A1"/>
    <w:rsid w:val="00494938"/>
    <w:rsid w:val="004A5120"/>
    <w:rsid w:val="004A5CA9"/>
    <w:rsid w:val="004B2A23"/>
    <w:rsid w:val="004B68B6"/>
    <w:rsid w:val="004C38CC"/>
    <w:rsid w:val="004E63B4"/>
    <w:rsid w:val="004F3869"/>
    <w:rsid w:val="004F4B19"/>
    <w:rsid w:val="0050299B"/>
    <w:rsid w:val="00504094"/>
    <w:rsid w:val="005176B0"/>
    <w:rsid w:val="00517FE7"/>
    <w:rsid w:val="00520A40"/>
    <w:rsid w:val="0053270C"/>
    <w:rsid w:val="00536D35"/>
    <w:rsid w:val="0054627A"/>
    <w:rsid w:val="005536ED"/>
    <w:rsid w:val="00553F81"/>
    <w:rsid w:val="00566160"/>
    <w:rsid w:val="005767E7"/>
    <w:rsid w:val="00586766"/>
    <w:rsid w:val="005A6C12"/>
    <w:rsid w:val="005C6AEA"/>
    <w:rsid w:val="005D5A7C"/>
    <w:rsid w:val="005E3BFE"/>
    <w:rsid w:val="005F0FFB"/>
    <w:rsid w:val="00600BBC"/>
    <w:rsid w:val="006058BF"/>
    <w:rsid w:val="00610CA4"/>
    <w:rsid w:val="0062127D"/>
    <w:rsid w:val="00640C7C"/>
    <w:rsid w:val="0064351F"/>
    <w:rsid w:val="00646D82"/>
    <w:rsid w:val="00655601"/>
    <w:rsid w:val="00665E0E"/>
    <w:rsid w:val="00676B92"/>
    <w:rsid w:val="00682C99"/>
    <w:rsid w:val="00683158"/>
    <w:rsid w:val="006841FA"/>
    <w:rsid w:val="006848F2"/>
    <w:rsid w:val="006859E0"/>
    <w:rsid w:val="006A5302"/>
    <w:rsid w:val="006B4487"/>
    <w:rsid w:val="006B532E"/>
    <w:rsid w:val="006C0DE5"/>
    <w:rsid w:val="006E109F"/>
    <w:rsid w:val="006E29D1"/>
    <w:rsid w:val="006E3D59"/>
    <w:rsid w:val="00703C23"/>
    <w:rsid w:val="00717FB6"/>
    <w:rsid w:val="007363A7"/>
    <w:rsid w:val="00741F6D"/>
    <w:rsid w:val="007517BD"/>
    <w:rsid w:val="007541E0"/>
    <w:rsid w:val="00756D86"/>
    <w:rsid w:val="0076373E"/>
    <w:rsid w:val="0076659F"/>
    <w:rsid w:val="00771982"/>
    <w:rsid w:val="007953E1"/>
    <w:rsid w:val="00796389"/>
    <w:rsid w:val="007A130B"/>
    <w:rsid w:val="007B0943"/>
    <w:rsid w:val="007B13F2"/>
    <w:rsid w:val="007B7972"/>
    <w:rsid w:val="007C47A5"/>
    <w:rsid w:val="007C76BB"/>
    <w:rsid w:val="007D72CF"/>
    <w:rsid w:val="007E413E"/>
    <w:rsid w:val="007E6CB4"/>
    <w:rsid w:val="008141A4"/>
    <w:rsid w:val="00834F63"/>
    <w:rsid w:val="008434F6"/>
    <w:rsid w:val="00844D77"/>
    <w:rsid w:val="0085304E"/>
    <w:rsid w:val="00862577"/>
    <w:rsid w:val="00882863"/>
    <w:rsid w:val="00882E00"/>
    <w:rsid w:val="008849E5"/>
    <w:rsid w:val="008A166F"/>
    <w:rsid w:val="008A630B"/>
    <w:rsid w:val="008B3C4C"/>
    <w:rsid w:val="008D481F"/>
    <w:rsid w:val="008D51D9"/>
    <w:rsid w:val="008E40D8"/>
    <w:rsid w:val="008F2D80"/>
    <w:rsid w:val="00907321"/>
    <w:rsid w:val="00912C7D"/>
    <w:rsid w:val="00916E21"/>
    <w:rsid w:val="00921BF4"/>
    <w:rsid w:val="009349E9"/>
    <w:rsid w:val="009402DB"/>
    <w:rsid w:val="00940FC8"/>
    <w:rsid w:val="009565FD"/>
    <w:rsid w:val="00956BD8"/>
    <w:rsid w:val="00962D4E"/>
    <w:rsid w:val="00966023"/>
    <w:rsid w:val="00970A69"/>
    <w:rsid w:val="009815EC"/>
    <w:rsid w:val="009868B4"/>
    <w:rsid w:val="00987971"/>
    <w:rsid w:val="00991552"/>
    <w:rsid w:val="009939DC"/>
    <w:rsid w:val="009A0900"/>
    <w:rsid w:val="009A351C"/>
    <w:rsid w:val="009A7031"/>
    <w:rsid w:val="009C4AE4"/>
    <w:rsid w:val="009C50CC"/>
    <w:rsid w:val="009C64BF"/>
    <w:rsid w:val="009D5617"/>
    <w:rsid w:val="009D586C"/>
    <w:rsid w:val="009D77FF"/>
    <w:rsid w:val="009E2894"/>
    <w:rsid w:val="009E3E9B"/>
    <w:rsid w:val="009F1D75"/>
    <w:rsid w:val="009F257D"/>
    <w:rsid w:val="009F3153"/>
    <w:rsid w:val="00A00BA5"/>
    <w:rsid w:val="00A02B5B"/>
    <w:rsid w:val="00A1508B"/>
    <w:rsid w:val="00A163FE"/>
    <w:rsid w:val="00A45329"/>
    <w:rsid w:val="00A46032"/>
    <w:rsid w:val="00A466F6"/>
    <w:rsid w:val="00A46A54"/>
    <w:rsid w:val="00A61A8E"/>
    <w:rsid w:val="00A71E71"/>
    <w:rsid w:val="00A759C5"/>
    <w:rsid w:val="00A97582"/>
    <w:rsid w:val="00AA4EA2"/>
    <w:rsid w:val="00AA5161"/>
    <w:rsid w:val="00AB062A"/>
    <w:rsid w:val="00AB3A9A"/>
    <w:rsid w:val="00AB7B12"/>
    <w:rsid w:val="00AD782B"/>
    <w:rsid w:val="00AF4935"/>
    <w:rsid w:val="00B01A77"/>
    <w:rsid w:val="00B044D3"/>
    <w:rsid w:val="00B101CF"/>
    <w:rsid w:val="00B11574"/>
    <w:rsid w:val="00B142BA"/>
    <w:rsid w:val="00B14D6F"/>
    <w:rsid w:val="00B210D9"/>
    <w:rsid w:val="00B27475"/>
    <w:rsid w:val="00B34E7F"/>
    <w:rsid w:val="00B542C5"/>
    <w:rsid w:val="00B6626A"/>
    <w:rsid w:val="00B71B6C"/>
    <w:rsid w:val="00B72F02"/>
    <w:rsid w:val="00B7655E"/>
    <w:rsid w:val="00B82AED"/>
    <w:rsid w:val="00B84FA2"/>
    <w:rsid w:val="00B85EA6"/>
    <w:rsid w:val="00B919A8"/>
    <w:rsid w:val="00BA2542"/>
    <w:rsid w:val="00BA37D5"/>
    <w:rsid w:val="00BA7073"/>
    <w:rsid w:val="00BB5D3F"/>
    <w:rsid w:val="00BC3629"/>
    <w:rsid w:val="00BD4E5D"/>
    <w:rsid w:val="00BF5EAC"/>
    <w:rsid w:val="00BF6D5F"/>
    <w:rsid w:val="00C12893"/>
    <w:rsid w:val="00C315CF"/>
    <w:rsid w:val="00C34793"/>
    <w:rsid w:val="00C37644"/>
    <w:rsid w:val="00C46885"/>
    <w:rsid w:val="00C52E84"/>
    <w:rsid w:val="00C6588A"/>
    <w:rsid w:val="00C65D60"/>
    <w:rsid w:val="00C92292"/>
    <w:rsid w:val="00CA0D64"/>
    <w:rsid w:val="00CA5BB6"/>
    <w:rsid w:val="00CB4D85"/>
    <w:rsid w:val="00CD44BF"/>
    <w:rsid w:val="00CD4967"/>
    <w:rsid w:val="00CE5DC3"/>
    <w:rsid w:val="00D04491"/>
    <w:rsid w:val="00D1615C"/>
    <w:rsid w:val="00D21ECA"/>
    <w:rsid w:val="00D5195D"/>
    <w:rsid w:val="00D606EF"/>
    <w:rsid w:val="00D65A46"/>
    <w:rsid w:val="00D6697C"/>
    <w:rsid w:val="00D70535"/>
    <w:rsid w:val="00D86739"/>
    <w:rsid w:val="00D91C07"/>
    <w:rsid w:val="00D925DD"/>
    <w:rsid w:val="00D97B45"/>
    <w:rsid w:val="00DA3638"/>
    <w:rsid w:val="00DA43EA"/>
    <w:rsid w:val="00DB7C02"/>
    <w:rsid w:val="00DC1D68"/>
    <w:rsid w:val="00DD1B36"/>
    <w:rsid w:val="00DF036A"/>
    <w:rsid w:val="00E0079E"/>
    <w:rsid w:val="00E01DAB"/>
    <w:rsid w:val="00E06408"/>
    <w:rsid w:val="00E226D2"/>
    <w:rsid w:val="00E40791"/>
    <w:rsid w:val="00E45441"/>
    <w:rsid w:val="00E64B72"/>
    <w:rsid w:val="00E84CE5"/>
    <w:rsid w:val="00E90E15"/>
    <w:rsid w:val="00E92FB7"/>
    <w:rsid w:val="00EA0426"/>
    <w:rsid w:val="00EA78A6"/>
    <w:rsid w:val="00EA7EF2"/>
    <w:rsid w:val="00EB1E5C"/>
    <w:rsid w:val="00EB42ED"/>
    <w:rsid w:val="00ED6EB7"/>
    <w:rsid w:val="00EE1C8D"/>
    <w:rsid w:val="00EE2CDF"/>
    <w:rsid w:val="00EF0F31"/>
    <w:rsid w:val="00EF3633"/>
    <w:rsid w:val="00F044A1"/>
    <w:rsid w:val="00F11B7B"/>
    <w:rsid w:val="00F36BA7"/>
    <w:rsid w:val="00F37BCC"/>
    <w:rsid w:val="00F44C26"/>
    <w:rsid w:val="00F74F6D"/>
    <w:rsid w:val="00F86DBE"/>
    <w:rsid w:val="00F918E8"/>
    <w:rsid w:val="00FA7A0B"/>
    <w:rsid w:val="00FB5BFD"/>
    <w:rsid w:val="00FC4C11"/>
    <w:rsid w:val="00FD4ED5"/>
    <w:rsid w:val="00FD5CCA"/>
    <w:rsid w:val="00FD6C73"/>
    <w:rsid w:val="00FF1508"/>
    <w:rsid w:val="00FF3E07"/>
    <w:rsid w:val="00FF5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A1E6"/>
  <w15:chartTrackingRefBased/>
  <w15:docId w15:val="{BB27A172-80B4-40CE-BC59-D6140A1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D5"/>
    <w:pPr>
      <w:ind w:left="720"/>
      <w:contextualSpacing/>
    </w:pPr>
  </w:style>
  <w:style w:type="character" w:styleId="a4">
    <w:name w:val="annotation reference"/>
    <w:basedOn w:val="a0"/>
    <w:uiPriority w:val="99"/>
    <w:semiHidden/>
    <w:unhideWhenUsed/>
    <w:rsid w:val="009C50CC"/>
    <w:rPr>
      <w:sz w:val="16"/>
      <w:szCs w:val="16"/>
    </w:rPr>
  </w:style>
  <w:style w:type="paragraph" w:styleId="a5">
    <w:name w:val="annotation text"/>
    <w:basedOn w:val="a"/>
    <w:link w:val="a6"/>
    <w:uiPriority w:val="99"/>
    <w:semiHidden/>
    <w:unhideWhenUsed/>
    <w:rsid w:val="009C50CC"/>
    <w:pPr>
      <w:spacing w:line="240" w:lineRule="auto"/>
    </w:pPr>
    <w:rPr>
      <w:sz w:val="20"/>
      <w:szCs w:val="20"/>
    </w:rPr>
  </w:style>
  <w:style w:type="character" w:customStyle="1" w:styleId="a6">
    <w:name w:val="טקסט הערה תו"/>
    <w:basedOn w:val="a0"/>
    <w:link w:val="a5"/>
    <w:uiPriority w:val="99"/>
    <w:semiHidden/>
    <w:rsid w:val="009C50CC"/>
    <w:rPr>
      <w:sz w:val="20"/>
      <w:szCs w:val="20"/>
    </w:rPr>
  </w:style>
  <w:style w:type="paragraph" w:styleId="a7">
    <w:name w:val="annotation subject"/>
    <w:basedOn w:val="a5"/>
    <w:next w:val="a5"/>
    <w:link w:val="a8"/>
    <w:uiPriority w:val="99"/>
    <w:semiHidden/>
    <w:unhideWhenUsed/>
    <w:rsid w:val="009C50CC"/>
    <w:rPr>
      <w:b/>
      <w:bCs/>
    </w:rPr>
  </w:style>
  <w:style w:type="character" w:customStyle="1" w:styleId="a8">
    <w:name w:val="נושא הערה תו"/>
    <w:basedOn w:val="a6"/>
    <w:link w:val="a7"/>
    <w:uiPriority w:val="99"/>
    <w:semiHidden/>
    <w:rsid w:val="009C50CC"/>
    <w:rPr>
      <w:b/>
      <w:bCs/>
      <w:sz w:val="20"/>
      <w:szCs w:val="20"/>
    </w:rPr>
  </w:style>
  <w:style w:type="paragraph" w:styleId="a9">
    <w:name w:val="header"/>
    <w:basedOn w:val="a"/>
    <w:link w:val="aa"/>
    <w:uiPriority w:val="99"/>
    <w:unhideWhenUsed/>
    <w:rsid w:val="007517BD"/>
    <w:pPr>
      <w:tabs>
        <w:tab w:val="center" w:pos="4153"/>
        <w:tab w:val="right" w:pos="8306"/>
      </w:tabs>
      <w:spacing w:after="0" w:line="240" w:lineRule="auto"/>
    </w:pPr>
  </w:style>
  <w:style w:type="character" w:customStyle="1" w:styleId="aa">
    <w:name w:val="כותרת עליונה תו"/>
    <w:basedOn w:val="a0"/>
    <w:link w:val="a9"/>
    <w:uiPriority w:val="99"/>
    <w:rsid w:val="007517BD"/>
  </w:style>
  <w:style w:type="paragraph" w:styleId="ab">
    <w:name w:val="footer"/>
    <w:basedOn w:val="a"/>
    <w:link w:val="ac"/>
    <w:uiPriority w:val="99"/>
    <w:unhideWhenUsed/>
    <w:rsid w:val="007517BD"/>
    <w:pPr>
      <w:tabs>
        <w:tab w:val="center" w:pos="4153"/>
        <w:tab w:val="right" w:pos="8306"/>
      </w:tabs>
      <w:spacing w:after="0" w:line="240" w:lineRule="auto"/>
    </w:pPr>
  </w:style>
  <w:style w:type="character" w:customStyle="1" w:styleId="ac">
    <w:name w:val="כותרת תחתונה תו"/>
    <w:basedOn w:val="a0"/>
    <w:link w:val="ab"/>
    <w:uiPriority w:val="99"/>
    <w:rsid w:val="007517BD"/>
  </w:style>
  <w:style w:type="table" w:styleId="ad">
    <w:name w:val="Table Grid"/>
    <w:basedOn w:val="a1"/>
    <w:uiPriority w:val="39"/>
    <w:rsid w:val="002F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3603</TotalTime>
  <Pages>34</Pages>
  <Words>14542</Words>
  <Characters>72710</Characters>
  <Application>Microsoft Office Word</Application>
  <DocSecurity>0</DocSecurity>
  <Lines>605</Lines>
  <Paragraphs>174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100</cp:revision>
  <dcterms:created xsi:type="dcterms:W3CDTF">2022-04-29T19:37:00Z</dcterms:created>
  <dcterms:modified xsi:type="dcterms:W3CDTF">2022-05-16T07:05:00Z</dcterms:modified>
</cp:coreProperties>
</file>