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20AC" w14:textId="11FBE6C3" w:rsidR="00AC38B9" w:rsidRDefault="00365D7B" w:rsidP="00AC38B9">
      <w:pPr>
        <w:spacing w:after="0" w:line="360" w:lineRule="auto"/>
        <w:rPr>
          <w:rFonts w:ascii="David" w:hAnsi="David" w:cs="David"/>
          <w:sz w:val="24"/>
          <w:szCs w:val="24"/>
          <w:rtl/>
        </w:rPr>
      </w:pPr>
      <w:r w:rsidRPr="00483ADB">
        <w:rPr>
          <w:rFonts w:ascii="David" w:hAnsi="David" w:cs="David"/>
          <w:b/>
          <w:bCs/>
          <w:sz w:val="24"/>
          <w:szCs w:val="24"/>
          <w:u w:val="single"/>
          <w:rtl/>
        </w:rPr>
        <w:t>מטלה 3 - זיהוי עקרונות וחילוץ טענות מרכזיות ממאמר</w:t>
      </w:r>
      <w:r w:rsidR="00AC38B9" w:rsidRPr="00AC38B9">
        <w:rPr>
          <w:rFonts w:ascii="David" w:hAnsi="David" w:cs="David" w:hint="cs"/>
          <w:b/>
          <w:bCs/>
          <w:sz w:val="24"/>
          <w:szCs w:val="24"/>
          <w:rtl/>
        </w:rPr>
        <w:t xml:space="preserve">  </w:t>
      </w:r>
    </w:p>
    <w:p w14:paraId="00F847C3" w14:textId="587AE41D" w:rsidR="00BA5C2F" w:rsidRPr="00AC38B9" w:rsidRDefault="00222C28" w:rsidP="00AC38B9">
      <w:pPr>
        <w:spacing w:after="0" w:line="360" w:lineRule="auto"/>
        <w:rPr>
          <w:rFonts w:ascii="David" w:hAnsi="David" w:cs="David"/>
          <w:b/>
          <w:bCs/>
          <w:sz w:val="24"/>
          <w:szCs w:val="24"/>
          <w:u w:val="single"/>
          <w:rtl/>
        </w:rPr>
      </w:pPr>
      <w:r w:rsidRPr="00AC38B9">
        <w:rPr>
          <w:rFonts w:ascii="David" w:hAnsi="David" w:cs="David"/>
          <w:sz w:val="24"/>
          <w:szCs w:val="24"/>
          <w:rtl/>
        </w:rPr>
        <w:t>ה</w:t>
      </w:r>
      <w:r w:rsidRPr="00483ADB">
        <w:rPr>
          <w:rFonts w:ascii="David" w:hAnsi="David" w:cs="David"/>
          <w:sz w:val="24"/>
          <w:szCs w:val="24"/>
          <w:rtl/>
        </w:rPr>
        <w:t>מאמר "נגיף הקורונה - האתגרים החוקתיים"</w:t>
      </w:r>
      <w:r w:rsidRPr="00483ADB">
        <w:rPr>
          <w:rStyle w:val="a9"/>
          <w:rFonts w:ascii="David" w:hAnsi="David" w:cs="David"/>
          <w:sz w:val="24"/>
          <w:szCs w:val="24"/>
          <w:rtl/>
        </w:rPr>
        <w:footnoteReference w:id="1"/>
      </w:r>
      <w:r w:rsidRPr="00483ADB">
        <w:rPr>
          <w:rFonts w:ascii="David" w:hAnsi="David" w:cs="David"/>
          <w:sz w:val="24"/>
          <w:szCs w:val="24"/>
          <w:rtl/>
        </w:rPr>
        <w:t xml:space="preserve"> (להלן: "המאמר") עוסק באתגרים קיימים ואפשריים לשלטון החוק בעת ולאחר ההתמודדות של המדינה עם נגיף הקורונה </w:t>
      </w:r>
      <w:r w:rsidRPr="00483ADB">
        <w:rPr>
          <w:rStyle w:val="a9"/>
          <w:rFonts w:ascii="David" w:hAnsi="David" w:cs="David"/>
          <w:sz w:val="24"/>
          <w:szCs w:val="24"/>
          <w:rtl/>
        </w:rPr>
        <w:footnoteReference w:id="2"/>
      </w:r>
      <w:r w:rsidRPr="00483ADB">
        <w:rPr>
          <w:rFonts w:ascii="David" w:hAnsi="David" w:cs="David"/>
          <w:sz w:val="24"/>
          <w:szCs w:val="24"/>
          <w:rtl/>
        </w:rPr>
        <w:t xml:space="preserve"> ומעלה </w:t>
      </w:r>
      <w:r w:rsidR="004E113F" w:rsidRPr="00483ADB">
        <w:rPr>
          <w:rFonts w:ascii="David" w:hAnsi="David" w:cs="David"/>
          <w:sz w:val="24"/>
          <w:szCs w:val="24"/>
          <w:rtl/>
        </w:rPr>
        <w:t xml:space="preserve">שתי </w:t>
      </w:r>
      <w:r w:rsidRPr="00483ADB">
        <w:rPr>
          <w:rFonts w:ascii="David" w:hAnsi="David" w:cs="David"/>
          <w:sz w:val="24"/>
          <w:szCs w:val="24"/>
          <w:rtl/>
        </w:rPr>
        <w:t>טענות אותן אציג כעת.</w:t>
      </w:r>
      <w:r w:rsidR="0034036C" w:rsidRPr="00483ADB">
        <w:rPr>
          <w:rFonts w:ascii="David" w:hAnsi="David" w:cs="David"/>
          <w:sz w:val="24"/>
          <w:szCs w:val="24"/>
          <w:rtl/>
        </w:rPr>
        <w:t xml:space="preserve"> הטענות </w:t>
      </w:r>
      <w:r w:rsidR="00E23DBD" w:rsidRPr="00483ADB">
        <w:rPr>
          <w:rFonts w:ascii="David" w:hAnsi="David" w:cs="David"/>
          <w:sz w:val="24"/>
          <w:szCs w:val="24"/>
          <w:rtl/>
        </w:rPr>
        <w:t>מתרכזות</w:t>
      </w:r>
      <w:r w:rsidR="0034036C" w:rsidRPr="00483ADB">
        <w:rPr>
          <w:rFonts w:ascii="David" w:hAnsi="David" w:cs="David"/>
          <w:sz w:val="24"/>
          <w:szCs w:val="24"/>
          <w:rtl/>
        </w:rPr>
        <w:t xml:space="preserve"> באיזון שבין חובתה של המדינה לשמירה על בריאות הציבור לבין חובתה לשמור על זכויות האדם </w:t>
      </w:r>
      <w:r w:rsidR="00E23DBD" w:rsidRPr="00483ADB">
        <w:rPr>
          <w:rFonts w:ascii="David" w:hAnsi="David" w:cs="David"/>
          <w:sz w:val="24"/>
          <w:szCs w:val="24"/>
          <w:rtl/>
        </w:rPr>
        <w:t>וב</w:t>
      </w:r>
      <w:r w:rsidR="000028AE" w:rsidRPr="00483ADB">
        <w:rPr>
          <w:rFonts w:ascii="David" w:hAnsi="David" w:cs="David"/>
          <w:sz w:val="24"/>
          <w:szCs w:val="24"/>
          <w:rtl/>
        </w:rPr>
        <w:t xml:space="preserve">הגבלת </w:t>
      </w:r>
      <w:r w:rsidR="00AD0811" w:rsidRPr="00483ADB">
        <w:rPr>
          <w:rFonts w:ascii="David" w:hAnsi="David" w:cs="David"/>
          <w:sz w:val="24"/>
          <w:szCs w:val="24"/>
          <w:rtl/>
        </w:rPr>
        <w:t xml:space="preserve">היקף הכוח הנתון בידי השלטון </w:t>
      </w:r>
      <w:r w:rsidR="000028AE" w:rsidRPr="00483ADB">
        <w:rPr>
          <w:rFonts w:ascii="David" w:hAnsi="David" w:cs="David"/>
          <w:sz w:val="24"/>
          <w:szCs w:val="24"/>
          <w:rtl/>
        </w:rPr>
        <w:t>במצב</w:t>
      </w:r>
      <w:r w:rsidR="00AD0811" w:rsidRPr="00483ADB">
        <w:rPr>
          <w:rFonts w:ascii="David" w:hAnsi="David" w:cs="David"/>
          <w:sz w:val="24"/>
          <w:szCs w:val="24"/>
          <w:rtl/>
        </w:rPr>
        <w:t xml:space="preserve"> חירום </w:t>
      </w:r>
      <w:r w:rsidR="000028AE" w:rsidRPr="00483ADB">
        <w:rPr>
          <w:rFonts w:ascii="David" w:hAnsi="David" w:cs="David"/>
          <w:sz w:val="24"/>
          <w:szCs w:val="24"/>
          <w:rtl/>
        </w:rPr>
        <w:t>בריאותי זה</w:t>
      </w:r>
      <w:r w:rsidR="000956BE" w:rsidRPr="00483ADB">
        <w:rPr>
          <w:rFonts w:ascii="David" w:hAnsi="David" w:cs="David"/>
          <w:sz w:val="24"/>
          <w:szCs w:val="24"/>
          <w:rtl/>
        </w:rPr>
        <w:t>.</w:t>
      </w:r>
    </w:p>
    <w:p w14:paraId="3B13D5D3" w14:textId="4CBC9E09" w:rsidR="00365D7B" w:rsidRPr="00483ADB" w:rsidRDefault="000956BE" w:rsidP="00AC38B9">
      <w:pPr>
        <w:spacing w:before="240" w:line="360" w:lineRule="auto"/>
        <w:jc w:val="both"/>
        <w:rPr>
          <w:rFonts w:ascii="David" w:hAnsi="David" w:cs="David"/>
          <w:sz w:val="24"/>
          <w:szCs w:val="24"/>
          <w:rtl/>
        </w:rPr>
      </w:pPr>
      <w:r w:rsidRPr="00483ADB">
        <w:rPr>
          <w:rFonts w:ascii="David" w:hAnsi="David" w:cs="David"/>
          <w:b/>
          <w:bCs/>
          <w:sz w:val="24"/>
          <w:szCs w:val="24"/>
          <w:rtl/>
        </w:rPr>
        <w:t>הטענה הראשונה</w:t>
      </w:r>
      <w:r w:rsidRPr="00483ADB">
        <w:rPr>
          <w:rFonts w:ascii="David" w:hAnsi="David" w:cs="David"/>
          <w:sz w:val="24"/>
          <w:szCs w:val="24"/>
          <w:rtl/>
        </w:rPr>
        <w:t xml:space="preserve"> </w:t>
      </w:r>
      <w:r w:rsidR="00EE57D7" w:rsidRPr="00483ADB">
        <w:rPr>
          <w:rFonts w:ascii="David" w:hAnsi="David" w:cs="David"/>
          <w:sz w:val="24"/>
          <w:szCs w:val="24"/>
          <w:rtl/>
        </w:rPr>
        <w:t xml:space="preserve">במאמר היא </w:t>
      </w:r>
      <w:r w:rsidR="00E1230C" w:rsidRPr="00483ADB">
        <w:rPr>
          <w:rFonts w:ascii="David" w:hAnsi="David" w:cs="David"/>
          <w:sz w:val="24"/>
          <w:szCs w:val="24"/>
          <w:rtl/>
        </w:rPr>
        <w:t>ש</w:t>
      </w:r>
      <w:r w:rsidR="00DF36A7" w:rsidRPr="00483ADB">
        <w:rPr>
          <w:rFonts w:ascii="David" w:hAnsi="David" w:cs="David"/>
          <w:sz w:val="24"/>
          <w:szCs w:val="24"/>
          <w:rtl/>
        </w:rPr>
        <w:t xml:space="preserve">יש </w:t>
      </w:r>
      <w:r w:rsidR="00305369" w:rsidRPr="00483ADB">
        <w:rPr>
          <w:rFonts w:ascii="David" w:hAnsi="David" w:cs="David"/>
          <w:sz w:val="24"/>
          <w:szCs w:val="24"/>
          <w:rtl/>
        </w:rPr>
        <w:t>הצדקה</w:t>
      </w:r>
      <w:r w:rsidR="00DF36A7" w:rsidRPr="00483ADB">
        <w:rPr>
          <w:rFonts w:ascii="David" w:hAnsi="David" w:cs="David"/>
          <w:sz w:val="24"/>
          <w:szCs w:val="24"/>
          <w:rtl/>
        </w:rPr>
        <w:t xml:space="preserve"> </w:t>
      </w:r>
      <w:r w:rsidR="00305369" w:rsidRPr="00483ADB">
        <w:rPr>
          <w:rFonts w:ascii="David" w:hAnsi="David" w:cs="David"/>
          <w:sz w:val="24"/>
          <w:szCs w:val="24"/>
          <w:rtl/>
        </w:rPr>
        <w:t>ל</w:t>
      </w:r>
      <w:r w:rsidR="00DF36A7" w:rsidRPr="00483ADB">
        <w:rPr>
          <w:rFonts w:ascii="David" w:hAnsi="David" w:cs="David"/>
          <w:sz w:val="24"/>
          <w:szCs w:val="24"/>
          <w:rtl/>
        </w:rPr>
        <w:t>פגיעה בזכויות האדם הנגרמת מ</w:t>
      </w:r>
      <w:r w:rsidR="00E1230C" w:rsidRPr="00483ADB">
        <w:rPr>
          <w:rFonts w:ascii="David" w:hAnsi="David" w:cs="David"/>
          <w:sz w:val="24"/>
          <w:szCs w:val="24"/>
          <w:rtl/>
        </w:rPr>
        <w:t>ה</w:t>
      </w:r>
      <w:r w:rsidR="0009778E" w:rsidRPr="00483ADB">
        <w:rPr>
          <w:rFonts w:ascii="David" w:hAnsi="David" w:cs="David"/>
          <w:sz w:val="24"/>
          <w:szCs w:val="24"/>
          <w:rtl/>
        </w:rPr>
        <w:t>צווים והתקנות</w:t>
      </w:r>
      <w:r w:rsidR="00E1230C" w:rsidRPr="00483ADB">
        <w:rPr>
          <w:rFonts w:ascii="David" w:hAnsi="David" w:cs="David"/>
          <w:sz w:val="24"/>
          <w:szCs w:val="24"/>
          <w:rtl/>
        </w:rPr>
        <w:t xml:space="preserve"> ש</w:t>
      </w:r>
      <w:r w:rsidR="0009778E" w:rsidRPr="00483ADB">
        <w:rPr>
          <w:rFonts w:ascii="David" w:hAnsi="David" w:cs="David"/>
          <w:sz w:val="24"/>
          <w:szCs w:val="24"/>
          <w:rtl/>
        </w:rPr>
        <w:t>קובע</w:t>
      </w:r>
      <w:r w:rsidR="00E1230C" w:rsidRPr="00483ADB">
        <w:rPr>
          <w:rFonts w:ascii="David" w:hAnsi="David" w:cs="David"/>
          <w:sz w:val="24"/>
          <w:szCs w:val="24"/>
          <w:rtl/>
        </w:rPr>
        <w:t xml:space="preserve"> השלטון על מנת לשמור על בריאות הציבור</w:t>
      </w:r>
      <w:r w:rsidR="00DF36A7" w:rsidRPr="00483ADB">
        <w:rPr>
          <w:rFonts w:ascii="David" w:hAnsi="David" w:cs="David"/>
          <w:sz w:val="24"/>
          <w:szCs w:val="24"/>
          <w:rtl/>
        </w:rPr>
        <w:t xml:space="preserve">. </w:t>
      </w:r>
      <w:r w:rsidR="002569E9" w:rsidRPr="00483ADB">
        <w:rPr>
          <w:rFonts w:ascii="David" w:hAnsi="David" w:cs="David"/>
          <w:sz w:val="24"/>
          <w:szCs w:val="24"/>
          <w:rtl/>
        </w:rPr>
        <w:t>בעקבות מצב החירום הבריאותי ניתנת למדינה רשות על ידי האמנה לזכויות אזרחיות ומדיניות (</w:t>
      </w:r>
      <w:r w:rsidR="002569E9" w:rsidRPr="00483ADB">
        <w:rPr>
          <w:rFonts w:ascii="David" w:hAnsi="David" w:cs="David"/>
          <w:sz w:val="24"/>
          <w:szCs w:val="24"/>
        </w:rPr>
        <w:t>ICCPR</w:t>
      </w:r>
      <w:r w:rsidR="002569E9" w:rsidRPr="00483ADB">
        <w:rPr>
          <w:rFonts w:ascii="David" w:hAnsi="David" w:cs="David"/>
          <w:sz w:val="24"/>
          <w:szCs w:val="24"/>
          <w:rtl/>
        </w:rPr>
        <w:t>)</w:t>
      </w:r>
      <w:r w:rsidR="00C41E78" w:rsidRPr="00483ADB">
        <w:rPr>
          <w:rStyle w:val="a9"/>
          <w:rFonts w:ascii="David" w:hAnsi="David" w:cs="David"/>
          <w:sz w:val="24"/>
          <w:szCs w:val="24"/>
          <w:rtl/>
        </w:rPr>
        <w:footnoteReference w:id="3"/>
      </w:r>
      <w:r w:rsidR="0030212B">
        <w:rPr>
          <w:rFonts w:ascii="David" w:hAnsi="David" w:cs="David" w:hint="cs"/>
          <w:sz w:val="24"/>
          <w:szCs w:val="24"/>
          <w:rtl/>
        </w:rPr>
        <w:t xml:space="preserve"> </w:t>
      </w:r>
      <w:r w:rsidR="00A44B60" w:rsidRPr="00483ADB">
        <w:rPr>
          <w:rFonts w:ascii="David" w:hAnsi="David" w:cs="David"/>
          <w:sz w:val="24"/>
          <w:szCs w:val="24"/>
          <w:rtl/>
        </w:rPr>
        <w:t>–</w:t>
      </w:r>
      <w:r w:rsidR="00A02E67" w:rsidRPr="00483ADB">
        <w:rPr>
          <w:rFonts w:ascii="David" w:hAnsi="David" w:cs="David"/>
          <w:sz w:val="24"/>
          <w:szCs w:val="24"/>
          <w:rtl/>
        </w:rPr>
        <w:t xml:space="preserve"> </w:t>
      </w:r>
      <w:r w:rsidR="00A44B60" w:rsidRPr="00483ADB">
        <w:rPr>
          <w:rFonts w:ascii="David" w:hAnsi="David" w:cs="David"/>
          <w:sz w:val="24"/>
          <w:szCs w:val="24"/>
          <w:rtl/>
        </w:rPr>
        <w:t xml:space="preserve">עליה ישראל חתומה </w:t>
      </w:r>
      <w:r w:rsidR="00A02E67" w:rsidRPr="00483ADB">
        <w:rPr>
          <w:rFonts w:ascii="David" w:hAnsi="David" w:cs="David"/>
          <w:sz w:val="24"/>
          <w:szCs w:val="24"/>
          <w:rtl/>
        </w:rPr>
        <w:t xml:space="preserve">– </w:t>
      </w:r>
      <w:r w:rsidR="002569E9" w:rsidRPr="00483ADB">
        <w:rPr>
          <w:rFonts w:ascii="David" w:hAnsi="David" w:cs="David"/>
          <w:sz w:val="24"/>
          <w:szCs w:val="24"/>
          <w:rtl/>
        </w:rPr>
        <w:t>לנקוט צעדים בעלי פוטנציאל לפגיעה בזכויות האדם</w:t>
      </w:r>
      <w:r w:rsidR="00193FAD" w:rsidRPr="00483ADB">
        <w:rPr>
          <w:rFonts w:ascii="David" w:hAnsi="David" w:cs="David"/>
          <w:sz w:val="24"/>
          <w:szCs w:val="24"/>
          <w:rtl/>
        </w:rPr>
        <w:t>.</w:t>
      </w:r>
      <w:r w:rsidR="00D67B73" w:rsidRPr="00483ADB">
        <w:rPr>
          <w:rFonts w:ascii="David" w:hAnsi="David" w:cs="David"/>
          <w:sz w:val="24"/>
          <w:szCs w:val="24"/>
          <w:rtl/>
        </w:rPr>
        <w:t xml:space="preserve"> </w:t>
      </w:r>
      <w:r w:rsidR="00193FAD" w:rsidRPr="00483ADB">
        <w:rPr>
          <w:rFonts w:ascii="David" w:hAnsi="David" w:cs="David"/>
          <w:sz w:val="24"/>
          <w:szCs w:val="24"/>
          <w:rtl/>
        </w:rPr>
        <w:t xml:space="preserve"> </w:t>
      </w:r>
      <w:r w:rsidR="00612523" w:rsidRPr="00483ADB">
        <w:rPr>
          <w:rFonts w:ascii="David" w:hAnsi="David" w:cs="David"/>
          <w:sz w:val="24"/>
          <w:szCs w:val="24"/>
          <w:rtl/>
        </w:rPr>
        <w:t xml:space="preserve">המחברים מפרטים את הזכויות העיקריות </w:t>
      </w:r>
      <w:r w:rsidR="00F8302C">
        <w:rPr>
          <w:rFonts w:ascii="David" w:hAnsi="David" w:cs="David" w:hint="cs"/>
          <w:sz w:val="24"/>
          <w:szCs w:val="24"/>
          <w:rtl/>
        </w:rPr>
        <w:t>ש</w:t>
      </w:r>
      <w:r w:rsidR="00612523" w:rsidRPr="00483ADB">
        <w:rPr>
          <w:rFonts w:ascii="David" w:hAnsi="David" w:cs="David"/>
          <w:sz w:val="24"/>
          <w:szCs w:val="24"/>
          <w:rtl/>
        </w:rPr>
        <w:t xml:space="preserve">נפגעות מצעדים אלו – הזכות לחירות והזכויות הנגזרות ממנה: חופש התנועה, חופש ההתקהלות האסיפה וההתאגדות, </w:t>
      </w:r>
      <w:r w:rsidR="00761F63" w:rsidRPr="00483ADB">
        <w:rPr>
          <w:rFonts w:ascii="David" w:hAnsi="David" w:cs="David"/>
          <w:sz w:val="24"/>
          <w:szCs w:val="24"/>
          <w:rtl/>
        </w:rPr>
        <w:t>וזכויות היקפיות יותר כמו</w:t>
      </w:r>
      <w:r w:rsidR="006E45E2" w:rsidRPr="00483ADB">
        <w:rPr>
          <w:rFonts w:ascii="David" w:hAnsi="David" w:cs="David"/>
          <w:sz w:val="24"/>
          <w:szCs w:val="24"/>
          <w:rtl/>
        </w:rPr>
        <w:t xml:space="preserve"> </w:t>
      </w:r>
      <w:r w:rsidR="00612523" w:rsidRPr="00483ADB">
        <w:rPr>
          <w:rFonts w:ascii="David" w:hAnsi="David" w:cs="David"/>
          <w:sz w:val="24"/>
          <w:szCs w:val="24"/>
          <w:rtl/>
        </w:rPr>
        <w:t>הזכות לכבוד</w:t>
      </w:r>
      <w:r w:rsidR="00443DF5" w:rsidRPr="00483ADB">
        <w:rPr>
          <w:rFonts w:ascii="David" w:hAnsi="David" w:cs="David"/>
          <w:sz w:val="24"/>
          <w:szCs w:val="24"/>
          <w:rtl/>
        </w:rPr>
        <w:t>,</w:t>
      </w:r>
      <w:r w:rsidR="00336684" w:rsidRPr="00483ADB">
        <w:rPr>
          <w:rFonts w:ascii="David" w:hAnsi="David" w:cs="David"/>
          <w:sz w:val="24"/>
          <w:szCs w:val="24"/>
          <w:rtl/>
        </w:rPr>
        <w:t xml:space="preserve"> </w:t>
      </w:r>
      <w:r w:rsidR="00612523" w:rsidRPr="00483ADB">
        <w:rPr>
          <w:rFonts w:ascii="David" w:hAnsi="David" w:cs="David"/>
          <w:sz w:val="24"/>
          <w:szCs w:val="24"/>
          <w:rtl/>
        </w:rPr>
        <w:t xml:space="preserve">אוטונומיה </w:t>
      </w:r>
      <w:r w:rsidR="00443DF5" w:rsidRPr="00483ADB">
        <w:rPr>
          <w:rFonts w:ascii="David" w:hAnsi="David" w:cs="David"/>
          <w:sz w:val="24"/>
          <w:szCs w:val="24"/>
          <w:rtl/>
        </w:rPr>
        <w:t>ו</w:t>
      </w:r>
      <w:r w:rsidR="00612523" w:rsidRPr="00483ADB">
        <w:rPr>
          <w:rFonts w:ascii="David" w:hAnsi="David" w:cs="David"/>
          <w:sz w:val="24"/>
          <w:szCs w:val="24"/>
          <w:rtl/>
        </w:rPr>
        <w:t>ביטחון אנושי</w:t>
      </w:r>
      <w:r w:rsidR="00FB2277" w:rsidRPr="00483ADB">
        <w:rPr>
          <w:rStyle w:val="a9"/>
          <w:rFonts w:ascii="David" w:hAnsi="David" w:cs="David"/>
          <w:sz w:val="24"/>
          <w:szCs w:val="24"/>
          <w:rtl/>
        </w:rPr>
        <w:footnoteReference w:id="4"/>
      </w:r>
      <w:r w:rsidR="0030212B">
        <w:rPr>
          <w:rFonts w:ascii="David" w:hAnsi="David" w:cs="David" w:hint="cs"/>
          <w:sz w:val="24"/>
          <w:szCs w:val="24"/>
          <w:rtl/>
        </w:rPr>
        <w:t>.</w:t>
      </w:r>
      <w:r w:rsidR="00BE5D5E">
        <w:rPr>
          <w:rFonts w:ascii="David" w:hAnsi="David" w:cs="David" w:hint="cs"/>
          <w:sz w:val="24"/>
          <w:szCs w:val="24"/>
          <w:rtl/>
        </w:rPr>
        <w:t xml:space="preserve"> </w:t>
      </w:r>
      <w:r w:rsidR="00FF7F10" w:rsidRPr="00483ADB">
        <w:rPr>
          <w:rFonts w:ascii="David" w:hAnsi="David" w:cs="David"/>
          <w:sz w:val="24"/>
          <w:szCs w:val="24"/>
          <w:rtl/>
        </w:rPr>
        <w:t>פירוט זה מבהיר כי</w:t>
      </w:r>
      <w:r w:rsidR="00705D6D" w:rsidRPr="00483ADB">
        <w:rPr>
          <w:rFonts w:ascii="David" w:hAnsi="David" w:cs="David"/>
          <w:sz w:val="24"/>
          <w:szCs w:val="24"/>
          <w:rtl/>
        </w:rPr>
        <w:t xml:space="preserve"> </w:t>
      </w:r>
      <w:r w:rsidR="00C328C8" w:rsidRPr="00483ADB">
        <w:rPr>
          <w:rFonts w:ascii="David" w:hAnsi="David" w:cs="David"/>
          <w:sz w:val="24"/>
          <w:szCs w:val="24"/>
          <w:rtl/>
        </w:rPr>
        <w:t>המחברים מבינים את עומק הפגיעה בזכויות האדם ומזהירים</w:t>
      </w:r>
      <w:r w:rsidR="0035409F" w:rsidRPr="00483ADB">
        <w:rPr>
          <w:rFonts w:ascii="David" w:hAnsi="David" w:cs="David"/>
          <w:sz w:val="24"/>
          <w:szCs w:val="24"/>
          <w:rtl/>
        </w:rPr>
        <w:t>:</w:t>
      </w:r>
      <w:r w:rsidR="00C328C8" w:rsidRPr="00483ADB">
        <w:rPr>
          <w:rFonts w:ascii="David" w:hAnsi="David" w:cs="David"/>
          <w:sz w:val="24"/>
          <w:szCs w:val="24"/>
          <w:rtl/>
        </w:rPr>
        <w:t xml:space="preserve"> </w:t>
      </w:r>
      <w:r w:rsidR="00AE3F4F" w:rsidRPr="00483ADB">
        <w:rPr>
          <w:rFonts w:ascii="David" w:hAnsi="David" w:cs="David"/>
          <w:sz w:val="24"/>
          <w:szCs w:val="24"/>
          <w:rtl/>
        </w:rPr>
        <w:t xml:space="preserve">"והפגיעה </w:t>
      </w:r>
      <w:r w:rsidR="00AB5F79" w:rsidRPr="00483ADB">
        <w:rPr>
          <w:rFonts w:ascii="David" w:hAnsi="David" w:cs="David"/>
          <w:sz w:val="24"/>
          <w:szCs w:val="24"/>
          <w:rtl/>
        </w:rPr>
        <w:t>ב</w:t>
      </w:r>
      <w:r w:rsidR="00AE3F4F" w:rsidRPr="00483ADB">
        <w:rPr>
          <w:rFonts w:ascii="David" w:hAnsi="David" w:cs="David"/>
          <w:sz w:val="24"/>
          <w:szCs w:val="24"/>
          <w:rtl/>
        </w:rPr>
        <w:t>זכויות אלו עלולה להחריף בעתיד בגלל הימשכות המשבר והרחבת מעגלי הנפגעים ממנו"</w:t>
      </w:r>
      <w:r w:rsidR="00AB5F79" w:rsidRPr="00483ADB">
        <w:rPr>
          <w:rStyle w:val="a9"/>
          <w:rFonts w:ascii="David" w:hAnsi="David" w:cs="David"/>
          <w:sz w:val="24"/>
          <w:szCs w:val="24"/>
          <w:rtl/>
        </w:rPr>
        <w:footnoteReference w:id="5"/>
      </w:r>
      <w:r w:rsidR="0030212B">
        <w:rPr>
          <w:rFonts w:ascii="David" w:hAnsi="David" w:cs="David" w:hint="cs"/>
          <w:sz w:val="24"/>
          <w:szCs w:val="24"/>
          <w:rtl/>
        </w:rPr>
        <w:t>.</w:t>
      </w:r>
      <w:r w:rsidR="003F151A" w:rsidRPr="00483ADB">
        <w:rPr>
          <w:rFonts w:ascii="David" w:hAnsi="David" w:cs="David"/>
          <w:sz w:val="24"/>
          <w:szCs w:val="24"/>
          <w:rtl/>
        </w:rPr>
        <w:t xml:space="preserve"> </w:t>
      </w:r>
      <w:r w:rsidR="0034286B" w:rsidRPr="00483ADB">
        <w:rPr>
          <w:rFonts w:ascii="David" w:hAnsi="David" w:cs="David"/>
          <w:sz w:val="24"/>
          <w:szCs w:val="24"/>
          <w:rtl/>
        </w:rPr>
        <w:t>הם מוטרדים מ</w:t>
      </w:r>
      <w:r w:rsidR="00292A22" w:rsidRPr="00483ADB">
        <w:rPr>
          <w:rFonts w:ascii="David" w:hAnsi="David" w:cs="David"/>
          <w:sz w:val="24"/>
          <w:szCs w:val="24"/>
          <w:rtl/>
        </w:rPr>
        <w:t xml:space="preserve">היקף הפגיעה </w:t>
      </w:r>
      <w:r w:rsidR="002A14B2" w:rsidRPr="00483ADB">
        <w:rPr>
          <w:rFonts w:ascii="David" w:hAnsi="David" w:cs="David"/>
          <w:sz w:val="24"/>
          <w:szCs w:val="24"/>
          <w:rtl/>
        </w:rPr>
        <w:t xml:space="preserve">בנושאים </w:t>
      </w:r>
      <w:r w:rsidR="003F151A" w:rsidRPr="00483ADB">
        <w:rPr>
          <w:rFonts w:ascii="David" w:hAnsi="David" w:cs="David"/>
          <w:sz w:val="24"/>
          <w:szCs w:val="24"/>
          <w:rtl/>
        </w:rPr>
        <w:t>מסוימים</w:t>
      </w:r>
      <w:r w:rsidR="002A14B2" w:rsidRPr="00483ADB">
        <w:rPr>
          <w:rFonts w:ascii="David" w:hAnsi="David" w:cs="David"/>
          <w:sz w:val="24"/>
          <w:szCs w:val="24"/>
          <w:rtl/>
        </w:rPr>
        <w:t xml:space="preserve"> </w:t>
      </w:r>
      <w:r w:rsidR="00292A22" w:rsidRPr="00483ADB">
        <w:rPr>
          <w:rFonts w:ascii="David" w:hAnsi="David" w:cs="David"/>
          <w:sz w:val="24"/>
          <w:szCs w:val="24"/>
          <w:rtl/>
        </w:rPr>
        <w:t>אך מכירים בהכרחיותה</w:t>
      </w:r>
      <w:r w:rsidR="004C2FE8" w:rsidRPr="00483ADB">
        <w:rPr>
          <w:rFonts w:ascii="David" w:hAnsi="David" w:cs="David"/>
          <w:sz w:val="24"/>
          <w:szCs w:val="24"/>
          <w:rtl/>
        </w:rPr>
        <w:t xml:space="preserve"> </w:t>
      </w:r>
      <w:r w:rsidR="004C1BE8" w:rsidRPr="00483ADB">
        <w:rPr>
          <w:rFonts w:ascii="David" w:hAnsi="David" w:cs="David"/>
          <w:sz w:val="24"/>
          <w:szCs w:val="24"/>
          <w:rtl/>
        </w:rPr>
        <w:t>כדי למנוע את התפשטות הנגיף ושמירה על הציבור.</w:t>
      </w:r>
    </w:p>
    <w:p w14:paraId="4FBDFC90" w14:textId="797D610B" w:rsidR="004C1BE8" w:rsidRPr="00483ADB" w:rsidRDefault="00B56489" w:rsidP="00AC38B9">
      <w:pPr>
        <w:spacing w:before="240" w:line="360" w:lineRule="auto"/>
        <w:jc w:val="both"/>
        <w:rPr>
          <w:rFonts w:ascii="David" w:hAnsi="David" w:cs="David"/>
          <w:sz w:val="24"/>
          <w:szCs w:val="24"/>
          <w:rtl/>
        </w:rPr>
      </w:pPr>
      <w:r w:rsidRPr="00483ADB">
        <w:rPr>
          <w:rFonts w:ascii="David" w:hAnsi="David" w:cs="David"/>
          <w:b/>
          <w:bCs/>
          <w:sz w:val="24"/>
          <w:szCs w:val="24"/>
          <w:rtl/>
        </w:rPr>
        <w:t>הטענה השנייה</w:t>
      </w:r>
      <w:r w:rsidRPr="00483ADB">
        <w:rPr>
          <w:rFonts w:ascii="David" w:hAnsi="David" w:cs="David"/>
          <w:sz w:val="24"/>
          <w:szCs w:val="24"/>
          <w:rtl/>
        </w:rPr>
        <w:t xml:space="preserve"> במאמר היא שיש צורך בפיקוח ובקרה על הפעולות והצעדים הננקטים לשמירה על הבריאות. </w:t>
      </w:r>
      <w:r w:rsidR="007E0378" w:rsidRPr="00483ADB">
        <w:rPr>
          <w:rFonts w:ascii="David" w:hAnsi="David" w:cs="David"/>
          <w:sz w:val="24"/>
          <w:szCs w:val="24"/>
          <w:rtl/>
        </w:rPr>
        <w:t>משום ש</w:t>
      </w:r>
      <w:r w:rsidR="00191A24" w:rsidRPr="00483ADB">
        <w:rPr>
          <w:rFonts w:ascii="David" w:hAnsi="David" w:cs="David"/>
          <w:sz w:val="24"/>
          <w:szCs w:val="24"/>
          <w:rtl/>
        </w:rPr>
        <w:t xml:space="preserve">אין ממשלה </w:t>
      </w:r>
      <w:r w:rsidR="000B10E7" w:rsidRPr="00483ADB">
        <w:rPr>
          <w:rFonts w:ascii="David" w:hAnsi="David" w:cs="David"/>
          <w:sz w:val="24"/>
          <w:szCs w:val="24"/>
          <w:rtl/>
        </w:rPr>
        <w:t xml:space="preserve">מכוננת ניתנו סמכויות </w:t>
      </w:r>
      <w:r w:rsidR="0096606C" w:rsidRPr="00483ADB">
        <w:rPr>
          <w:rFonts w:ascii="David" w:hAnsi="David" w:cs="David"/>
          <w:sz w:val="24"/>
          <w:szCs w:val="24"/>
          <w:rtl/>
        </w:rPr>
        <w:t xml:space="preserve">רבות </w:t>
      </w:r>
      <w:r w:rsidR="004B77D3" w:rsidRPr="00483ADB">
        <w:rPr>
          <w:rFonts w:ascii="David" w:hAnsi="David" w:cs="David"/>
          <w:sz w:val="24"/>
          <w:szCs w:val="24"/>
          <w:rtl/>
        </w:rPr>
        <w:t>לרשות המבצעת</w:t>
      </w:r>
      <w:r w:rsidR="0011193B" w:rsidRPr="00483ADB">
        <w:rPr>
          <w:rFonts w:ascii="David" w:hAnsi="David" w:cs="David"/>
          <w:sz w:val="24"/>
          <w:szCs w:val="24"/>
          <w:rtl/>
        </w:rPr>
        <w:t xml:space="preserve"> על חשבון </w:t>
      </w:r>
      <w:r w:rsidR="00D012A8" w:rsidRPr="00483ADB">
        <w:rPr>
          <w:rFonts w:ascii="David" w:hAnsi="David" w:cs="David"/>
          <w:sz w:val="24"/>
          <w:szCs w:val="24"/>
          <w:rtl/>
        </w:rPr>
        <w:t>מנגנוני</w:t>
      </w:r>
      <w:r w:rsidR="0011193B" w:rsidRPr="00483ADB">
        <w:rPr>
          <w:rFonts w:ascii="David" w:hAnsi="David" w:cs="David"/>
          <w:sz w:val="24"/>
          <w:szCs w:val="24"/>
          <w:rtl/>
        </w:rPr>
        <w:t xml:space="preserve"> איזון חוק</w:t>
      </w:r>
      <w:r w:rsidR="00D012A8" w:rsidRPr="00483ADB">
        <w:rPr>
          <w:rFonts w:ascii="David" w:hAnsi="David" w:cs="David"/>
          <w:sz w:val="24"/>
          <w:szCs w:val="24"/>
          <w:rtl/>
        </w:rPr>
        <w:t>תיים וחברתיים</w:t>
      </w:r>
      <w:r w:rsidR="007E0378" w:rsidRPr="00483ADB">
        <w:rPr>
          <w:rFonts w:ascii="David" w:hAnsi="David" w:cs="David"/>
          <w:sz w:val="24"/>
          <w:szCs w:val="24"/>
          <w:rtl/>
        </w:rPr>
        <w:t xml:space="preserve"> </w:t>
      </w:r>
      <w:r w:rsidR="0028393A" w:rsidRPr="00483ADB">
        <w:rPr>
          <w:rFonts w:ascii="David" w:hAnsi="David" w:cs="David"/>
          <w:sz w:val="24"/>
          <w:szCs w:val="24"/>
          <w:rtl/>
        </w:rPr>
        <w:t>שמרסנים את כוחה בשגרה</w:t>
      </w:r>
      <w:r w:rsidR="00D012A8" w:rsidRPr="00483ADB">
        <w:rPr>
          <w:rFonts w:ascii="David" w:hAnsi="David" w:cs="David"/>
          <w:sz w:val="24"/>
          <w:szCs w:val="24"/>
          <w:rtl/>
        </w:rPr>
        <w:t>.</w:t>
      </w:r>
      <w:r w:rsidR="000B10E7" w:rsidRPr="00483ADB">
        <w:rPr>
          <w:rFonts w:ascii="David" w:hAnsi="David" w:cs="David"/>
          <w:sz w:val="24"/>
          <w:szCs w:val="24"/>
          <w:rtl/>
        </w:rPr>
        <w:t xml:space="preserve"> </w:t>
      </w:r>
      <w:r w:rsidRPr="00483ADB">
        <w:rPr>
          <w:rFonts w:ascii="David" w:hAnsi="David" w:cs="David"/>
          <w:sz w:val="24"/>
          <w:szCs w:val="24"/>
          <w:rtl/>
        </w:rPr>
        <w:t>המחברים מדגישים כי דווקא בשל קיומן של ההצדקות חזקות לפגיעה בזכויות האדם</w:t>
      </w:r>
      <w:r w:rsidR="00314923" w:rsidRPr="00483ADB">
        <w:rPr>
          <w:rFonts w:ascii="David" w:hAnsi="David" w:cs="David"/>
          <w:sz w:val="24"/>
          <w:szCs w:val="24"/>
          <w:rtl/>
        </w:rPr>
        <w:t xml:space="preserve"> </w:t>
      </w:r>
      <w:r w:rsidR="006201E2" w:rsidRPr="00483ADB">
        <w:rPr>
          <w:rFonts w:ascii="David" w:hAnsi="David" w:cs="David"/>
          <w:sz w:val="24"/>
          <w:szCs w:val="24"/>
          <w:rtl/>
        </w:rPr>
        <w:t xml:space="preserve">- </w:t>
      </w:r>
      <w:r w:rsidR="003A6E5B" w:rsidRPr="00483ADB">
        <w:rPr>
          <w:rFonts w:ascii="David" w:hAnsi="David" w:cs="David"/>
          <w:sz w:val="24"/>
          <w:szCs w:val="24"/>
          <w:rtl/>
        </w:rPr>
        <w:t>"מתחזק ההכרח לקיים בקרה ופיקוח על הסמכויות המופעלות על מנת למנוע ניצול לרעה של הכוח השלטוני יוצא הדופן וכדי להבטיח שסמכויות החירום מופעלות לאור הערכים שבליבת הדמוקרטיה הליברלית"</w:t>
      </w:r>
      <w:r w:rsidR="00F72340" w:rsidRPr="00483ADB">
        <w:rPr>
          <w:rStyle w:val="a9"/>
          <w:rFonts w:ascii="David" w:hAnsi="David" w:cs="David"/>
          <w:sz w:val="24"/>
          <w:szCs w:val="24"/>
        </w:rPr>
        <w:footnoteReference w:id="6"/>
      </w:r>
      <w:r w:rsidR="00EF7406" w:rsidRPr="00483ADB">
        <w:rPr>
          <w:rFonts w:ascii="David" w:hAnsi="David" w:cs="David"/>
          <w:sz w:val="24"/>
          <w:szCs w:val="24"/>
          <w:rtl/>
        </w:rPr>
        <w:t xml:space="preserve">. </w:t>
      </w:r>
      <w:r w:rsidR="00D27759" w:rsidRPr="00483ADB">
        <w:rPr>
          <w:rFonts w:ascii="David" w:hAnsi="David" w:cs="David"/>
          <w:sz w:val="24"/>
          <w:szCs w:val="24"/>
          <w:rtl/>
        </w:rPr>
        <w:t>המחברים מתעמקים ב</w:t>
      </w:r>
      <w:r w:rsidR="00AB391F" w:rsidRPr="00483ADB">
        <w:rPr>
          <w:rFonts w:ascii="David" w:hAnsi="David" w:cs="David"/>
          <w:sz w:val="24"/>
          <w:szCs w:val="24"/>
          <w:rtl/>
        </w:rPr>
        <w:t>תפקיד</w:t>
      </w:r>
      <w:r w:rsidR="0025233A" w:rsidRPr="00483ADB">
        <w:rPr>
          <w:rFonts w:ascii="David" w:hAnsi="David" w:cs="David"/>
          <w:sz w:val="24"/>
          <w:szCs w:val="24"/>
          <w:rtl/>
        </w:rPr>
        <w:t xml:space="preserve"> </w:t>
      </w:r>
      <w:r w:rsidR="00D27759" w:rsidRPr="00483ADB">
        <w:rPr>
          <w:rFonts w:ascii="David" w:hAnsi="David" w:cs="David"/>
          <w:sz w:val="24"/>
          <w:szCs w:val="24"/>
          <w:rtl/>
        </w:rPr>
        <w:t>שלטון החוק ועקרונות החוקתיות</w:t>
      </w:r>
      <w:r w:rsidR="0076515D" w:rsidRPr="00483ADB">
        <w:rPr>
          <w:rFonts w:ascii="David" w:hAnsi="David" w:cs="David"/>
          <w:sz w:val="24"/>
          <w:szCs w:val="24"/>
          <w:rtl/>
        </w:rPr>
        <w:t xml:space="preserve"> כמערכת </w:t>
      </w:r>
      <w:r w:rsidR="00AB391F" w:rsidRPr="00483ADB">
        <w:rPr>
          <w:rFonts w:ascii="David" w:hAnsi="David" w:cs="David"/>
          <w:sz w:val="24"/>
          <w:szCs w:val="24"/>
          <w:rtl/>
        </w:rPr>
        <w:t>ב</w:t>
      </w:r>
      <w:r w:rsidR="0076515D" w:rsidRPr="00483ADB">
        <w:rPr>
          <w:rFonts w:ascii="David" w:hAnsi="David" w:cs="David"/>
          <w:sz w:val="24"/>
          <w:szCs w:val="24"/>
          <w:rtl/>
        </w:rPr>
        <w:t>למים ואיזונים</w:t>
      </w:r>
      <w:r w:rsidR="00BF4CEC" w:rsidRPr="00483ADB">
        <w:rPr>
          <w:rFonts w:ascii="David" w:hAnsi="David" w:cs="David"/>
          <w:sz w:val="24"/>
          <w:szCs w:val="24"/>
          <w:rtl/>
        </w:rPr>
        <w:t xml:space="preserve"> ובהפעלת שיקולי מידתיות </w:t>
      </w:r>
      <w:r w:rsidR="00095C37" w:rsidRPr="00483ADB">
        <w:rPr>
          <w:rFonts w:ascii="David" w:hAnsi="David" w:cs="David"/>
          <w:sz w:val="24"/>
          <w:szCs w:val="24"/>
          <w:rtl/>
        </w:rPr>
        <w:t xml:space="preserve">הפגיעה בזכויות </w:t>
      </w:r>
      <w:r w:rsidR="001A1230" w:rsidRPr="00483ADB">
        <w:rPr>
          <w:rFonts w:ascii="David" w:hAnsi="David" w:cs="David"/>
          <w:sz w:val="24"/>
          <w:szCs w:val="24"/>
          <w:rtl/>
        </w:rPr>
        <w:t>ו</w:t>
      </w:r>
      <w:r w:rsidR="00B35FAF" w:rsidRPr="00483ADB">
        <w:rPr>
          <w:rFonts w:ascii="David" w:hAnsi="David" w:cs="David"/>
          <w:sz w:val="24"/>
          <w:szCs w:val="24"/>
          <w:rtl/>
        </w:rPr>
        <w:t>מידת הנחיצות של הצווים והתקנות שנקבעו</w:t>
      </w:r>
      <w:r w:rsidR="008C0159" w:rsidRPr="00483ADB">
        <w:rPr>
          <w:rFonts w:ascii="David" w:hAnsi="David" w:cs="David"/>
          <w:sz w:val="24"/>
          <w:szCs w:val="24"/>
          <w:rtl/>
        </w:rPr>
        <w:t xml:space="preserve">. </w:t>
      </w:r>
      <w:r w:rsidR="00CA528A" w:rsidRPr="00483ADB">
        <w:rPr>
          <w:rFonts w:ascii="David" w:hAnsi="David" w:cs="David"/>
          <w:sz w:val="24"/>
          <w:szCs w:val="24"/>
          <w:rtl/>
        </w:rPr>
        <w:t xml:space="preserve">במאמר </w:t>
      </w:r>
      <w:r w:rsidR="00621868" w:rsidRPr="00483ADB">
        <w:rPr>
          <w:rFonts w:ascii="David" w:hAnsi="David" w:cs="David"/>
          <w:sz w:val="24"/>
          <w:szCs w:val="24"/>
          <w:rtl/>
        </w:rPr>
        <w:t xml:space="preserve">מביאים </w:t>
      </w:r>
      <w:r w:rsidR="005D3CC4" w:rsidRPr="00483ADB">
        <w:rPr>
          <w:rFonts w:ascii="David" w:hAnsi="David" w:cs="David"/>
          <w:sz w:val="24"/>
          <w:szCs w:val="24"/>
          <w:rtl/>
        </w:rPr>
        <w:t>המלצות מדיניות להתמודדות מיידית עם אתגרי</w:t>
      </w:r>
      <w:r w:rsidR="00635C8A" w:rsidRPr="00483ADB">
        <w:rPr>
          <w:rFonts w:ascii="David" w:hAnsi="David" w:cs="David"/>
          <w:sz w:val="24"/>
          <w:szCs w:val="24"/>
          <w:rtl/>
        </w:rPr>
        <w:t xml:space="preserve"> שלטון החוק שנגיף הקורונה הציב</w:t>
      </w:r>
      <w:r w:rsidR="00E42085" w:rsidRPr="00483ADB">
        <w:rPr>
          <w:rFonts w:ascii="David" w:hAnsi="David" w:cs="David"/>
          <w:sz w:val="24"/>
          <w:szCs w:val="24"/>
          <w:rtl/>
        </w:rPr>
        <w:t xml:space="preserve"> </w:t>
      </w:r>
      <w:r w:rsidR="00635C8A" w:rsidRPr="00483ADB">
        <w:rPr>
          <w:rFonts w:ascii="David" w:hAnsi="David" w:cs="David"/>
          <w:sz w:val="24"/>
          <w:szCs w:val="24"/>
          <w:rtl/>
        </w:rPr>
        <w:t>ובניהם</w:t>
      </w:r>
      <w:r w:rsidR="00BD41A2" w:rsidRPr="00483ADB">
        <w:rPr>
          <w:rFonts w:ascii="David" w:hAnsi="David" w:cs="David"/>
          <w:sz w:val="24"/>
          <w:szCs w:val="24"/>
          <w:rtl/>
        </w:rPr>
        <w:t xml:space="preserve"> כינון ממשלה, </w:t>
      </w:r>
      <w:r w:rsidR="00D71BDC" w:rsidRPr="00483ADB">
        <w:rPr>
          <w:rFonts w:ascii="David" w:hAnsi="David" w:cs="David"/>
          <w:sz w:val="24"/>
          <w:szCs w:val="24"/>
          <w:rtl/>
        </w:rPr>
        <w:t>בחינה משפטית מחודשת של הצווים והתקנות שיצאו</w:t>
      </w:r>
      <w:r w:rsidR="00635C8A" w:rsidRPr="00483ADB">
        <w:rPr>
          <w:rFonts w:ascii="David" w:hAnsi="David" w:cs="David"/>
          <w:sz w:val="24"/>
          <w:szCs w:val="24"/>
          <w:rtl/>
        </w:rPr>
        <w:t xml:space="preserve"> </w:t>
      </w:r>
      <w:r w:rsidR="00825A38">
        <w:rPr>
          <w:rFonts w:ascii="David" w:hAnsi="David" w:cs="David" w:hint="cs"/>
          <w:sz w:val="24"/>
          <w:szCs w:val="24"/>
          <w:rtl/>
        </w:rPr>
        <w:t>וביקורת</w:t>
      </w:r>
      <w:r w:rsidR="00D44DC4" w:rsidRPr="00483ADB">
        <w:rPr>
          <w:rFonts w:ascii="David" w:hAnsi="David" w:cs="David"/>
          <w:sz w:val="24"/>
          <w:szCs w:val="24"/>
          <w:rtl/>
        </w:rPr>
        <w:t xml:space="preserve"> שיפוטית ככלי</w:t>
      </w:r>
      <w:r w:rsidR="00825A38">
        <w:rPr>
          <w:rFonts w:ascii="David" w:hAnsi="David" w:cs="David" w:hint="cs"/>
          <w:sz w:val="24"/>
          <w:szCs w:val="24"/>
          <w:rtl/>
        </w:rPr>
        <w:t>ם</w:t>
      </w:r>
      <w:r w:rsidR="00D44DC4" w:rsidRPr="00483ADB">
        <w:rPr>
          <w:rFonts w:ascii="David" w:hAnsi="David" w:cs="David"/>
          <w:sz w:val="24"/>
          <w:szCs w:val="24"/>
          <w:rtl/>
        </w:rPr>
        <w:t xml:space="preserve"> לפיקוח ובקרה</w:t>
      </w:r>
      <w:r w:rsidR="00B6728A" w:rsidRPr="00483ADB">
        <w:rPr>
          <w:rFonts w:ascii="David" w:hAnsi="David" w:cs="David"/>
          <w:sz w:val="24"/>
          <w:szCs w:val="24"/>
          <w:rtl/>
        </w:rPr>
        <w:t xml:space="preserve">. המחברים </w:t>
      </w:r>
      <w:r w:rsidR="00AA10BD" w:rsidRPr="00483ADB">
        <w:rPr>
          <w:rFonts w:ascii="David" w:hAnsi="David" w:cs="David"/>
          <w:sz w:val="24"/>
          <w:szCs w:val="24"/>
          <w:rtl/>
        </w:rPr>
        <w:t>מבהירים</w:t>
      </w:r>
      <w:r w:rsidR="00B6728A" w:rsidRPr="00483ADB">
        <w:rPr>
          <w:rFonts w:ascii="David" w:hAnsi="David" w:cs="David"/>
          <w:sz w:val="24"/>
          <w:szCs w:val="24"/>
          <w:rtl/>
        </w:rPr>
        <w:t xml:space="preserve"> כי </w:t>
      </w:r>
      <w:r w:rsidR="00617E5F" w:rsidRPr="00483ADB">
        <w:rPr>
          <w:rFonts w:ascii="David" w:hAnsi="David" w:cs="David"/>
          <w:sz w:val="24"/>
          <w:szCs w:val="24"/>
          <w:rtl/>
        </w:rPr>
        <w:t>"</w:t>
      </w:r>
      <w:r w:rsidR="00B6728A" w:rsidRPr="00483ADB">
        <w:rPr>
          <w:rFonts w:ascii="David" w:hAnsi="David" w:cs="David"/>
          <w:sz w:val="24"/>
          <w:szCs w:val="24"/>
          <w:rtl/>
        </w:rPr>
        <w:t>ההכרזה על "מצב חירום מיוחד" במערכת המשפט, בלי לבחון חלופות אחרות לנקיטת אמצעי זהירות, הייתה החלטה חפוזה וכי על החלטה זו להיבחן בביקורת שיפוטית.</w:t>
      </w:r>
      <w:r w:rsidR="00617E5F" w:rsidRPr="00483ADB">
        <w:rPr>
          <w:rFonts w:ascii="David" w:hAnsi="David" w:cs="David"/>
          <w:sz w:val="24"/>
          <w:szCs w:val="24"/>
          <w:rtl/>
        </w:rPr>
        <w:t>"</w:t>
      </w:r>
      <w:r w:rsidR="00617E5F" w:rsidRPr="00483ADB">
        <w:rPr>
          <w:rStyle w:val="a9"/>
          <w:rFonts w:ascii="David" w:hAnsi="David" w:cs="David"/>
          <w:sz w:val="24"/>
          <w:szCs w:val="24"/>
          <w:rtl/>
        </w:rPr>
        <w:footnoteReference w:id="7"/>
      </w:r>
      <w:r w:rsidR="005F6B4B">
        <w:rPr>
          <w:rFonts w:ascii="David" w:hAnsi="David" w:cs="David" w:hint="cs"/>
          <w:sz w:val="24"/>
          <w:szCs w:val="24"/>
          <w:rtl/>
        </w:rPr>
        <w:t xml:space="preserve">. </w:t>
      </w:r>
      <w:r w:rsidR="00A15187">
        <w:rPr>
          <w:rFonts w:ascii="David" w:hAnsi="David" w:cs="David" w:hint="cs"/>
          <w:sz w:val="24"/>
          <w:szCs w:val="24"/>
          <w:rtl/>
        </w:rPr>
        <w:t>המחברים מאמינים כי ביצוע שש ההמלצו</w:t>
      </w:r>
      <w:r w:rsidR="00A15187">
        <w:rPr>
          <w:rFonts w:ascii="David" w:hAnsi="David" w:cs="David" w:hint="eastAsia"/>
          <w:sz w:val="24"/>
          <w:szCs w:val="24"/>
          <w:rtl/>
        </w:rPr>
        <w:t>ת</w:t>
      </w:r>
      <w:r w:rsidR="00825A38">
        <w:rPr>
          <w:rFonts w:ascii="David" w:hAnsi="David" w:cs="David" w:hint="cs"/>
          <w:sz w:val="24"/>
          <w:szCs w:val="24"/>
          <w:rtl/>
        </w:rPr>
        <w:t xml:space="preserve"> </w:t>
      </w:r>
      <w:r w:rsidR="00D5595E">
        <w:rPr>
          <w:rFonts w:ascii="David" w:hAnsi="David" w:cs="David" w:hint="cs"/>
          <w:sz w:val="24"/>
          <w:szCs w:val="24"/>
          <w:rtl/>
        </w:rPr>
        <w:t xml:space="preserve">הכתובות </w:t>
      </w:r>
      <w:r w:rsidR="00825A38">
        <w:rPr>
          <w:rFonts w:ascii="David" w:hAnsi="David" w:cs="David" w:hint="cs"/>
          <w:sz w:val="24"/>
          <w:szCs w:val="24"/>
          <w:rtl/>
        </w:rPr>
        <w:t>במאמר</w:t>
      </w:r>
      <w:r w:rsidR="003F2995">
        <w:rPr>
          <w:rFonts w:ascii="David" w:hAnsi="David" w:cs="David" w:hint="cs"/>
          <w:sz w:val="24"/>
          <w:szCs w:val="24"/>
          <w:rtl/>
        </w:rPr>
        <w:t xml:space="preserve"> יביא ל</w:t>
      </w:r>
      <w:r w:rsidR="00A866A8">
        <w:rPr>
          <w:rFonts w:ascii="David" w:hAnsi="David" w:cs="David" w:hint="cs"/>
          <w:sz w:val="24"/>
          <w:szCs w:val="24"/>
          <w:rtl/>
        </w:rPr>
        <w:t>תיקון חוסר ה</w:t>
      </w:r>
      <w:r w:rsidR="003F2995">
        <w:rPr>
          <w:rFonts w:ascii="David" w:hAnsi="David" w:cs="David" w:hint="cs"/>
          <w:sz w:val="24"/>
          <w:szCs w:val="24"/>
          <w:rtl/>
        </w:rPr>
        <w:t xml:space="preserve">איזון </w:t>
      </w:r>
      <w:r w:rsidR="00A866A8">
        <w:rPr>
          <w:rFonts w:ascii="David" w:hAnsi="David" w:cs="David" w:hint="cs"/>
          <w:sz w:val="24"/>
          <w:szCs w:val="24"/>
          <w:rtl/>
        </w:rPr>
        <w:t>בו המדינה מצויה ע</w:t>
      </w:r>
      <w:r w:rsidR="00250DC7">
        <w:rPr>
          <w:rFonts w:ascii="David" w:hAnsi="David" w:cs="David" w:hint="cs"/>
          <w:sz w:val="24"/>
          <w:szCs w:val="24"/>
          <w:rtl/>
        </w:rPr>
        <w:t>ת</w:t>
      </w:r>
      <w:r w:rsidR="00A866A8">
        <w:rPr>
          <w:rFonts w:ascii="David" w:hAnsi="David" w:cs="David" w:hint="cs"/>
          <w:sz w:val="24"/>
          <w:szCs w:val="24"/>
          <w:rtl/>
        </w:rPr>
        <w:t xml:space="preserve"> כתיבת המאמר</w:t>
      </w:r>
      <w:r w:rsidR="00AA461F">
        <w:rPr>
          <w:rFonts w:ascii="David" w:hAnsi="David" w:cs="David" w:hint="cs"/>
          <w:sz w:val="24"/>
          <w:szCs w:val="24"/>
          <w:rtl/>
        </w:rPr>
        <w:t>.</w:t>
      </w:r>
    </w:p>
    <w:p w14:paraId="5DA2CE87" w14:textId="17F451EB" w:rsidR="00483ADB" w:rsidRPr="00483ADB" w:rsidRDefault="00A47F59" w:rsidP="00AC38B9">
      <w:pPr>
        <w:spacing w:before="240" w:line="360" w:lineRule="auto"/>
        <w:jc w:val="both"/>
        <w:rPr>
          <w:rFonts w:ascii="David" w:hAnsi="David" w:cs="David" w:hint="cs"/>
          <w:sz w:val="24"/>
          <w:szCs w:val="24"/>
          <w:rtl/>
        </w:rPr>
      </w:pPr>
      <w:r w:rsidRPr="00483ADB">
        <w:rPr>
          <w:rFonts w:ascii="David" w:hAnsi="David" w:cs="David"/>
          <w:b/>
          <w:bCs/>
          <w:sz w:val="24"/>
          <w:szCs w:val="24"/>
          <w:rtl/>
        </w:rPr>
        <w:t>לסיכום</w:t>
      </w:r>
      <w:r w:rsidR="00483ADB" w:rsidRPr="00483ADB">
        <w:rPr>
          <w:rFonts w:ascii="David" w:hAnsi="David" w:cs="David"/>
          <w:sz w:val="24"/>
          <w:szCs w:val="24"/>
          <w:rtl/>
        </w:rPr>
        <w:t xml:space="preserve">: </w:t>
      </w:r>
      <w:r w:rsidR="00E0722F" w:rsidRPr="00483ADB">
        <w:rPr>
          <w:rFonts w:ascii="David" w:hAnsi="David" w:cs="David"/>
          <w:sz w:val="24"/>
          <w:szCs w:val="24"/>
          <w:rtl/>
        </w:rPr>
        <w:t>"נדגיש שוב כי אין בכוונתנו לטעון שאסור לפגוע בזכויות או שאין הצדקה לנקיטת אמצעים חריגים. טענתנו היא שיש לקדם את בחינת דבר קיומם של איזונים מתאימים ואת מקור הסמכות החוקי ההולם"</w:t>
      </w:r>
      <w:r w:rsidR="00E0722F" w:rsidRPr="00483ADB">
        <w:rPr>
          <w:rStyle w:val="a9"/>
          <w:rFonts w:ascii="David" w:hAnsi="David" w:cs="David"/>
          <w:sz w:val="24"/>
          <w:szCs w:val="24"/>
          <w:rtl/>
        </w:rPr>
        <w:footnoteReference w:id="8"/>
      </w:r>
      <w:r w:rsidR="0030212B">
        <w:rPr>
          <w:rFonts w:ascii="David" w:hAnsi="David" w:cs="David" w:hint="cs"/>
          <w:sz w:val="24"/>
          <w:szCs w:val="24"/>
          <w:rtl/>
        </w:rPr>
        <w:t>.</w:t>
      </w:r>
      <w:r w:rsidR="008C2ED0" w:rsidRPr="00483ADB">
        <w:rPr>
          <w:rFonts w:ascii="David" w:hAnsi="David" w:cs="David"/>
          <w:sz w:val="24"/>
          <w:szCs w:val="24"/>
          <w:rtl/>
        </w:rPr>
        <w:t xml:space="preserve"> </w:t>
      </w:r>
      <w:r w:rsidR="00E0722F" w:rsidRPr="00483ADB">
        <w:rPr>
          <w:rFonts w:ascii="David" w:hAnsi="David" w:cs="David"/>
          <w:sz w:val="24"/>
          <w:szCs w:val="24"/>
          <w:rtl/>
        </w:rPr>
        <w:t>לדעתי ציטוט זה מסכם באופן הבהיר ביותר את הטענות המרכזיות</w:t>
      </w:r>
      <w:r w:rsidR="00AC38B9">
        <w:rPr>
          <w:rFonts w:ascii="David" w:hAnsi="David" w:cs="David" w:hint="cs"/>
          <w:sz w:val="24"/>
          <w:szCs w:val="24"/>
          <w:rtl/>
        </w:rPr>
        <w:t xml:space="preserve"> במאמר</w:t>
      </w:r>
      <w:r w:rsidR="00E0722F" w:rsidRPr="00483ADB">
        <w:rPr>
          <w:rFonts w:ascii="David" w:hAnsi="David" w:cs="David"/>
          <w:sz w:val="24"/>
          <w:szCs w:val="24"/>
          <w:rtl/>
        </w:rPr>
        <w:t xml:space="preserve"> </w:t>
      </w:r>
      <w:r w:rsidR="006E4928" w:rsidRPr="00483ADB">
        <w:rPr>
          <w:rFonts w:ascii="David" w:hAnsi="David" w:cs="David"/>
          <w:sz w:val="24"/>
          <w:szCs w:val="24"/>
          <w:rtl/>
        </w:rPr>
        <w:t>ו</w:t>
      </w:r>
      <w:r w:rsidR="00AA461F">
        <w:rPr>
          <w:rFonts w:ascii="David" w:hAnsi="David" w:cs="David" w:hint="cs"/>
          <w:sz w:val="24"/>
          <w:szCs w:val="24"/>
          <w:rtl/>
        </w:rPr>
        <w:t>קשרי הניגוד וההשלמה</w:t>
      </w:r>
      <w:r w:rsidR="007E6112">
        <w:rPr>
          <w:rFonts w:ascii="David" w:hAnsi="David" w:cs="David" w:hint="cs"/>
          <w:sz w:val="24"/>
          <w:szCs w:val="24"/>
          <w:rtl/>
        </w:rPr>
        <w:t xml:space="preserve"> </w:t>
      </w:r>
      <w:r w:rsidR="006E4928" w:rsidRPr="00483ADB">
        <w:rPr>
          <w:rFonts w:ascii="David" w:hAnsi="David" w:cs="David"/>
          <w:sz w:val="24"/>
          <w:szCs w:val="24"/>
          <w:rtl/>
        </w:rPr>
        <w:t xml:space="preserve">בניהן </w:t>
      </w:r>
      <w:r w:rsidR="008C2ED0" w:rsidRPr="00483ADB">
        <w:rPr>
          <w:rFonts w:ascii="David" w:hAnsi="David" w:cs="David"/>
          <w:sz w:val="24"/>
          <w:szCs w:val="24"/>
          <w:rtl/>
        </w:rPr>
        <w:t>ו</w:t>
      </w:r>
      <w:r w:rsidR="00AC38B9">
        <w:rPr>
          <w:rFonts w:ascii="David" w:hAnsi="David" w:cs="David" w:hint="cs"/>
          <w:sz w:val="24"/>
          <w:szCs w:val="24"/>
          <w:rtl/>
        </w:rPr>
        <w:t xml:space="preserve">לכן </w:t>
      </w:r>
      <w:r w:rsidR="00E219AA">
        <w:rPr>
          <w:rFonts w:ascii="David" w:hAnsi="David" w:cs="David" w:hint="cs"/>
          <w:sz w:val="24"/>
          <w:szCs w:val="24"/>
          <w:rtl/>
        </w:rPr>
        <w:t>אסיים בו.</w:t>
      </w:r>
    </w:p>
    <w:sectPr w:rsidR="00483ADB" w:rsidRPr="00483ADB" w:rsidSect="00874EAB">
      <w:headerReference w:type="default" r:id="rId7"/>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C2FB" w14:textId="77777777" w:rsidR="00E71004" w:rsidRDefault="00E71004" w:rsidP="00874EAB">
      <w:pPr>
        <w:spacing w:after="0" w:line="240" w:lineRule="auto"/>
      </w:pPr>
      <w:r>
        <w:separator/>
      </w:r>
    </w:p>
  </w:endnote>
  <w:endnote w:type="continuationSeparator" w:id="0">
    <w:p w14:paraId="22C21B5B" w14:textId="77777777" w:rsidR="00E71004" w:rsidRDefault="00E71004" w:rsidP="0087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9C07" w14:textId="77777777" w:rsidR="00E71004" w:rsidRDefault="00E71004" w:rsidP="00874EAB">
      <w:pPr>
        <w:spacing w:after="0" w:line="240" w:lineRule="auto"/>
      </w:pPr>
      <w:r>
        <w:separator/>
      </w:r>
    </w:p>
  </w:footnote>
  <w:footnote w:type="continuationSeparator" w:id="0">
    <w:p w14:paraId="2947F6FD" w14:textId="77777777" w:rsidR="00E71004" w:rsidRDefault="00E71004" w:rsidP="00874EAB">
      <w:pPr>
        <w:spacing w:after="0" w:line="240" w:lineRule="auto"/>
      </w:pPr>
      <w:r>
        <w:continuationSeparator/>
      </w:r>
    </w:p>
  </w:footnote>
  <w:footnote w:id="1">
    <w:p w14:paraId="784D350C" w14:textId="33AFD6BF" w:rsidR="00222C28" w:rsidRPr="00483ADB" w:rsidRDefault="00222C28" w:rsidP="00222C28">
      <w:pPr>
        <w:pStyle w:val="a7"/>
        <w:rPr>
          <w:rFonts w:ascii="David" w:hAnsi="David" w:cs="David"/>
        </w:rPr>
      </w:pPr>
      <w:r w:rsidRPr="00483ADB">
        <w:rPr>
          <w:rStyle w:val="a9"/>
          <w:rFonts w:ascii="David" w:hAnsi="David" w:cs="David"/>
        </w:rPr>
        <w:footnoteRef/>
      </w:r>
      <w:r w:rsidRPr="00483ADB">
        <w:rPr>
          <w:rFonts w:ascii="David" w:hAnsi="David" w:cs="David"/>
          <w:rtl/>
        </w:rPr>
        <w:t xml:space="preserve"> יובל שני, עודד רון ונדיב מרדכי </w:t>
      </w:r>
      <w:r w:rsidRPr="00483ADB">
        <w:rPr>
          <w:rFonts w:ascii="David" w:hAnsi="David" w:cs="David"/>
          <w:b/>
          <w:bCs/>
          <w:rtl/>
        </w:rPr>
        <w:t>נגיף הקורונה - האתגרים החוקתיים</w:t>
      </w:r>
      <w:r w:rsidRPr="00483ADB">
        <w:rPr>
          <w:rFonts w:ascii="David" w:hAnsi="David" w:cs="David"/>
          <w:rtl/>
        </w:rPr>
        <w:t xml:space="preserve"> (נייר עמדה, המכון הישראלי לדמוקרטיה 2020)</w:t>
      </w:r>
      <w:r w:rsidR="0046299D" w:rsidRPr="0046299D">
        <w:rPr>
          <w:noProof/>
        </w:rPr>
        <w:t xml:space="preserve"> </w:t>
      </w:r>
      <w:r w:rsidR="00D92200">
        <w:rPr>
          <w:rFonts w:ascii="David" w:hAnsi="David" w:cs="David" w:hint="cs"/>
          <w:rtl/>
        </w:rPr>
        <w:t xml:space="preserve"> </w:t>
      </w:r>
      <w:r w:rsidRPr="00483ADB">
        <w:rPr>
          <w:rFonts w:ascii="David" w:hAnsi="David" w:cs="David"/>
          <w:rtl/>
        </w:rPr>
        <w:t>.</w:t>
      </w:r>
    </w:p>
  </w:footnote>
  <w:footnote w:id="2">
    <w:p w14:paraId="44F8FEA7" w14:textId="138BD38F" w:rsidR="00222C28" w:rsidRPr="00483ADB" w:rsidRDefault="00222C28" w:rsidP="00222C28">
      <w:pPr>
        <w:pStyle w:val="a7"/>
        <w:rPr>
          <w:rFonts w:ascii="David" w:hAnsi="David" w:cs="David"/>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1.</w:t>
      </w:r>
    </w:p>
  </w:footnote>
  <w:footnote w:id="3">
    <w:p w14:paraId="28937D7B" w14:textId="763FC02E" w:rsidR="00C41E78" w:rsidRPr="00483ADB" w:rsidRDefault="00C41E78">
      <w:pPr>
        <w:pStyle w:val="a7"/>
        <w:rPr>
          <w:rFonts w:ascii="David" w:hAnsi="David" w:cs="David"/>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w:t>
      </w:r>
      <w:r w:rsidR="00193FAD" w:rsidRPr="00483ADB">
        <w:rPr>
          <w:rFonts w:ascii="David" w:hAnsi="David" w:cs="David"/>
          <w:rtl/>
        </w:rPr>
        <w:t xml:space="preserve"> 6.</w:t>
      </w:r>
    </w:p>
  </w:footnote>
  <w:footnote w:id="4">
    <w:p w14:paraId="5ABD9481" w14:textId="06BC9D80" w:rsidR="00FB2277" w:rsidRPr="00483ADB" w:rsidRDefault="00FB2277">
      <w:pPr>
        <w:pStyle w:val="a7"/>
        <w:rPr>
          <w:rFonts w:ascii="David" w:hAnsi="David" w:cs="David" w:hint="cs"/>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w:t>
      </w:r>
      <w:r w:rsidR="00586956" w:rsidRPr="00483ADB">
        <w:rPr>
          <w:rFonts w:ascii="David" w:hAnsi="David" w:cs="David"/>
          <w:rtl/>
        </w:rPr>
        <w:t>15-10.</w:t>
      </w:r>
    </w:p>
  </w:footnote>
  <w:footnote w:id="5">
    <w:p w14:paraId="59DA6743" w14:textId="0CF2E37D" w:rsidR="00AB5F79" w:rsidRPr="00483ADB" w:rsidRDefault="00AB5F79">
      <w:pPr>
        <w:pStyle w:val="a7"/>
        <w:rPr>
          <w:rFonts w:ascii="David" w:hAnsi="David" w:cs="David"/>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1.</w:t>
      </w:r>
    </w:p>
  </w:footnote>
  <w:footnote w:id="6">
    <w:p w14:paraId="1D84082F" w14:textId="5D0DD76C" w:rsidR="00F72340" w:rsidRPr="00483ADB" w:rsidRDefault="00F72340">
      <w:pPr>
        <w:pStyle w:val="a7"/>
        <w:rPr>
          <w:rFonts w:ascii="David" w:hAnsi="David" w:cs="David"/>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6.</w:t>
      </w:r>
    </w:p>
  </w:footnote>
  <w:footnote w:id="7">
    <w:p w14:paraId="658A1908" w14:textId="770E4018" w:rsidR="00617E5F" w:rsidRPr="00483ADB" w:rsidRDefault="00617E5F">
      <w:pPr>
        <w:pStyle w:val="a7"/>
        <w:rPr>
          <w:rFonts w:ascii="David" w:hAnsi="David" w:cs="David"/>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18.</w:t>
      </w:r>
    </w:p>
  </w:footnote>
  <w:footnote w:id="8">
    <w:p w14:paraId="4A0B6938" w14:textId="78BDCE34" w:rsidR="00E0722F" w:rsidRDefault="00E0722F">
      <w:pPr>
        <w:pStyle w:val="a7"/>
        <w:rPr>
          <w:rtl/>
        </w:rPr>
      </w:pPr>
      <w:r w:rsidRPr="00483ADB">
        <w:rPr>
          <w:rStyle w:val="a9"/>
          <w:rFonts w:ascii="David" w:hAnsi="David" w:cs="David"/>
        </w:rPr>
        <w:footnoteRef/>
      </w:r>
      <w:r w:rsidRPr="00483ADB">
        <w:rPr>
          <w:rFonts w:ascii="David" w:hAnsi="David" w:cs="David"/>
          <w:rtl/>
        </w:rPr>
        <w:t xml:space="preserve"> שם</w:t>
      </w:r>
      <w:r w:rsidR="004359F3">
        <w:rPr>
          <w:rFonts w:ascii="David" w:hAnsi="David" w:cs="David" w:hint="cs"/>
          <w:rtl/>
        </w:rPr>
        <w:t>,</w:t>
      </w:r>
      <w:r w:rsidRPr="00483ADB">
        <w:rPr>
          <w:rFonts w:ascii="David" w:hAnsi="David" w:cs="David"/>
          <w:rtl/>
        </w:rPr>
        <w:t xml:space="preserve"> בעמ'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BE30" w14:textId="72DA12F6" w:rsidR="00874EAB" w:rsidRDefault="00874EAB" w:rsidP="00874EAB">
    <w:pPr>
      <w:pStyle w:val="a3"/>
      <w:jc w:val="center"/>
    </w:pPr>
    <w:r>
      <w:rPr>
        <w:rFonts w:hint="cs"/>
        <w:rtl/>
      </w:rPr>
      <w:t>אביה קורן 322883794 קבוצה 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AB"/>
    <w:rsid w:val="000028AE"/>
    <w:rsid w:val="000356FA"/>
    <w:rsid w:val="000956BE"/>
    <w:rsid w:val="00095C37"/>
    <w:rsid w:val="0009778E"/>
    <w:rsid w:val="000A1B4D"/>
    <w:rsid w:val="000B10E7"/>
    <w:rsid w:val="0011193B"/>
    <w:rsid w:val="00151223"/>
    <w:rsid w:val="00155BFB"/>
    <w:rsid w:val="00191A24"/>
    <w:rsid w:val="00193FAD"/>
    <w:rsid w:val="001A1230"/>
    <w:rsid w:val="001C4B1B"/>
    <w:rsid w:val="00222C28"/>
    <w:rsid w:val="00250DC7"/>
    <w:rsid w:val="0025233A"/>
    <w:rsid w:val="002569E9"/>
    <w:rsid w:val="0028393A"/>
    <w:rsid w:val="00290936"/>
    <w:rsid w:val="00292A22"/>
    <w:rsid w:val="002A14B2"/>
    <w:rsid w:val="002D299B"/>
    <w:rsid w:val="0030212B"/>
    <w:rsid w:val="00304680"/>
    <w:rsid w:val="00305369"/>
    <w:rsid w:val="00314923"/>
    <w:rsid w:val="00336684"/>
    <w:rsid w:val="0034036C"/>
    <w:rsid w:val="0034286B"/>
    <w:rsid w:val="0035409F"/>
    <w:rsid w:val="00356F5E"/>
    <w:rsid w:val="00365D7B"/>
    <w:rsid w:val="003A6E5B"/>
    <w:rsid w:val="003D6CD5"/>
    <w:rsid w:val="003F151A"/>
    <w:rsid w:val="003F2995"/>
    <w:rsid w:val="004359F3"/>
    <w:rsid w:val="00443DF5"/>
    <w:rsid w:val="0046299D"/>
    <w:rsid w:val="00483ADB"/>
    <w:rsid w:val="004B6B04"/>
    <w:rsid w:val="004B77D3"/>
    <w:rsid w:val="004C1BE8"/>
    <w:rsid w:val="004C2FE8"/>
    <w:rsid w:val="004C407B"/>
    <w:rsid w:val="004E113F"/>
    <w:rsid w:val="00503F79"/>
    <w:rsid w:val="00564C83"/>
    <w:rsid w:val="00586956"/>
    <w:rsid w:val="005D3CC4"/>
    <w:rsid w:val="005D509E"/>
    <w:rsid w:val="005F6B4B"/>
    <w:rsid w:val="00612523"/>
    <w:rsid w:val="00617E5F"/>
    <w:rsid w:val="006201E2"/>
    <w:rsid w:val="00621868"/>
    <w:rsid w:val="00635C8A"/>
    <w:rsid w:val="006E07F1"/>
    <w:rsid w:val="006E45E2"/>
    <w:rsid w:val="006E4928"/>
    <w:rsid w:val="006E4A57"/>
    <w:rsid w:val="00705D6D"/>
    <w:rsid w:val="00761F63"/>
    <w:rsid w:val="0076515D"/>
    <w:rsid w:val="00775112"/>
    <w:rsid w:val="00797D49"/>
    <w:rsid w:val="007E0378"/>
    <w:rsid w:val="007E6112"/>
    <w:rsid w:val="00817804"/>
    <w:rsid w:val="0082206E"/>
    <w:rsid w:val="00825A38"/>
    <w:rsid w:val="00874EAB"/>
    <w:rsid w:val="00887499"/>
    <w:rsid w:val="008B7AF0"/>
    <w:rsid w:val="008C0159"/>
    <w:rsid w:val="008C2ED0"/>
    <w:rsid w:val="00961DAD"/>
    <w:rsid w:val="0096606C"/>
    <w:rsid w:val="009B2C59"/>
    <w:rsid w:val="009B4526"/>
    <w:rsid w:val="00A02E67"/>
    <w:rsid w:val="00A10FBA"/>
    <w:rsid w:val="00A15187"/>
    <w:rsid w:val="00A22111"/>
    <w:rsid w:val="00A2795D"/>
    <w:rsid w:val="00A403C7"/>
    <w:rsid w:val="00A44B60"/>
    <w:rsid w:val="00A47F59"/>
    <w:rsid w:val="00A70FC6"/>
    <w:rsid w:val="00A866A8"/>
    <w:rsid w:val="00A96EB4"/>
    <w:rsid w:val="00AA10BD"/>
    <w:rsid w:val="00AA461F"/>
    <w:rsid w:val="00AB391F"/>
    <w:rsid w:val="00AB5F79"/>
    <w:rsid w:val="00AC38B9"/>
    <w:rsid w:val="00AD0811"/>
    <w:rsid w:val="00AE1F3B"/>
    <w:rsid w:val="00AE3F4F"/>
    <w:rsid w:val="00B151B6"/>
    <w:rsid w:val="00B35FAF"/>
    <w:rsid w:val="00B56489"/>
    <w:rsid w:val="00B6728A"/>
    <w:rsid w:val="00BA5C2F"/>
    <w:rsid w:val="00BD41A2"/>
    <w:rsid w:val="00BE5D5E"/>
    <w:rsid w:val="00BF4CEC"/>
    <w:rsid w:val="00C203C5"/>
    <w:rsid w:val="00C328C8"/>
    <w:rsid w:val="00C41E78"/>
    <w:rsid w:val="00C51CEE"/>
    <w:rsid w:val="00CA528A"/>
    <w:rsid w:val="00CF08BF"/>
    <w:rsid w:val="00CF6136"/>
    <w:rsid w:val="00D012A8"/>
    <w:rsid w:val="00D25532"/>
    <w:rsid w:val="00D27759"/>
    <w:rsid w:val="00D44DC4"/>
    <w:rsid w:val="00D5595E"/>
    <w:rsid w:val="00D67B73"/>
    <w:rsid w:val="00D71BDC"/>
    <w:rsid w:val="00D8385C"/>
    <w:rsid w:val="00D91641"/>
    <w:rsid w:val="00D92200"/>
    <w:rsid w:val="00DB2633"/>
    <w:rsid w:val="00DF36A7"/>
    <w:rsid w:val="00E0722F"/>
    <w:rsid w:val="00E1230C"/>
    <w:rsid w:val="00E219AA"/>
    <w:rsid w:val="00E23DBD"/>
    <w:rsid w:val="00E42085"/>
    <w:rsid w:val="00E66A71"/>
    <w:rsid w:val="00E71004"/>
    <w:rsid w:val="00E729B0"/>
    <w:rsid w:val="00E82250"/>
    <w:rsid w:val="00EE57D7"/>
    <w:rsid w:val="00EF7406"/>
    <w:rsid w:val="00F61D0A"/>
    <w:rsid w:val="00F72340"/>
    <w:rsid w:val="00F8302C"/>
    <w:rsid w:val="00FB2277"/>
    <w:rsid w:val="00FC55E3"/>
    <w:rsid w:val="00FF7F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A1C9"/>
  <w15:chartTrackingRefBased/>
  <w15:docId w15:val="{CD7D084F-7428-445D-90D0-B8A57C48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EAB"/>
    <w:pPr>
      <w:tabs>
        <w:tab w:val="center" w:pos="4153"/>
        <w:tab w:val="right" w:pos="8306"/>
      </w:tabs>
      <w:spacing w:after="0" w:line="240" w:lineRule="auto"/>
    </w:pPr>
  </w:style>
  <w:style w:type="character" w:customStyle="1" w:styleId="a4">
    <w:name w:val="כותרת עליונה תו"/>
    <w:basedOn w:val="a0"/>
    <w:link w:val="a3"/>
    <w:uiPriority w:val="99"/>
    <w:rsid w:val="00874EAB"/>
  </w:style>
  <w:style w:type="paragraph" w:styleId="a5">
    <w:name w:val="footer"/>
    <w:basedOn w:val="a"/>
    <w:link w:val="a6"/>
    <w:uiPriority w:val="99"/>
    <w:unhideWhenUsed/>
    <w:rsid w:val="00874EAB"/>
    <w:pPr>
      <w:tabs>
        <w:tab w:val="center" w:pos="4153"/>
        <w:tab w:val="right" w:pos="8306"/>
      </w:tabs>
      <w:spacing w:after="0" w:line="240" w:lineRule="auto"/>
    </w:pPr>
  </w:style>
  <w:style w:type="character" w:customStyle="1" w:styleId="a6">
    <w:name w:val="כותרת תחתונה תו"/>
    <w:basedOn w:val="a0"/>
    <w:link w:val="a5"/>
    <w:uiPriority w:val="99"/>
    <w:rsid w:val="00874EAB"/>
  </w:style>
  <w:style w:type="paragraph" w:styleId="a7">
    <w:name w:val="footnote text"/>
    <w:basedOn w:val="a"/>
    <w:link w:val="a8"/>
    <w:uiPriority w:val="99"/>
    <w:semiHidden/>
    <w:unhideWhenUsed/>
    <w:rsid w:val="00222C28"/>
    <w:pPr>
      <w:spacing w:after="0" w:line="240" w:lineRule="auto"/>
    </w:pPr>
    <w:rPr>
      <w:sz w:val="20"/>
      <w:szCs w:val="20"/>
    </w:rPr>
  </w:style>
  <w:style w:type="character" w:customStyle="1" w:styleId="a8">
    <w:name w:val="טקסט הערת שוליים תו"/>
    <w:basedOn w:val="a0"/>
    <w:link w:val="a7"/>
    <w:uiPriority w:val="99"/>
    <w:semiHidden/>
    <w:rsid w:val="00222C28"/>
    <w:rPr>
      <w:sz w:val="20"/>
      <w:szCs w:val="20"/>
    </w:rPr>
  </w:style>
  <w:style w:type="character" w:styleId="a9">
    <w:name w:val="footnote reference"/>
    <w:basedOn w:val="a0"/>
    <w:uiPriority w:val="99"/>
    <w:semiHidden/>
    <w:unhideWhenUsed/>
    <w:rsid w:val="00222C28"/>
    <w:rPr>
      <w:vertAlign w:val="superscript"/>
    </w:rPr>
  </w:style>
  <w:style w:type="character" w:styleId="Hyperlink">
    <w:name w:val="Hyperlink"/>
    <w:basedOn w:val="a0"/>
    <w:uiPriority w:val="99"/>
    <w:unhideWhenUsed/>
    <w:rsid w:val="00D92200"/>
    <w:rPr>
      <w:color w:val="0563C1" w:themeColor="hyperlink"/>
      <w:u w:val="single"/>
    </w:rPr>
  </w:style>
  <w:style w:type="character" w:styleId="aa">
    <w:name w:val="Unresolved Mention"/>
    <w:basedOn w:val="a0"/>
    <w:uiPriority w:val="99"/>
    <w:semiHidden/>
    <w:unhideWhenUsed/>
    <w:rsid w:val="00D9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6A76-57D4-46D4-AAE5-0385A8F8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416</Words>
  <Characters>2081</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 Koren</dc:creator>
  <cp:keywords/>
  <dc:description/>
  <cp:lastModifiedBy>Avia Koren</cp:lastModifiedBy>
  <cp:revision>15</cp:revision>
  <dcterms:created xsi:type="dcterms:W3CDTF">2021-12-06T23:03:00Z</dcterms:created>
  <dcterms:modified xsi:type="dcterms:W3CDTF">2021-12-07T15:10:00Z</dcterms:modified>
</cp:coreProperties>
</file>