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5677" w14:textId="77777777" w:rsidR="0003275F" w:rsidRPr="00D4494E" w:rsidRDefault="0003275F" w:rsidP="00490C03">
      <w:pPr>
        <w:bidi/>
        <w:spacing w:line="360" w:lineRule="auto"/>
        <w:jc w:val="both"/>
        <w:rPr>
          <w:rFonts w:ascii="David" w:hAnsi="David" w:cs="David"/>
          <w:b/>
          <w:bCs/>
          <w:noProof/>
          <w:sz w:val="24"/>
          <w:szCs w:val="24"/>
          <w:rtl/>
        </w:rPr>
      </w:pPr>
      <w:r w:rsidRPr="00D4494E">
        <w:rPr>
          <w:rFonts w:ascii="David" w:hAnsi="David" w:cs="David"/>
          <w:b/>
          <w:bCs/>
          <w:sz w:val="24"/>
          <w:szCs w:val="24"/>
          <w:u w:val="single"/>
          <w:rtl/>
        </w:rPr>
        <w:t>מטלת מחצית- נייר עמדה</w:t>
      </w:r>
    </w:p>
    <w:p w14:paraId="53CCD2FE" w14:textId="39411A46" w:rsidR="0003275F" w:rsidRPr="00D4494E" w:rsidRDefault="0003275F" w:rsidP="00490C03">
      <w:pPr>
        <w:pStyle w:val="david12"/>
        <w:spacing w:line="360" w:lineRule="auto"/>
        <w:rPr>
          <w:rtl/>
        </w:rPr>
      </w:pPr>
      <w:r w:rsidRPr="00D4494E">
        <w:rPr>
          <w:rtl/>
        </w:rPr>
        <w:t>מאמרו של אסף הרדוף,</w:t>
      </w:r>
      <w:r w:rsidRPr="00D4494E">
        <w:rPr>
          <w:rStyle w:val="ad"/>
          <w:rtl/>
        </w:rPr>
        <w:footnoteReference w:id="1"/>
      </w:r>
      <w:r w:rsidRPr="00D4494E">
        <w:rPr>
          <w:rtl/>
        </w:rPr>
        <w:t xml:space="preserve"> (להלן: המאמר) בוחן את החקיקה </w:t>
      </w:r>
      <w:r w:rsidR="003C4DA3">
        <w:rPr>
          <w:rFonts w:hint="cs"/>
          <w:rtl/>
        </w:rPr>
        <w:t>ש</w:t>
      </w:r>
      <w:r w:rsidRPr="00D4494E">
        <w:rPr>
          <w:rtl/>
        </w:rPr>
        <w:t>עוסקת בפגיעה בבעלי חיים (להלן: בע"ח) בישראל ומתרכז בעיקר בפקודת הכלבת,</w:t>
      </w:r>
      <w:r w:rsidRPr="00D4494E">
        <w:rPr>
          <w:rStyle w:val="ad"/>
          <w:rtl/>
        </w:rPr>
        <w:footnoteReference w:id="2"/>
      </w:r>
      <w:r w:rsidRPr="00D4494E">
        <w:rPr>
          <w:rtl/>
        </w:rPr>
        <w:t xml:space="preserve"> ובפקודת המחלות.</w:t>
      </w:r>
      <w:r w:rsidRPr="00D4494E">
        <w:rPr>
          <w:rStyle w:val="ad"/>
          <w:rtl/>
        </w:rPr>
        <w:footnoteReference w:id="3"/>
      </w:r>
      <w:r w:rsidRPr="00D4494E">
        <w:rPr>
          <w:rtl/>
        </w:rPr>
        <w:t xml:space="preserve"> פקודות אלו מסדירות את הטיפול בבע”ח שחשודים כחולים, לצורך שמירה על בריאות הציבור. לטענת הכותב, הפקודות דרקוניות ומתירות בידוד אכזרי והרג </w:t>
      </w:r>
      <w:r w:rsidR="00024297" w:rsidRPr="00D4494E">
        <w:rPr>
          <w:rFonts w:hint="cs"/>
          <w:rtl/>
        </w:rPr>
        <w:t>מי</w:t>
      </w:r>
      <w:r w:rsidR="00024297">
        <w:rPr>
          <w:rFonts w:hint="cs"/>
          <w:rtl/>
        </w:rPr>
        <w:t>ד</w:t>
      </w:r>
      <w:r w:rsidR="00024297" w:rsidRPr="00D4494E">
        <w:rPr>
          <w:rFonts w:hint="cs"/>
          <w:rtl/>
        </w:rPr>
        <w:t>י</w:t>
      </w:r>
      <w:r w:rsidRPr="00D4494E">
        <w:rPr>
          <w:rtl/>
        </w:rPr>
        <w:t xml:space="preserve"> של בע”ח גם ללא צורך אמיתי. המאמר מציע שלושה פתרונות עיקריים לבעיה: הראשון, טיפול בבע"ח במידתיות ואיזון. השני, הכנסת ערכי חמלה</w:t>
      </w:r>
      <w:r w:rsidR="00E934A1">
        <w:rPr>
          <w:rFonts w:hint="cs"/>
          <w:rtl/>
        </w:rPr>
        <w:t>,</w:t>
      </w:r>
      <w:r w:rsidRPr="00D4494E">
        <w:rPr>
          <w:rtl/>
        </w:rPr>
        <w:t xml:space="preserve"> הגינות ונאמנות לחקיקה הישראלית בנושא. והאחרון, העברת הטיפול מתחום המשפט המנהלי לתחום אדוורסרי וקיום הליך דומה למשפט פלילי לצורך פגיעה בבע”ח בשם בריאות הציבור. הכותב גם סוקר את התיקונים השונים לפקודות שהוצעו וטוען כי התיקון שהתקבל (להלן: תיקון מס'6)  אינו מספיק.</w:t>
      </w:r>
      <w:r w:rsidRPr="00D4494E">
        <w:rPr>
          <w:rStyle w:val="ad"/>
          <w:rtl/>
        </w:rPr>
        <w:footnoteReference w:id="4"/>
      </w:r>
      <w:r w:rsidRPr="00D4494E">
        <w:rPr>
          <w:rtl/>
        </w:rPr>
        <w:t xml:space="preserve"> בנייר העמדה אגע בשני נושאים. </w:t>
      </w:r>
    </w:p>
    <w:p w14:paraId="73C74A37" w14:textId="118C5E6C" w:rsidR="0003275F" w:rsidRPr="00D4494E" w:rsidRDefault="0003275F" w:rsidP="00490C03">
      <w:pPr>
        <w:bidi/>
        <w:spacing w:line="360" w:lineRule="auto"/>
        <w:jc w:val="both"/>
        <w:rPr>
          <w:rFonts w:ascii="David" w:hAnsi="David" w:cs="David"/>
          <w:sz w:val="24"/>
          <w:szCs w:val="24"/>
          <w:rtl/>
        </w:rPr>
      </w:pPr>
      <w:r w:rsidRPr="00D4494E">
        <w:rPr>
          <w:rFonts w:ascii="David" w:hAnsi="David" w:cs="David"/>
          <w:sz w:val="24"/>
          <w:szCs w:val="24"/>
          <w:rtl/>
        </w:rPr>
        <w:t>עניין ראשון- כותב המאמר מפקפק בכך שהיחס המדובר לבע"ח נובע מדאגה לבריאות אנושית ותוהה אם המשפט מגביל כך גם את חופשם של אנשים החולים במחלות מדבקות.</w:t>
      </w:r>
      <w:r w:rsidRPr="00D4494E">
        <w:rPr>
          <w:rStyle w:val="ad"/>
          <w:rFonts w:ascii="David" w:hAnsi="David" w:cs="David"/>
          <w:sz w:val="24"/>
          <w:szCs w:val="24"/>
          <w:rtl/>
        </w:rPr>
        <w:footnoteReference w:id="5"/>
      </w:r>
      <w:r w:rsidRPr="00D4494E">
        <w:rPr>
          <w:rFonts w:ascii="David" w:hAnsi="David" w:cs="David"/>
          <w:sz w:val="24"/>
          <w:szCs w:val="24"/>
          <w:rtl/>
        </w:rPr>
        <w:t xml:space="preserve"> </w:t>
      </w:r>
      <w:r w:rsidRPr="00D4494E">
        <w:rPr>
          <w:rFonts w:ascii="David" w:hAnsi="David" w:cs="David"/>
          <w:b/>
          <w:bCs/>
          <w:sz w:val="24"/>
          <w:szCs w:val="24"/>
          <w:rtl/>
        </w:rPr>
        <w:t xml:space="preserve">לדעתי, חופשם של האנשים מוגבל לא פחות. </w:t>
      </w:r>
      <w:r w:rsidRPr="00D4494E">
        <w:rPr>
          <w:rFonts w:ascii="David" w:hAnsi="David" w:cs="David"/>
          <w:sz w:val="24"/>
          <w:szCs w:val="24"/>
          <w:rtl/>
        </w:rPr>
        <w:t xml:space="preserve">האמנה הבינלאומית </w:t>
      </w:r>
      <w:r w:rsidRPr="00D4494E">
        <w:rPr>
          <w:rFonts w:ascii="David" w:hAnsi="David" w:cs="David"/>
          <w:sz w:val="24"/>
          <w:szCs w:val="24"/>
        </w:rPr>
        <w:t>ICCPR</w:t>
      </w:r>
      <w:r w:rsidRPr="00D4494E">
        <w:rPr>
          <w:rFonts w:ascii="David" w:hAnsi="David" w:cs="David"/>
          <w:sz w:val="24"/>
          <w:szCs w:val="24"/>
          <w:rtl/>
        </w:rPr>
        <w:t xml:space="preserve"> מאפשרת למדינה לנקוט בצעדים שעלולים לשלול את זכויות האדם, </w:t>
      </w:r>
      <w:r w:rsidR="00E26A7E">
        <w:rPr>
          <w:rFonts w:ascii="David" w:hAnsi="David" w:cs="David" w:hint="cs"/>
          <w:sz w:val="24"/>
          <w:szCs w:val="24"/>
          <w:rtl/>
        </w:rPr>
        <w:t>בשביל</w:t>
      </w:r>
      <w:r w:rsidRPr="00D4494E">
        <w:rPr>
          <w:rFonts w:ascii="David" w:hAnsi="David" w:cs="David"/>
          <w:sz w:val="24"/>
          <w:szCs w:val="24"/>
          <w:rtl/>
        </w:rPr>
        <w:t xml:space="preserve"> לשמור על חיי האומה בשעת ח</w:t>
      </w:r>
      <w:r w:rsidR="00E26A7E">
        <w:rPr>
          <w:rFonts w:ascii="David" w:hAnsi="David" w:cs="David" w:hint="cs"/>
          <w:sz w:val="24"/>
          <w:szCs w:val="24"/>
          <w:rtl/>
        </w:rPr>
        <w:t>י</w:t>
      </w:r>
      <w:r w:rsidRPr="00D4494E">
        <w:rPr>
          <w:rFonts w:ascii="David" w:hAnsi="David" w:cs="David"/>
          <w:sz w:val="24"/>
          <w:szCs w:val="24"/>
          <w:rtl/>
        </w:rPr>
        <w:t>רום.</w:t>
      </w:r>
      <w:r w:rsidRPr="00D4494E">
        <w:rPr>
          <w:rStyle w:val="ad"/>
          <w:rFonts w:ascii="David" w:hAnsi="David" w:cs="David"/>
          <w:sz w:val="24"/>
          <w:szCs w:val="24"/>
          <w:rtl/>
        </w:rPr>
        <w:footnoteReference w:id="6"/>
      </w:r>
      <w:r w:rsidRPr="00D4494E">
        <w:rPr>
          <w:rFonts w:ascii="David" w:hAnsi="David" w:cs="David"/>
          <w:sz w:val="24"/>
          <w:szCs w:val="24"/>
          <w:rtl/>
        </w:rPr>
        <w:t xml:space="preserve"> דוגמה להגבלות מובאת במאמר "נגיף הקורונה-האתגרים החוקתיים",</w:t>
      </w:r>
      <w:r w:rsidRPr="00D4494E">
        <w:rPr>
          <w:rStyle w:val="ad"/>
          <w:rFonts w:ascii="David" w:hAnsi="David" w:cs="David"/>
          <w:sz w:val="24"/>
          <w:szCs w:val="24"/>
          <w:rtl/>
        </w:rPr>
        <w:footnoteReference w:id="7"/>
      </w:r>
      <w:r w:rsidRPr="00D4494E">
        <w:rPr>
          <w:rFonts w:ascii="David" w:hAnsi="David" w:cs="David"/>
          <w:sz w:val="24"/>
          <w:szCs w:val="24"/>
          <w:rtl/>
        </w:rPr>
        <w:t xml:space="preserve"> שדן בזכויות האזרח שנפגעו, ובעיקרן החירות, בשביל לשמור על בריאות הציבור. דוגמה נוספת היא ס'20(2)(א) לפקודת בריאות העם שמאפשר לנקוט כל פעולת בידוד נדרשת, </w:t>
      </w:r>
      <w:r w:rsidRPr="00D4494E">
        <w:rPr>
          <w:rFonts w:ascii="David" w:hAnsi="David" w:cs="David"/>
          <w:color w:val="000000"/>
          <w:sz w:val="24"/>
          <w:szCs w:val="24"/>
          <w:shd w:val="clear" w:color="auto" w:fill="FFFFFF"/>
          <w:rtl/>
        </w:rPr>
        <w:t>כדי למנוע את חדירתה או התפשטותה של מחלה מסוכנת.</w:t>
      </w:r>
      <w:r w:rsidRPr="00D4494E">
        <w:rPr>
          <w:rStyle w:val="ad"/>
          <w:rFonts w:ascii="David" w:hAnsi="David" w:cs="David"/>
          <w:color w:val="000000"/>
          <w:sz w:val="24"/>
          <w:szCs w:val="24"/>
          <w:shd w:val="clear" w:color="auto" w:fill="FFFFFF"/>
          <w:rtl/>
        </w:rPr>
        <w:footnoteReference w:id="8"/>
      </w:r>
      <w:r w:rsidRPr="00D4494E">
        <w:rPr>
          <w:rFonts w:ascii="David" w:hAnsi="David" w:cs="David"/>
          <w:color w:val="000000"/>
          <w:sz w:val="24"/>
          <w:szCs w:val="24"/>
          <w:shd w:val="clear" w:color="auto" w:fill="FFFFFF"/>
          <w:rtl/>
        </w:rPr>
        <w:t xml:space="preserve"> תוצאת בג"ץ 2435/20 שסב סביב סגר של עיר שלמה, שהיוותה מוקד תחלואה חריג ומשמעותי, מגשימה גם היא את המטרה בקביעה שהזכות לחיים גוברת על הזכות לחירות.</w:t>
      </w:r>
      <w:r w:rsidRPr="00D4494E">
        <w:rPr>
          <w:rStyle w:val="ad"/>
          <w:rFonts w:ascii="David" w:hAnsi="David" w:cs="David"/>
          <w:color w:val="000000"/>
          <w:sz w:val="24"/>
          <w:szCs w:val="24"/>
          <w:shd w:val="clear" w:color="auto" w:fill="FFFFFF"/>
          <w:rtl/>
        </w:rPr>
        <w:footnoteReference w:id="9"/>
      </w:r>
    </w:p>
    <w:p w14:paraId="27AC1D1F" w14:textId="5935253D" w:rsidR="0003275F" w:rsidRPr="00D4494E" w:rsidRDefault="0003275F" w:rsidP="00490C03">
      <w:pPr>
        <w:bidi/>
        <w:spacing w:line="360" w:lineRule="auto"/>
        <w:jc w:val="both"/>
        <w:rPr>
          <w:rFonts w:ascii="David" w:hAnsi="David" w:cs="David"/>
          <w:sz w:val="24"/>
          <w:szCs w:val="24"/>
          <w:rtl/>
        </w:rPr>
      </w:pPr>
      <w:r w:rsidRPr="00D4494E">
        <w:rPr>
          <w:rFonts w:ascii="David" w:hAnsi="David" w:cs="David"/>
          <w:sz w:val="24"/>
          <w:szCs w:val="24"/>
          <w:rtl/>
        </w:rPr>
        <w:t xml:space="preserve">העניין השני, שבעיני לא קיבל מענה הולם, הוא בידוד </w:t>
      </w:r>
      <w:r w:rsidR="00DF4EE1" w:rsidRPr="00D4494E">
        <w:rPr>
          <w:rFonts w:ascii="David" w:hAnsi="David" w:cs="David"/>
          <w:sz w:val="24"/>
          <w:szCs w:val="24"/>
          <w:rtl/>
        </w:rPr>
        <w:t>בע"ח</w:t>
      </w:r>
      <w:r w:rsidRPr="00D4494E">
        <w:rPr>
          <w:rFonts w:ascii="David" w:hAnsi="David" w:cs="David"/>
          <w:sz w:val="24"/>
          <w:szCs w:val="24"/>
          <w:rtl/>
        </w:rPr>
        <w:t>. הכותב מבקר את הבידוד ואת תנאיו הקשים. לטענתו מאורות הבידוד (להלן: המאורות) לרוב לא מתאפיינות בדאגה ואכפתיות אמיתיות לבע"ח ובשל כך, תומך בהחזקת בע"ח החשודים במחלה בבית בעליהם או ב</w:t>
      </w:r>
      <w:r w:rsidR="0091789C">
        <w:rPr>
          <w:rFonts w:ascii="David" w:hAnsi="David" w:cs="David" w:hint="cs"/>
          <w:sz w:val="24"/>
          <w:szCs w:val="24"/>
          <w:rtl/>
        </w:rPr>
        <w:t>ה</w:t>
      </w:r>
      <w:r w:rsidRPr="00D4494E">
        <w:rPr>
          <w:rFonts w:ascii="David" w:hAnsi="David" w:cs="David"/>
          <w:sz w:val="24"/>
          <w:szCs w:val="24"/>
          <w:rtl/>
        </w:rPr>
        <w:t>חזקת עמותות אוהדות בע"ח.</w:t>
      </w:r>
      <w:r w:rsidRPr="00D4494E">
        <w:rPr>
          <w:rStyle w:val="ad"/>
          <w:rFonts w:ascii="David" w:hAnsi="David" w:cs="David"/>
          <w:sz w:val="24"/>
          <w:szCs w:val="24"/>
          <w:rtl/>
        </w:rPr>
        <w:footnoteReference w:id="10"/>
      </w:r>
      <w:r w:rsidRPr="00D4494E">
        <w:rPr>
          <w:rFonts w:ascii="David" w:hAnsi="David" w:cs="David"/>
          <w:sz w:val="24"/>
          <w:szCs w:val="24"/>
          <w:rtl/>
        </w:rPr>
        <w:t xml:space="preserve"> פתרון זה רלוונטי רק לבע"ח </w:t>
      </w:r>
      <w:r w:rsidR="00C109FE">
        <w:rPr>
          <w:rFonts w:ascii="David" w:hAnsi="David" w:cs="David" w:hint="cs"/>
          <w:sz w:val="24"/>
          <w:szCs w:val="24"/>
          <w:rtl/>
        </w:rPr>
        <w:t>השייכים</w:t>
      </w:r>
      <w:r w:rsidRPr="00D4494E">
        <w:rPr>
          <w:rFonts w:ascii="David" w:hAnsi="David" w:cs="David"/>
          <w:sz w:val="24"/>
          <w:szCs w:val="24"/>
          <w:rtl/>
        </w:rPr>
        <w:t xml:space="preserve"> לאנשים ו</w:t>
      </w:r>
      <w:r w:rsidR="006E622A" w:rsidRPr="00D4494E">
        <w:rPr>
          <w:rFonts w:ascii="David" w:hAnsi="David" w:cs="David"/>
          <w:sz w:val="24"/>
          <w:szCs w:val="24"/>
          <w:rtl/>
        </w:rPr>
        <w:t xml:space="preserve">טומן </w:t>
      </w:r>
      <w:r w:rsidR="00C109FE">
        <w:rPr>
          <w:rFonts w:ascii="David" w:hAnsi="David" w:cs="David" w:hint="cs"/>
          <w:sz w:val="24"/>
          <w:szCs w:val="24"/>
          <w:rtl/>
        </w:rPr>
        <w:t>כמה</w:t>
      </w:r>
      <w:r w:rsidR="006E622A" w:rsidRPr="00D4494E">
        <w:rPr>
          <w:rFonts w:ascii="David" w:hAnsi="David" w:cs="David"/>
          <w:sz w:val="24"/>
          <w:szCs w:val="24"/>
          <w:rtl/>
        </w:rPr>
        <w:t xml:space="preserve"> בעיות בגינן </w:t>
      </w:r>
      <w:r w:rsidR="00F70913" w:rsidRPr="00D4494E">
        <w:rPr>
          <w:rFonts w:ascii="David" w:hAnsi="David" w:cs="David"/>
          <w:sz w:val="24"/>
          <w:szCs w:val="24"/>
          <w:rtl/>
        </w:rPr>
        <w:t>בידוד ביתי</w:t>
      </w:r>
      <w:r w:rsidRPr="00D4494E">
        <w:rPr>
          <w:rFonts w:ascii="David" w:hAnsi="David" w:cs="David"/>
          <w:sz w:val="24"/>
          <w:szCs w:val="24"/>
          <w:rtl/>
        </w:rPr>
        <w:t xml:space="preserve"> לא יכול להתאפשר ברוב המקומות</w:t>
      </w:r>
      <w:r w:rsidR="006E622A" w:rsidRPr="00D4494E">
        <w:rPr>
          <w:rFonts w:ascii="David" w:hAnsi="David" w:cs="David"/>
          <w:sz w:val="24"/>
          <w:szCs w:val="24"/>
          <w:rtl/>
        </w:rPr>
        <w:t>,</w:t>
      </w:r>
      <w:r w:rsidRPr="00D4494E">
        <w:rPr>
          <w:rFonts w:ascii="David" w:hAnsi="David" w:cs="David"/>
          <w:sz w:val="24"/>
          <w:szCs w:val="24"/>
          <w:rtl/>
        </w:rPr>
        <w:t xml:space="preserve"> כפי שיפורט בהמשך</w:t>
      </w:r>
      <w:r w:rsidR="006E622A" w:rsidRPr="00D4494E">
        <w:rPr>
          <w:rFonts w:ascii="David" w:hAnsi="David" w:cs="David"/>
          <w:sz w:val="24"/>
          <w:szCs w:val="24"/>
          <w:rtl/>
        </w:rPr>
        <w:t>.</w:t>
      </w:r>
      <w:r w:rsidRPr="00D4494E">
        <w:rPr>
          <w:rFonts w:ascii="David" w:hAnsi="David" w:cs="David"/>
          <w:sz w:val="24"/>
          <w:szCs w:val="24"/>
          <w:rtl/>
        </w:rPr>
        <w:t xml:space="preserve"> </w:t>
      </w:r>
      <w:r w:rsidR="00294707" w:rsidRPr="00D4494E">
        <w:rPr>
          <w:rFonts w:ascii="David" w:hAnsi="David" w:cs="David"/>
          <w:sz w:val="24"/>
          <w:szCs w:val="24"/>
          <w:rtl/>
        </w:rPr>
        <w:t>בידוד ביתי אינו פתרון במקרה של חשד לכלבת לפי ס'16(ה)(2)(א)</w:t>
      </w:r>
      <w:r w:rsidR="00563D5D">
        <w:rPr>
          <w:rFonts w:ascii="David" w:hAnsi="David" w:cs="David" w:hint="cs"/>
          <w:sz w:val="24"/>
          <w:szCs w:val="24"/>
          <w:rtl/>
        </w:rPr>
        <w:t xml:space="preserve"> אשר מהווה סייג למתן אישור לפיקוח ביתי</w:t>
      </w:r>
      <w:r w:rsidR="00294707" w:rsidRPr="00D4494E">
        <w:rPr>
          <w:rFonts w:ascii="David" w:hAnsi="David" w:cs="David"/>
          <w:sz w:val="24"/>
          <w:szCs w:val="24"/>
          <w:rtl/>
        </w:rPr>
        <w:t>.</w:t>
      </w:r>
      <w:r w:rsidR="00294707" w:rsidRPr="00D4494E">
        <w:rPr>
          <w:rStyle w:val="ad"/>
          <w:rFonts w:ascii="David" w:hAnsi="David" w:cs="David"/>
          <w:sz w:val="24"/>
          <w:szCs w:val="24"/>
          <w:rtl/>
        </w:rPr>
        <w:footnoteReference w:id="11"/>
      </w:r>
      <w:r w:rsidR="004D796D" w:rsidRPr="00D4494E">
        <w:rPr>
          <w:rFonts w:ascii="David" w:hAnsi="David" w:cs="David"/>
          <w:sz w:val="24"/>
          <w:szCs w:val="24"/>
          <w:rtl/>
        </w:rPr>
        <w:t xml:space="preserve"> </w:t>
      </w:r>
      <w:r w:rsidR="001B7C9B" w:rsidRPr="00D4494E">
        <w:rPr>
          <w:rFonts w:ascii="David" w:hAnsi="David" w:cs="David"/>
          <w:sz w:val="24"/>
          <w:szCs w:val="24"/>
          <w:rtl/>
        </w:rPr>
        <w:t xml:space="preserve">כמו כן, </w:t>
      </w:r>
      <w:r w:rsidR="00F70913" w:rsidRPr="00D4494E">
        <w:rPr>
          <w:rFonts w:ascii="David" w:hAnsi="David" w:cs="David"/>
          <w:sz w:val="24"/>
          <w:szCs w:val="24"/>
          <w:rtl/>
        </w:rPr>
        <w:t>לא</w:t>
      </w:r>
      <w:r w:rsidRPr="00D4494E">
        <w:rPr>
          <w:rFonts w:ascii="David" w:hAnsi="David" w:cs="David"/>
          <w:sz w:val="24"/>
          <w:szCs w:val="24"/>
          <w:rtl/>
        </w:rPr>
        <w:t xml:space="preserve"> בכל בית </w:t>
      </w:r>
      <w:r w:rsidR="00C109FE">
        <w:rPr>
          <w:rFonts w:ascii="David" w:hAnsi="David" w:cs="David" w:hint="cs"/>
          <w:sz w:val="24"/>
          <w:szCs w:val="24"/>
          <w:rtl/>
        </w:rPr>
        <w:t>אפשר</w:t>
      </w:r>
      <w:r w:rsidRPr="00D4494E">
        <w:rPr>
          <w:rFonts w:ascii="David" w:hAnsi="David" w:cs="David"/>
          <w:sz w:val="24"/>
          <w:szCs w:val="24"/>
          <w:rtl/>
        </w:rPr>
        <w:t xml:space="preserve"> </w:t>
      </w:r>
      <w:r w:rsidR="00FA5B36" w:rsidRPr="00D4494E">
        <w:rPr>
          <w:rFonts w:ascii="David" w:hAnsi="David" w:cs="David"/>
          <w:sz w:val="24"/>
          <w:szCs w:val="24"/>
          <w:rtl/>
        </w:rPr>
        <w:t>לייחד</w:t>
      </w:r>
      <w:r w:rsidRPr="00D4494E">
        <w:rPr>
          <w:rFonts w:ascii="David" w:hAnsi="David" w:cs="David"/>
          <w:sz w:val="24"/>
          <w:szCs w:val="24"/>
          <w:rtl/>
        </w:rPr>
        <w:t xml:space="preserve"> מקום </w:t>
      </w:r>
      <w:r w:rsidR="00B47476" w:rsidRPr="00D4494E">
        <w:rPr>
          <w:rFonts w:ascii="David" w:hAnsi="David" w:cs="David"/>
          <w:sz w:val="24"/>
          <w:szCs w:val="24"/>
          <w:rtl/>
        </w:rPr>
        <w:t xml:space="preserve">לבע"ח בגודל המתאים, </w:t>
      </w:r>
      <w:r w:rsidRPr="00D4494E">
        <w:rPr>
          <w:rFonts w:ascii="David" w:hAnsi="David" w:cs="David"/>
          <w:sz w:val="24"/>
          <w:szCs w:val="24"/>
          <w:rtl/>
        </w:rPr>
        <w:t>ללא מגע אדם</w:t>
      </w:r>
      <w:r w:rsidR="00B47476" w:rsidRPr="00D4494E">
        <w:rPr>
          <w:rFonts w:ascii="David" w:hAnsi="David" w:cs="David"/>
          <w:sz w:val="24"/>
          <w:szCs w:val="24"/>
          <w:rtl/>
        </w:rPr>
        <w:t>,</w:t>
      </w:r>
      <w:r w:rsidRPr="00D4494E">
        <w:rPr>
          <w:rFonts w:ascii="David" w:hAnsi="David" w:cs="David"/>
          <w:sz w:val="24"/>
          <w:szCs w:val="24"/>
          <w:rtl/>
        </w:rPr>
        <w:t xml:space="preserve"> בהתאם לתקנ</w:t>
      </w:r>
      <w:r w:rsidR="00ED36BC" w:rsidRPr="00D4494E">
        <w:rPr>
          <w:rFonts w:ascii="David" w:hAnsi="David" w:cs="David"/>
          <w:sz w:val="24"/>
          <w:szCs w:val="24"/>
          <w:rtl/>
        </w:rPr>
        <w:t>ות</w:t>
      </w:r>
      <w:r w:rsidR="00B47476" w:rsidRPr="00D4494E">
        <w:rPr>
          <w:rFonts w:ascii="David" w:hAnsi="David" w:cs="David"/>
          <w:sz w:val="24"/>
          <w:szCs w:val="24"/>
          <w:rtl/>
        </w:rPr>
        <w:t xml:space="preserve"> </w:t>
      </w:r>
      <w:r w:rsidR="00F70913" w:rsidRPr="00D4494E">
        <w:rPr>
          <w:rFonts w:ascii="David" w:hAnsi="David" w:cs="David"/>
          <w:sz w:val="24"/>
          <w:szCs w:val="24"/>
          <w:rtl/>
        </w:rPr>
        <w:t>"</w:t>
      </w:r>
      <w:r w:rsidR="00B47476" w:rsidRPr="00D4494E">
        <w:rPr>
          <w:rFonts w:ascii="David" w:hAnsi="David" w:cs="David"/>
          <w:sz w:val="24"/>
          <w:szCs w:val="24"/>
          <w:rtl/>
        </w:rPr>
        <w:t>החזקה שלא לצרכים חקלאיים</w:t>
      </w:r>
      <w:r w:rsidR="00F70913" w:rsidRPr="00D4494E">
        <w:rPr>
          <w:rFonts w:ascii="David" w:hAnsi="David" w:cs="David"/>
          <w:sz w:val="24"/>
          <w:szCs w:val="24"/>
          <w:rtl/>
        </w:rPr>
        <w:t>"</w:t>
      </w:r>
      <w:r w:rsidR="00B47476" w:rsidRPr="00D4494E">
        <w:rPr>
          <w:rFonts w:ascii="David" w:hAnsi="David" w:cs="David"/>
          <w:sz w:val="24"/>
          <w:szCs w:val="24"/>
          <w:rtl/>
        </w:rPr>
        <w:t>.</w:t>
      </w:r>
      <w:r w:rsidRPr="00D4494E">
        <w:rPr>
          <w:rStyle w:val="ad"/>
          <w:rFonts w:ascii="David" w:hAnsi="David" w:cs="David"/>
          <w:sz w:val="24"/>
          <w:szCs w:val="24"/>
          <w:rtl/>
        </w:rPr>
        <w:footnoteReference w:id="12"/>
      </w:r>
      <w:r w:rsidR="00B47476" w:rsidRPr="00D4494E">
        <w:rPr>
          <w:rFonts w:ascii="David" w:hAnsi="David" w:cs="David"/>
          <w:sz w:val="24"/>
          <w:szCs w:val="24"/>
          <w:rtl/>
        </w:rPr>
        <w:t xml:space="preserve"> </w:t>
      </w:r>
      <w:r w:rsidRPr="00D4494E">
        <w:rPr>
          <w:rFonts w:ascii="David" w:hAnsi="David" w:cs="David"/>
          <w:sz w:val="24"/>
          <w:szCs w:val="24"/>
          <w:rtl/>
        </w:rPr>
        <w:t>יתרה מזאת</w:t>
      </w:r>
      <w:r w:rsidR="00B47476" w:rsidRPr="00D4494E">
        <w:rPr>
          <w:rFonts w:ascii="David" w:hAnsi="David" w:cs="David"/>
          <w:sz w:val="24"/>
          <w:szCs w:val="24"/>
          <w:rtl/>
        </w:rPr>
        <w:t>,</w:t>
      </w:r>
      <w:r w:rsidRPr="00D4494E">
        <w:rPr>
          <w:rFonts w:ascii="David" w:hAnsi="David" w:cs="David"/>
          <w:sz w:val="24"/>
          <w:szCs w:val="24"/>
          <w:rtl/>
        </w:rPr>
        <w:t xml:space="preserve"> מחלות כגון כלבת הינן מחלות מסוכנות לבני האדם </w:t>
      </w:r>
      <w:r w:rsidR="00C16433" w:rsidRPr="00D4494E">
        <w:rPr>
          <w:rFonts w:ascii="David" w:hAnsi="David" w:cs="David"/>
          <w:sz w:val="24"/>
          <w:szCs w:val="24"/>
          <w:rtl/>
        </w:rPr>
        <w:t xml:space="preserve">גם בטרם גילוין </w:t>
      </w:r>
      <w:r w:rsidRPr="00D4494E">
        <w:rPr>
          <w:rFonts w:ascii="David" w:hAnsi="David" w:cs="David"/>
          <w:sz w:val="24"/>
          <w:szCs w:val="24"/>
          <w:rtl/>
        </w:rPr>
        <w:t xml:space="preserve">ולכן נדרש הבידוד של בע"ח </w:t>
      </w:r>
      <w:r w:rsidR="00C16433" w:rsidRPr="00D4494E">
        <w:rPr>
          <w:rFonts w:ascii="David" w:hAnsi="David" w:cs="David"/>
          <w:sz w:val="24"/>
          <w:szCs w:val="24"/>
          <w:rtl/>
        </w:rPr>
        <w:t xml:space="preserve">חשוד </w:t>
      </w:r>
      <w:r w:rsidRPr="00D4494E">
        <w:rPr>
          <w:rFonts w:ascii="David" w:hAnsi="David" w:cs="David"/>
          <w:sz w:val="24"/>
          <w:szCs w:val="24"/>
          <w:rtl/>
        </w:rPr>
        <w:t xml:space="preserve">במקום שלא יסכן בני אדם, מה </w:t>
      </w:r>
      <w:r w:rsidR="00B47476" w:rsidRPr="00D4494E">
        <w:rPr>
          <w:rFonts w:ascii="David" w:hAnsi="David" w:cs="David"/>
          <w:sz w:val="24"/>
          <w:szCs w:val="24"/>
          <w:rtl/>
        </w:rPr>
        <w:t>ש</w:t>
      </w:r>
      <w:r w:rsidRPr="00D4494E">
        <w:rPr>
          <w:rFonts w:ascii="David" w:hAnsi="David" w:cs="David"/>
          <w:sz w:val="24"/>
          <w:szCs w:val="24"/>
          <w:rtl/>
        </w:rPr>
        <w:t xml:space="preserve">לא יכול להתאפשר בבית מגורים. </w:t>
      </w:r>
      <w:r w:rsidR="00A25918" w:rsidRPr="00D4494E">
        <w:rPr>
          <w:rFonts w:ascii="David" w:hAnsi="David" w:cs="David"/>
          <w:sz w:val="24"/>
          <w:szCs w:val="24"/>
          <w:rtl/>
        </w:rPr>
        <w:t xml:space="preserve">בנוסף לא ניתן בפתרון זה מענה לחיות ההפקר שאין להן בית. </w:t>
      </w:r>
      <w:r w:rsidRPr="00D4494E">
        <w:rPr>
          <w:rFonts w:ascii="David" w:hAnsi="David" w:cs="David"/>
          <w:sz w:val="24"/>
          <w:szCs w:val="24"/>
          <w:rtl/>
        </w:rPr>
        <w:t>לדעתי</w:t>
      </w:r>
      <w:r w:rsidR="00B47476" w:rsidRPr="00D4494E">
        <w:rPr>
          <w:rFonts w:ascii="David" w:hAnsi="David" w:cs="David"/>
          <w:sz w:val="24"/>
          <w:szCs w:val="24"/>
          <w:rtl/>
        </w:rPr>
        <w:t>,</w:t>
      </w:r>
      <w:r w:rsidRPr="00D4494E">
        <w:rPr>
          <w:rFonts w:ascii="David" w:hAnsi="David" w:cs="David"/>
          <w:sz w:val="24"/>
          <w:szCs w:val="24"/>
          <w:rtl/>
        </w:rPr>
        <w:t xml:space="preserve"> </w:t>
      </w:r>
      <w:r w:rsidR="00C16433" w:rsidRPr="00D4494E">
        <w:rPr>
          <w:rFonts w:ascii="David" w:hAnsi="David" w:cs="David"/>
          <w:sz w:val="24"/>
          <w:szCs w:val="24"/>
          <w:rtl/>
        </w:rPr>
        <w:t>הרעיון</w:t>
      </w:r>
      <w:r w:rsidRPr="00D4494E">
        <w:rPr>
          <w:rFonts w:ascii="David" w:hAnsi="David" w:cs="David"/>
          <w:sz w:val="24"/>
          <w:szCs w:val="24"/>
          <w:rtl/>
        </w:rPr>
        <w:t xml:space="preserve"> לאפשר </w:t>
      </w:r>
      <w:r w:rsidR="00D76837" w:rsidRPr="00D4494E">
        <w:rPr>
          <w:rFonts w:ascii="David" w:hAnsi="David" w:cs="David"/>
          <w:sz w:val="24"/>
          <w:szCs w:val="24"/>
          <w:rtl/>
        </w:rPr>
        <w:t>החזקת בע"ח</w:t>
      </w:r>
      <w:r w:rsidRPr="00D4494E">
        <w:rPr>
          <w:rFonts w:ascii="David" w:hAnsi="David" w:cs="David"/>
          <w:sz w:val="24"/>
          <w:szCs w:val="24"/>
          <w:rtl/>
        </w:rPr>
        <w:t xml:space="preserve"> </w:t>
      </w:r>
      <w:r w:rsidR="00D76837" w:rsidRPr="00D4494E">
        <w:rPr>
          <w:rFonts w:ascii="David" w:hAnsi="David" w:cs="David"/>
          <w:sz w:val="24"/>
          <w:szCs w:val="24"/>
          <w:rtl/>
        </w:rPr>
        <w:t>ב</w:t>
      </w:r>
      <w:r w:rsidRPr="00D4494E">
        <w:rPr>
          <w:rFonts w:ascii="David" w:hAnsi="David" w:cs="David"/>
          <w:sz w:val="24"/>
          <w:szCs w:val="24"/>
          <w:rtl/>
        </w:rPr>
        <w:t xml:space="preserve">בידוד בעמותות אוהדות בע"ח </w:t>
      </w:r>
      <w:r w:rsidR="00C16433" w:rsidRPr="00D4494E">
        <w:rPr>
          <w:rFonts w:ascii="David" w:hAnsi="David" w:cs="David"/>
          <w:sz w:val="24"/>
          <w:szCs w:val="24"/>
          <w:rtl/>
        </w:rPr>
        <w:t>הוא פתרון ראוי. כדי להוציאו לפועל</w:t>
      </w:r>
      <w:r w:rsidRPr="00D4494E">
        <w:rPr>
          <w:rFonts w:ascii="David" w:hAnsi="David" w:cs="David"/>
          <w:sz w:val="24"/>
          <w:szCs w:val="24"/>
          <w:rtl/>
        </w:rPr>
        <w:t xml:space="preserve"> יש לבצע תיקון </w:t>
      </w:r>
      <w:r w:rsidR="00D76837" w:rsidRPr="00D4494E">
        <w:rPr>
          <w:rFonts w:ascii="David" w:hAnsi="David" w:cs="David"/>
          <w:sz w:val="24"/>
          <w:szCs w:val="24"/>
          <w:rtl/>
        </w:rPr>
        <w:t>ב</w:t>
      </w:r>
      <w:r w:rsidRPr="00D4494E">
        <w:rPr>
          <w:rFonts w:ascii="David" w:hAnsi="David" w:cs="David"/>
          <w:sz w:val="24"/>
          <w:szCs w:val="24"/>
          <w:rtl/>
        </w:rPr>
        <w:t>ס' 3 לפקודת הכלבת,</w:t>
      </w:r>
      <w:r w:rsidR="009F49E5" w:rsidRPr="00D4494E">
        <w:rPr>
          <w:rStyle w:val="ad"/>
          <w:rFonts w:ascii="David" w:hAnsi="David" w:cs="David"/>
          <w:sz w:val="24"/>
          <w:szCs w:val="24"/>
          <w:rtl/>
        </w:rPr>
        <w:footnoteReference w:id="13"/>
      </w:r>
      <w:r w:rsidRPr="00D4494E">
        <w:rPr>
          <w:rFonts w:ascii="David" w:hAnsi="David" w:cs="David"/>
          <w:sz w:val="24"/>
          <w:szCs w:val="24"/>
          <w:rtl/>
        </w:rPr>
        <w:t xml:space="preserve"> שיאפשר </w:t>
      </w:r>
      <w:r w:rsidR="009F49E5" w:rsidRPr="00D4494E">
        <w:rPr>
          <w:rFonts w:ascii="David" w:hAnsi="David" w:cs="David"/>
          <w:sz w:val="24"/>
          <w:szCs w:val="24"/>
          <w:rtl/>
        </w:rPr>
        <w:t xml:space="preserve">למנהל </w:t>
      </w:r>
      <w:r w:rsidR="009F49E5" w:rsidRPr="00D4494E">
        <w:rPr>
          <w:rFonts w:ascii="David" w:hAnsi="David" w:cs="David"/>
          <w:sz w:val="24"/>
          <w:szCs w:val="24"/>
          <w:rtl/>
        </w:rPr>
        <w:lastRenderedPageBreak/>
        <w:t xml:space="preserve">הווטרינרי לאשר </w:t>
      </w:r>
      <w:r w:rsidRPr="00D4494E">
        <w:rPr>
          <w:rFonts w:ascii="David" w:hAnsi="David" w:cs="David"/>
          <w:sz w:val="24"/>
          <w:szCs w:val="24"/>
          <w:rtl/>
        </w:rPr>
        <w:t>עמותה להיות מאורת בידוד.</w:t>
      </w:r>
      <w:r w:rsidR="005448D2" w:rsidRPr="00D4494E">
        <w:rPr>
          <w:rFonts w:ascii="David" w:hAnsi="David" w:cs="David"/>
          <w:sz w:val="24"/>
          <w:szCs w:val="24"/>
          <w:rtl/>
        </w:rPr>
        <w:t xml:space="preserve"> </w:t>
      </w:r>
      <w:r w:rsidRPr="00D4494E">
        <w:rPr>
          <w:rFonts w:ascii="David" w:hAnsi="David" w:cs="David"/>
          <w:sz w:val="24"/>
          <w:szCs w:val="24"/>
          <w:rtl/>
        </w:rPr>
        <w:t xml:space="preserve">יצטרך </w:t>
      </w:r>
      <w:r w:rsidR="00E80BCB" w:rsidRPr="00D4494E">
        <w:rPr>
          <w:rFonts w:ascii="David" w:hAnsi="David" w:cs="David"/>
          <w:sz w:val="24"/>
          <w:szCs w:val="24"/>
          <w:rtl/>
        </w:rPr>
        <w:t xml:space="preserve">גם </w:t>
      </w:r>
      <w:r w:rsidRPr="00D4494E">
        <w:rPr>
          <w:rFonts w:ascii="David" w:hAnsi="David" w:cs="David"/>
          <w:sz w:val="24"/>
          <w:szCs w:val="24"/>
          <w:rtl/>
        </w:rPr>
        <w:t xml:space="preserve">להתבצע חיקוק ו/או </w:t>
      </w:r>
      <w:r w:rsidR="00B47476" w:rsidRPr="00D4494E">
        <w:rPr>
          <w:rFonts w:ascii="David" w:hAnsi="David" w:cs="David"/>
          <w:sz w:val="24"/>
          <w:szCs w:val="24"/>
          <w:rtl/>
        </w:rPr>
        <w:t>תיקון</w:t>
      </w:r>
      <w:r w:rsidRPr="00D4494E">
        <w:rPr>
          <w:rFonts w:ascii="David" w:hAnsi="David" w:cs="David"/>
          <w:sz w:val="24"/>
          <w:szCs w:val="24"/>
          <w:rtl/>
        </w:rPr>
        <w:t xml:space="preserve"> תקנות להקמת מנגנון פיקוח ו</w:t>
      </w:r>
      <w:r w:rsidR="009F49E5" w:rsidRPr="00D4494E">
        <w:rPr>
          <w:rFonts w:ascii="David" w:hAnsi="David" w:cs="David"/>
          <w:sz w:val="24"/>
          <w:szCs w:val="24"/>
          <w:rtl/>
        </w:rPr>
        <w:t>ו</w:t>
      </w:r>
      <w:r w:rsidRPr="00D4494E">
        <w:rPr>
          <w:rFonts w:ascii="David" w:hAnsi="David" w:cs="David"/>
          <w:sz w:val="24"/>
          <w:szCs w:val="24"/>
          <w:rtl/>
        </w:rPr>
        <w:t>טרינרי מתאים</w:t>
      </w:r>
      <w:r w:rsidR="00DB2D57" w:rsidRPr="00D4494E">
        <w:rPr>
          <w:rFonts w:ascii="David" w:hAnsi="David" w:cs="David"/>
          <w:sz w:val="24"/>
          <w:szCs w:val="24"/>
          <w:rtl/>
        </w:rPr>
        <w:t>,</w:t>
      </w:r>
      <w:r w:rsidRPr="00D4494E">
        <w:rPr>
          <w:rFonts w:ascii="David" w:hAnsi="David" w:cs="David"/>
          <w:sz w:val="24"/>
          <w:szCs w:val="24"/>
          <w:rtl/>
        </w:rPr>
        <w:t xml:space="preserve"> בעמותו</w:t>
      </w:r>
      <w:r w:rsidR="00B47476" w:rsidRPr="00D4494E">
        <w:rPr>
          <w:rFonts w:ascii="David" w:hAnsi="David" w:cs="David"/>
          <w:sz w:val="24"/>
          <w:szCs w:val="24"/>
          <w:rtl/>
        </w:rPr>
        <w:t>ת</w:t>
      </w:r>
      <w:r w:rsidRPr="00D4494E">
        <w:rPr>
          <w:rFonts w:ascii="David" w:hAnsi="David" w:cs="David"/>
          <w:sz w:val="24"/>
          <w:szCs w:val="24"/>
          <w:rtl/>
        </w:rPr>
        <w:t xml:space="preserve"> שיורשו ל</w:t>
      </w:r>
      <w:r w:rsidR="009F49E5" w:rsidRPr="00D4494E">
        <w:rPr>
          <w:rFonts w:ascii="David" w:hAnsi="David" w:cs="David"/>
          <w:sz w:val="24"/>
          <w:szCs w:val="24"/>
          <w:rtl/>
        </w:rPr>
        <w:t>שמש כמאורות בידוד</w:t>
      </w:r>
      <w:r w:rsidR="00E80BCB" w:rsidRPr="00D4494E">
        <w:rPr>
          <w:rFonts w:ascii="David" w:hAnsi="David" w:cs="David"/>
          <w:sz w:val="24"/>
          <w:szCs w:val="24"/>
          <w:rtl/>
        </w:rPr>
        <w:t xml:space="preserve"> בדומה לס'16(ד)(1) לפקודת הכלבת.</w:t>
      </w:r>
      <w:r w:rsidR="00E80BCB" w:rsidRPr="00D4494E">
        <w:rPr>
          <w:rStyle w:val="ad"/>
          <w:rFonts w:ascii="David" w:hAnsi="David" w:cs="David"/>
          <w:sz w:val="24"/>
          <w:szCs w:val="24"/>
          <w:rtl/>
        </w:rPr>
        <w:footnoteReference w:id="14"/>
      </w:r>
      <w:r w:rsidR="00E80BCB" w:rsidRPr="00D4494E">
        <w:rPr>
          <w:rFonts w:ascii="David" w:hAnsi="David" w:cs="David"/>
          <w:sz w:val="24"/>
          <w:szCs w:val="24"/>
          <w:rtl/>
        </w:rPr>
        <w:t xml:space="preserve"> </w:t>
      </w:r>
      <w:r w:rsidR="000544F2" w:rsidRPr="00D4494E">
        <w:rPr>
          <w:rFonts w:ascii="David" w:hAnsi="David" w:cs="David"/>
          <w:sz w:val="24"/>
          <w:szCs w:val="24"/>
          <w:rtl/>
        </w:rPr>
        <w:t>לבסוף, יהיה צורך בהסדר</w:t>
      </w:r>
      <w:r w:rsidR="00E6095D" w:rsidRPr="00D4494E">
        <w:rPr>
          <w:rFonts w:ascii="David" w:hAnsi="David" w:cs="David"/>
          <w:sz w:val="24"/>
          <w:szCs w:val="24"/>
          <w:rtl/>
        </w:rPr>
        <w:t xml:space="preserve"> התקצוב המתאים לעמותות שיקבלו היתר לשמש כמאורות בידוד, התקציב יתבסס על גב</w:t>
      </w:r>
      <w:r w:rsidR="0010262C" w:rsidRPr="00D4494E">
        <w:rPr>
          <w:rFonts w:ascii="David" w:hAnsi="David" w:cs="David"/>
          <w:sz w:val="24"/>
          <w:szCs w:val="24"/>
          <w:rtl/>
        </w:rPr>
        <w:t>י</w:t>
      </w:r>
      <w:r w:rsidR="00E6095D" w:rsidRPr="00D4494E">
        <w:rPr>
          <w:rFonts w:ascii="David" w:hAnsi="David" w:cs="David"/>
          <w:sz w:val="24"/>
          <w:szCs w:val="24"/>
          <w:rtl/>
        </w:rPr>
        <w:t>ית אגרה בגין כל בידוד שת</w:t>
      </w:r>
      <w:r w:rsidR="00547D8B" w:rsidRPr="00D4494E">
        <w:rPr>
          <w:rFonts w:ascii="David" w:hAnsi="David" w:cs="David"/>
          <w:sz w:val="24"/>
          <w:szCs w:val="24"/>
          <w:rtl/>
        </w:rPr>
        <w:t>וע</w:t>
      </w:r>
      <w:r w:rsidR="00E6095D" w:rsidRPr="00D4494E">
        <w:rPr>
          <w:rFonts w:ascii="David" w:hAnsi="David" w:cs="David"/>
          <w:sz w:val="24"/>
          <w:szCs w:val="24"/>
          <w:rtl/>
        </w:rPr>
        <w:t xml:space="preserve">בר ע"י הרשויות המקומיות </w:t>
      </w:r>
      <w:r w:rsidR="00547D8B" w:rsidRPr="00D4494E">
        <w:rPr>
          <w:rFonts w:ascii="David" w:hAnsi="David" w:cs="David"/>
          <w:sz w:val="24"/>
          <w:szCs w:val="24"/>
          <w:rtl/>
        </w:rPr>
        <w:t>בע"ח</w:t>
      </w:r>
      <w:r w:rsidR="00E6095D" w:rsidRPr="00D4494E">
        <w:rPr>
          <w:rFonts w:ascii="David" w:hAnsi="David" w:cs="David"/>
          <w:sz w:val="24"/>
          <w:szCs w:val="24"/>
          <w:rtl/>
        </w:rPr>
        <w:t xml:space="preserve"> </w:t>
      </w:r>
      <w:r w:rsidR="00547D8B" w:rsidRPr="00D4494E">
        <w:rPr>
          <w:rFonts w:ascii="David" w:hAnsi="David" w:cs="David"/>
          <w:sz w:val="24"/>
          <w:szCs w:val="24"/>
          <w:rtl/>
        </w:rPr>
        <w:t>עזובים</w:t>
      </w:r>
      <w:r w:rsidR="005E5CC0" w:rsidRPr="00D4494E">
        <w:rPr>
          <w:rFonts w:ascii="David" w:hAnsi="David" w:cs="David"/>
          <w:sz w:val="24"/>
          <w:szCs w:val="24"/>
          <w:rtl/>
        </w:rPr>
        <w:t xml:space="preserve">. </w:t>
      </w:r>
      <w:r w:rsidR="00E6095D" w:rsidRPr="00D4494E">
        <w:rPr>
          <w:rFonts w:ascii="David" w:hAnsi="David" w:cs="David"/>
          <w:sz w:val="24"/>
          <w:szCs w:val="24"/>
          <w:rtl/>
        </w:rPr>
        <w:t xml:space="preserve">במקרה של </w:t>
      </w:r>
      <w:r w:rsidR="0010262C" w:rsidRPr="00D4494E">
        <w:rPr>
          <w:rFonts w:ascii="David" w:hAnsi="David" w:cs="David"/>
          <w:sz w:val="24"/>
          <w:szCs w:val="24"/>
          <w:rtl/>
        </w:rPr>
        <w:t>בע"ח</w:t>
      </w:r>
      <w:r w:rsidR="00E6095D" w:rsidRPr="00D4494E">
        <w:rPr>
          <w:rFonts w:ascii="David" w:hAnsi="David" w:cs="David"/>
          <w:sz w:val="24"/>
          <w:szCs w:val="24"/>
          <w:rtl/>
        </w:rPr>
        <w:t xml:space="preserve"> עם בעלים</w:t>
      </w:r>
      <w:r w:rsidR="005E5CC0" w:rsidRPr="00D4494E">
        <w:rPr>
          <w:rFonts w:ascii="David" w:hAnsi="David" w:cs="David"/>
          <w:sz w:val="24"/>
          <w:szCs w:val="24"/>
          <w:rtl/>
        </w:rPr>
        <w:t>, הבעלים יישלמו לרשות והיא בתורה</w:t>
      </w:r>
      <w:r w:rsidR="00E6095D" w:rsidRPr="00D4494E">
        <w:rPr>
          <w:rFonts w:ascii="David" w:hAnsi="David" w:cs="David"/>
          <w:sz w:val="24"/>
          <w:szCs w:val="24"/>
          <w:rtl/>
        </w:rPr>
        <w:t xml:space="preserve"> </w:t>
      </w:r>
      <w:r w:rsidR="005E5CC0" w:rsidRPr="00D4494E">
        <w:rPr>
          <w:rFonts w:ascii="David" w:hAnsi="David" w:cs="David"/>
          <w:sz w:val="24"/>
          <w:szCs w:val="24"/>
          <w:rtl/>
        </w:rPr>
        <w:t>תעביר</w:t>
      </w:r>
      <w:r w:rsidR="00E6095D" w:rsidRPr="00D4494E">
        <w:rPr>
          <w:rFonts w:ascii="David" w:hAnsi="David" w:cs="David"/>
          <w:sz w:val="24"/>
          <w:szCs w:val="24"/>
          <w:rtl/>
        </w:rPr>
        <w:t xml:space="preserve"> את התשלום הרלוונטי לעמותה. </w:t>
      </w:r>
    </w:p>
    <w:p w14:paraId="10E5E975" w14:textId="63A27259" w:rsidR="0003275F" w:rsidRDefault="0003275F" w:rsidP="00490C03">
      <w:pPr>
        <w:bidi/>
        <w:spacing w:line="360" w:lineRule="auto"/>
        <w:jc w:val="both"/>
        <w:rPr>
          <w:rFonts w:ascii="David" w:hAnsi="David" w:cs="David"/>
          <w:sz w:val="24"/>
          <w:szCs w:val="24"/>
          <w:rtl/>
        </w:rPr>
      </w:pPr>
      <w:r w:rsidRPr="00D4494E">
        <w:rPr>
          <w:rFonts w:ascii="David" w:hAnsi="David" w:cs="David"/>
          <w:sz w:val="24"/>
          <w:szCs w:val="24"/>
          <w:rtl/>
        </w:rPr>
        <w:t>לסיכום, כפי שהראיתי לעיל בע"ח אינם מוגבלים יותר מבני האדם כאשר סכנת הדבקה במחלה מרחפת מעל</w:t>
      </w:r>
      <w:r w:rsidR="00D7249C" w:rsidRPr="00D4494E">
        <w:rPr>
          <w:rFonts w:ascii="David" w:hAnsi="David" w:cs="David"/>
          <w:sz w:val="24"/>
          <w:szCs w:val="24"/>
          <w:rtl/>
        </w:rPr>
        <w:t xml:space="preserve"> </w:t>
      </w:r>
      <w:r w:rsidRPr="00D4494E">
        <w:rPr>
          <w:rFonts w:ascii="David" w:hAnsi="David" w:cs="David"/>
          <w:sz w:val="24"/>
          <w:szCs w:val="24"/>
          <w:rtl/>
        </w:rPr>
        <w:t xml:space="preserve">הציבור, אך חוויית בידודם קשה יותר. אני נוטה לחשוב ששילוב ההצעות שהובאו להלן יתרמו לשיפור </w:t>
      </w:r>
      <w:r w:rsidR="00470BDD">
        <w:rPr>
          <w:rFonts w:ascii="David" w:hAnsi="David" w:cs="David" w:hint="cs"/>
          <w:sz w:val="24"/>
          <w:szCs w:val="24"/>
          <w:rtl/>
        </w:rPr>
        <w:t>חווית הבידוד של</w:t>
      </w:r>
      <w:r w:rsidRPr="00D4494E">
        <w:rPr>
          <w:rFonts w:ascii="David" w:hAnsi="David" w:cs="David"/>
          <w:sz w:val="24"/>
          <w:szCs w:val="24"/>
          <w:rtl/>
        </w:rPr>
        <w:t xml:space="preserve"> בע"ח</w:t>
      </w:r>
      <w:r w:rsidR="0098005D">
        <w:rPr>
          <w:rFonts w:ascii="David" w:hAnsi="David" w:cs="David" w:hint="cs"/>
          <w:sz w:val="24"/>
          <w:szCs w:val="24"/>
          <w:rtl/>
        </w:rPr>
        <w:t>.</w:t>
      </w:r>
    </w:p>
    <w:p w14:paraId="6A09A4E2" w14:textId="7A9F0C37" w:rsidR="00E549C6" w:rsidRDefault="00E549C6" w:rsidP="00E549C6">
      <w:pPr>
        <w:bidi/>
        <w:spacing w:line="360" w:lineRule="auto"/>
        <w:jc w:val="both"/>
        <w:rPr>
          <w:rFonts w:ascii="David" w:hAnsi="David" w:cs="David"/>
          <w:sz w:val="24"/>
          <w:szCs w:val="24"/>
          <w:rtl/>
        </w:rPr>
      </w:pPr>
    </w:p>
    <w:p w14:paraId="42A48760" w14:textId="086BEE74" w:rsidR="00E549C6" w:rsidRPr="00E549C6" w:rsidRDefault="00E549C6" w:rsidP="00E549C6">
      <w:pPr>
        <w:bidi/>
        <w:spacing w:line="360" w:lineRule="auto"/>
        <w:jc w:val="both"/>
        <w:rPr>
          <w:rFonts w:ascii="David" w:hAnsi="David" w:cs="David"/>
          <w:b/>
          <w:bCs/>
          <w:color w:val="FF0000"/>
          <w:sz w:val="24"/>
          <w:szCs w:val="24"/>
          <w:rtl/>
        </w:rPr>
      </w:pPr>
      <w:r>
        <w:rPr>
          <w:rFonts w:ascii="David" w:hAnsi="David" w:cs="David" w:hint="cs"/>
          <w:b/>
          <w:bCs/>
          <w:color w:val="FF0000"/>
          <w:sz w:val="24"/>
          <w:szCs w:val="24"/>
          <w:rtl/>
        </w:rPr>
        <w:t>משוב</w:t>
      </w:r>
    </w:p>
    <w:p w14:paraId="52B82DD2" w14:textId="77777777" w:rsidR="00E549C6" w:rsidRPr="00E549C6" w:rsidRDefault="00E549C6" w:rsidP="00E549C6">
      <w:pPr>
        <w:bidi/>
        <w:spacing w:after="0" w:line="360" w:lineRule="auto"/>
        <w:rPr>
          <w:rFonts w:ascii="David" w:hAnsi="David" w:cs="David"/>
          <w:color w:val="FF0000"/>
          <w:sz w:val="24"/>
          <w:szCs w:val="24"/>
          <w:rtl/>
        </w:rPr>
      </w:pPr>
      <w:r w:rsidRPr="00E549C6">
        <w:rPr>
          <w:rFonts w:ascii="David" w:hAnsi="David" w:cs="David"/>
          <w:color w:val="FF0000"/>
          <w:sz w:val="24"/>
          <w:szCs w:val="24"/>
          <w:rtl/>
        </w:rPr>
        <w:t>אחידות בטרמינולוגיה "אגע בשני נושאים" ומיד לאחר מכן "עניין ראשון" - עדיף היה "נושא ראשון</w:t>
      </w:r>
      <w:r w:rsidRPr="00E549C6">
        <w:rPr>
          <w:rFonts w:ascii="David" w:hAnsi="David" w:cs="David"/>
          <w:color w:val="FF0000"/>
          <w:sz w:val="24"/>
          <w:szCs w:val="24"/>
        </w:rPr>
        <w:t>".</w:t>
      </w:r>
    </w:p>
    <w:p w14:paraId="7EC2A9B3" w14:textId="77777777" w:rsidR="00E549C6" w:rsidRPr="00E549C6" w:rsidRDefault="00E549C6" w:rsidP="00E549C6">
      <w:pPr>
        <w:bidi/>
        <w:spacing w:after="0" w:line="360" w:lineRule="auto"/>
        <w:rPr>
          <w:rFonts w:ascii="David" w:hAnsi="David" w:cs="David"/>
          <w:color w:val="FF0000"/>
          <w:sz w:val="24"/>
          <w:szCs w:val="24"/>
          <w:rtl/>
        </w:rPr>
      </w:pPr>
    </w:p>
    <w:p w14:paraId="0CF5451F" w14:textId="77777777" w:rsidR="00E549C6" w:rsidRPr="00E549C6" w:rsidRDefault="00E549C6" w:rsidP="00E549C6">
      <w:pPr>
        <w:bidi/>
        <w:spacing w:after="0" w:line="360" w:lineRule="auto"/>
        <w:rPr>
          <w:rFonts w:ascii="David" w:hAnsi="David" w:cs="David"/>
          <w:color w:val="FF0000"/>
          <w:sz w:val="24"/>
          <w:szCs w:val="24"/>
          <w:rtl/>
        </w:rPr>
      </w:pPr>
      <w:r w:rsidRPr="00E549C6">
        <w:rPr>
          <w:rFonts w:ascii="David" w:hAnsi="David" w:cs="David"/>
          <w:color w:val="FF0000"/>
          <w:sz w:val="24"/>
          <w:szCs w:val="24"/>
          <w:rtl/>
        </w:rPr>
        <w:t xml:space="preserve">בעניין השני - היה מקום להפקדת פסקאות מהשורה </w:t>
      </w:r>
      <w:proofErr w:type="spellStart"/>
      <w:r w:rsidRPr="00E549C6">
        <w:rPr>
          <w:rFonts w:ascii="David" w:hAnsi="David" w:cs="David"/>
          <w:color w:val="FF0000"/>
          <w:sz w:val="24"/>
          <w:szCs w:val="24"/>
          <w:rtl/>
        </w:rPr>
        <w:t>הלפני</w:t>
      </w:r>
      <w:proofErr w:type="spellEnd"/>
      <w:r w:rsidRPr="00E549C6">
        <w:rPr>
          <w:rFonts w:ascii="David" w:hAnsi="David" w:cs="David"/>
          <w:color w:val="FF0000"/>
          <w:sz w:val="24"/>
          <w:szCs w:val="24"/>
          <w:rtl/>
        </w:rPr>
        <w:t xml:space="preserve"> אחרונה "לדעתי</w:t>
      </w:r>
      <w:r w:rsidRPr="00E549C6">
        <w:rPr>
          <w:rFonts w:ascii="David" w:hAnsi="David" w:cs="David"/>
          <w:color w:val="FF0000"/>
          <w:sz w:val="24"/>
          <w:szCs w:val="24"/>
        </w:rPr>
        <w:t xml:space="preserve">,..." </w:t>
      </w:r>
    </w:p>
    <w:p w14:paraId="38696AF0" w14:textId="77777777" w:rsidR="00E549C6" w:rsidRPr="00E549C6" w:rsidRDefault="00E549C6" w:rsidP="00E549C6">
      <w:pPr>
        <w:bidi/>
        <w:spacing w:after="0" w:line="360" w:lineRule="auto"/>
        <w:rPr>
          <w:rFonts w:ascii="David" w:hAnsi="David" w:cs="David"/>
          <w:color w:val="FF0000"/>
          <w:sz w:val="24"/>
          <w:szCs w:val="24"/>
          <w:rtl/>
        </w:rPr>
      </w:pPr>
    </w:p>
    <w:p w14:paraId="3F384743" w14:textId="77777777" w:rsidR="00E549C6" w:rsidRPr="00E549C6" w:rsidRDefault="00E549C6" w:rsidP="00E549C6">
      <w:pPr>
        <w:bidi/>
        <w:spacing w:after="0" w:line="360" w:lineRule="auto"/>
        <w:rPr>
          <w:rFonts w:ascii="David" w:hAnsi="David" w:cs="David"/>
          <w:color w:val="FF0000"/>
          <w:sz w:val="24"/>
          <w:szCs w:val="24"/>
          <w:rtl/>
        </w:rPr>
      </w:pPr>
      <w:r w:rsidRPr="00E549C6">
        <w:rPr>
          <w:rFonts w:ascii="David" w:hAnsi="David" w:cs="David"/>
          <w:color w:val="FF0000"/>
          <w:sz w:val="24"/>
          <w:szCs w:val="24"/>
          <w:rtl/>
        </w:rPr>
        <w:t>שני הנושאים שבחרת להתייחס אליהם מעניינים וראויים אך מפאת קוצר היריעה אולי מוטב היה להתמקד בנושא אחד ולהרחיב עליו את הדעת</w:t>
      </w:r>
      <w:r w:rsidRPr="00E549C6">
        <w:rPr>
          <w:rFonts w:ascii="David" w:hAnsi="David" w:cs="David"/>
          <w:color w:val="FF0000"/>
          <w:sz w:val="24"/>
          <w:szCs w:val="24"/>
        </w:rPr>
        <w:t xml:space="preserve">. </w:t>
      </w:r>
    </w:p>
    <w:p w14:paraId="6D12B984" w14:textId="77777777" w:rsidR="00E549C6" w:rsidRPr="00E549C6" w:rsidRDefault="00E549C6" w:rsidP="00E549C6">
      <w:pPr>
        <w:bidi/>
        <w:spacing w:after="0" w:line="360" w:lineRule="auto"/>
        <w:rPr>
          <w:rFonts w:ascii="David" w:hAnsi="David" w:cs="David"/>
          <w:color w:val="FF0000"/>
          <w:sz w:val="24"/>
          <w:szCs w:val="24"/>
          <w:rtl/>
        </w:rPr>
      </w:pPr>
    </w:p>
    <w:p w14:paraId="2A5A3BCA" w14:textId="2FA79D00" w:rsidR="00E549C6" w:rsidRDefault="00E549C6" w:rsidP="00E549C6">
      <w:pPr>
        <w:bidi/>
        <w:spacing w:after="0" w:line="360" w:lineRule="auto"/>
        <w:jc w:val="both"/>
        <w:rPr>
          <w:rFonts w:ascii="David" w:hAnsi="David" w:cs="David"/>
          <w:color w:val="FF0000"/>
          <w:sz w:val="24"/>
          <w:szCs w:val="24"/>
          <w:rtl/>
        </w:rPr>
      </w:pPr>
      <w:r w:rsidRPr="00E549C6">
        <w:rPr>
          <w:rFonts w:ascii="David" w:hAnsi="David" w:cs="David"/>
          <w:color w:val="FF0000"/>
          <w:sz w:val="24"/>
          <w:szCs w:val="24"/>
          <w:rtl/>
        </w:rPr>
        <w:t>שימוש טוב במקורות מגוונים. אזכורים טובים.</w:t>
      </w:r>
    </w:p>
    <w:p w14:paraId="4C3EE011" w14:textId="514E9F1E" w:rsidR="00E549C6" w:rsidRPr="00E549C6" w:rsidRDefault="00E549C6" w:rsidP="00E549C6">
      <w:pPr>
        <w:bidi/>
        <w:spacing w:after="0" w:line="360" w:lineRule="auto"/>
        <w:jc w:val="both"/>
        <w:rPr>
          <w:rFonts w:ascii="David" w:hAnsi="David" w:cs="David"/>
          <w:b/>
          <w:bCs/>
          <w:color w:val="FF0000"/>
          <w:sz w:val="24"/>
          <w:szCs w:val="24"/>
          <w:rtl/>
        </w:rPr>
      </w:pPr>
      <w:r>
        <w:rPr>
          <w:rFonts w:ascii="David" w:hAnsi="David" w:cs="David" w:hint="cs"/>
          <w:b/>
          <w:bCs/>
          <w:color w:val="FF0000"/>
          <w:sz w:val="24"/>
          <w:szCs w:val="24"/>
          <w:rtl/>
        </w:rPr>
        <w:t>ציון: 96</w:t>
      </w:r>
    </w:p>
    <w:sectPr w:rsidR="00E549C6" w:rsidRPr="00E549C6" w:rsidSect="0046042C">
      <w:headerReference w:type="default" r:id="rId8"/>
      <w:pgSz w:w="12240" w:h="15840"/>
      <w:pgMar w:top="1440" w:right="1411" w:bottom="144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0994C" w14:textId="77777777" w:rsidR="001717FA" w:rsidRDefault="001717FA" w:rsidP="0003275F">
      <w:pPr>
        <w:spacing w:after="0" w:line="240" w:lineRule="auto"/>
      </w:pPr>
      <w:r>
        <w:separator/>
      </w:r>
    </w:p>
  </w:endnote>
  <w:endnote w:type="continuationSeparator" w:id="0">
    <w:p w14:paraId="086546BB" w14:textId="77777777" w:rsidR="001717FA" w:rsidRDefault="001717FA" w:rsidP="0003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6EA6B" w14:textId="77777777" w:rsidR="001717FA" w:rsidRDefault="001717FA" w:rsidP="0003275F">
      <w:pPr>
        <w:spacing w:after="0" w:line="240" w:lineRule="auto"/>
      </w:pPr>
      <w:r>
        <w:separator/>
      </w:r>
    </w:p>
  </w:footnote>
  <w:footnote w:type="continuationSeparator" w:id="0">
    <w:p w14:paraId="74025983" w14:textId="77777777" w:rsidR="001717FA" w:rsidRDefault="001717FA" w:rsidP="0003275F">
      <w:pPr>
        <w:spacing w:after="0" w:line="240" w:lineRule="auto"/>
      </w:pPr>
      <w:r>
        <w:continuationSeparator/>
      </w:r>
    </w:p>
  </w:footnote>
  <w:footnote w:id="1">
    <w:p w14:paraId="4D52EE02" w14:textId="77777777" w:rsidR="0003275F" w:rsidRPr="00D7249C" w:rsidRDefault="0003275F" w:rsidP="0003275F">
      <w:pPr>
        <w:pStyle w:val="ab"/>
        <w:bidi/>
        <w:rPr>
          <w:rFonts w:ascii="David" w:hAnsi="David" w:cs="David"/>
          <w:rtl/>
        </w:rPr>
      </w:pPr>
      <w:r w:rsidRPr="004B6C41">
        <w:rPr>
          <w:rStyle w:val="ad"/>
          <w:rFonts w:ascii="David" w:hAnsi="David" w:cs="David"/>
        </w:rPr>
        <w:footnoteRef/>
      </w:r>
      <w:r w:rsidRPr="004B6C41">
        <w:rPr>
          <w:rFonts w:ascii="David" w:hAnsi="David" w:cs="David"/>
        </w:rPr>
        <w:t xml:space="preserve"> </w:t>
      </w:r>
      <w:r w:rsidRPr="00D7249C">
        <w:rPr>
          <w:rFonts w:ascii="David" w:hAnsi="David" w:cs="David"/>
          <w:rtl/>
        </w:rPr>
        <w:t xml:space="preserve">אסף הרדוף "ידיד ניכר בעת מחלה: על המתת בעלי חיים בשם בריאות הציבור" </w:t>
      </w:r>
      <w:r w:rsidRPr="00D7249C">
        <w:rPr>
          <w:rFonts w:ascii="David" w:hAnsi="David" w:cs="David"/>
          <w:b/>
          <w:bCs/>
          <w:rtl/>
        </w:rPr>
        <w:t>המשפט</w:t>
      </w:r>
      <w:r w:rsidRPr="00D7249C">
        <w:rPr>
          <w:rFonts w:ascii="David" w:hAnsi="David" w:cs="David"/>
          <w:rtl/>
        </w:rPr>
        <w:t xml:space="preserve"> </w:t>
      </w:r>
      <w:proofErr w:type="spellStart"/>
      <w:r w:rsidRPr="00D7249C">
        <w:rPr>
          <w:rFonts w:ascii="David" w:hAnsi="David" w:cs="David"/>
          <w:rtl/>
        </w:rPr>
        <w:t>כז</w:t>
      </w:r>
      <w:proofErr w:type="spellEnd"/>
      <w:r w:rsidRPr="00D7249C">
        <w:rPr>
          <w:rFonts w:ascii="David" w:hAnsi="David" w:cs="David"/>
          <w:rtl/>
        </w:rPr>
        <w:t xml:space="preserve"> 241(2021) (להלן: המאמר)</w:t>
      </w:r>
    </w:p>
  </w:footnote>
  <w:footnote w:id="2">
    <w:p w14:paraId="0181912E" w14:textId="77777777" w:rsidR="0003275F" w:rsidRPr="00D7249C" w:rsidRDefault="0003275F" w:rsidP="0003275F">
      <w:pPr>
        <w:pStyle w:val="ab"/>
        <w:bidi/>
        <w:rPr>
          <w:rFonts w:ascii="David" w:hAnsi="David" w:cs="David"/>
          <w:rtl/>
        </w:rPr>
      </w:pPr>
      <w:r w:rsidRPr="00D7249C">
        <w:rPr>
          <w:rStyle w:val="ad"/>
          <w:rFonts w:ascii="David" w:hAnsi="David" w:cs="David"/>
        </w:rPr>
        <w:footnoteRef/>
      </w:r>
      <w:r w:rsidRPr="00D7249C">
        <w:rPr>
          <w:rFonts w:ascii="David" w:hAnsi="David" w:cs="David"/>
        </w:rPr>
        <w:t xml:space="preserve"> </w:t>
      </w:r>
      <w:r w:rsidRPr="00D7249C">
        <w:rPr>
          <w:rFonts w:ascii="David" w:hAnsi="David" w:cs="David"/>
          <w:rtl/>
        </w:rPr>
        <w:t>פקודת הכלבת, 1934.</w:t>
      </w:r>
    </w:p>
  </w:footnote>
  <w:footnote w:id="3">
    <w:p w14:paraId="62AB4C01" w14:textId="77777777" w:rsidR="0003275F" w:rsidRPr="00D7249C" w:rsidRDefault="0003275F" w:rsidP="0003275F">
      <w:pPr>
        <w:pStyle w:val="ab"/>
        <w:bidi/>
        <w:rPr>
          <w:rFonts w:ascii="David" w:hAnsi="David" w:cs="David"/>
          <w:rtl/>
        </w:rPr>
      </w:pPr>
      <w:r w:rsidRPr="00D7249C">
        <w:rPr>
          <w:rStyle w:val="ad"/>
          <w:rFonts w:ascii="David" w:hAnsi="David" w:cs="David"/>
        </w:rPr>
        <w:footnoteRef/>
      </w:r>
      <w:r w:rsidRPr="00D7249C">
        <w:rPr>
          <w:rFonts w:ascii="David" w:hAnsi="David" w:cs="David"/>
        </w:rPr>
        <w:t xml:space="preserve"> </w:t>
      </w:r>
      <w:r w:rsidRPr="00D7249C">
        <w:rPr>
          <w:rFonts w:ascii="David" w:hAnsi="David" w:cs="David"/>
          <w:rtl/>
        </w:rPr>
        <w:t xml:space="preserve">פקודת מחלות בעלי חיים [נוסח חדש], </w:t>
      </w:r>
      <w:proofErr w:type="spellStart"/>
      <w:r w:rsidRPr="00D7249C">
        <w:rPr>
          <w:rFonts w:ascii="David" w:hAnsi="David" w:cs="David"/>
          <w:rtl/>
        </w:rPr>
        <w:t>התשמ"ה</w:t>
      </w:r>
      <w:proofErr w:type="spellEnd"/>
      <w:r w:rsidRPr="00D7249C">
        <w:rPr>
          <w:rFonts w:ascii="David" w:hAnsi="David" w:cs="David"/>
          <w:rtl/>
        </w:rPr>
        <w:t>– 1985.</w:t>
      </w:r>
    </w:p>
  </w:footnote>
  <w:footnote w:id="4">
    <w:p w14:paraId="608FA857" w14:textId="77777777" w:rsidR="0003275F" w:rsidRPr="00D7249C" w:rsidRDefault="0003275F" w:rsidP="0003275F">
      <w:pPr>
        <w:pStyle w:val="ab"/>
        <w:bidi/>
        <w:rPr>
          <w:rFonts w:ascii="David" w:hAnsi="David" w:cs="David"/>
          <w:rtl/>
        </w:rPr>
      </w:pPr>
      <w:r w:rsidRPr="00D7249C">
        <w:rPr>
          <w:rStyle w:val="ad"/>
          <w:rFonts w:ascii="David" w:hAnsi="David" w:cs="David"/>
        </w:rPr>
        <w:footnoteRef/>
      </w:r>
      <w:r w:rsidRPr="00D7249C">
        <w:rPr>
          <w:rFonts w:ascii="David" w:hAnsi="David" w:cs="David"/>
        </w:rPr>
        <w:t xml:space="preserve"> </w:t>
      </w:r>
      <w:r w:rsidRPr="00D7249C">
        <w:rPr>
          <w:rFonts w:ascii="David" w:hAnsi="David" w:cs="David"/>
          <w:rtl/>
        </w:rPr>
        <w:t xml:space="preserve">חוק לתיקון פקודת הכלבת (מס' 6) , </w:t>
      </w:r>
      <w:proofErr w:type="spellStart"/>
      <w:r w:rsidRPr="00D7249C">
        <w:rPr>
          <w:rFonts w:ascii="David" w:hAnsi="David" w:cs="David"/>
          <w:rtl/>
        </w:rPr>
        <w:t>התשפ"א</w:t>
      </w:r>
      <w:proofErr w:type="spellEnd"/>
      <w:r w:rsidRPr="00D7249C">
        <w:rPr>
          <w:rFonts w:ascii="David" w:hAnsi="David" w:cs="David"/>
          <w:rtl/>
        </w:rPr>
        <w:t>–2020 ,ס "ח 2866 (להלן: תיקון מס'6</w:t>
      </w:r>
      <w:r w:rsidRPr="00D7249C">
        <w:rPr>
          <w:rFonts w:ascii="David" w:hAnsi="David" w:cs="David"/>
        </w:rPr>
        <w:t>.(</w:t>
      </w:r>
    </w:p>
  </w:footnote>
  <w:footnote w:id="5">
    <w:p w14:paraId="0239FF14" w14:textId="77777777" w:rsidR="0003275F" w:rsidRPr="00D7249C" w:rsidRDefault="0003275F" w:rsidP="0003275F">
      <w:pPr>
        <w:pStyle w:val="ab"/>
        <w:bidi/>
        <w:rPr>
          <w:rFonts w:ascii="David" w:hAnsi="David" w:cs="David"/>
          <w:rtl/>
        </w:rPr>
      </w:pPr>
      <w:r w:rsidRPr="00D7249C">
        <w:rPr>
          <w:rStyle w:val="ad"/>
          <w:rFonts w:ascii="David" w:hAnsi="David" w:cs="David"/>
        </w:rPr>
        <w:footnoteRef/>
      </w:r>
      <w:r w:rsidRPr="00D7249C">
        <w:rPr>
          <w:rFonts w:ascii="David" w:hAnsi="David" w:cs="David"/>
        </w:rPr>
        <w:t xml:space="preserve"> </w:t>
      </w:r>
      <w:r w:rsidRPr="00D7249C">
        <w:rPr>
          <w:rFonts w:ascii="David" w:hAnsi="David" w:cs="David"/>
          <w:rtl/>
        </w:rPr>
        <w:t>המאמר, לעיל ה"ש 1, בע"מ 33-32.</w:t>
      </w:r>
    </w:p>
  </w:footnote>
  <w:footnote w:id="6">
    <w:p w14:paraId="05FB6435" w14:textId="77777777" w:rsidR="0003275F" w:rsidRPr="00D7249C" w:rsidRDefault="0003275F" w:rsidP="0003275F">
      <w:pPr>
        <w:pStyle w:val="ab"/>
        <w:bidi/>
        <w:rPr>
          <w:rFonts w:ascii="David" w:hAnsi="David" w:cs="David"/>
          <w:rtl/>
        </w:rPr>
      </w:pPr>
      <w:r w:rsidRPr="00D7249C">
        <w:rPr>
          <w:rStyle w:val="ad"/>
          <w:rFonts w:ascii="David" w:hAnsi="David" w:cs="David"/>
        </w:rPr>
        <w:footnoteRef/>
      </w:r>
      <w:r w:rsidRPr="00D7249C">
        <w:rPr>
          <w:rFonts w:ascii="David" w:hAnsi="David" w:cs="David"/>
        </w:rPr>
        <w:t xml:space="preserve"> </w:t>
      </w:r>
      <w:r w:rsidRPr="00D7249C">
        <w:rPr>
          <w:rFonts w:ascii="David" w:hAnsi="David" w:cs="David"/>
          <w:rtl/>
        </w:rPr>
        <w:t>ס'4 לאמנה בינלאומית בדבר זכויות אזרחיות ומדיניות, כ"א 31, 269 (נפתחה לחתימה ב-1996).</w:t>
      </w:r>
    </w:p>
  </w:footnote>
  <w:footnote w:id="7">
    <w:p w14:paraId="183FF2BE" w14:textId="77777777" w:rsidR="0003275F" w:rsidRPr="00D7249C" w:rsidRDefault="0003275F" w:rsidP="0003275F">
      <w:pPr>
        <w:pStyle w:val="ab"/>
        <w:bidi/>
        <w:rPr>
          <w:rFonts w:ascii="David" w:hAnsi="David" w:cs="David"/>
          <w:rtl/>
        </w:rPr>
      </w:pPr>
      <w:r w:rsidRPr="00D7249C">
        <w:rPr>
          <w:rStyle w:val="ad"/>
          <w:rFonts w:ascii="David" w:hAnsi="David" w:cs="David"/>
        </w:rPr>
        <w:footnoteRef/>
      </w:r>
      <w:r w:rsidRPr="00D7249C">
        <w:rPr>
          <w:rFonts w:ascii="David" w:hAnsi="David" w:cs="David"/>
        </w:rPr>
        <w:t xml:space="preserve"> </w:t>
      </w:r>
      <w:r w:rsidRPr="00D7249C">
        <w:rPr>
          <w:rFonts w:ascii="David" w:hAnsi="David" w:cs="David"/>
          <w:rtl/>
        </w:rPr>
        <w:t xml:space="preserve">יובל שני, עודד רון ונדיב מרדכי </w:t>
      </w:r>
      <w:r w:rsidRPr="00D7249C">
        <w:rPr>
          <w:rFonts w:ascii="David" w:hAnsi="David" w:cs="David"/>
          <w:b/>
          <w:bCs/>
          <w:rtl/>
        </w:rPr>
        <w:t>נגיף הקורונה-האתגרים החוקתיים</w:t>
      </w:r>
      <w:r w:rsidRPr="00D7249C">
        <w:rPr>
          <w:rFonts w:ascii="David" w:hAnsi="David" w:cs="David"/>
          <w:rtl/>
        </w:rPr>
        <w:t xml:space="preserve"> (נייר עמדה, המכון הישראלי לדמוקרטיה 2020).</w:t>
      </w:r>
    </w:p>
  </w:footnote>
  <w:footnote w:id="8">
    <w:p w14:paraId="685010F1" w14:textId="77777777" w:rsidR="0003275F" w:rsidRPr="00D7249C" w:rsidRDefault="0003275F" w:rsidP="0003275F">
      <w:pPr>
        <w:pStyle w:val="ab"/>
        <w:bidi/>
        <w:rPr>
          <w:rFonts w:ascii="David" w:hAnsi="David" w:cs="David"/>
          <w:rtl/>
        </w:rPr>
      </w:pPr>
      <w:r w:rsidRPr="00D7249C">
        <w:rPr>
          <w:rStyle w:val="ad"/>
          <w:rFonts w:ascii="David" w:hAnsi="David" w:cs="David"/>
        </w:rPr>
        <w:footnoteRef/>
      </w:r>
      <w:r w:rsidRPr="00D7249C">
        <w:rPr>
          <w:rFonts w:ascii="David" w:hAnsi="David" w:cs="David"/>
        </w:rPr>
        <w:t xml:space="preserve"> </w:t>
      </w:r>
      <w:r w:rsidRPr="00D7249C">
        <w:rPr>
          <w:rFonts w:ascii="David" w:hAnsi="David" w:cs="David"/>
          <w:rtl/>
        </w:rPr>
        <w:t xml:space="preserve"> ס'20(2)(א) לפקודת בריאות העם מס, 40 לש' 1940.</w:t>
      </w:r>
    </w:p>
  </w:footnote>
  <w:footnote w:id="9">
    <w:p w14:paraId="62A6EBC4" w14:textId="77777777" w:rsidR="0003275F" w:rsidRPr="00D7249C" w:rsidRDefault="0003275F" w:rsidP="0003275F">
      <w:pPr>
        <w:pStyle w:val="ab"/>
        <w:bidi/>
        <w:rPr>
          <w:rFonts w:ascii="David" w:hAnsi="David" w:cs="David"/>
          <w:rtl/>
        </w:rPr>
      </w:pPr>
      <w:r w:rsidRPr="00D7249C">
        <w:rPr>
          <w:rStyle w:val="ad"/>
          <w:rFonts w:ascii="David" w:hAnsi="David" w:cs="David"/>
        </w:rPr>
        <w:footnoteRef/>
      </w:r>
      <w:r w:rsidRPr="00D7249C">
        <w:rPr>
          <w:rFonts w:ascii="David" w:hAnsi="David" w:cs="David"/>
        </w:rPr>
        <w:t xml:space="preserve"> </w:t>
      </w:r>
      <w:r w:rsidRPr="00D7249C">
        <w:rPr>
          <w:rFonts w:ascii="David" w:hAnsi="David" w:cs="David"/>
          <w:rtl/>
        </w:rPr>
        <w:t xml:space="preserve">בג"ץ 2435/20 </w:t>
      </w:r>
      <w:proofErr w:type="spellStart"/>
      <w:r w:rsidRPr="00D7249C">
        <w:rPr>
          <w:rFonts w:ascii="David" w:hAnsi="David" w:cs="David"/>
          <w:b/>
          <w:bCs/>
          <w:rtl/>
        </w:rPr>
        <w:t>לוונטהל</w:t>
      </w:r>
      <w:proofErr w:type="spellEnd"/>
      <w:r w:rsidRPr="00D7249C">
        <w:rPr>
          <w:rFonts w:ascii="David" w:hAnsi="David" w:cs="David"/>
          <w:b/>
          <w:bCs/>
          <w:rtl/>
        </w:rPr>
        <w:t xml:space="preserve"> נ' ראש הממשלה</w:t>
      </w:r>
      <w:r w:rsidRPr="00D7249C">
        <w:rPr>
          <w:rFonts w:ascii="David" w:hAnsi="David" w:cs="David"/>
          <w:rtl/>
        </w:rPr>
        <w:t xml:space="preserve"> (נבו 07.04.2020).</w:t>
      </w:r>
    </w:p>
  </w:footnote>
  <w:footnote w:id="10">
    <w:p w14:paraId="38AFAA40" w14:textId="77777777" w:rsidR="0003275F" w:rsidRPr="00D7249C" w:rsidRDefault="0003275F" w:rsidP="0003275F">
      <w:pPr>
        <w:pStyle w:val="ab"/>
        <w:bidi/>
        <w:rPr>
          <w:rFonts w:ascii="David" w:hAnsi="David" w:cs="David"/>
          <w:rtl/>
        </w:rPr>
      </w:pPr>
      <w:r w:rsidRPr="00D7249C">
        <w:rPr>
          <w:rStyle w:val="ad"/>
          <w:rFonts w:ascii="David" w:hAnsi="David" w:cs="David"/>
        </w:rPr>
        <w:footnoteRef/>
      </w:r>
      <w:r w:rsidRPr="00D7249C">
        <w:rPr>
          <w:rFonts w:ascii="David" w:hAnsi="David" w:cs="David"/>
        </w:rPr>
        <w:t xml:space="preserve"> </w:t>
      </w:r>
      <w:r w:rsidRPr="00D7249C">
        <w:rPr>
          <w:rFonts w:ascii="David" w:hAnsi="David" w:cs="David"/>
          <w:rtl/>
        </w:rPr>
        <w:t>המאמר, לעיל ה"ש 1, בע"מ 21-20.</w:t>
      </w:r>
    </w:p>
  </w:footnote>
  <w:footnote w:id="11">
    <w:p w14:paraId="7F9F95CC" w14:textId="77777777" w:rsidR="00294707" w:rsidRPr="00D7249C" w:rsidRDefault="00294707" w:rsidP="00294707">
      <w:pPr>
        <w:pStyle w:val="ab"/>
        <w:bidi/>
        <w:rPr>
          <w:rFonts w:ascii="David" w:hAnsi="David" w:cs="David"/>
          <w:rtl/>
        </w:rPr>
      </w:pPr>
      <w:r w:rsidRPr="00D7249C">
        <w:rPr>
          <w:rStyle w:val="ad"/>
          <w:rFonts w:ascii="David" w:hAnsi="David" w:cs="David"/>
        </w:rPr>
        <w:footnoteRef/>
      </w:r>
      <w:r w:rsidRPr="00D7249C">
        <w:rPr>
          <w:rFonts w:ascii="David" w:hAnsi="David" w:cs="David"/>
        </w:rPr>
        <w:t xml:space="preserve"> </w:t>
      </w:r>
      <w:r w:rsidRPr="00D7249C">
        <w:rPr>
          <w:rFonts w:ascii="David" w:hAnsi="David" w:cs="David"/>
          <w:rtl/>
        </w:rPr>
        <w:t>ס'16(ה)(2)(א) לפקודת הכלבת (תיקון מס' 6) התשפ"א-2020, 1934.</w:t>
      </w:r>
    </w:p>
  </w:footnote>
  <w:footnote w:id="12">
    <w:p w14:paraId="4623303E" w14:textId="55E70B87" w:rsidR="0003275F" w:rsidRPr="00D7249C" w:rsidRDefault="0003275F" w:rsidP="0003275F">
      <w:pPr>
        <w:pStyle w:val="ab"/>
        <w:bidi/>
        <w:rPr>
          <w:rFonts w:ascii="David" w:hAnsi="David" w:cs="David"/>
          <w:rtl/>
        </w:rPr>
      </w:pPr>
      <w:r w:rsidRPr="00D7249C">
        <w:rPr>
          <w:rStyle w:val="ad"/>
          <w:rFonts w:ascii="David" w:hAnsi="David" w:cs="David"/>
        </w:rPr>
        <w:footnoteRef/>
      </w:r>
      <w:r w:rsidRPr="00D7249C">
        <w:rPr>
          <w:rFonts w:ascii="David" w:hAnsi="David" w:cs="David"/>
        </w:rPr>
        <w:t xml:space="preserve"> </w:t>
      </w:r>
      <w:r w:rsidRPr="00D7249C">
        <w:rPr>
          <w:rFonts w:ascii="David" w:hAnsi="David" w:cs="David"/>
          <w:rtl/>
        </w:rPr>
        <w:t>תקנות צער בעלי חיים (הגנה על בעלי חיים) (החזקה שלא לצרכים חקלאיים), תשס"ט-2009</w:t>
      </w:r>
      <w:r w:rsidR="00FA5B36" w:rsidRPr="00D7249C">
        <w:rPr>
          <w:rFonts w:ascii="David" w:hAnsi="David" w:cs="David"/>
          <w:rtl/>
        </w:rPr>
        <w:t>.</w:t>
      </w:r>
    </w:p>
  </w:footnote>
  <w:footnote w:id="13">
    <w:p w14:paraId="247EB5E8" w14:textId="3EC8A104" w:rsidR="009F49E5" w:rsidRPr="00D7249C" w:rsidRDefault="009F49E5" w:rsidP="009F49E5">
      <w:pPr>
        <w:pStyle w:val="ab"/>
        <w:bidi/>
        <w:rPr>
          <w:rFonts w:ascii="David" w:hAnsi="David" w:cs="David"/>
          <w:rtl/>
        </w:rPr>
      </w:pPr>
      <w:r w:rsidRPr="00D7249C">
        <w:rPr>
          <w:rStyle w:val="ad"/>
          <w:rFonts w:ascii="David" w:hAnsi="David" w:cs="David"/>
        </w:rPr>
        <w:footnoteRef/>
      </w:r>
      <w:r w:rsidRPr="00D7249C">
        <w:rPr>
          <w:rFonts w:ascii="David" w:hAnsi="David" w:cs="David"/>
        </w:rPr>
        <w:t xml:space="preserve"> </w:t>
      </w:r>
      <w:r w:rsidRPr="00D7249C">
        <w:rPr>
          <w:rFonts w:ascii="David" w:hAnsi="David" w:cs="David"/>
          <w:rtl/>
        </w:rPr>
        <w:t xml:space="preserve">ס'3 לפקודת הכלבת </w:t>
      </w:r>
      <w:r w:rsidRPr="00D7249C">
        <w:rPr>
          <w:rFonts w:ascii="David" w:hAnsi="David" w:cs="David"/>
          <w:shd w:val="clear" w:color="auto" w:fill="FFFFFF"/>
          <w:rtl/>
        </w:rPr>
        <w:t>(תיקון מס' 2) התשנ"ב-1992, 1934.</w:t>
      </w:r>
    </w:p>
  </w:footnote>
  <w:footnote w:id="14">
    <w:p w14:paraId="756F4F8E" w14:textId="7002FE26" w:rsidR="00E80BCB" w:rsidRPr="00E80BCB" w:rsidRDefault="00E80BCB" w:rsidP="00E80BCB">
      <w:pPr>
        <w:pStyle w:val="ab"/>
        <w:bidi/>
        <w:rPr>
          <w:rFonts w:ascii="David" w:hAnsi="David" w:cs="David"/>
          <w:rtl/>
        </w:rPr>
      </w:pPr>
      <w:r w:rsidRPr="00D7249C">
        <w:rPr>
          <w:rStyle w:val="ad"/>
          <w:rFonts w:ascii="David" w:hAnsi="David" w:cs="David"/>
        </w:rPr>
        <w:footnoteRef/>
      </w:r>
      <w:r w:rsidRPr="00D7249C">
        <w:rPr>
          <w:rFonts w:ascii="David" w:hAnsi="David" w:cs="David"/>
        </w:rPr>
        <w:t xml:space="preserve"> </w:t>
      </w:r>
      <w:r w:rsidRPr="00D7249C">
        <w:rPr>
          <w:rFonts w:ascii="David" w:hAnsi="David" w:cs="David"/>
          <w:rtl/>
        </w:rPr>
        <w:t>ס'16(ד)(1) לפקודת הכלבת (תיקון מס' 6) התשפ"א-2020, 1934.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ED17" w14:textId="40F6533A" w:rsidR="000A392C" w:rsidRDefault="004F451B" w:rsidP="000A392C">
    <w:pPr>
      <w:pStyle w:val="ae"/>
      <w:bidi/>
      <w:jc w:val="both"/>
    </w:pPr>
    <w:r w:rsidRPr="00A34346">
      <w:rPr>
        <w:b/>
        <w:bCs/>
        <w:rtl/>
      </w:rPr>
      <w:t>ת"ז</w:t>
    </w:r>
    <w:r w:rsidRPr="00A34346">
      <w:rPr>
        <w:rFonts w:hint="cs"/>
        <w:b/>
        <w:bCs/>
        <w:rtl/>
      </w:rPr>
      <w:t>:</w:t>
    </w:r>
    <w:r w:rsidRPr="002124B7">
      <w:rPr>
        <w:rFonts w:hint="cs"/>
        <w:rtl/>
      </w:rPr>
      <w:t xml:space="preserve"> 322883794</w:t>
    </w:r>
    <w:r>
      <w:rPr>
        <w:rtl/>
      </w:rPr>
      <w:t xml:space="preserve"> </w:t>
    </w:r>
    <w:r w:rsidRPr="00A34346">
      <w:rPr>
        <w:b/>
        <w:bCs/>
        <w:rtl/>
      </w:rPr>
      <w:t>מרצה</w:t>
    </w:r>
    <w:r w:rsidRPr="00A34346">
      <w:rPr>
        <w:rFonts w:hint="cs"/>
        <w:b/>
        <w:bCs/>
        <w:rtl/>
      </w:rPr>
      <w:t>:</w:t>
    </w:r>
    <w:r>
      <w:rPr>
        <w:rFonts w:hint="cs"/>
        <w:rtl/>
      </w:rPr>
      <w:t xml:space="preserve"> עינב טמיר</w:t>
    </w:r>
    <w:r>
      <w:rPr>
        <w:rtl/>
      </w:rPr>
      <w:t xml:space="preserve"> </w:t>
    </w:r>
    <w:r w:rsidRPr="00A34346">
      <w:rPr>
        <w:b/>
        <w:bCs/>
        <w:rtl/>
      </w:rPr>
      <w:t>מתרגל/ת</w:t>
    </w:r>
    <w:r w:rsidRPr="00A34346">
      <w:rPr>
        <w:rFonts w:hint="cs"/>
        <w:b/>
        <w:bCs/>
        <w:rtl/>
      </w:rPr>
      <w:t>:</w:t>
    </w:r>
    <w:r>
      <w:rPr>
        <w:rFonts w:hint="cs"/>
        <w:rtl/>
      </w:rPr>
      <w:t xml:space="preserve"> שני שוור</w:t>
    </w:r>
    <w:r>
      <w:rPr>
        <w:rFonts w:ascii="Segoe UI Symbol" w:hAnsi="Segoe UI Symbol" w:cs="Arial" w:hint="cs"/>
        <w:rtl/>
      </w:rPr>
      <w:t xml:space="preserve">ץ </w:t>
    </w:r>
    <w:r w:rsidRPr="00A34346">
      <w:rPr>
        <w:b/>
        <w:bCs/>
        <w:rtl/>
      </w:rPr>
      <w:t>קבוצה</w:t>
    </w:r>
    <w:r w:rsidRPr="00A34346">
      <w:rPr>
        <w:rFonts w:hint="cs"/>
        <w:b/>
        <w:bCs/>
        <w:rtl/>
      </w:rPr>
      <w:t>:</w:t>
    </w:r>
    <w:r>
      <w:rPr>
        <w:rFonts w:hint="cs"/>
        <w:b/>
        <w:bCs/>
        <w:rtl/>
      </w:rPr>
      <w:t xml:space="preserve"> </w:t>
    </w:r>
    <w:r>
      <w:rPr>
        <w:rFonts w:hint="cs"/>
        <w:rtl/>
      </w:rPr>
      <w:t>07</w:t>
    </w:r>
    <w:r>
      <w:rPr>
        <w:rtl/>
      </w:rPr>
      <w:t xml:space="preserve"> </w:t>
    </w:r>
    <w:r w:rsidRPr="00A34346">
      <w:rPr>
        <w:b/>
        <w:bCs/>
        <w:rtl/>
      </w:rPr>
      <w:t>מספר המילים</w:t>
    </w:r>
    <w:r>
      <w:rPr>
        <w:rFonts w:hint="cs"/>
        <w:rtl/>
      </w:rPr>
      <w:t>:</w:t>
    </w:r>
    <w:r w:rsidR="00EF4D2A">
      <w:t>639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0A67"/>
    <w:multiLevelType w:val="multilevel"/>
    <w:tmpl w:val="93A47C02"/>
    <w:lvl w:ilvl="0">
      <w:start w:val="1"/>
      <w:numFmt w:val="decimal"/>
      <w:lvlText w:val="%1."/>
      <w:lvlJc w:val="left"/>
      <w:pPr>
        <w:tabs>
          <w:tab w:val="num" w:pos="720"/>
        </w:tabs>
        <w:ind w:left="720" w:hanging="720"/>
      </w:pPr>
    </w:lvl>
    <w:lvl w:ilvl="1">
      <w:start w:val="1"/>
      <w:numFmt w:val="decimal"/>
      <w:pStyle w:val="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43E6A94"/>
    <w:multiLevelType w:val="multilevel"/>
    <w:tmpl w:val="DE68C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6912157">
    <w:abstractNumId w:val="1"/>
  </w:num>
  <w:num w:numId="2" w16cid:durableId="806704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5F"/>
    <w:rsid w:val="00024297"/>
    <w:rsid w:val="0003275F"/>
    <w:rsid w:val="000544F2"/>
    <w:rsid w:val="0010262C"/>
    <w:rsid w:val="001717FA"/>
    <w:rsid w:val="0018128C"/>
    <w:rsid w:val="001B7C9B"/>
    <w:rsid w:val="00294707"/>
    <w:rsid w:val="002F2EB6"/>
    <w:rsid w:val="00305AB9"/>
    <w:rsid w:val="003C4DA3"/>
    <w:rsid w:val="00452E20"/>
    <w:rsid w:val="0046042C"/>
    <w:rsid w:val="00470BDD"/>
    <w:rsid w:val="00490C03"/>
    <w:rsid w:val="004D796D"/>
    <w:rsid w:val="004F451B"/>
    <w:rsid w:val="005448D2"/>
    <w:rsid w:val="00547D8B"/>
    <w:rsid w:val="00563D5D"/>
    <w:rsid w:val="005916EB"/>
    <w:rsid w:val="005E5CC0"/>
    <w:rsid w:val="006E5E38"/>
    <w:rsid w:val="006E622A"/>
    <w:rsid w:val="0091789C"/>
    <w:rsid w:val="0098005D"/>
    <w:rsid w:val="009F49E5"/>
    <w:rsid w:val="00A25918"/>
    <w:rsid w:val="00B47476"/>
    <w:rsid w:val="00C109FE"/>
    <w:rsid w:val="00C16433"/>
    <w:rsid w:val="00D4494E"/>
    <w:rsid w:val="00D5160A"/>
    <w:rsid w:val="00D7249C"/>
    <w:rsid w:val="00D76837"/>
    <w:rsid w:val="00D851EF"/>
    <w:rsid w:val="00DB2D57"/>
    <w:rsid w:val="00DF4EE1"/>
    <w:rsid w:val="00E26A7E"/>
    <w:rsid w:val="00E549C6"/>
    <w:rsid w:val="00E6095D"/>
    <w:rsid w:val="00E80BCB"/>
    <w:rsid w:val="00E934A1"/>
    <w:rsid w:val="00ED36BC"/>
    <w:rsid w:val="00EF4D2A"/>
    <w:rsid w:val="00F21D60"/>
    <w:rsid w:val="00F70913"/>
    <w:rsid w:val="00F80A2E"/>
    <w:rsid w:val="00FA5B36"/>
    <w:rsid w:val="00FD43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6602"/>
  <w15:chartTrackingRefBased/>
  <w15:docId w15:val="{B5FBE7D2-954C-4624-92DC-896C6F16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275F"/>
  </w:style>
  <w:style w:type="paragraph" w:styleId="1">
    <w:name w:val="heading 1"/>
    <w:basedOn w:val="a0"/>
    <w:next w:val="a0"/>
    <w:link w:val="10"/>
    <w:uiPriority w:val="9"/>
    <w:qFormat/>
    <w:rsid w:val="00F21D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semiHidden/>
    <w:unhideWhenUsed/>
    <w:qFormat/>
    <w:rsid w:val="00F21D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פסקי דין1"/>
    <w:basedOn w:val="2"/>
    <w:link w:val="12"/>
    <w:autoRedefine/>
    <w:qFormat/>
    <w:rsid w:val="00F21D60"/>
    <w:pPr>
      <w:bidi/>
    </w:pPr>
    <w:rPr>
      <w:rFonts w:asciiTheme="minorBidi" w:hAnsiTheme="minorBidi"/>
      <w:u w:val="single"/>
      <w:shd w:val="clear" w:color="auto" w:fill="CCFFCC"/>
    </w:rPr>
  </w:style>
  <w:style w:type="character" w:customStyle="1" w:styleId="12">
    <w:name w:val="פסקי דין1 תו"/>
    <w:basedOn w:val="20"/>
    <w:link w:val="11"/>
    <w:rsid w:val="00F21D60"/>
    <w:rPr>
      <w:rFonts w:asciiTheme="minorBidi" w:eastAsiaTheme="majorEastAsia" w:hAnsiTheme="minorBidi" w:cstheme="majorBidi"/>
      <w:color w:val="2F5496" w:themeColor="accent1" w:themeShade="BF"/>
      <w:sz w:val="26"/>
      <w:szCs w:val="26"/>
      <w:u w:val="single"/>
    </w:rPr>
  </w:style>
  <w:style w:type="character" w:customStyle="1" w:styleId="20">
    <w:name w:val="כותרת 2 תו"/>
    <w:basedOn w:val="a1"/>
    <w:link w:val="2"/>
    <w:uiPriority w:val="9"/>
    <w:semiHidden/>
    <w:rsid w:val="00F21D60"/>
    <w:rPr>
      <w:rFonts w:asciiTheme="majorHAnsi" w:eastAsiaTheme="majorEastAsia" w:hAnsiTheme="majorHAnsi" w:cstheme="majorBidi"/>
      <w:color w:val="2F5496" w:themeColor="accent1" w:themeShade="BF"/>
      <w:sz w:val="26"/>
      <w:szCs w:val="26"/>
    </w:rPr>
  </w:style>
  <w:style w:type="paragraph" w:customStyle="1" w:styleId="a4">
    <w:name w:val="כותרת"/>
    <w:basedOn w:val="1"/>
    <w:link w:val="a5"/>
    <w:autoRedefine/>
    <w:qFormat/>
    <w:rsid w:val="00F21D60"/>
    <w:pPr>
      <w:bidi/>
    </w:pPr>
    <w:rPr>
      <w:rFonts w:cs="Calibri Light"/>
    </w:rPr>
  </w:style>
  <w:style w:type="character" w:customStyle="1" w:styleId="a5">
    <w:name w:val="כותרת תו"/>
    <w:basedOn w:val="10"/>
    <w:link w:val="a4"/>
    <w:rsid w:val="00F21D60"/>
    <w:rPr>
      <w:rFonts w:asciiTheme="majorHAnsi" w:eastAsiaTheme="majorEastAsia" w:hAnsiTheme="majorHAnsi" w:cs="Calibri Light"/>
      <w:color w:val="2F5496" w:themeColor="accent1" w:themeShade="BF"/>
      <w:sz w:val="32"/>
      <w:szCs w:val="32"/>
    </w:rPr>
  </w:style>
  <w:style w:type="character" w:customStyle="1" w:styleId="10">
    <w:name w:val="כותרת 1 תו"/>
    <w:basedOn w:val="a1"/>
    <w:link w:val="1"/>
    <w:uiPriority w:val="9"/>
    <w:rsid w:val="00F21D60"/>
    <w:rPr>
      <w:rFonts w:asciiTheme="majorHAnsi" w:eastAsiaTheme="majorEastAsia" w:hAnsiTheme="majorHAnsi" w:cstheme="majorBidi"/>
      <w:color w:val="2F5496" w:themeColor="accent1" w:themeShade="BF"/>
      <w:sz w:val="32"/>
      <w:szCs w:val="32"/>
    </w:rPr>
  </w:style>
  <w:style w:type="paragraph" w:customStyle="1" w:styleId="a6">
    <w:name w:val="נושאים חשובים"/>
    <w:basedOn w:val="2"/>
    <w:link w:val="a7"/>
    <w:autoRedefine/>
    <w:qFormat/>
    <w:rsid w:val="00F21D60"/>
    <w:pPr>
      <w:bidi/>
      <w:spacing w:before="0"/>
      <w:ind w:left="1171"/>
      <w:jc w:val="both"/>
    </w:pPr>
    <w:rPr>
      <w:rFonts w:ascii="Calibri" w:hAnsi="Calibri" w:cs="Calibri"/>
      <w:b/>
      <w:bCs/>
      <w:u w:val="single"/>
    </w:rPr>
  </w:style>
  <w:style w:type="character" w:customStyle="1" w:styleId="a7">
    <w:name w:val="נושאים חשובים תו"/>
    <w:basedOn w:val="20"/>
    <w:link w:val="a6"/>
    <w:rsid w:val="00F21D60"/>
    <w:rPr>
      <w:rFonts w:ascii="Calibri" w:eastAsiaTheme="majorEastAsia" w:hAnsi="Calibri" w:cs="Calibri"/>
      <w:b/>
      <w:bCs/>
      <w:color w:val="2F5496" w:themeColor="accent1" w:themeShade="BF"/>
      <w:sz w:val="26"/>
      <w:szCs w:val="26"/>
      <w:u w:val="single"/>
    </w:rPr>
  </w:style>
  <w:style w:type="paragraph" w:customStyle="1" w:styleId="a8">
    <w:name w:val="נושא חשוב"/>
    <w:basedOn w:val="2"/>
    <w:link w:val="a9"/>
    <w:autoRedefine/>
    <w:qFormat/>
    <w:rsid w:val="00F21D60"/>
    <w:pPr>
      <w:tabs>
        <w:tab w:val="right" w:leader="dot" w:pos="9408"/>
      </w:tabs>
      <w:spacing w:before="0"/>
      <w:jc w:val="right"/>
    </w:pPr>
    <w:rPr>
      <w:rFonts w:cs="Calibri"/>
      <w:b/>
      <w:bCs/>
      <w:u w:val="single"/>
    </w:rPr>
  </w:style>
  <w:style w:type="character" w:customStyle="1" w:styleId="a9">
    <w:name w:val="נושא חשוב תו"/>
    <w:basedOn w:val="20"/>
    <w:link w:val="a8"/>
    <w:rsid w:val="00F21D60"/>
    <w:rPr>
      <w:rFonts w:asciiTheme="majorHAnsi" w:eastAsiaTheme="majorEastAsia" w:hAnsiTheme="majorHAnsi" w:cs="Calibri"/>
      <w:b/>
      <w:bCs/>
      <w:color w:val="2F5496" w:themeColor="accent1" w:themeShade="BF"/>
      <w:sz w:val="26"/>
      <w:szCs w:val="26"/>
      <w:u w:val="single"/>
    </w:rPr>
  </w:style>
  <w:style w:type="paragraph" w:customStyle="1" w:styleId="a">
    <w:name w:val="דוקטרינה"/>
    <w:basedOn w:val="1"/>
    <w:link w:val="aa"/>
    <w:autoRedefine/>
    <w:qFormat/>
    <w:rsid w:val="00F21D60"/>
    <w:pPr>
      <w:numPr>
        <w:ilvl w:val="1"/>
        <w:numId w:val="2"/>
      </w:numPr>
      <w:bidi/>
      <w:ind w:hanging="360"/>
      <w:jc w:val="both"/>
    </w:pPr>
    <w:rPr>
      <w:rFonts w:ascii="Calibri" w:eastAsia="Times New Roman" w:hAnsi="Calibri" w:cs="Calibri"/>
      <w:b/>
      <w:bCs/>
      <w:sz w:val="28"/>
      <w:szCs w:val="28"/>
    </w:rPr>
  </w:style>
  <w:style w:type="character" w:customStyle="1" w:styleId="aa">
    <w:name w:val="דוקטרינה תו"/>
    <w:basedOn w:val="10"/>
    <w:link w:val="a"/>
    <w:rsid w:val="00F21D60"/>
    <w:rPr>
      <w:rFonts w:ascii="Calibri" w:eastAsia="Times New Roman" w:hAnsi="Calibri" w:cs="Calibri"/>
      <w:b/>
      <w:bCs/>
      <w:color w:val="2F5496" w:themeColor="accent1" w:themeShade="BF"/>
      <w:sz w:val="28"/>
      <w:szCs w:val="28"/>
    </w:rPr>
  </w:style>
  <w:style w:type="paragraph" w:customStyle="1" w:styleId="david12">
    <w:name w:val="david12"/>
    <w:basedOn w:val="a0"/>
    <w:link w:val="david120"/>
    <w:autoRedefine/>
    <w:qFormat/>
    <w:rsid w:val="00452E20"/>
    <w:pPr>
      <w:bidi/>
      <w:jc w:val="both"/>
    </w:pPr>
    <w:rPr>
      <w:rFonts w:ascii="David" w:hAnsi="David" w:cs="David"/>
      <w:sz w:val="24"/>
      <w:szCs w:val="24"/>
    </w:rPr>
  </w:style>
  <w:style w:type="character" w:customStyle="1" w:styleId="david120">
    <w:name w:val="david12 תו"/>
    <w:basedOn w:val="a1"/>
    <w:link w:val="david12"/>
    <w:rsid w:val="00452E20"/>
    <w:rPr>
      <w:rFonts w:ascii="David" w:hAnsi="David" w:cs="David"/>
      <w:sz w:val="24"/>
      <w:szCs w:val="24"/>
    </w:rPr>
  </w:style>
  <w:style w:type="paragraph" w:styleId="ab">
    <w:name w:val="footnote text"/>
    <w:basedOn w:val="a0"/>
    <w:link w:val="ac"/>
    <w:uiPriority w:val="99"/>
    <w:semiHidden/>
    <w:unhideWhenUsed/>
    <w:rsid w:val="0003275F"/>
    <w:pPr>
      <w:spacing w:after="0" w:line="240" w:lineRule="auto"/>
    </w:pPr>
    <w:rPr>
      <w:sz w:val="20"/>
      <w:szCs w:val="20"/>
    </w:rPr>
  </w:style>
  <w:style w:type="character" w:customStyle="1" w:styleId="ac">
    <w:name w:val="טקסט הערת שוליים תו"/>
    <w:basedOn w:val="a1"/>
    <w:link w:val="ab"/>
    <w:uiPriority w:val="99"/>
    <w:semiHidden/>
    <w:rsid w:val="0003275F"/>
    <w:rPr>
      <w:sz w:val="20"/>
      <w:szCs w:val="20"/>
    </w:rPr>
  </w:style>
  <w:style w:type="character" w:styleId="ad">
    <w:name w:val="footnote reference"/>
    <w:basedOn w:val="a1"/>
    <w:uiPriority w:val="99"/>
    <w:semiHidden/>
    <w:unhideWhenUsed/>
    <w:rsid w:val="0003275F"/>
    <w:rPr>
      <w:vertAlign w:val="superscript"/>
    </w:rPr>
  </w:style>
  <w:style w:type="paragraph" w:styleId="ae">
    <w:name w:val="header"/>
    <w:basedOn w:val="a0"/>
    <w:link w:val="af"/>
    <w:uiPriority w:val="99"/>
    <w:unhideWhenUsed/>
    <w:rsid w:val="0003275F"/>
    <w:pPr>
      <w:tabs>
        <w:tab w:val="center" w:pos="4320"/>
        <w:tab w:val="right" w:pos="8640"/>
      </w:tabs>
      <w:spacing w:after="0" w:line="240" w:lineRule="auto"/>
    </w:pPr>
  </w:style>
  <w:style w:type="character" w:customStyle="1" w:styleId="af">
    <w:name w:val="כותרת עליונה תו"/>
    <w:basedOn w:val="a1"/>
    <w:link w:val="ae"/>
    <w:uiPriority w:val="99"/>
    <w:rsid w:val="0003275F"/>
  </w:style>
  <w:style w:type="paragraph" w:styleId="af0">
    <w:name w:val="footer"/>
    <w:basedOn w:val="a0"/>
    <w:link w:val="af1"/>
    <w:uiPriority w:val="99"/>
    <w:unhideWhenUsed/>
    <w:rsid w:val="00EF4D2A"/>
    <w:pPr>
      <w:tabs>
        <w:tab w:val="center" w:pos="4320"/>
        <w:tab w:val="right" w:pos="8640"/>
      </w:tabs>
      <w:spacing w:after="0" w:line="240" w:lineRule="auto"/>
    </w:pPr>
  </w:style>
  <w:style w:type="character" w:customStyle="1" w:styleId="af1">
    <w:name w:val="כותרת תחתונה תו"/>
    <w:basedOn w:val="a1"/>
    <w:link w:val="af0"/>
    <w:uiPriority w:val="99"/>
    <w:rsid w:val="00EF4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72237-C87B-48E5-AA0C-3E419D43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2794</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 Koren</dc:creator>
  <cp:keywords/>
  <dc:description/>
  <cp:lastModifiedBy>Avia Koren</cp:lastModifiedBy>
  <cp:revision>2</cp:revision>
  <dcterms:created xsi:type="dcterms:W3CDTF">2022-12-21T12:01:00Z</dcterms:created>
  <dcterms:modified xsi:type="dcterms:W3CDTF">2022-12-21T12:01:00Z</dcterms:modified>
</cp:coreProperties>
</file>