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36F9" w14:textId="77777777" w:rsidR="007A14E1" w:rsidRPr="004F468E" w:rsidRDefault="007A14E1" w:rsidP="007A14E1">
      <w:pPr>
        <w:pBdr>
          <w:bottom w:val="single" w:sz="12" w:space="1" w:color="auto"/>
        </w:pBdr>
        <w:spacing w:line="360" w:lineRule="auto"/>
        <w:jc w:val="center"/>
        <w:rPr>
          <w:rFonts w:ascii="David" w:hAnsi="David" w:cs="David"/>
          <w:sz w:val="32"/>
          <w:szCs w:val="32"/>
          <w:rtl/>
        </w:rPr>
      </w:pPr>
      <w:r w:rsidRPr="004F468E">
        <w:rPr>
          <w:rFonts w:ascii="David" w:hAnsi="David" w:cs="David"/>
          <w:sz w:val="28"/>
          <w:szCs w:val="28"/>
          <w:rtl/>
        </w:rPr>
        <w:t>משפט פלילי הלכה למעשה</w:t>
      </w:r>
    </w:p>
    <w:p w14:paraId="5FE9C4ED" w14:textId="4DD4DADD" w:rsidR="00730F80" w:rsidRPr="00535BBA" w:rsidRDefault="00222CA6" w:rsidP="00730F80">
      <w:pPr>
        <w:spacing w:line="360" w:lineRule="auto"/>
        <w:jc w:val="center"/>
        <w:rPr>
          <w:rFonts w:ascii="David" w:hAnsi="David" w:cs="David"/>
          <w:sz w:val="24"/>
          <w:szCs w:val="24"/>
          <w:u w:val="single"/>
          <w:rtl/>
        </w:rPr>
      </w:pPr>
      <w:r>
        <w:rPr>
          <w:rFonts w:ascii="David" w:hAnsi="David" w:cs="David" w:hint="cs"/>
          <w:sz w:val="24"/>
          <w:szCs w:val="24"/>
          <w:u w:val="single"/>
          <w:shd w:val="clear" w:color="auto" w:fill="D0DDFC"/>
          <w:rtl/>
        </w:rPr>
        <w:t>חטיבת התביעות המשטרתית</w:t>
      </w:r>
      <w:r w:rsidR="00730F80" w:rsidRPr="00535BBA">
        <w:rPr>
          <w:rFonts w:ascii="David" w:hAnsi="David" w:cs="David" w:hint="cs"/>
          <w:sz w:val="24"/>
          <w:szCs w:val="24"/>
          <w:u w:val="single"/>
          <w:shd w:val="clear" w:color="auto" w:fill="D0DDFC"/>
          <w:rtl/>
        </w:rPr>
        <w:t>:</w:t>
      </w:r>
    </w:p>
    <w:p w14:paraId="4CFEC354" w14:textId="11C03F8D" w:rsidR="007B19EE" w:rsidRDefault="00730F80" w:rsidP="00730F80">
      <w:pPr>
        <w:spacing w:line="360" w:lineRule="auto"/>
        <w:jc w:val="both"/>
        <w:rPr>
          <w:rFonts w:ascii="David" w:hAnsi="David" w:cs="David"/>
          <w:sz w:val="24"/>
          <w:szCs w:val="24"/>
          <w:rtl/>
        </w:rPr>
      </w:pPr>
      <w:r>
        <w:rPr>
          <w:rFonts w:ascii="David" w:hAnsi="David" w:cs="David" w:hint="cs"/>
          <w:sz w:val="24"/>
          <w:szCs w:val="24"/>
          <w:rtl/>
        </w:rPr>
        <w:t xml:space="preserve">במדינת ישראל התביעות מתחלקות </w:t>
      </w:r>
      <w:r w:rsidR="009D1794">
        <w:rPr>
          <w:rFonts w:ascii="David" w:hAnsi="David" w:cs="David" w:hint="cs"/>
          <w:sz w:val="24"/>
          <w:szCs w:val="24"/>
          <w:rtl/>
        </w:rPr>
        <w:t>ל</w:t>
      </w:r>
      <w:r w:rsidR="002706ED">
        <w:rPr>
          <w:rFonts w:ascii="David" w:hAnsi="David" w:cs="David" w:hint="cs"/>
          <w:sz w:val="24"/>
          <w:szCs w:val="24"/>
          <w:rtl/>
        </w:rPr>
        <w:t>שתי</w:t>
      </w:r>
      <w:r>
        <w:rPr>
          <w:rFonts w:ascii="David" w:hAnsi="David" w:cs="David" w:hint="cs"/>
          <w:sz w:val="24"/>
          <w:szCs w:val="24"/>
          <w:rtl/>
        </w:rPr>
        <w:t xml:space="preserve"> זרועות מרכזיות</w:t>
      </w:r>
      <w:r w:rsidR="002706ED">
        <w:rPr>
          <w:rFonts w:ascii="David" w:hAnsi="David" w:cs="David" w:hint="cs"/>
          <w:sz w:val="24"/>
          <w:szCs w:val="24"/>
          <w:rtl/>
        </w:rPr>
        <w:t xml:space="preserve"> (שאר התביעות מנוהלות על ידי היועמ"ש ועורכי הדין הפרטיים)</w:t>
      </w:r>
      <w:r>
        <w:rPr>
          <w:rFonts w:ascii="David" w:hAnsi="David" w:cs="David" w:hint="cs"/>
          <w:sz w:val="24"/>
          <w:szCs w:val="24"/>
          <w:rtl/>
        </w:rPr>
        <w:t xml:space="preserve">: </w:t>
      </w:r>
    </w:p>
    <w:p w14:paraId="69591570" w14:textId="77777777" w:rsidR="00EA06CD" w:rsidRPr="00EA06CD" w:rsidRDefault="00730F80" w:rsidP="00730F80">
      <w:pPr>
        <w:spacing w:line="360" w:lineRule="auto"/>
        <w:jc w:val="both"/>
        <w:rPr>
          <w:rFonts w:ascii="David" w:hAnsi="David" w:cs="David"/>
          <w:b/>
          <w:bCs/>
          <w:sz w:val="24"/>
          <w:szCs w:val="24"/>
          <w:rtl/>
        </w:rPr>
      </w:pPr>
      <w:r w:rsidRPr="00EA06CD">
        <w:rPr>
          <w:rFonts w:ascii="David" w:hAnsi="David" w:cs="David" w:hint="cs"/>
          <w:b/>
          <w:bCs/>
          <w:sz w:val="24"/>
          <w:szCs w:val="24"/>
          <w:rtl/>
        </w:rPr>
        <w:t xml:space="preserve">(1) </w:t>
      </w:r>
      <w:r w:rsidR="00EA06CD" w:rsidRPr="00EA06CD">
        <w:rPr>
          <w:rFonts w:ascii="David" w:hAnsi="David" w:cs="David" w:hint="cs"/>
          <w:b/>
          <w:bCs/>
          <w:sz w:val="24"/>
          <w:szCs w:val="24"/>
          <w:rtl/>
        </w:rPr>
        <w:t>הפרקליטות:</w:t>
      </w:r>
    </w:p>
    <w:p w14:paraId="26F6BF90" w14:textId="62B07A56" w:rsidR="00730F80" w:rsidRDefault="00730F80" w:rsidP="00730F80">
      <w:pPr>
        <w:spacing w:line="360" w:lineRule="auto"/>
        <w:jc w:val="both"/>
        <w:rPr>
          <w:rFonts w:ascii="David" w:hAnsi="David" w:cs="David"/>
          <w:sz w:val="24"/>
          <w:szCs w:val="24"/>
          <w:rtl/>
        </w:rPr>
      </w:pPr>
      <w:r>
        <w:rPr>
          <w:rFonts w:ascii="David" w:hAnsi="David" w:cs="David" w:hint="cs"/>
          <w:sz w:val="24"/>
          <w:szCs w:val="24"/>
          <w:rtl/>
        </w:rPr>
        <w:t>כפופות למשרד המשפטים</w:t>
      </w:r>
      <w:r w:rsidR="002F6571">
        <w:rPr>
          <w:rFonts w:ascii="David" w:hAnsi="David" w:cs="David" w:hint="cs"/>
          <w:sz w:val="24"/>
          <w:szCs w:val="24"/>
          <w:rtl/>
        </w:rPr>
        <w:t xml:space="preserve">, </w:t>
      </w:r>
      <w:r w:rsidR="009D1794">
        <w:rPr>
          <w:rFonts w:ascii="David" w:hAnsi="David" w:cs="David" w:hint="cs"/>
          <w:sz w:val="24"/>
          <w:szCs w:val="24"/>
          <w:rtl/>
        </w:rPr>
        <w:t>אחראית</w:t>
      </w:r>
      <w:r w:rsidR="002F6571">
        <w:rPr>
          <w:rFonts w:ascii="David" w:hAnsi="David" w:cs="David" w:hint="cs"/>
          <w:sz w:val="24"/>
          <w:szCs w:val="24"/>
          <w:rtl/>
        </w:rPr>
        <w:t xml:space="preserve"> על עבירות מסוג "פשע" ועל רשימת עבירות נוספות, המוגדרות כעבירות "עוון"</w:t>
      </w:r>
      <w:r w:rsidR="002F6571">
        <w:rPr>
          <w:rFonts w:ascii="David" w:hAnsi="David" w:cs="David" w:hint="cs"/>
          <w:sz w:val="24"/>
          <w:szCs w:val="24"/>
        </w:rPr>
        <w:t xml:space="preserve"> </w:t>
      </w:r>
      <w:r w:rsidR="002F6571">
        <w:rPr>
          <w:rFonts w:ascii="David" w:hAnsi="David" w:cs="David" w:hint="cs"/>
          <w:sz w:val="24"/>
          <w:szCs w:val="24"/>
          <w:rtl/>
        </w:rPr>
        <w:t xml:space="preserve">הנמצאות בסעיף 60 לתוספת הראשונה לחוק סדר הדין הפלילי. </w:t>
      </w:r>
    </w:p>
    <w:p w14:paraId="39E6D847" w14:textId="77777777" w:rsidR="002706ED" w:rsidRPr="002706ED" w:rsidRDefault="00730F80" w:rsidP="00730F80">
      <w:pPr>
        <w:spacing w:line="360" w:lineRule="auto"/>
        <w:jc w:val="both"/>
        <w:rPr>
          <w:rFonts w:ascii="David" w:hAnsi="David" w:cs="David"/>
          <w:b/>
          <w:bCs/>
          <w:sz w:val="24"/>
          <w:szCs w:val="24"/>
          <w:rtl/>
        </w:rPr>
      </w:pPr>
      <w:r w:rsidRPr="002706ED">
        <w:rPr>
          <w:rFonts w:ascii="David" w:hAnsi="David" w:cs="David" w:hint="cs"/>
          <w:b/>
          <w:bCs/>
          <w:sz w:val="24"/>
          <w:szCs w:val="24"/>
          <w:rtl/>
        </w:rPr>
        <w:t xml:space="preserve">(2) חטיבת התביעות המשטרתית: </w:t>
      </w:r>
    </w:p>
    <w:p w14:paraId="0253718D" w14:textId="05EF549D" w:rsidR="00730F80" w:rsidRDefault="00633E44" w:rsidP="00730F80">
      <w:pPr>
        <w:spacing w:line="360" w:lineRule="auto"/>
        <w:jc w:val="both"/>
        <w:rPr>
          <w:rFonts w:ascii="David" w:hAnsi="David" w:cs="David"/>
          <w:sz w:val="24"/>
          <w:szCs w:val="24"/>
          <w:rtl/>
        </w:rPr>
      </w:pPr>
      <w:r>
        <w:rPr>
          <w:rFonts w:ascii="David" w:hAnsi="David" w:cs="David" w:hint="cs"/>
          <w:sz w:val="24"/>
          <w:szCs w:val="24"/>
          <w:u w:val="single"/>
          <w:rtl/>
        </w:rPr>
        <w:t>על החטיבה:</w:t>
      </w:r>
      <w:r>
        <w:rPr>
          <w:rFonts w:hint="cs"/>
          <w:rtl/>
        </w:rPr>
        <w:t xml:space="preserve"> </w:t>
      </w:r>
      <w:r w:rsidR="00730F80">
        <w:rPr>
          <w:rFonts w:ascii="David" w:hAnsi="David" w:cs="David" w:hint="cs"/>
          <w:sz w:val="24"/>
          <w:szCs w:val="24"/>
          <w:rtl/>
        </w:rPr>
        <w:t>חטיבה זו כפופה להנחיות פרקליט המדינה, היועץ המשפטי לממשלה והחוק. היא נהנת מעצמאות מקצועית ומטפלת ב כ 90% מכלל התיקים הפליליים המתרחשים במדינה. חטיבה זו מהווה חלק אינטגרלי ממשטרת ישראל, עניין אשר נידון במספר וועדות מתוך השאלה האם יש לשייך את החטיבה למשרד המשפטים.</w:t>
      </w:r>
      <w:r w:rsidR="00313386">
        <w:rPr>
          <w:rFonts w:ascii="David" w:hAnsi="David" w:cs="David" w:hint="cs"/>
          <w:sz w:val="24"/>
          <w:szCs w:val="24"/>
          <w:rtl/>
        </w:rPr>
        <w:t xml:space="preserve"> </w:t>
      </w:r>
      <w:r w:rsidR="00730F80">
        <w:rPr>
          <w:rFonts w:ascii="David" w:hAnsi="David" w:cs="David" w:hint="cs"/>
          <w:sz w:val="24"/>
          <w:szCs w:val="24"/>
          <w:rtl/>
        </w:rPr>
        <w:t xml:space="preserve">בשנת 2002 יצאה החלטת ממשלה אשר ניסתה לחבר בין התביעה לפרקליטות, אך מהלך זה לא צלח בשל התנגדות היועמ"ש והפרקליטות, מטענות של עומס רב. מאז ועד היום חטיבת התביעות עומדת תחת המשטרה והמפכ"ל בזרוע הפיקודית, </w:t>
      </w:r>
      <w:r w:rsidR="00D204FC">
        <w:rPr>
          <w:rFonts w:ascii="David" w:hAnsi="David" w:cs="David" w:hint="cs"/>
          <w:sz w:val="24"/>
          <w:szCs w:val="24"/>
          <w:rtl/>
        </w:rPr>
        <w:t>ו</w:t>
      </w:r>
      <w:r w:rsidR="00730F80">
        <w:rPr>
          <w:rFonts w:ascii="David" w:hAnsi="David" w:cs="David" w:hint="cs"/>
          <w:sz w:val="24"/>
          <w:szCs w:val="24"/>
          <w:rtl/>
        </w:rPr>
        <w:t xml:space="preserve">מבחינה מקצועית היא מהווה חטיבה עצמאית </w:t>
      </w:r>
      <w:r w:rsidR="00161A40">
        <w:rPr>
          <w:rFonts w:ascii="David" w:hAnsi="David" w:cs="David" w:hint="cs"/>
          <w:sz w:val="24"/>
          <w:szCs w:val="24"/>
          <w:rtl/>
        </w:rPr>
        <w:t>לגמריי. בראש חטיבת התביעות עומד</w:t>
      </w:r>
      <w:r w:rsidR="00B6568B">
        <w:rPr>
          <w:rFonts w:ascii="David" w:hAnsi="David" w:cs="David" w:hint="cs"/>
          <w:sz w:val="24"/>
          <w:szCs w:val="24"/>
          <w:rtl/>
        </w:rPr>
        <w:t xml:space="preserve"> מנהל החטיבה, כאשר הוא הגורם הפיקודי </w:t>
      </w:r>
      <w:r w:rsidR="00D204FC">
        <w:rPr>
          <w:rFonts w:ascii="David" w:hAnsi="David" w:cs="David" w:hint="cs"/>
          <w:sz w:val="24"/>
          <w:szCs w:val="24"/>
          <w:rtl/>
        </w:rPr>
        <w:t>ה</w:t>
      </w:r>
      <w:r w:rsidR="00B6568B">
        <w:rPr>
          <w:rFonts w:ascii="David" w:hAnsi="David" w:cs="David" w:hint="cs"/>
          <w:sz w:val="24"/>
          <w:szCs w:val="24"/>
          <w:rtl/>
        </w:rPr>
        <w:t xml:space="preserve">מקצועי. </w:t>
      </w:r>
    </w:p>
    <w:p w14:paraId="13DA45DF" w14:textId="77777777" w:rsidR="00633E44" w:rsidRDefault="00633E44" w:rsidP="00633E44">
      <w:pPr>
        <w:spacing w:line="360" w:lineRule="auto"/>
        <w:jc w:val="both"/>
        <w:rPr>
          <w:rFonts w:ascii="David" w:hAnsi="David" w:cs="David"/>
          <w:sz w:val="24"/>
          <w:szCs w:val="24"/>
          <w:rtl/>
        </w:rPr>
      </w:pPr>
      <w:r w:rsidRPr="00633E44">
        <w:rPr>
          <w:rFonts w:ascii="David" w:hAnsi="David" w:cs="David" w:hint="cs"/>
          <w:sz w:val="24"/>
          <w:szCs w:val="24"/>
          <w:u w:val="single"/>
          <w:rtl/>
        </w:rPr>
        <w:t>המסגרת הנורמטיבית:</w:t>
      </w:r>
      <w:r>
        <w:rPr>
          <w:rFonts w:ascii="David" w:hAnsi="David" w:cs="David" w:hint="cs"/>
          <w:sz w:val="24"/>
          <w:szCs w:val="24"/>
          <w:rtl/>
        </w:rPr>
        <w:t xml:space="preserve"> חוק סדר הדין הפלילי, פרק ב'. </w:t>
      </w:r>
    </w:p>
    <w:p w14:paraId="215E4A80" w14:textId="170C2854" w:rsidR="00730F80" w:rsidRDefault="00633E44" w:rsidP="00633E44">
      <w:pPr>
        <w:spacing w:line="360" w:lineRule="auto"/>
        <w:jc w:val="both"/>
        <w:rPr>
          <w:rFonts w:ascii="David" w:hAnsi="David" w:cs="David"/>
          <w:sz w:val="24"/>
          <w:szCs w:val="24"/>
          <w:rtl/>
        </w:rPr>
      </w:pPr>
      <w:r>
        <w:rPr>
          <w:rFonts w:ascii="David" w:hAnsi="David" w:cs="David" w:hint="cs"/>
          <w:sz w:val="24"/>
          <w:szCs w:val="24"/>
          <w:rtl/>
        </w:rPr>
        <w:lastRenderedPageBreak/>
        <w:t xml:space="preserve"> </w:t>
      </w:r>
      <w:r>
        <w:rPr>
          <w:rFonts w:ascii="David" w:hAnsi="David" w:cs="David" w:hint="cs"/>
          <w:sz w:val="24"/>
          <w:szCs w:val="24"/>
          <w:u w:val="single"/>
          <w:rtl/>
        </w:rPr>
        <w:t>חלוקת העבודה:</w:t>
      </w:r>
      <w:r>
        <w:rPr>
          <w:rFonts w:ascii="David" w:hAnsi="David" w:cs="David" w:hint="cs"/>
          <w:sz w:val="24"/>
          <w:szCs w:val="24"/>
          <w:rtl/>
        </w:rPr>
        <w:t xml:space="preserve"> כל העבירות הנידונות בבית משפט השלום, מיוחסות אל התביעה </w:t>
      </w:r>
      <w:r w:rsidR="009845D1">
        <w:rPr>
          <w:rFonts w:ascii="David" w:hAnsi="David" w:cs="David" w:hint="cs"/>
          <w:sz w:val="24"/>
          <w:szCs w:val="24"/>
          <w:rtl/>
        </w:rPr>
        <w:t>ה</w:t>
      </w:r>
      <w:r>
        <w:rPr>
          <w:rFonts w:ascii="David" w:hAnsi="David" w:cs="David" w:hint="cs"/>
          <w:sz w:val="24"/>
          <w:szCs w:val="24"/>
          <w:rtl/>
        </w:rPr>
        <w:t>משטרתית. חלוקת העבודה בין הפרקליטות לבין ה</w:t>
      </w:r>
      <w:r w:rsidR="0060175A">
        <w:rPr>
          <w:rFonts w:ascii="David" w:hAnsi="David" w:cs="David" w:hint="cs"/>
          <w:sz w:val="24"/>
          <w:szCs w:val="24"/>
          <w:rtl/>
        </w:rPr>
        <w:t>חטיבה ה</w:t>
      </w:r>
      <w:r w:rsidR="001A6085">
        <w:rPr>
          <w:rFonts w:ascii="David" w:hAnsi="David" w:cs="David" w:hint="cs"/>
          <w:sz w:val="24"/>
          <w:szCs w:val="24"/>
          <w:rtl/>
        </w:rPr>
        <w:t>יא</w:t>
      </w:r>
      <w:r w:rsidR="0060175A">
        <w:rPr>
          <w:rFonts w:ascii="David" w:hAnsi="David" w:cs="David" w:hint="cs"/>
          <w:sz w:val="24"/>
          <w:szCs w:val="24"/>
          <w:rtl/>
        </w:rPr>
        <w:t xml:space="preserve"> כי הפרקליטות פועלת מול עבירות המסווגות כ"עבירת פשע" והתביע</w:t>
      </w:r>
      <w:r w:rsidR="000121FD">
        <w:rPr>
          <w:rFonts w:ascii="David" w:hAnsi="David" w:cs="David" w:hint="cs"/>
          <w:sz w:val="24"/>
          <w:szCs w:val="24"/>
          <w:rtl/>
        </w:rPr>
        <w:t>ה</w:t>
      </w:r>
      <w:r w:rsidR="0060175A">
        <w:rPr>
          <w:rFonts w:ascii="David" w:hAnsi="David" w:cs="David" w:hint="cs"/>
          <w:sz w:val="24"/>
          <w:szCs w:val="24"/>
          <w:rtl/>
        </w:rPr>
        <w:t xml:space="preserve"> המשטרתית פועלת מול עבירות המסווגות כ "עוון</w:t>
      </w:r>
      <w:r w:rsidR="00F46DBD">
        <w:rPr>
          <w:rFonts w:ascii="David" w:hAnsi="David" w:cs="David" w:hint="cs"/>
          <w:sz w:val="24"/>
          <w:szCs w:val="24"/>
          <w:rtl/>
        </w:rPr>
        <w:t xml:space="preserve"> וחטא"</w:t>
      </w:r>
      <w:r w:rsidR="0060175A">
        <w:rPr>
          <w:rFonts w:ascii="David" w:hAnsi="David" w:cs="David" w:hint="cs"/>
          <w:sz w:val="24"/>
          <w:szCs w:val="24"/>
          <w:rtl/>
        </w:rPr>
        <w:t xml:space="preserve">. </w:t>
      </w:r>
      <w:r w:rsidR="00533572">
        <w:rPr>
          <w:rFonts w:ascii="David" w:hAnsi="David" w:cs="David" w:hint="cs"/>
          <w:sz w:val="24"/>
          <w:szCs w:val="24"/>
          <w:rtl/>
        </w:rPr>
        <w:t>מעבר לכך,</w:t>
      </w:r>
      <w:r w:rsidR="00D610BE">
        <w:rPr>
          <w:rFonts w:ascii="David" w:hAnsi="David" w:cs="David" w:hint="cs"/>
          <w:sz w:val="24"/>
          <w:szCs w:val="24"/>
          <w:rtl/>
        </w:rPr>
        <w:t xml:space="preserve"> בסעיף 60 לתוספת הראשונה לחוק סדר הדין הפלילי, עולות 2 רשימות, הכוללות עבירות מסוג עוון</w:t>
      </w:r>
      <w:r w:rsidR="001A13EA">
        <w:rPr>
          <w:rFonts w:ascii="David" w:hAnsi="David" w:cs="David" w:hint="cs"/>
          <w:sz w:val="24"/>
          <w:szCs w:val="24"/>
          <w:rtl/>
        </w:rPr>
        <w:t xml:space="preserve"> וחטא</w:t>
      </w:r>
      <w:r w:rsidR="00D610BE">
        <w:rPr>
          <w:rFonts w:ascii="David" w:hAnsi="David" w:cs="David" w:hint="cs"/>
          <w:sz w:val="24"/>
          <w:szCs w:val="24"/>
          <w:rtl/>
        </w:rPr>
        <w:t xml:space="preserve"> אשר </w:t>
      </w:r>
      <w:r w:rsidR="0016487D">
        <w:rPr>
          <w:rFonts w:ascii="David" w:hAnsi="David" w:cs="David" w:hint="cs"/>
          <w:sz w:val="24"/>
          <w:szCs w:val="24"/>
          <w:rtl/>
        </w:rPr>
        <w:t xml:space="preserve">נמצאות תחת הפרקליטות </w:t>
      </w:r>
      <w:r w:rsidR="00D610BE">
        <w:rPr>
          <w:rFonts w:ascii="David" w:hAnsi="David" w:cs="David" w:hint="cs"/>
          <w:sz w:val="24"/>
          <w:szCs w:val="24"/>
          <w:rtl/>
        </w:rPr>
        <w:t xml:space="preserve">ועבירות מסוג פשע אשר </w:t>
      </w:r>
      <w:r w:rsidR="0016487D">
        <w:rPr>
          <w:rFonts w:ascii="David" w:hAnsi="David" w:cs="David" w:hint="cs"/>
          <w:sz w:val="24"/>
          <w:szCs w:val="24"/>
          <w:rtl/>
        </w:rPr>
        <w:t xml:space="preserve">יהיו תחת חטיבת התביעות. בנוסף, סעיף 60 לחוק סדר הדין הפלילי, מאפשר לפרקליטות להחליט להעביר את התיק לטיפול חטיבת התביעות. מעבר זה יהיה כאשר </w:t>
      </w:r>
      <w:r w:rsidR="00CC1A5C">
        <w:rPr>
          <w:rFonts w:ascii="David" w:hAnsi="David" w:cs="David" w:hint="cs"/>
          <w:sz w:val="24"/>
          <w:szCs w:val="24"/>
          <w:rtl/>
        </w:rPr>
        <w:t>עולות בתיק מספר עבירות אשר "משתלבות"</w:t>
      </w:r>
      <w:r w:rsidR="00AB7126">
        <w:rPr>
          <w:rFonts w:ascii="David" w:hAnsi="David" w:cs="David" w:hint="cs"/>
          <w:sz w:val="24"/>
          <w:szCs w:val="24"/>
          <w:rtl/>
        </w:rPr>
        <w:t>;</w:t>
      </w:r>
      <w:r w:rsidR="00CC1A5C">
        <w:rPr>
          <w:rFonts w:ascii="David" w:hAnsi="David" w:cs="David" w:hint="cs"/>
          <w:sz w:val="24"/>
          <w:szCs w:val="24"/>
          <w:rtl/>
        </w:rPr>
        <w:t xml:space="preserve"> </w:t>
      </w:r>
      <w:r w:rsidR="00CC1A5C" w:rsidRPr="00CC1A5C">
        <w:rPr>
          <w:rFonts w:ascii="David" w:hAnsi="David" w:cs="David" w:hint="cs"/>
          <w:b/>
          <w:bCs/>
          <w:sz w:val="24"/>
          <w:szCs w:val="24"/>
          <w:rtl/>
        </w:rPr>
        <w:t>לדוגמה</w:t>
      </w:r>
      <w:r w:rsidR="00CC1A5C">
        <w:rPr>
          <w:rFonts w:ascii="David" w:hAnsi="David" w:cs="David" w:hint="cs"/>
          <w:sz w:val="24"/>
          <w:szCs w:val="24"/>
          <w:rtl/>
        </w:rPr>
        <w:t xml:space="preserve"> תיק של אלימות במשפחה אשר משוייך לחטיבת התביעות, אך הנאשם בו מואשם גם בתקיפת שוטר, סעיף המשויך לפרקליטות. תחת סעיף זה, המחוקק מאפשר לפרקליטות להחליט "מה העבירה המשמעותית ביותר" ומכך להזיז את הטיפול באירוע </w:t>
      </w:r>
      <w:r w:rsidR="00CC504D">
        <w:rPr>
          <w:rFonts w:ascii="David" w:hAnsi="David" w:cs="David" w:hint="cs"/>
          <w:sz w:val="24"/>
          <w:szCs w:val="24"/>
          <w:rtl/>
        </w:rPr>
        <w:t xml:space="preserve">בהתאם ובמידת הצורך ניתן </w:t>
      </w:r>
      <w:r w:rsidR="00CC504D">
        <w:rPr>
          <w:rFonts w:ascii="David" w:hAnsi="David" w:cs="David" w:hint="cs"/>
          <w:b/>
          <w:bCs/>
          <w:sz w:val="24"/>
          <w:szCs w:val="24"/>
          <w:rtl/>
        </w:rPr>
        <w:t>לכרוך</w:t>
      </w:r>
      <w:r w:rsidR="00CC504D">
        <w:rPr>
          <w:rFonts w:ascii="David" w:hAnsi="David" w:cs="David" w:hint="cs"/>
          <w:sz w:val="24"/>
          <w:szCs w:val="24"/>
          <w:rtl/>
        </w:rPr>
        <w:t xml:space="preserve"> את התיק אל החטיבה בכדי לא לפצל את התביעות. מקרה נוסף בו הפרקליטות יכולה להחליט על העברת תיקים, </w:t>
      </w:r>
      <w:r w:rsidR="00400E01">
        <w:rPr>
          <w:rFonts w:ascii="David" w:hAnsi="David" w:cs="David" w:hint="cs"/>
          <w:sz w:val="24"/>
          <w:szCs w:val="24"/>
          <w:rtl/>
        </w:rPr>
        <w:t>יהי</w:t>
      </w:r>
      <w:r w:rsidR="00CC504D">
        <w:rPr>
          <w:rFonts w:ascii="David" w:hAnsi="David" w:cs="David" w:hint="cs"/>
          <w:sz w:val="24"/>
          <w:szCs w:val="24"/>
          <w:rtl/>
        </w:rPr>
        <w:t>ה בהחזקת נשק</w:t>
      </w:r>
      <w:r w:rsidR="00DF27F1">
        <w:rPr>
          <w:rFonts w:ascii="David" w:hAnsi="David" w:cs="David" w:hint="cs"/>
          <w:sz w:val="24"/>
          <w:szCs w:val="24"/>
          <w:rtl/>
        </w:rPr>
        <w:t xml:space="preserve">. </w:t>
      </w:r>
    </w:p>
    <w:p w14:paraId="21B28B1C" w14:textId="283832F2" w:rsidR="00DF27F1" w:rsidRDefault="00DF27F1" w:rsidP="00633E44">
      <w:pPr>
        <w:spacing w:line="360" w:lineRule="auto"/>
        <w:jc w:val="both"/>
        <w:rPr>
          <w:rFonts w:ascii="David" w:hAnsi="David" w:cs="David"/>
          <w:sz w:val="24"/>
          <w:szCs w:val="24"/>
          <w:rtl/>
        </w:rPr>
      </w:pPr>
      <w:r>
        <w:rPr>
          <w:rFonts w:ascii="David" w:hAnsi="David" w:cs="David" w:hint="cs"/>
          <w:sz w:val="24"/>
          <w:szCs w:val="24"/>
          <w:u w:val="single"/>
          <w:rtl/>
        </w:rPr>
        <w:t>פעילות:</w:t>
      </w:r>
      <w:r>
        <w:rPr>
          <w:rFonts w:ascii="David" w:hAnsi="David" w:cs="David" w:hint="cs"/>
          <w:sz w:val="24"/>
          <w:szCs w:val="24"/>
          <w:rtl/>
        </w:rPr>
        <w:t xml:space="preserve"> כ 70,000 תיקי חקירה מועברים לתביעה משטרתית ומתוכם ב 35,000 מוגשת בקשת מעצר</w:t>
      </w:r>
      <w:r w:rsidR="00F80AC6">
        <w:rPr>
          <w:rFonts w:ascii="David" w:hAnsi="David" w:cs="David" w:hint="cs"/>
          <w:sz w:val="24"/>
          <w:szCs w:val="24"/>
          <w:rtl/>
        </w:rPr>
        <w:t xml:space="preserve">. כ84,000 </w:t>
      </w:r>
      <w:r w:rsidR="00BA6AFA">
        <w:rPr>
          <w:rFonts w:ascii="David" w:hAnsi="David" w:cs="David" w:hint="cs"/>
          <w:sz w:val="24"/>
          <w:szCs w:val="24"/>
          <w:rtl/>
        </w:rPr>
        <w:t xml:space="preserve">תיקי חקירה/דוחות נפתחו והגיעו אל בית המשפט ו98% מכתבי האישום התעבורתיים, מוגשים בתביעה משטרתית. </w:t>
      </w:r>
      <w:r w:rsidR="00F323CC">
        <w:rPr>
          <w:rFonts w:ascii="David" w:hAnsi="David" w:cs="David" w:hint="cs"/>
          <w:sz w:val="24"/>
          <w:szCs w:val="24"/>
          <w:rtl/>
        </w:rPr>
        <w:t xml:space="preserve">ב כ1,600 מוגשת בקשת מעצר עד תום ההליכים. </w:t>
      </w:r>
    </w:p>
    <w:p w14:paraId="100D47EF" w14:textId="0F17C08B" w:rsidR="002F6571" w:rsidRDefault="002F6571" w:rsidP="00633E44">
      <w:pPr>
        <w:spacing w:line="360" w:lineRule="auto"/>
        <w:jc w:val="both"/>
        <w:rPr>
          <w:rFonts w:ascii="David" w:hAnsi="David" w:cs="David"/>
          <w:sz w:val="24"/>
          <w:szCs w:val="24"/>
          <w:rtl/>
        </w:rPr>
      </w:pPr>
      <w:r>
        <w:rPr>
          <w:rFonts w:ascii="David" w:hAnsi="David" w:cs="David" w:hint="cs"/>
          <w:sz w:val="24"/>
          <w:szCs w:val="24"/>
          <w:u w:val="single"/>
          <w:rtl/>
        </w:rPr>
        <w:t>תפקיד התובע:</w:t>
      </w:r>
      <w:r>
        <w:rPr>
          <w:rFonts w:ascii="David" w:hAnsi="David" w:cs="David" w:hint="cs"/>
          <w:sz w:val="24"/>
          <w:szCs w:val="24"/>
          <w:rtl/>
        </w:rPr>
        <w:t xml:space="preserve"> </w:t>
      </w:r>
      <w:r w:rsidR="001F505E">
        <w:rPr>
          <w:rFonts w:ascii="David" w:hAnsi="David" w:cs="David" w:hint="cs"/>
          <w:sz w:val="24"/>
          <w:szCs w:val="24"/>
          <w:rtl/>
        </w:rPr>
        <w:t>התובע מופקד על גילוי האמת, מכך הוא מהווה גוף המפקח על התנהלות החקירה וזכויות החשוד</w:t>
      </w:r>
      <w:r w:rsidR="004D277B">
        <w:rPr>
          <w:rFonts w:ascii="David" w:hAnsi="David" w:cs="David" w:hint="cs"/>
          <w:sz w:val="24"/>
          <w:szCs w:val="24"/>
          <w:rtl/>
        </w:rPr>
        <w:t>. על התובע לפעול בצורה ישירה והוגנת</w:t>
      </w:r>
      <w:r w:rsidR="00C83EC2">
        <w:rPr>
          <w:rFonts w:ascii="David" w:hAnsi="David" w:cs="David" w:hint="cs"/>
          <w:sz w:val="24"/>
          <w:szCs w:val="24"/>
          <w:rtl/>
        </w:rPr>
        <w:t xml:space="preserve"> והוא מוסמך להנחות למשטרה לפתוח בחקירה ואף להימנע מכך. התובע אמון על ההחלטה האם להגיש כתב אישום, מאיזה עילת גניזה לסגור את התיק ובאיזו הוראת חיקוק ומסכת עובדתית להעמיד לדין. התובע מנהל את ההליך הפלילי עד תומו, כאשר הוא מחליט אילו ראיות יוגשו מטעמו אל בית המשפט ו</w:t>
      </w:r>
      <w:r w:rsidR="00893042">
        <w:rPr>
          <w:rFonts w:ascii="David" w:hAnsi="David" w:cs="David" w:hint="cs"/>
          <w:sz w:val="24"/>
          <w:szCs w:val="24"/>
          <w:rtl/>
        </w:rPr>
        <w:t>ב</w:t>
      </w:r>
      <w:r w:rsidR="00C83EC2">
        <w:rPr>
          <w:rFonts w:ascii="David" w:hAnsi="David" w:cs="David" w:hint="cs"/>
          <w:sz w:val="24"/>
          <w:szCs w:val="24"/>
          <w:rtl/>
        </w:rPr>
        <w:t xml:space="preserve">רוב המקרים מציב את תקרת העונש אליו נחשף הנאשם. </w:t>
      </w:r>
    </w:p>
    <w:p w14:paraId="5578F61D" w14:textId="21201A1A" w:rsidR="00C83EC2" w:rsidRDefault="00C83EC2" w:rsidP="00633E44">
      <w:pPr>
        <w:spacing w:line="360" w:lineRule="auto"/>
        <w:jc w:val="both"/>
        <w:rPr>
          <w:rFonts w:ascii="David" w:hAnsi="David" w:cs="David"/>
          <w:sz w:val="24"/>
          <w:szCs w:val="24"/>
          <w:rtl/>
        </w:rPr>
      </w:pPr>
      <w:r>
        <w:rPr>
          <w:rFonts w:ascii="David" w:hAnsi="David" w:cs="David" w:hint="cs"/>
          <w:sz w:val="24"/>
          <w:szCs w:val="24"/>
          <w:u w:val="single"/>
          <w:rtl/>
        </w:rPr>
        <w:lastRenderedPageBreak/>
        <w:t>הסדר מותנה:</w:t>
      </w:r>
      <w:r>
        <w:rPr>
          <w:rFonts w:ascii="David" w:hAnsi="David" w:cs="David" w:hint="cs"/>
          <w:sz w:val="24"/>
          <w:szCs w:val="24"/>
          <w:rtl/>
        </w:rPr>
        <w:t xml:space="preserve"> יחידה זו מאפשרת אכיפה מהירה בעבירות קלות ומספקת חלופה לצורך בהעמדה לדין פלילי. רק תיקים העומדים בתנאים הקבועים בחוק מטופלים ביחידה זו. </w:t>
      </w:r>
      <w:r w:rsidR="003E7C9C">
        <w:rPr>
          <w:rFonts w:ascii="David" w:hAnsi="David" w:cs="David" w:hint="cs"/>
          <w:sz w:val="24"/>
          <w:szCs w:val="24"/>
          <w:rtl/>
        </w:rPr>
        <w:t xml:space="preserve">בדרך כלל, מדובר במקרים בהם אדם ביצע עבירה מסוג עוון, אך אין רצון להגיש נגדו כתב אישום, בשל שלל סיבות ולכן מעוניינים "בענישה" מהירה </w:t>
      </w:r>
      <w:r w:rsidR="00E53B4E">
        <w:rPr>
          <w:rFonts w:ascii="David" w:hAnsi="David" w:cs="David" w:hint="cs"/>
          <w:sz w:val="24"/>
          <w:szCs w:val="24"/>
          <w:rtl/>
        </w:rPr>
        <w:t xml:space="preserve">היוצרת הסדר מותנה ללא רישום פלילי. </w:t>
      </w:r>
    </w:p>
    <w:p w14:paraId="0655618F" w14:textId="798A427A" w:rsidR="00E53B4E" w:rsidRDefault="00696264" w:rsidP="00633E44">
      <w:pPr>
        <w:spacing w:line="360" w:lineRule="auto"/>
        <w:jc w:val="both"/>
        <w:rPr>
          <w:rFonts w:ascii="David" w:hAnsi="David" w:cs="David"/>
          <w:sz w:val="24"/>
          <w:szCs w:val="24"/>
          <w:rtl/>
        </w:rPr>
      </w:pPr>
      <w:r>
        <w:rPr>
          <w:rFonts w:ascii="David" w:hAnsi="David" w:cs="David" w:hint="cs"/>
          <w:b/>
          <w:bCs/>
          <w:sz w:val="24"/>
          <w:szCs w:val="24"/>
          <w:u w:val="single"/>
          <w:rtl/>
        </w:rPr>
        <w:t>בתי משפט קהילתיים:</w:t>
      </w:r>
      <w:r>
        <w:rPr>
          <w:rFonts w:ascii="David" w:hAnsi="David" w:cs="David" w:hint="cs"/>
          <w:sz w:val="24"/>
          <w:szCs w:val="24"/>
          <w:rtl/>
        </w:rPr>
        <w:t xml:space="preserve"> </w:t>
      </w:r>
    </w:p>
    <w:p w14:paraId="55738316" w14:textId="4B383028" w:rsidR="00696264" w:rsidRDefault="00696264" w:rsidP="00633E44">
      <w:pPr>
        <w:spacing w:line="360" w:lineRule="auto"/>
        <w:jc w:val="both"/>
        <w:rPr>
          <w:rFonts w:ascii="David" w:hAnsi="David" w:cs="David"/>
          <w:sz w:val="24"/>
          <w:szCs w:val="24"/>
          <w:rtl/>
        </w:rPr>
      </w:pPr>
      <w:r>
        <w:rPr>
          <w:rFonts w:ascii="David" w:hAnsi="David" w:cs="David" w:hint="cs"/>
          <w:sz w:val="24"/>
          <w:szCs w:val="24"/>
          <w:rtl/>
        </w:rPr>
        <w:t xml:space="preserve">מטרתם היא לטפל בנאשם בצורה מקיפה והוליסטית, </w:t>
      </w:r>
      <w:r w:rsidR="00C6017F">
        <w:rPr>
          <w:rFonts w:ascii="David" w:hAnsi="David" w:cs="David" w:hint="cs"/>
          <w:sz w:val="24"/>
          <w:szCs w:val="24"/>
          <w:rtl/>
        </w:rPr>
        <w:t>בכדי</w:t>
      </w:r>
      <w:r>
        <w:rPr>
          <w:rFonts w:ascii="David" w:hAnsi="David" w:cs="David" w:hint="cs"/>
          <w:sz w:val="24"/>
          <w:szCs w:val="24"/>
          <w:rtl/>
        </w:rPr>
        <w:t xml:space="preserve"> להחזיר את הנאשם לחברה כאזרח מתפקד ויצרני. מדובר בבית משפט בעל כלים מגוונים להתמודדות עם תופעות הפ</w:t>
      </w:r>
      <w:r w:rsidR="00ED064C">
        <w:rPr>
          <w:rFonts w:ascii="David" w:hAnsi="David" w:cs="David" w:hint="cs"/>
          <w:sz w:val="24"/>
          <w:szCs w:val="24"/>
          <w:rtl/>
        </w:rPr>
        <w:t>ש</w:t>
      </w:r>
      <w:r>
        <w:rPr>
          <w:rFonts w:ascii="David" w:hAnsi="David" w:cs="David" w:hint="cs"/>
          <w:sz w:val="24"/>
          <w:szCs w:val="24"/>
          <w:rtl/>
        </w:rPr>
        <w:t xml:space="preserve">יעה, אשר משלב את זרוע האכיפה לגופי הטיפול והקהילה. בבתי משפט מסוג זה עולים כ 500 תיקים וכ 50% מהם מסיימים בהצלחה את ההליך. </w:t>
      </w:r>
      <w:r w:rsidR="00451811">
        <w:rPr>
          <w:rFonts w:ascii="David" w:hAnsi="David" w:cs="David" w:hint="cs"/>
          <w:b/>
          <w:bCs/>
          <w:sz w:val="24"/>
          <w:szCs w:val="24"/>
          <w:rtl/>
        </w:rPr>
        <w:t>כיום, בתי משפט אלו מתרחבים ויהיו 15 בכל המדינה.</w:t>
      </w:r>
      <w:r w:rsidR="00451811">
        <w:rPr>
          <w:rFonts w:ascii="David" w:hAnsi="David" w:cs="David" w:hint="cs"/>
          <w:sz w:val="24"/>
          <w:szCs w:val="24"/>
          <w:rtl/>
        </w:rPr>
        <w:t xml:space="preserve"> </w:t>
      </w:r>
    </w:p>
    <w:p w14:paraId="1B961F7C" w14:textId="459C504F" w:rsidR="00610006" w:rsidRPr="00535BBA" w:rsidRDefault="00610006" w:rsidP="00610006">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 xml:space="preserve">חטיבת </w:t>
      </w:r>
      <w:r>
        <w:rPr>
          <w:rFonts w:ascii="David" w:hAnsi="David" w:cs="David" w:hint="cs"/>
          <w:sz w:val="24"/>
          <w:szCs w:val="24"/>
          <w:u w:val="single"/>
          <w:shd w:val="clear" w:color="auto" w:fill="D0DDFC"/>
          <w:rtl/>
        </w:rPr>
        <w:t>החקירות</w:t>
      </w:r>
      <w:r w:rsidRPr="00535BBA">
        <w:rPr>
          <w:rFonts w:ascii="David" w:hAnsi="David" w:cs="David" w:hint="cs"/>
          <w:sz w:val="24"/>
          <w:szCs w:val="24"/>
          <w:u w:val="single"/>
          <w:shd w:val="clear" w:color="auto" w:fill="D0DDFC"/>
          <w:rtl/>
        </w:rPr>
        <w:t xml:space="preserve"> במשטרה:</w:t>
      </w:r>
      <w:r w:rsidR="00ED064C">
        <w:rPr>
          <w:rFonts w:ascii="David" w:hAnsi="David" w:cs="David" w:hint="cs"/>
          <w:sz w:val="24"/>
          <w:szCs w:val="24"/>
          <w:u w:val="single"/>
          <w:rtl/>
        </w:rPr>
        <w:t xml:space="preserve"> </w:t>
      </w:r>
    </w:p>
    <w:p w14:paraId="680CBBE9" w14:textId="2ABA6B0E" w:rsidR="00451811" w:rsidRDefault="00610006" w:rsidP="00633E44">
      <w:pPr>
        <w:spacing w:line="360" w:lineRule="auto"/>
        <w:jc w:val="both"/>
        <w:rPr>
          <w:rFonts w:ascii="David" w:hAnsi="David" w:cs="David"/>
          <w:sz w:val="24"/>
          <w:szCs w:val="24"/>
          <w:rtl/>
        </w:rPr>
      </w:pPr>
      <w:r>
        <w:rPr>
          <w:rFonts w:ascii="David" w:hAnsi="David" w:cs="David" w:hint="cs"/>
          <w:b/>
          <w:bCs/>
          <w:sz w:val="24"/>
          <w:szCs w:val="24"/>
          <w:rtl/>
        </w:rPr>
        <w:t>מערך החקירות המשטרתיות:</w:t>
      </w:r>
    </w:p>
    <w:p w14:paraId="257DEC4E" w14:textId="6D4219BB" w:rsidR="00A04715" w:rsidRDefault="00610006" w:rsidP="00F14974">
      <w:pPr>
        <w:spacing w:line="360" w:lineRule="auto"/>
        <w:jc w:val="both"/>
        <w:rPr>
          <w:rFonts w:ascii="David" w:hAnsi="David" w:cs="David"/>
          <w:sz w:val="24"/>
          <w:szCs w:val="24"/>
          <w:rtl/>
        </w:rPr>
      </w:pPr>
      <w:r>
        <w:rPr>
          <w:rFonts w:ascii="David" w:hAnsi="David" w:cs="David" w:hint="cs"/>
          <w:sz w:val="24"/>
          <w:szCs w:val="24"/>
          <w:rtl/>
        </w:rPr>
        <w:t>מערך זה נלחם בפשי</w:t>
      </w:r>
      <w:r w:rsidR="00B90D08">
        <w:rPr>
          <w:rFonts w:ascii="David" w:hAnsi="David" w:cs="David" w:hint="cs"/>
          <w:sz w:val="24"/>
          <w:szCs w:val="24"/>
          <w:rtl/>
        </w:rPr>
        <w:t>עה ומטרתו היא להעניק ביטחון לאזרח ולשמור על הדמוקרטיה. למערך יש את היכולת להעריך האם להגיש או לא להגיש תיק לפרקליטות או לחטיבת התביעות</w:t>
      </w:r>
      <w:r w:rsidR="00A04715">
        <w:rPr>
          <w:rFonts w:ascii="David" w:hAnsi="David" w:cs="David" w:hint="cs"/>
          <w:sz w:val="24"/>
          <w:szCs w:val="24"/>
          <w:rtl/>
        </w:rPr>
        <w:t>. החלטה שלא להעביר, תהה במצבים בהם אין עניין לציבור או סיכוי להרשעה. כ50 אלף תיקים נפתחים בשנה בחטיבת החקירות</w:t>
      </w:r>
      <w:r w:rsidR="00F14974">
        <w:rPr>
          <w:rFonts w:ascii="David" w:hAnsi="David" w:cs="David" w:hint="cs"/>
          <w:sz w:val="24"/>
          <w:szCs w:val="24"/>
          <w:rtl/>
        </w:rPr>
        <w:t xml:space="preserve">. כאשר בכל תיק חקירה </w:t>
      </w:r>
      <w:r w:rsidR="00D241E0">
        <w:rPr>
          <w:rFonts w:ascii="David" w:hAnsi="David" w:cs="David" w:hint="cs"/>
          <w:sz w:val="24"/>
          <w:szCs w:val="24"/>
          <w:rtl/>
        </w:rPr>
        <w:t>ב</w:t>
      </w:r>
      <w:r w:rsidR="00F14974">
        <w:rPr>
          <w:rFonts w:ascii="David" w:hAnsi="David" w:cs="David" w:hint="cs"/>
          <w:sz w:val="24"/>
          <w:szCs w:val="24"/>
          <w:rtl/>
        </w:rPr>
        <w:t xml:space="preserve">ממוצע עולים 11/12 מסמכים (משנת 2002 מדובר בשינוי משמעותי </w:t>
      </w:r>
      <w:r w:rsidR="00F14974">
        <w:rPr>
          <w:rFonts w:ascii="David" w:hAnsi="David" w:cs="David"/>
          <w:sz w:val="24"/>
          <w:szCs w:val="24"/>
          <w:rtl/>
        </w:rPr>
        <w:t>–</w:t>
      </w:r>
      <w:r w:rsidR="00F14974">
        <w:rPr>
          <w:rFonts w:ascii="David" w:hAnsi="David" w:cs="David" w:hint="cs"/>
          <w:sz w:val="24"/>
          <w:szCs w:val="24"/>
          <w:rtl/>
        </w:rPr>
        <w:t xml:space="preserve"> הכמות הוכפלה). </w:t>
      </w:r>
    </w:p>
    <w:p w14:paraId="05F9344A" w14:textId="6A9821A5" w:rsidR="00222CA6" w:rsidRDefault="00222CA6" w:rsidP="00F14974">
      <w:pPr>
        <w:spacing w:line="360" w:lineRule="auto"/>
        <w:jc w:val="both"/>
        <w:rPr>
          <w:rFonts w:ascii="David" w:hAnsi="David" w:cs="David"/>
          <w:sz w:val="24"/>
          <w:szCs w:val="24"/>
          <w:rtl/>
        </w:rPr>
      </w:pPr>
      <w:r>
        <w:rPr>
          <w:rFonts w:ascii="David" w:hAnsi="David" w:cs="David" w:hint="cs"/>
          <w:sz w:val="24"/>
          <w:szCs w:val="24"/>
          <w:u w:val="single"/>
          <w:rtl/>
        </w:rPr>
        <w:t>תפקיד החוקר:</w:t>
      </w:r>
      <w:r>
        <w:rPr>
          <w:rFonts w:ascii="David" w:hAnsi="David" w:cs="David" w:hint="cs"/>
          <w:sz w:val="24"/>
          <w:szCs w:val="24"/>
          <w:rtl/>
        </w:rPr>
        <w:t xml:space="preserve"> </w:t>
      </w:r>
    </w:p>
    <w:p w14:paraId="5C6DBE0F" w14:textId="5424A8BA" w:rsidR="008D6283" w:rsidRDefault="008D6283" w:rsidP="00F14974">
      <w:pPr>
        <w:spacing w:line="360" w:lineRule="auto"/>
        <w:jc w:val="both"/>
        <w:rPr>
          <w:rFonts w:ascii="David" w:hAnsi="David" w:cs="David"/>
          <w:sz w:val="24"/>
          <w:szCs w:val="24"/>
          <w:rtl/>
        </w:rPr>
      </w:pPr>
      <w:r>
        <w:rPr>
          <w:rFonts w:ascii="David" w:hAnsi="David" w:cs="David" w:hint="cs"/>
          <w:sz w:val="24"/>
          <w:szCs w:val="24"/>
          <w:rtl/>
        </w:rPr>
        <w:t xml:space="preserve">(1) הערכת מצב חקירתית וניהול כלי החקירה: לחוקר יש את האחריות המלאה על התכנון, הניהול וביצוע החקירה. </w:t>
      </w:r>
    </w:p>
    <w:p w14:paraId="7F05159A" w14:textId="61C543C5" w:rsidR="008D6283" w:rsidRDefault="008D6283" w:rsidP="00F14974">
      <w:pPr>
        <w:spacing w:line="360" w:lineRule="auto"/>
        <w:jc w:val="both"/>
        <w:rPr>
          <w:rFonts w:ascii="David" w:hAnsi="David" w:cs="David"/>
          <w:sz w:val="24"/>
          <w:szCs w:val="24"/>
          <w:rtl/>
        </w:rPr>
      </w:pPr>
      <w:r>
        <w:rPr>
          <w:rFonts w:ascii="David" w:hAnsi="David" w:cs="David" w:hint="cs"/>
          <w:sz w:val="24"/>
          <w:szCs w:val="24"/>
          <w:rtl/>
        </w:rPr>
        <w:lastRenderedPageBreak/>
        <w:t xml:space="preserve">(2) טיפול ראשוני באירוע על ידי חוקר תורן וזירה: לחוקר יש יכולת רבגונית לטפל באירועים שאינם נמצאים בשגרת העבודה. </w:t>
      </w:r>
    </w:p>
    <w:p w14:paraId="26BCFEEA" w14:textId="63537BF2" w:rsidR="008D6283" w:rsidRDefault="008D6283" w:rsidP="00F14974">
      <w:pPr>
        <w:spacing w:line="360" w:lineRule="auto"/>
        <w:jc w:val="both"/>
        <w:rPr>
          <w:rFonts w:ascii="David" w:hAnsi="David" w:cs="David"/>
          <w:sz w:val="24"/>
          <w:szCs w:val="24"/>
          <w:rtl/>
        </w:rPr>
      </w:pPr>
      <w:r>
        <w:rPr>
          <w:rFonts w:ascii="David" w:hAnsi="David" w:cs="David" w:hint="cs"/>
          <w:sz w:val="24"/>
          <w:szCs w:val="24"/>
          <w:rtl/>
        </w:rPr>
        <w:t xml:space="preserve">(3) טיפול בצווים ומעצרים: לחוקר יש את האחריות להופיע בבית המשפט במקרה הצורך. </w:t>
      </w:r>
    </w:p>
    <w:p w14:paraId="2AFFEA66" w14:textId="28F99350" w:rsidR="008D6283" w:rsidRDefault="008D6283" w:rsidP="00F14974">
      <w:pPr>
        <w:spacing w:line="360" w:lineRule="auto"/>
        <w:jc w:val="both"/>
        <w:rPr>
          <w:rFonts w:ascii="David" w:hAnsi="David" w:cs="David"/>
          <w:sz w:val="24"/>
          <w:szCs w:val="24"/>
          <w:rtl/>
        </w:rPr>
      </w:pPr>
      <w:r>
        <w:rPr>
          <w:rFonts w:ascii="David" w:hAnsi="David" w:cs="David" w:hint="cs"/>
          <w:sz w:val="24"/>
          <w:szCs w:val="24"/>
          <w:rtl/>
        </w:rPr>
        <w:t xml:space="preserve">(4) הפעלת כלי חקירה ופעולות נלוות: על החוקר להפיק ולאסוף את הראיות במקרה. </w:t>
      </w:r>
    </w:p>
    <w:p w14:paraId="3A415D73" w14:textId="2207E605" w:rsidR="008D6283" w:rsidRDefault="00ED6F13" w:rsidP="00F14974">
      <w:pPr>
        <w:spacing w:line="360" w:lineRule="auto"/>
        <w:jc w:val="both"/>
        <w:rPr>
          <w:rFonts w:ascii="David" w:hAnsi="David" w:cs="David"/>
          <w:sz w:val="24"/>
          <w:szCs w:val="24"/>
          <w:rtl/>
        </w:rPr>
      </w:pPr>
      <w:r>
        <w:rPr>
          <w:rFonts w:ascii="David" w:hAnsi="David" w:cs="David" w:hint="cs"/>
          <w:sz w:val="24"/>
          <w:szCs w:val="24"/>
          <w:u w:val="single"/>
          <w:rtl/>
        </w:rPr>
        <w:t>אתגרי התפקיד:</w:t>
      </w:r>
      <w:r>
        <w:rPr>
          <w:rFonts w:ascii="David" w:hAnsi="David" w:cs="David" w:hint="cs"/>
          <w:sz w:val="24"/>
          <w:szCs w:val="24"/>
          <w:rtl/>
        </w:rPr>
        <w:t xml:space="preserve"> </w:t>
      </w:r>
    </w:p>
    <w:p w14:paraId="68FD7C47" w14:textId="12E1B68E" w:rsidR="00A0342C" w:rsidRDefault="00B340F3" w:rsidP="00A373D8">
      <w:pPr>
        <w:spacing w:line="360" w:lineRule="auto"/>
        <w:jc w:val="both"/>
        <w:rPr>
          <w:rFonts w:ascii="David" w:hAnsi="David" w:cs="David"/>
          <w:sz w:val="24"/>
          <w:szCs w:val="24"/>
          <w:rtl/>
        </w:rPr>
      </w:pPr>
      <w:r>
        <w:rPr>
          <w:rFonts w:ascii="David" w:hAnsi="David" w:cs="David" w:hint="cs"/>
          <w:sz w:val="24"/>
          <w:szCs w:val="24"/>
          <w:rtl/>
        </w:rPr>
        <w:t>תפקיד החוקר עומד באתגרים רבים וביניהם: שליטה במיד</w:t>
      </w:r>
      <w:r w:rsidR="00080B31">
        <w:rPr>
          <w:rFonts w:ascii="David" w:hAnsi="David" w:cs="David" w:hint="cs"/>
          <w:sz w:val="24"/>
          <w:szCs w:val="24"/>
          <w:rtl/>
        </w:rPr>
        <w:t>ע</w:t>
      </w:r>
      <w:r>
        <w:rPr>
          <w:rFonts w:ascii="David" w:hAnsi="David" w:cs="David" w:hint="cs"/>
          <w:sz w:val="24"/>
          <w:szCs w:val="24"/>
          <w:rtl/>
        </w:rPr>
        <w:t xml:space="preserve"> ובהליך, שמירה על מקצועיות במגוון נושאים ומיומנויות, שעות עבודה נרחבות, </w:t>
      </w:r>
      <w:r w:rsidR="00A373D8">
        <w:rPr>
          <w:rFonts w:ascii="David" w:hAnsi="David" w:cs="David" w:hint="cs"/>
          <w:sz w:val="24"/>
          <w:szCs w:val="24"/>
          <w:rtl/>
        </w:rPr>
        <w:t xml:space="preserve">אחריות אישית להליך, חשיפה לאירועים קשים, תגמול נמוך (שכר) ושמירה על מקצועיות בעבודתו </w:t>
      </w:r>
      <w:r w:rsidR="00A373D8">
        <w:rPr>
          <w:rFonts w:ascii="David" w:hAnsi="David" w:cs="David"/>
          <w:sz w:val="24"/>
          <w:szCs w:val="24"/>
          <w:rtl/>
        </w:rPr>
        <w:t>–</w:t>
      </w:r>
      <w:r w:rsidR="00A373D8">
        <w:rPr>
          <w:rFonts w:ascii="David" w:hAnsi="David" w:cs="David" w:hint="cs"/>
          <w:sz w:val="24"/>
          <w:szCs w:val="24"/>
          <w:rtl/>
        </w:rPr>
        <w:t xml:space="preserve"> שכן טעויות עשויות ל</w:t>
      </w:r>
      <w:r w:rsidR="00503B59">
        <w:rPr>
          <w:rFonts w:ascii="David" w:hAnsi="David" w:cs="David" w:hint="cs"/>
          <w:sz w:val="24"/>
          <w:szCs w:val="24"/>
          <w:rtl/>
        </w:rPr>
        <w:t>הסב</w:t>
      </w:r>
      <w:r w:rsidR="00A373D8">
        <w:rPr>
          <w:rFonts w:ascii="David" w:hAnsi="David" w:cs="David" w:hint="cs"/>
          <w:sz w:val="24"/>
          <w:szCs w:val="24"/>
          <w:rtl/>
        </w:rPr>
        <w:t xml:space="preserve"> נזק רב. </w:t>
      </w:r>
    </w:p>
    <w:p w14:paraId="5227CB24" w14:textId="45326E62" w:rsidR="00CF6EE2" w:rsidRDefault="00842418" w:rsidP="00F14974">
      <w:pPr>
        <w:spacing w:line="360" w:lineRule="auto"/>
        <w:jc w:val="both"/>
        <w:rPr>
          <w:rFonts w:ascii="David" w:hAnsi="David" w:cs="David"/>
          <w:sz w:val="24"/>
          <w:szCs w:val="24"/>
          <w:rtl/>
        </w:rPr>
      </w:pPr>
      <w:r>
        <w:rPr>
          <w:rFonts w:ascii="David" w:hAnsi="David" w:cs="David" w:hint="cs"/>
          <w:sz w:val="24"/>
          <w:szCs w:val="24"/>
          <w:u w:val="single"/>
          <w:rtl/>
        </w:rPr>
        <w:t>ייעוד</w:t>
      </w:r>
      <w:r w:rsidR="00251C93">
        <w:rPr>
          <w:rFonts w:ascii="David" w:hAnsi="David" w:cs="David" w:hint="cs"/>
          <w:sz w:val="24"/>
          <w:szCs w:val="24"/>
          <w:u w:val="single"/>
          <w:rtl/>
        </w:rPr>
        <w:t xml:space="preserve">, </w:t>
      </w:r>
      <w:r>
        <w:rPr>
          <w:rFonts w:ascii="David" w:hAnsi="David" w:cs="David" w:hint="cs"/>
          <w:sz w:val="24"/>
          <w:szCs w:val="24"/>
          <w:u w:val="single"/>
          <w:rtl/>
        </w:rPr>
        <w:t>תפקידים</w:t>
      </w:r>
      <w:r w:rsidR="00251C93">
        <w:rPr>
          <w:rFonts w:ascii="David" w:hAnsi="David" w:cs="David" w:hint="cs"/>
          <w:sz w:val="24"/>
          <w:szCs w:val="24"/>
          <w:u w:val="single"/>
          <w:rtl/>
        </w:rPr>
        <w:t xml:space="preserve"> ומשאבים</w:t>
      </w:r>
      <w:r>
        <w:rPr>
          <w:rFonts w:ascii="David" w:hAnsi="David" w:cs="David" w:hint="cs"/>
          <w:sz w:val="24"/>
          <w:szCs w:val="24"/>
          <w:u w:val="single"/>
          <w:rtl/>
        </w:rPr>
        <w:t>:</w:t>
      </w:r>
      <w:r>
        <w:rPr>
          <w:rFonts w:ascii="David" w:hAnsi="David" w:cs="David" w:hint="cs"/>
          <w:sz w:val="24"/>
          <w:szCs w:val="24"/>
          <w:rtl/>
        </w:rPr>
        <w:t xml:space="preserve"> </w:t>
      </w:r>
    </w:p>
    <w:p w14:paraId="54673425" w14:textId="7F9E57EB" w:rsidR="00251C93" w:rsidRDefault="00C46F4C" w:rsidP="00251C93">
      <w:pPr>
        <w:spacing w:line="360" w:lineRule="auto"/>
        <w:jc w:val="both"/>
        <w:rPr>
          <w:rFonts w:ascii="David" w:hAnsi="David" w:cs="David"/>
          <w:sz w:val="24"/>
          <w:szCs w:val="24"/>
          <w:rtl/>
        </w:rPr>
      </w:pPr>
      <w:r>
        <w:rPr>
          <w:rFonts w:ascii="David" w:hAnsi="David" w:cs="David" w:hint="cs"/>
          <w:sz w:val="24"/>
          <w:szCs w:val="24"/>
          <w:rtl/>
        </w:rPr>
        <w:t>חטיבה זו עוסקת בעבירות בעולם המקוון, מרכז שירות לאזרח, אלימות במשפחה, עבירות מין וחסרי ישע, ניהול מרשם פלילי, אכיפה כלכלית והטיפול בתחום הנוער.</w:t>
      </w:r>
      <w:r w:rsidR="00251C93">
        <w:rPr>
          <w:rFonts w:ascii="David" w:hAnsi="David" w:cs="David" w:hint="cs"/>
          <w:sz w:val="24"/>
          <w:szCs w:val="24"/>
          <w:rtl/>
        </w:rPr>
        <w:t xml:space="preserve"> החטיבה עוד עוסקת בליווי הליכי חקיקה, יוזמות מול גורמי חוץ, ועבודה מול משרד המשפטים, פרקליטות המדינה ובוועדות הכנסת. </w:t>
      </w:r>
    </w:p>
    <w:p w14:paraId="277AB66C" w14:textId="42373F90" w:rsidR="00251C93" w:rsidRDefault="00251C93" w:rsidP="00251C93">
      <w:pPr>
        <w:spacing w:line="360" w:lineRule="auto"/>
        <w:jc w:val="both"/>
        <w:rPr>
          <w:rFonts w:ascii="David" w:hAnsi="David" w:cs="David"/>
          <w:sz w:val="24"/>
          <w:szCs w:val="24"/>
          <w:rtl/>
        </w:rPr>
      </w:pPr>
      <w:r>
        <w:rPr>
          <w:rFonts w:ascii="David" w:hAnsi="David" w:cs="David" w:hint="cs"/>
          <w:sz w:val="24"/>
          <w:szCs w:val="24"/>
          <w:rtl/>
        </w:rPr>
        <w:t>בחטיבה עולים כ 3,500 חוקרים, המחולקים ואחראים על פי מקצועות, פיקוח ובק</w:t>
      </w:r>
      <w:r w:rsidR="003E184A">
        <w:rPr>
          <w:rFonts w:ascii="David" w:hAnsi="David" w:cs="David" w:hint="cs"/>
          <w:sz w:val="24"/>
          <w:szCs w:val="24"/>
          <w:rtl/>
        </w:rPr>
        <w:t>ר</w:t>
      </w:r>
      <w:r>
        <w:rPr>
          <w:rFonts w:ascii="David" w:hAnsi="David" w:cs="David" w:hint="cs"/>
          <w:sz w:val="24"/>
          <w:szCs w:val="24"/>
          <w:rtl/>
        </w:rPr>
        <w:t xml:space="preserve">ה, הפצת הנחיות ויישום מדיניות האגף והמשטרה. </w:t>
      </w:r>
    </w:p>
    <w:p w14:paraId="3B08B037" w14:textId="4B89B6E1" w:rsidR="00842418" w:rsidRDefault="00251C93" w:rsidP="00F14974">
      <w:pPr>
        <w:spacing w:line="360" w:lineRule="auto"/>
        <w:jc w:val="both"/>
        <w:rPr>
          <w:rFonts w:ascii="David" w:hAnsi="David" w:cs="David"/>
          <w:b/>
          <w:bCs/>
          <w:sz w:val="24"/>
          <w:szCs w:val="24"/>
          <w:rtl/>
        </w:rPr>
      </w:pPr>
      <w:r w:rsidRPr="00E21B1A">
        <w:rPr>
          <w:rFonts w:ascii="David" w:hAnsi="David" w:cs="David" w:hint="cs"/>
          <w:b/>
          <w:bCs/>
          <w:sz w:val="24"/>
          <w:szCs w:val="24"/>
          <w:rtl/>
        </w:rPr>
        <w:t>משאבי החטיבה</w:t>
      </w:r>
      <w:r w:rsidR="00E21B1A">
        <w:rPr>
          <w:rFonts w:ascii="David" w:hAnsi="David" w:cs="David" w:hint="cs"/>
          <w:b/>
          <w:bCs/>
          <w:sz w:val="24"/>
          <w:szCs w:val="24"/>
          <w:rtl/>
        </w:rPr>
        <w:t xml:space="preserve">: </w:t>
      </w:r>
    </w:p>
    <w:p w14:paraId="29A42BD8" w14:textId="1D94917C" w:rsidR="00E21B1A" w:rsidRDefault="00E21B1A" w:rsidP="00F14974">
      <w:pPr>
        <w:spacing w:line="360" w:lineRule="auto"/>
        <w:jc w:val="both"/>
        <w:rPr>
          <w:rFonts w:ascii="David" w:hAnsi="David" w:cs="David"/>
          <w:sz w:val="24"/>
          <w:szCs w:val="24"/>
          <w:rtl/>
        </w:rPr>
      </w:pPr>
      <w:r>
        <w:rPr>
          <w:rFonts w:ascii="David" w:hAnsi="David" w:cs="David" w:hint="cs"/>
          <w:sz w:val="24"/>
          <w:szCs w:val="24"/>
          <w:rtl/>
        </w:rPr>
        <w:t xml:space="preserve">(1) משאבים טכנולוגים: הגשת תלונה מקוונת, מש"ל מקוון, תיק דיגיטאלי, יכולת תחקור וניתוח מידע, שירות מקוון לאזרח ורשימת חומרי החקירה. </w:t>
      </w:r>
    </w:p>
    <w:p w14:paraId="320EE549" w14:textId="174BC9B7" w:rsidR="00E21B1A" w:rsidRDefault="00E21B1A" w:rsidP="00F14974">
      <w:pPr>
        <w:spacing w:line="360" w:lineRule="auto"/>
        <w:jc w:val="both"/>
        <w:rPr>
          <w:rFonts w:ascii="David" w:hAnsi="David" w:cs="David"/>
          <w:sz w:val="24"/>
          <w:szCs w:val="24"/>
          <w:rtl/>
        </w:rPr>
      </w:pPr>
      <w:r>
        <w:rPr>
          <w:rFonts w:ascii="David" w:hAnsi="David" w:cs="David" w:hint="cs"/>
          <w:sz w:val="24"/>
          <w:szCs w:val="24"/>
          <w:rtl/>
        </w:rPr>
        <w:lastRenderedPageBreak/>
        <w:t xml:space="preserve">(2) תו תקן מקצועי: תו תקן לניהול משרד החקירות, קורסים והכשרות בנוגע לעבירות הונאה, סייבר ומוצגים. </w:t>
      </w:r>
    </w:p>
    <w:p w14:paraId="21086AE7" w14:textId="02B270FB" w:rsidR="00E21B1A" w:rsidRDefault="00E21B1A" w:rsidP="00F14974">
      <w:pPr>
        <w:spacing w:line="360" w:lineRule="auto"/>
        <w:jc w:val="both"/>
        <w:rPr>
          <w:rFonts w:ascii="David" w:hAnsi="David" w:cs="David"/>
          <w:sz w:val="24"/>
          <w:szCs w:val="24"/>
          <w:rtl/>
        </w:rPr>
      </w:pPr>
      <w:r>
        <w:rPr>
          <w:rFonts w:ascii="David" w:hAnsi="David" w:cs="David" w:hint="cs"/>
          <w:sz w:val="24"/>
          <w:szCs w:val="24"/>
          <w:rtl/>
        </w:rPr>
        <w:t xml:space="preserve">(3) משאבים אנושיים: החוקר, קצין החקירות ומשרדי החקירות בתחנה. </w:t>
      </w:r>
    </w:p>
    <w:p w14:paraId="722CC7B4" w14:textId="434E4BB9" w:rsidR="007A2C4D" w:rsidRDefault="007A2C4D" w:rsidP="00F32E2A">
      <w:pPr>
        <w:spacing w:line="360" w:lineRule="auto"/>
        <w:jc w:val="both"/>
        <w:rPr>
          <w:rFonts w:ascii="David" w:hAnsi="David" w:cs="David"/>
          <w:sz w:val="24"/>
          <w:szCs w:val="24"/>
          <w:u w:val="single"/>
          <w:rtl/>
        </w:rPr>
      </w:pPr>
      <w:r w:rsidRPr="008179C8">
        <w:rPr>
          <w:rFonts w:ascii="David" w:hAnsi="David" w:cs="David"/>
          <w:noProof/>
          <w:sz w:val="24"/>
          <w:szCs w:val="24"/>
          <w:rtl/>
        </w:rPr>
        <w:drawing>
          <wp:anchor distT="0" distB="0" distL="114300" distR="114300" simplePos="0" relativeHeight="251658240" behindDoc="0" locked="0" layoutInCell="1" allowOverlap="1" wp14:anchorId="1B314795" wp14:editId="40B86590">
            <wp:simplePos x="0" y="0"/>
            <wp:positionH relativeFrom="column">
              <wp:posOffset>-374065</wp:posOffset>
            </wp:positionH>
            <wp:positionV relativeFrom="paragraph">
              <wp:posOffset>339889</wp:posOffset>
            </wp:positionV>
            <wp:extent cx="5857952" cy="2824681"/>
            <wp:effectExtent l="0" t="0" r="0" b="0"/>
            <wp:wrapThrough wrapText="bothSides">
              <wp:wrapPolygon edited="0">
                <wp:start x="0" y="0"/>
                <wp:lineTo x="0" y="21415"/>
                <wp:lineTo x="21495" y="21415"/>
                <wp:lineTo x="21495" y="0"/>
                <wp:lineTo x="0" y="0"/>
              </wp:wrapPolygon>
            </wp:wrapThrough>
            <wp:docPr id="1" name="תמונה 1"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שולחן&#10;&#10;התיאור נוצר באופן אוטומטי"/>
                    <pic:cNvPicPr/>
                  </pic:nvPicPr>
                  <pic:blipFill>
                    <a:blip r:embed="rId7">
                      <a:extLst>
                        <a:ext uri="{28A0092B-C50C-407E-A947-70E740481C1C}">
                          <a14:useLocalDpi xmlns:a14="http://schemas.microsoft.com/office/drawing/2010/main" val="0"/>
                        </a:ext>
                      </a:extLst>
                    </a:blip>
                    <a:stretch>
                      <a:fillRect/>
                    </a:stretch>
                  </pic:blipFill>
                  <pic:spPr>
                    <a:xfrm>
                      <a:off x="0" y="0"/>
                      <a:ext cx="5857952" cy="2824681"/>
                    </a:xfrm>
                    <a:prstGeom prst="rect">
                      <a:avLst/>
                    </a:prstGeom>
                  </pic:spPr>
                </pic:pic>
              </a:graphicData>
            </a:graphic>
          </wp:anchor>
        </w:drawing>
      </w:r>
      <w:r w:rsidR="00867BF8" w:rsidRPr="007D4705">
        <w:rPr>
          <w:rFonts w:ascii="David" w:hAnsi="David" w:cs="David" w:hint="cs"/>
          <w:sz w:val="24"/>
          <w:szCs w:val="24"/>
          <w:u w:val="single"/>
          <w:rtl/>
        </w:rPr>
        <w:t xml:space="preserve">עיסוקי מחלקת החקירות: </w:t>
      </w:r>
    </w:p>
    <w:p w14:paraId="56429AD5" w14:textId="386768D0" w:rsidR="008179C8" w:rsidRPr="007A2C4D" w:rsidRDefault="00B421C6" w:rsidP="007A2C4D">
      <w:pPr>
        <w:pStyle w:val="a7"/>
        <w:spacing w:line="360" w:lineRule="auto"/>
        <w:ind w:left="0"/>
        <w:jc w:val="both"/>
        <w:rPr>
          <w:rFonts w:ascii="David" w:hAnsi="David" w:cs="David"/>
          <w:sz w:val="24"/>
          <w:szCs w:val="24"/>
          <w:rtl/>
        </w:rPr>
      </w:pPr>
      <w:r w:rsidRPr="007D4705">
        <w:rPr>
          <w:rFonts w:ascii="David" w:hAnsi="David" w:cs="David" w:hint="cs"/>
          <w:sz w:val="24"/>
          <w:szCs w:val="24"/>
          <w:u w:val="single"/>
          <w:rtl/>
        </w:rPr>
        <w:t>חלוקת שגרת העבודה:</w:t>
      </w:r>
    </w:p>
    <w:p w14:paraId="44C8D88D" w14:textId="3C578B62" w:rsidR="007D4705" w:rsidRDefault="007D4705" w:rsidP="007D4705">
      <w:pPr>
        <w:spacing w:line="360" w:lineRule="auto"/>
        <w:jc w:val="both"/>
        <w:rPr>
          <w:rFonts w:ascii="David" w:hAnsi="David" w:cs="David"/>
          <w:sz w:val="24"/>
          <w:szCs w:val="24"/>
          <w:rtl/>
        </w:rPr>
      </w:pPr>
      <w:r>
        <w:rPr>
          <w:rFonts w:ascii="David" w:hAnsi="David" w:cs="David" w:hint="cs"/>
          <w:sz w:val="24"/>
          <w:szCs w:val="24"/>
          <w:rtl/>
        </w:rPr>
        <w:t xml:space="preserve">טיפול בעצורים, עמידה ביעדים, כתבי אישום, הסדר מותנה, שיתוף פעולה מודיעיני, בילוש, סיור ושגרת בקרות. </w:t>
      </w:r>
    </w:p>
    <w:p w14:paraId="175A726D" w14:textId="53954C77" w:rsidR="00686357" w:rsidRDefault="00686357" w:rsidP="00686357">
      <w:pPr>
        <w:spacing w:line="360" w:lineRule="auto"/>
        <w:jc w:val="both"/>
        <w:rPr>
          <w:rFonts w:ascii="David" w:hAnsi="David" w:cs="David"/>
          <w:sz w:val="24"/>
          <w:szCs w:val="24"/>
          <w:rtl/>
        </w:rPr>
      </w:pPr>
      <w:r>
        <w:rPr>
          <w:rFonts w:ascii="David" w:hAnsi="David" w:cs="David" w:hint="cs"/>
          <w:sz w:val="24"/>
          <w:szCs w:val="24"/>
          <w:u w:val="single"/>
          <w:rtl/>
        </w:rPr>
        <w:t>שירותי משטרה מקוונים:</w:t>
      </w:r>
      <w:r>
        <w:rPr>
          <w:rFonts w:ascii="David" w:hAnsi="David" w:cs="David" w:hint="cs"/>
          <w:sz w:val="24"/>
          <w:szCs w:val="24"/>
          <w:rtl/>
        </w:rPr>
        <w:t xml:space="preserve"> </w:t>
      </w:r>
    </w:p>
    <w:p w14:paraId="2E17EF4B" w14:textId="7BC0E00B" w:rsidR="007A2C4D" w:rsidRDefault="00686357" w:rsidP="00F32E2A">
      <w:pPr>
        <w:spacing w:line="360" w:lineRule="auto"/>
        <w:jc w:val="both"/>
        <w:rPr>
          <w:rFonts w:ascii="David" w:hAnsi="David" w:cs="David"/>
          <w:sz w:val="24"/>
          <w:szCs w:val="24"/>
          <w:rtl/>
        </w:rPr>
      </w:pPr>
      <w:r>
        <w:rPr>
          <w:rFonts w:ascii="David" w:hAnsi="David" w:cs="David" w:hint="cs"/>
          <w:sz w:val="24"/>
          <w:szCs w:val="24"/>
          <w:rtl/>
        </w:rPr>
        <w:t>מדובר בציר מקביל ואף חלופי להגעה הפיזית לתחנת משטרה</w:t>
      </w:r>
      <w:r w:rsidR="0088731E">
        <w:rPr>
          <w:rFonts w:ascii="David" w:hAnsi="David" w:cs="David" w:hint="cs"/>
          <w:sz w:val="24"/>
          <w:szCs w:val="24"/>
          <w:rtl/>
        </w:rPr>
        <w:t xml:space="preserve"> ולמש"ל הפיזי. </w:t>
      </w:r>
    </w:p>
    <w:p w14:paraId="1D723D6B" w14:textId="2FB1611D" w:rsidR="00334823" w:rsidRPr="007A2C4D" w:rsidRDefault="004909B2" w:rsidP="007A2C4D">
      <w:pPr>
        <w:spacing w:line="360" w:lineRule="auto"/>
        <w:jc w:val="center"/>
        <w:rPr>
          <w:rFonts w:ascii="David" w:hAnsi="David" w:cs="David"/>
          <w:sz w:val="24"/>
          <w:szCs w:val="24"/>
          <w:u w:val="single"/>
          <w:shd w:val="clear" w:color="auto" w:fill="D0DDFC"/>
          <w:rtl/>
        </w:rPr>
      </w:pPr>
      <w:r w:rsidRPr="007A2C4D">
        <w:rPr>
          <w:rFonts w:ascii="David" w:hAnsi="David" w:cs="David" w:hint="cs"/>
          <w:sz w:val="24"/>
          <w:szCs w:val="24"/>
          <w:u w:val="single"/>
          <w:shd w:val="clear" w:color="auto" w:fill="D0DDFC"/>
          <w:rtl/>
        </w:rPr>
        <w:t>זכויות החשוד:</w:t>
      </w:r>
    </w:p>
    <w:p w14:paraId="7ED896EB" w14:textId="32355B7A" w:rsidR="006324DF" w:rsidRDefault="00AF365E" w:rsidP="007A2C4D">
      <w:pPr>
        <w:spacing w:line="360" w:lineRule="auto"/>
        <w:jc w:val="both"/>
        <w:rPr>
          <w:rFonts w:ascii="David" w:hAnsi="David" w:cs="David"/>
          <w:sz w:val="24"/>
          <w:szCs w:val="24"/>
          <w:rtl/>
        </w:rPr>
      </w:pPr>
      <w:r w:rsidRPr="007A2C4D">
        <w:rPr>
          <w:rFonts w:ascii="David" w:hAnsi="David" w:cs="David" w:hint="cs"/>
          <w:b/>
          <w:bCs/>
          <w:sz w:val="24"/>
          <w:szCs w:val="24"/>
          <w:u w:val="single"/>
          <w:rtl/>
        </w:rPr>
        <w:t>חיפוש גופני:</w:t>
      </w:r>
      <w:r>
        <w:rPr>
          <w:rFonts w:ascii="David" w:hAnsi="David" w:cs="David" w:hint="cs"/>
          <w:sz w:val="24"/>
          <w:szCs w:val="24"/>
          <w:rtl/>
        </w:rPr>
        <w:t xml:space="preserve"> בכדי לבצע חיפוש גופני על חשוד בעבירה, יש לוודא כי עולה חשד </w:t>
      </w:r>
      <w:r w:rsidR="006324DF">
        <w:rPr>
          <w:rFonts w:ascii="David" w:hAnsi="David" w:cs="David" w:hint="cs"/>
          <w:sz w:val="24"/>
          <w:szCs w:val="24"/>
          <w:rtl/>
        </w:rPr>
        <w:t xml:space="preserve">סביר לקיום העניין. </w:t>
      </w:r>
    </w:p>
    <w:p w14:paraId="5826A432" w14:textId="7B43EC4A" w:rsidR="004909B2" w:rsidRDefault="00CE0CF5" w:rsidP="00686357">
      <w:pPr>
        <w:spacing w:line="360" w:lineRule="auto"/>
        <w:jc w:val="both"/>
        <w:rPr>
          <w:rFonts w:ascii="David" w:hAnsi="David" w:cs="David"/>
          <w:sz w:val="24"/>
          <w:szCs w:val="24"/>
          <w:rtl/>
        </w:rPr>
      </w:pPr>
      <w:r>
        <w:rPr>
          <w:rFonts w:ascii="David" w:hAnsi="David" w:cs="David" w:hint="cs"/>
          <w:b/>
          <w:bCs/>
          <w:sz w:val="24"/>
          <w:szCs w:val="24"/>
          <w:rtl/>
        </w:rPr>
        <w:t xml:space="preserve">רע"פ 3199/20 דניס זייצב נ' מדינת ישראל: </w:t>
      </w:r>
      <w:r w:rsidR="0023305D">
        <w:rPr>
          <w:rFonts w:ascii="David" w:hAnsi="David" w:cs="David" w:hint="cs"/>
          <w:sz w:val="24"/>
          <w:szCs w:val="24"/>
          <w:rtl/>
        </w:rPr>
        <w:t xml:space="preserve">המבקש הורשע בבית המשפט השלום בעבירה של יבוא סם מסוכן </w:t>
      </w:r>
      <w:r w:rsidR="00290049">
        <w:rPr>
          <w:rFonts w:ascii="David" w:hAnsi="David" w:cs="David" w:hint="cs"/>
          <w:sz w:val="24"/>
          <w:szCs w:val="24"/>
          <w:rtl/>
        </w:rPr>
        <w:t xml:space="preserve">והושת עליו צו של"צ בהיקף של 350 שעות. רשות הערעור נסובה אודות חוקיות החיפוש שנערך על גופו ובקניינו, בהיעדר חשד סביר לכך שנשא סם מסוכן. </w:t>
      </w:r>
      <w:r w:rsidR="001E6E38">
        <w:rPr>
          <w:rFonts w:ascii="David" w:hAnsi="David" w:cs="David" w:hint="cs"/>
          <w:sz w:val="24"/>
          <w:szCs w:val="24"/>
          <w:rtl/>
        </w:rPr>
        <w:t>בית המשפט פסק כי שוטר אינו רשאי לערוך חיפוש על גופו של אדם בשדה תעופה, לצורך איתור סמים מסוכנים, בלא קיומו של חשד סביר לכך שהוא נושא עימו סם</w:t>
      </w:r>
      <w:r w:rsidR="0023305D">
        <w:rPr>
          <w:rFonts w:ascii="David" w:hAnsi="David" w:cs="David" w:hint="cs"/>
          <w:sz w:val="24"/>
          <w:szCs w:val="24"/>
          <w:rtl/>
        </w:rPr>
        <w:t xml:space="preserve">. </w:t>
      </w:r>
      <w:r w:rsidR="00AF365E">
        <w:rPr>
          <w:rFonts w:ascii="David" w:hAnsi="David" w:cs="David" w:hint="cs"/>
          <w:sz w:val="24"/>
          <w:szCs w:val="24"/>
          <w:rtl/>
        </w:rPr>
        <w:t>מכך נקבע כי יש להורות על זיכוי המערער מהעבירה שי</w:t>
      </w:r>
      <w:r w:rsidR="009573C4">
        <w:rPr>
          <w:rFonts w:ascii="David" w:hAnsi="David" w:cs="David" w:hint="cs"/>
          <w:sz w:val="24"/>
          <w:szCs w:val="24"/>
          <w:rtl/>
        </w:rPr>
        <w:t>ו</w:t>
      </w:r>
      <w:r w:rsidR="00AF365E">
        <w:rPr>
          <w:rFonts w:ascii="David" w:hAnsi="David" w:cs="David" w:hint="cs"/>
          <w:sz w:val="24"/>
          <w:szCs w:val="24"/>
          <w:rtl/>
        </w:rPr>
        <w:t xml:space="preserve">חסה לו. </w:t>
      </w:r>
    </w:p>
    <w:p w14:paraId="4E0707F1" w14:textId="77CCBD5A" w:rsidR="00144F53" w:rsidRDefault="00144F53" w:rsidP="007A2C4D">
      <w:pPr>
        <w:spacing w:line="360" w:lineRule="auto"/>
        <w:jc w:val="both"/>
        <w:rPr>
          <w:rFonts w:ascii="David" w:hAnsi="David" w:cs="David"/>
          <w:sz w:val="24"/>
          <w:szCs w:val="24"/>
          <w:rtl/>
        </w:rPr>
      </w:pPr>
      <w:r w:rsidRPr="007A2C4D">
        <w:rPr>
          <w:rFonts w:ascii="David" w:hAnsi="David" w:cs="David" w:hint="cs"/>
          <w:b/>
          <w:bCs/>
          <w:sz w:val="24"/>
          <w:szCs w:val="24"/>
          <w:u w:val="single"/>
          <w:rtl/>
        </w:rPr>
        <w:lastRenderedPageBreak/>
        <w:t>הז</w:t>
      </w:r>
      <w:r w:rsidR="009573C4">
        <w:rPr>
          <w:rFonts w:ascii="David" w:hAnsi="David" w:cs="David" w:hint="cs"/>
          <w:b/>
          <w:bCs/>
          <w:sz w:val="24"/>
          <w:szCs w:val="24"/>
          <w:u w:val="single"/>
          <w:rtl/>
        </w:rPr>
        <w:t>ד</w:t>
      </w:r>
      <w:r w:rsidRPr="007A2C4D">
        <w:rPr>
          <w:rFonts w:ascii="David" w:hAnsi="David" w:cs="David" w:hint="cs"/>
          <w:b/>
          <w:bCs/>
          <w:sz w:val="24"/>
          <w:szCs w:val="24"/>
          <w:u w:val="single"/>
          <w:rtl/>
        </w:rPr>
        <w:t>הות על ידי תעודת זהות:</w:t>
      </w:r>
      <w:r w:rsidR="007A2C4D">
        <w:rPr>
          <w:rFonts w:ascii="David" w:hAnsi="David" w:cs="David" w:hint="cs"/>
          <w:sz w:val="24"/>
          <w:szCs w:val="24"/>
          <w:rtl/>
        </w:rPr>
        <w:t xml:space="preserve"> </w:t>
      </w:r>
      <w:r>
        <w:rPr>
          <w:rFonts w:ascii="David" w:hAnsi="David" w:cs="David" w:hint="cs"/>
          <w:sz w:val="24"/>
          <w:szCs w:val="24"/>
          <w:rtl/>
        </w:rPr>
        <w:t xml:space="preserve">שוטר רשאי לדרוש מעובר אורח להזדהות מולו בעזרת תעודת זהות, גם במצבים בהם לא עולה חשד סביר כי ביצע אותו אדם עבירה. </w:t>
      </w:r>
    </w:p>
    <w:p w14:paraId="74C4B6FD" w14:textId="71698A52" w:rsidR="00BC2137" w:rsidRDefault="00BC2137" w:rsidP="00686357">
      <w:pPr>
        <w:spacing w:line="360" w:lineRule="auto"/>
        <w:jc w:val="both"/>
        <w:rPr>
          <w:rFonts w:ascii="David" w:hAnsi="David" w:cs="David"/>
          <w:sz w:val="24"/>
          <w:szCs w:val="24"/>
          <w:rtl/>
        </w:rPr>
      </w:pPr>
      <w:r>
        <w:rPr>
          <w:rFonts w:ascii="David" w:hAnsi="David" w:cs="David" w:hint="cs"/>
          <w:b/>
          <w:bCs/>
          <w:sz w:val="24"/>
          <w:szCs w:val="24"/>
          <w:rtl/>
        </w:rPr>
        <w:t xml:space="preserve">בג"ץ 4455/19 עמותת טבקה </w:t>
      </w:r>
      <w:r>
        <w:rPr>
          <w:rFonts w:ascii="David" w:hAnsi="David" w:cs="David"/>
          <w:b/>
          <w:bCs/>
          <w:sz w:val="24"/>
          <w:szCs w:val="24"/>
          <w:rtl/>
        </w:rPr>
        <w:t>–</w:t>
      </w:r>
      <w:r>
        <w:rPr>
          <w:rFonts w:ascii="David" w:hAnsi="David" w:cs="David" w:hint="cs"/>
          <w:b/>
          <w:bCs/>
          <w:sz w:val="24"/>
          <w:szCs w:val="24"/>
          <w:rtl/>
        </w:rPr>
        <w:t xml:space="preserve"> צדק ושוויון ליוצאי אתיופיה נ' משטרת ישראל: </w:t>
      </w:r>
      <w:r w:rsidR="00144F53">
        <w:rPr>
          <w:rFonts w:ascii="David" w:hAnsi="David" w:cs="David" w:hint="cs"/>
          <w:sz w:val="24"/>
          <w:szCs w:val="24"/>
          <w:rtl/>
        </w:rPr>
        <w:t xml:space="preserve">מדובר בעתירות שהדיון בהן אוחד לעניין השאלה האם שוטר מוסמך במסגרת מילוי תפקידו לדרוש מעובר אורח להציג לו תעודה מזהה ומשהוצגה התעודה, לבצע פעולות שיטור נוספות, כאשר לא קיים חשד סביר שאותו אדם ביצע עבירה? בית המשפט קבע כי </w:t>
      </w:r>
      <w:r>
        <w:rPr>
          <w:rFonts w:ascii="David" w:hAnsi="David" w:cs="David" w:hint="cs"/>
          <w:sz w:val="24"/>
          <w:szCs w:val="24"/>
          <w:rtl/>
        </w:rPr>
        <w:t xml:space="preserve">שוטר מוסמך </w:t>
      </w:r>
      <w:r w:rsidR="00144F53">
        <w:rPr>
          <w:rFonts w:ascii="David" w:hAnsi="David" w:cs="David" w:hint="cs"/>
          <w:sz w:val="24"/>
          <w:szCs w:val="24"/>
          <w:rtl/>
        </w:rPr>
        <w:t xml:space="preserve">לדרוש </w:t>
      </w:r>
      <w:r w:rsidR="0091019F">
        <w:rPr>
          <w:rFonts w:ascii="David" w:hAnsi="David" w:cs="David" w:hint="cs"/>
          <w:sz w:val="24"/>
          <w:szCs w:val="24"/>
          <w:rtl/>
        </w:rPr>
        <w:t xml:space="preserve">במסגרת מילוי תפקידו מאדם להזדהות באמצעות הצגת תעודת זהות וזאת מבלי שקיים חשד סביר כי אותו אדם ביצע עבירה. </w:t>
      </w:r>
      <w:r w:rsidR="00144F53">
        <w:rPr>
          <w:rFonts w:ascii="David" w:hAnsi="David" w:cs="David" w:hint="cs"/>
          <w:sz w:val="24"/>
          <w:szCs w:val="24"/>
          <w:rtl/>
        </w:rPr>
        <w:t xml:space="preserve">כאשר </w:t>
      </w:r>
      <w:r w:rsidR="0091019F">
        <w:rPr>
          <w:rFonts w:ascii="David" w:hAnsi="David" w:cs="David" w:hint="cs"/>
          <w:sz w:val="24"/>
          <w:szCs w:val="24"/>
          <w:rtl/>
        </w:rPr>
        <w:t>סמכות זו כפופה למגבלות המנויות בפרק ג' לחוק המעצרים ולקיומה של זיקה רלוונטית בין הדרישה להזדהות ובין המ</w:t>
      </w:r>
      <w:r w:rsidR="005C238C">
        <w:rPr>
          <w:rFonts w:ascii="David" w:hAnsi="David" w:cs="David" w:hint="cs"/>
          <w:sz w:val="24"/>
          <w:szCs w:val="24"/>
          <w:rtl/>
        </w:rPr>
        <w:t>י</w:t>
      </w:r>
      <w:r w:rsidR="0091019F">
        <w:rPr>
          <w:rFonts w:ascii="David" w:hAnsi="David" w:cs="David" w:hint="cs"/>
          <w:sz w:val="24"/>
          <w:szCs w:val="24"/>
          <w:rtl/>
        </w:rPr>
        <w:t xml:space="preserve">דע המצוי בתעודת הזהות ולרבות עצם קיומה של תעודה זו. </w:t>
      </w:r>
      <w:r w:rsidR="0054056F">
        <w:rPr>
          <w:rFonts w:ascii="David" w:hAnsi="David" w:cs="David" w:hint="cs"/>
          <w:sz w:val="24"/>
          <w:szCs w:val="24"/>
          <w:rtl/>
        </w:rPr>
        <w:t>מעבר</w:t>
      </w:r>
      <w:r w:rsidR="0091019F">
        <w:rPr>
          <w:rFonts w:ascii="David" w:hAnsi="David" w:cs="David" w:hint="cs"/>
          <w:sz w:val="24"/>
          <w:szCs w:val="24"/>
          <w:rtl/>
        </w:rPr>
        <w:t xml:space="preserve"> לדרישה זו, השוטר אינו מוסמך לנקוט בפעולות שיטור נוספות. </w:t>
      </w:r>
    </w:p>
    <w:p w14:paraId="7EF655F5" w14:textId="61E8B55D" w:rsidR="0054056F" w:rsidRPr="007A2C4D" w:rsidRDefault="008135D7" w:rsidP="00686357">
      <w:pPr>
        <w:spacing w:line="360" w:lineRule="auto"/>
        <w:jc w:val="both"/>
        <w:rPr>
          <w:rFonts w:ascii="David" w:hAnsi="David" w:cs="David"/>
          <w:sz w:val="24"/>
          <w:szCs w:val="24"/>
          <w:rtl/>
        </w:rPr>
      </w:pPr>
      <w:r w:rsidRPr="007A2C4D">
        <w:rPr>
          <w:rFonts w:ascii="David" w:hAnsi="David" w:cs="David" w:hint="cs"/>
          <w:b/>
          <w:bCs/>
          <w:sz w:val="24"/>
          <w:szCs w:val="24"/>
          <w:u w:val="single"/>
          <w:rtl/>
        </w:rPr>
        <w:t xml:space="preserve">זכות היוועצות עם עורך דין: </w:t>
      </w:r>
      <w:r w:rsidR="006105E6">
        <w:rPr>
          <w:rFonts w:ascii="David" w:hAnsi="David" w:cs="David" w:hint="cs"/>
          <w:sz w:val="24"/>
          <w:szCs w:val="24"/>
          <w:rtl/>
        </w:rPr>
        <w:t xml:space="preserve">דוקטרינת </w:t>
      </w:r>
      <w:r w:rsidR="00D235CF">
        <w:rPr>
          <w:rFonts w:ascii="David" w:hAnsi="David" w:cs="David" w:hint="cs"/>
          <w:sz w:val="24"/>
          <w:szCs w:val="24"/>
          <w:rtl/>
        </w:rPr>
        <w:t xml:space="preserve">הפסילה הפסיקתית קובעת כי יש להודיע לנחקר על זכותו להיוועץ עם עורך דין לפני מתן הודאתו בחקירה. במידה ולא יודיעו לנחקר על זכות זו, הודאתו תיפסל בהתאם לדוקטרינה זו ובהתאם לסעיף 12 לפקודת הראיות, </w:t>
      </w:r>
      <w:r w:rsidR="00E96F28">
        <w:rPr>
          <w:rFonts w:ascii="David" w:hAnsi="David" w:cs="David" w:hint="cs"/>
          <w:sz w:val="24"/>
          <w:szCs w:val="24"/>
          <w:rtl/>
        </w:rPr>
        <w:t>בטענה כי</w:t>
      </w:r>
      <w:r w:rsidR="00D235CF">
        <w:rPr>
          <w:rFonts w:ascii="David" w:hAnsi="David" w:cs="David" w:hint="cs"/>
          <w:sz w:val="24"/>
          <w:szCs w:val="24"/>
          <w:rtl/>
        </w:rPr>
        <w:t xml:space="preserve"> הודאתו לא ניתנה בצורה חופשית ומרצון. </w:t>
      </w:r>
    </w:p>
    <w:p w14:paraId="68198690" w14:textId="12331ABD" w:rsidR="008135D7" w:rsidRPr="002F0211" w:rsidRDefault="008135D7" w:rsidP="00686357">
      <w:pPr>
        <w:spacing w:line="360" w:lineRule="auto"/>
        <w:jc w:val="both"/>
        <w:rPr>
          <w:rFonts w:ascii="David" w:hAnsi="David" w:cs="David"/>
          <w:sz w:val="24"/>
          <w:szCs w:val="24"/>
          <w:rtl/>
        </w:rPr>
      </w:pPr>
      <w:r w:rsidRPr="007A2C4D">
        <w:rPr>
          <w:rFonts w:ascii="David" w:hAnsi="David" w:cs="David" w:hint="cs"/>
          <w:b/>
          <w:bCs/>
          <w:sz w:val="24"/>
          <w:szCs w:val="24"/>
          <w:rtl/>
        </w:rPr>
        <w:t>ע"פ 5121/98</w:t>
      </w:r>
      <w:r w:rsidR="002F0211" w:rsidRPr="007A2C4D">
        <w:rPr>
          <w:rFonts w:ascii="David" w:hAnsi="David" w:cs="David" w:hint="cs"/>
          <w:b/>
          <w:bCs/>
          <w:sz w:val="24"/>
          <w:szCs w:val="24"/>
          <w:rtl/>
        </w:rPr>
        <w:t xml:space="preserve"> רפאל יששכרוב נ' התובע הצבאי הראשי:</w:t>
      </w:r>
      <w:r w:rsidR="002F0211">
        <w:rPr>
          <w:rFonts w:ascii="David" w:hAnsi="David" w:cs="David" w:hint="cs"/>
          <w:sz w:val="24"/>
          <w:szCs w:val="24"/>
          <w:rtl/>
        </w:rPr>
        <w:t xml:space="preserve"> ערעור על פסק דינו של </w:t>
      </w:r>
      <w:r w:rsidR="00FB4C0E">
        <w:rPr>
          <w:rFonts w:ascii="David" w:hAnsi="David" w:cs="David" w:hint="cs"/>
          <w:sz w:val="24"/>
          <w:szCs w:val="24"/>
          <w:rtl/>
        </w:rPr>
        <w:t xml:space="preserve">בית הדין הצבאי לערעורים בשאלת ההשפעה של אי-מתן הודעה כדין בדבר הזכות להיוועץ בעורך-דין על קבילתה של הודאה שנמסרה בחקירה. </w:t>
      </w:r>
      <w:r w:rsidR="00D023D4">
        <w:rPr>
          <w:rFonts w:ascii="David" w:hAnsi="David" w:cs="David" w:hint="cs"/>
          <w:sz w:val="24"/>
          <w:szCs w:val="24"/>
          <w:rtl/>
        </w:rPr>
        <w:t xml:space="preserve">בית המשפט קבע </w:t>
      </w:r>
      <w:r w:rsidR="003B0F45">
        <w:rPr>
          <w:rFonts w:ascii="David" w:hAnsi="David" w:cs="David" w:hint="cs"/>
          <w:sz w:val="24"/>
          <w:szCs w:val="24"/>
          <w:rtl/>
        </w:rPr>
        <w:t>כי יש ל</w:t>
      </w:r>
      <w:r w:rsidR="00EC641E">
        <w:rPr>
          <w:rFonts w:ascii="David" w:hAnsi="David" w:cs="David" w:hint="cs"/>
          <w:sz w:val="24"/>
          <w:szCs w:val="24"/>
          <w:rtl/>
        </w:rPr>
        <w:t xml:space="preserve">קבל את דוקטרינת הפסילה הפסיקתית - </w:t>
      </w:r>
      <w:r w:rsidR="00D023D4">
        <w:rPr>
          <w:rFonts w:ascii="David" w:hAnsi="David" w:cs="David" w:hint="cs"/>
          <w:sz w:val="24"/>
          <w:szCs w:val="24"/>
          <w:rtl/>
        </w:rPr>
        <w:t xml:space="preserve">מכוח פרשנות חוק יסוד כבוד האדם וחירותו, יש לקבוע כי היעדר הודעה כדין בדבר זכות היוועצות בעורך דין, פוסלת בהכרח את קבילות הודאת הנאשם, בהתאם לסעיף 12 לפקודת הראיות הקובעת כי על ההודאה להיות "חופשית ומרצון". </w:t>
      </w:r>
    </w:p>
    <w:p w14:paraId="19EB8568" w14:textId="13B13FEB" w:rsidR="00AA28A3" w:rsidRPr="00131980" w:rsidRDefault="00AA28A3" w:rsidP="00686357">
      <w:pPr>
        <w:spacing w:line="360" w:lineRule="auto"/>
        <w:jc w:val="both"/>
        <w:rPr>
          <w:rFonts w:ascii="David" w:hAnsi="David" w:cs="David"/>
          <w:sz w:val="24"/>
          <w:szCs w:val="24"/>
          <w:rtl/>
        </w:rPr>
      </w:pPr>
      <w:r w:rsidRPr="007A2C4D">
        <w:rPr>
          <w:rFonts w:ascii="David" w:hAnsi="David" w:cs="David" w:hint="cs"/>
          <w:b/>
          <w:bCs/>
          <w:sz w:val="24"/>
          <w:szCs w:val="24"/>
          <w:u w:val="single"/>
          <w:rtl/>
        </w:rPr>
        <w:lastRenderedPageBreak/>
        <w:t xml:space="preserve">חיפוש </w:t>
      </w:r>
      <w:r w:rsidR="00131980" w:rsidRPr="007A2C4D">
        <w:rPr>
          <w:rFonts w:ascii="David" w:hAnsi="David" w:cs="David" w:hint="cs"/>
          <w:b/>
          <w:bCs/>
          <w:sz w:val="24"/>
          <w:szCs w:val="24"/>
          <w:u w:val="single"/>
          <w:rtl/>
        </w:rPr>
        <w:t>בטל"ס (פלאפון סלולרי חכם ומחשב):</w:t>
      </w:r>
      <w:r w:rsidR="00131980">
        <w:rPr>
          <w:rFonts w:ascii="David" w:hAnsi="David" w:cs="David" w:hint="cs"/>
          <w:sz w:val="24"/>
          <w:szCs w:val="24"/>
          <w:rtl/>
        </w:rPr>
        <w:t xml:space="preserve"> חיפוש זה צריך להיעשות לאחר בקשה וקבלת צו מבית המשפט. בקשה זו יכולה להיות במעמד צד אחד </w:t>
      </w:r>
      <w:r w:rsidR="00A15152">
        <w:rPr>
          <w:rFonts w:ascii="David" w:hAnsi="David" w:cs="David" w:hint="cs"/>
          <w:sz w:val="24"/>
          <w:szCs w:val="24"/>
          <w:rtl/>
        </w:rPr>
        <w:t>במידה והיא עולה בשלבי החקירה.</w:t>
      </w:r>
      <w:r w:rsidR="006A710B">
        <w:rPr>
          <w:rFonts w:ascii="David" w:hAnsi="David" w:cs="David" w:hint="cs"/>
          <w:sz w:val="24"/>
          <w:szCs w:val="24"/>
          <w:rtl/>
        </w:rPr>
        <w:t xml:space="preserve"> </w:t>
      </w:r>
      <w:r w:rsidR="00A15152">
        <w:rPr>
          <w:rFonts w:ascii="David" w:hAnsi="David" w:cs="David" w:hint="cs"/>
          <w:sz w:val="24"/>
          <w:szCs w:val="24"/>
          <w:rtl/>
        </w:rPr>
        <w:t xml:space="preserve">על ההחלטה בבקשה זו לא ניתן לערער. </w:t>
      </w:r>
    </w:p>
    <w:p w14:paraId="21098484" w14:textId="0D018E0E" w:rsidR="0052007D" w:rsidRDefault="00F273AB" w:rsidP="0052007D">
      <w:pPr>
        <w:spacing w:line="360" w:lineRule="auto"/>
        <w:jc w:val="both"/>
        <w:rPr>
          <w:rFonts w:ascii="David" w:hAnsi="David" w:cs="David"/>
          <w:sz w:val="24"/>
          <w:szCs w:val="24"/>
          <w:rtl/>
        </w:rPr>
      </w:pPr>
      <w:r w:rsidRPr="007A2C4D">
        <w:rPr>
          <w:rFonts w:ascii="David" w:hAnsi="David" w:cs="David" w:hint="cs"/>
          <w:b/>
          <w:bCs/>
          <w:sz w:val="24"/>
          <w:szCs w:val="24"/>
          <w:rtl/>
        </w:rPr>
        <w:t>דנ"פ 1062/21 יונתן אוריך נ' מדינת ישראל:</w:t>
      </w:r>
      <w:r>
        <w:rPr>
          <w:rFonts w:ascii="David" w:hAnsi="David" w:cs="David" w:hint="cs"/>
          <w:sz w:val="24"/>
          <w:szCs w:val="24"/>
          <w:rtl/>
        </w:rPr>
        <w:t xml:space="preserve"> </w:t>
      </w:r>
      <w:r w:rsidR="005D65ED">
        <w:rPr>
          <w:rFonts w:ascii="David" w:hAnsi="David" w:cs="David" w:hint="cs"/>
          <w:sz w:val="24"/>
          <w:szCs w:val="24"/>
          <w:rtl/>
        </w:rPr>
        <w:t xml:space="preserve">בית המשפט דן בסוגיות הנוגעות לצווי חיפוש במחשבים ובפלאפונים ניידים חכמים בשלב החקירה המשטרתית, כאשר טרם התקבלה ההחלטה אם להגיש כתב אישום. </w:t>
      </w:r>
      <w:r w:rsidR="009B60C6">
        <w:rPr>
          <w:rFonts w:ascii="David" w:hAnsi="David" w:cs="David" w:hint="cs"/>
          <w:sz w:val="24"/>
          <w:szCs w:val="24"/>
          <w:rtl/>
        </w:rPr>
        <w:t>בית המשפט קבע כי: בקשה לצווי חיפוש בחומר מחשב בשלב החקירה תעשה במעמד צד אחד</w:t>
      </w:r>
      <w:r w:rsidR="00934E46">
        <w:rPr>
          <w:rFonts w:ascii="David" w:hAnsi="David" w:cs="David" w:hint="cs"/>
          <w:sz w:val="24"/>
          <w:szCs w:val="24"/>
          <w:rtl/>
        </w:rPr>
        <w:t xml:space="preserve"> במשיב לב לאמות מידה מסויימות. </w:t>
      </w:r>
      <w:r w:rsidR="001402A2">
        <w:rPr>
          <w:rFonts w:ascii="David" w:hAnsi="David" w:cs="David" w:hint="cs"/>
          <w:sz w:val="24"/>
          <w:szCs w:val="24"/>
          <w:rtl/>
        </w:rPr>
        <w:t>עוד נקבע כי אין לצדדים זכות השגה בבקשה לצו חיפוש בחומר מחשב, בין אם בערעור, ערר, הליכי החזרת תפוס או בקשה לביטול החלטה. לבסוף קבע בית המשפט כי בשאלת נפקויות החיפוש הבלתי חוקי שבוצע במחשב או פלאפון חכם</w:t>
      </w:r>
      <w:r w:rsidR="00AA28A3">
        <w:rPr>
          <w:rFonts w:ascii="David" w:hAnsi="David" w:cs="David" w:hint="cs"/>
          <w:sz w:val="24"/>
          <w:szCs w:val="24"/>
          <w:rtl/>
        </w:rPr>
        <w:t xml:space="preserve">, פגם זה יהווה שיקול במסגרת ההכרעה בבקשה למתן הצו ובמקרים חריגים ונדירים פגם זה עשוי להוות שיקול מכריע לדחיית הבקשה. כאשר בתום החקירה יוחלט על הגשת כתב האישום, ההשלכות הראייתיות של החיפוש הבלתי חוקי, ייבחנו בהליך העיקרי בהתאם לאמות המידה שנקבעו </w:t>
      </w:r>
      <w:r w:rsidR="00AA28A3" w:rsidRPr="007A2C4D">
        <w:rPr>
          <w:rFonts w:ascii="David" w:hAnsi="David" w:cs="David" w:hint="cs"/>
          <w:sz w:val="24"/>
          <w:szCs w:val="24"/>
          <w:rtl/>
        </w:rPr>
        <w:t xml:space="preserve">בהלכת יששכרוב. </w:t>
      </w:r>
    </w:p>
    <w:p w14:paraId="23859675" w14:textId="0EC59A5F" w:rsidR="0052007D" w:rsidRPr="007A2C4D" w:rsidRDefault="0052007D" w:rsidP="0052007D">
      <w:pPr>
        <w:spacing w:line="360" w:lineRule="auto"/>
        <w:jc w:val="both"/>
        <w:rPr>
          <w:rFonts w:ascii="David" w:hAnsi="David" w:cs="David"/>
          <w:b/>
          <w:bCs/>
          <w:sz w:val="24"/>
          <w:szCs w:val="24"/>
          <w:u w:val="single"/>
          <w:rtl/>
        </w:rPr>
      </w:pPr>
      <w:r w:rsidRPr="007A2C4D">
        <w:rPr>
          <w:rFonts w:ascii="David" w:hAnsi="David" w:cs="David" w:hint="cs"/>
          <w:b/>
          <w:bCs/>
          <w:sz w:val="24"/>
          <w:szCs w:val="24"/>
          <w:u w:val="single"/>
          <w:rtl/>
        </w:rPr>
        <w:t>פסילת ראיות שהושגו שלא כדין:</w:t>
      </w:r>
    </w:p>
    <w:p w14:paraId="29838416" w14:textId="2E0531A5" w:rsidR="001B0C24" w:rsidRPr="001B0C24" w:rsidRDefault="0052007D" w:rsidP="001B0C24">
      <w:pPr>
        <w:spacing w:line="360" w:lineRule="auto"/>
        <w:jc w:val="both"/>
        <w:rPr>
          <w:rFonts w:ascii="David" w:hAnsi="David" w:cs="David"/>
          <w:sz w:val="24"/>
          <w:szCs w:val="24"/>
        </w:rPr>
      </w:pPr>
      <w:r w:rsidRPr="001B0C24">
        <w:rPr>
          <w:rFonts w:ascii="David" w:hAnsi="David" w:cs="David" w:hint="cs"/>
          <w:b/>
          <w:bCs/>
          <w:sz w:val="24"/>
          <w:szCs w:val="24"/>
          <w:rtl/>
        </w:rPr>
        <w:t>סעיף 56א</w:t>
      </w:r>
      <w:r w:rsidR="00C34948">
        <w:rPr>
          <w:rFonts w:ascii="David" w:hAnsi="David" w:cs="David" w:hint="cs"/>
          <w:b/>
          <w:bCs/>
          <w:sz w:val="24"/>
          <w:szCs w:val="24"/>
          <w:rtl/>
        </w:rPr>
        <w:t>(א)</w:t>
      </w:r>
      <w:r w:rsidRPr="001B0C24">
        <w:rPr>
          <w:rFonts w:ascii="David" w:hAnsi="David" w:cs="David" w:hint="cs"/>
          <w:b/>
          <w:bCs/>
          <w:sz w:val="24"/>
          <w:szCs w:val="24"/>
          <w:rtl/>
        </w:rPr>
        <w:t xml:space="preserve"> לפקודת הראיות:</w:t>
      </w:r>
      <w:r>
        <w:rPr>
          <w:rFonts w:ascii="David" w:hAnsi="David" w:cs="David" w:hint="cs"/>
          <w:sz w:val="24"/>
          <w:szCs w:val="24"/>
          <w:rtl/>
        </w:rPr>
        <w:t xml:space="preserve"> </w:t>
      </w:r>
      <w:r w:rsidR="00C34948">
        <w:rPr>
          <w:rFonts w:ascii="David" w:hAnsi="David" w:cs="David" w:hint="cs"/>
          <w:sz w:val="24"/>
          <w:szCs w:val="24"/>
          <w:rtl/>
        </w:rPr>
        <w:t>"</w:t>
      </w:r>
      <w:r w:rsidR="001B0C24" w:rsidRPr="001B0C24">
        <w:rPr>
          <w:rFonts w:ascii="David" w:hAnsi="David" w:cs="David"/>
          <w:sz w:val="24"/>
          <w:szCs w:val="24"/>
          <w:rtl/>
        </w:rPr>
        <w:t>בית המשפט הדן במשפט פלילי רשאי שלא לקבל ראיה שהושגה שלא כדין, ובכלל זה הודעת נאשם או עד, חפץ או כל ראיה אחרת, אם שוכנע שקבלתה במשפט תפגע באופן מהותי בזכות להליך הוגן, בשים לב לאופייה ולחומרתה של ההפרה, למידת ההשפעה של ההפרה על הראיה שהושגה ולעניין הציבורי שבקבלת הראיה או באי-קבלתה; בסעיף קטן זה</w:t>
      </w:r>
      <w:r w:rsidR="001B0C24" w:rsidRPr="001B0C24">
        <w:rPr>
          <w:rFonts w:ascii="David" w:hAnsi="David" w:cs="David"/>
          <w:sz w:val="24"/>
          <w:szCs w:val="24"/>
        </w:rPr>
        <w:t>, "</w:t>
      </w:r>
      <w:r w:rsidR="001B0C24" w:rsidRPr="001B0C24">
        <w:rPr>
          <w:rFonts w:ascii="David" w:hAnsi="David" w:cs="David"/>
          <w:sz w:val="24"/>
          <w:szCs w:val="24"/>
          <w:rtl/>
        </w:rPr>
        <w:t>הפר</w:t>
      </w:r>
      <w:r w:rsidR="00C34948">
        <w:rPr>
          <w:rFonts w:ascii="David" w:hAnsi="David" w:cs="David" w:hint="cs"/>
          <w:sz w:val="24"/>
          <w:szCs w:val="24"/>
          <w:rtl/>
        </w:rPr>
        <w:t xml:space="preserve">ה" </w:t>
      </w:r>
      <w:r w:rsidR="00C34948">
        <w:rPr>
          <w:rFonts w:ascii="David" w:hAnsi="David" w:cs="David"/>
          <w:sz w:val="24"/>
          <w:szCs w:val="24"/>
          <w:rtl/>
        </w:rPr>
        <w:t>–</w:t>
      </w:r>
      <w:r w:rsidR="00C34948">
        <w:rPr>
          <w:rFonts w:ascii="David" w:hAnsi="David" w:cs="David" w:hint="cs"/>
          <w:sz w:val="24"/>
          <w:szCs w:val="24"/>
          <w:rtl/>
        </w:rPr>
        <w:t xml:space="preserve"> </w:t>
      </w:r>
      <w:r w:rsidR="001B0C24" w:rsidRPr="001B0C24">
        <w:rPr>
          <w:rFonts w:ascii="David" w:hAnsi="David" w:cs="David"/>
          <w:sz w:val="24"/>
          <w:szCs w:val="24"/>
        </w:rPr>
        <w:t xml:space="preserve"> </w:t>
      </w:r>
      <w:r w:rsidR="001B0C24" w:rsidRPr="001B0C24">
        <w:rPr>
          <w:rFonts w:ascii="David" w:hAnsi="David" w:cs="David"/>
          <w:sz w:val="24"/>
          <w:szCs w:val="24"/>
          <w:rtl/>
        </w:rPr>
        <w:t>השגת ראיה שלא כדין</w:t>
      </w:r>
      <w:r w:rsidR="00C34948">
        <w:rPr>
          <w:rFonts w:ascii="David" w:hAnsi="David" w:cs="David" w:hint="cs"/>
          <w:sz w:val="24"/>
          <w:szCs w:val="24"/>
          <w:rtl/>
        </w:rPr>
        <w:t xml:space="preserve">". </w:t>
      </w:r>
    </w:p>
    <w:p w14:paraId="545EE351" w14:textId="130A1E75" w:rsidR="0052007D" w:rsidRPr="00D96A78" w:rsidRDefault="00D96A78" w:rsidP="00D96A78">
      <w:pPr>
        <w:spacing w:line="360" w:lineRule="auto"/>
        <w:jc w:val="center"/>
        <w:rPr>
          <w:rFonts w:ascii="David" w:hAnsi="David" w:cs="David"/>
          <w:sz w:val="24"/>
          <w:szCs w:val="24"/>
          <w:u w:val="single"/>
          <w:shd w:val="clear" w:color="auto" w:fill="D0DDFC"/>
          <w:rtl/>
        </w:rPr>
      </w:pPr>
      <w:r w:rsidRPr="00D96A78">
        <w:rPr>
          <w:rFonts w:ascii="David" w:hAnsi="David" w:cs="David" w:hint="cs"/>
          <w:sz w:val="24"/>
          <w:szCs w:val="24"/>
          <w:u w:val="single"/>
          <w:shd w:val="clear" w:color="auto" w:fill="D0DDFC"/>
          <w:rtl/>
        </w:rPr>
        <w:t>כליאה:</w:t>
      </w:r>
    </w:p>
    <w:p w14:paraId="5444022E" w14:textId="38A2700E" w:rsidR="005372FF" w:rsidRPr="005372FF" w:rsidRDefault="005372FF" w:rsidP="0052007D">
      <w:pPr>
        <w:spacing w:line="360" w:lineRule="auto"/>
        <w:jc w:val="both"/>
        <w:rPr>
          <w:rFonts w:ascii="David" w:hAnsi="David" w:cs="David"/>
          <w:sz w:val="24"/>
          <w:szCs w:val="24"/>
          <w:rtl/>
        </w:rPr>
      </w:pPr>
      <w:r>
        <w:rPr>
          <w:rFonts w:ascii="David" w:hAnsi="David" w:cs="David" w:hint="cs"/>
          <w:b/>
          <w:bCs/>
          <w:sz w:val="24"/>
          <w:szCs w:val="24"/>
          <w:u w:val="single"/>
          <w:rtl/>
        </w:rPr>
        <w:lastRenderedPageBreak/>
        <w:t>שטח המחיה של עצורים ואסירים:</w:t>
      </w:r>
      <w:r>
        <w:rPr>
          <w:rFonts w:ascii="David" w:hAnsi="David" w:cs="David" w:hint="cs"/>
          <w:sz w:val="24"/>
          <w:szCs w:val="24"/>
          <w:rtl/>
        </w:rPr>
        <w:t xml:space="preserve"> בהתאם להוראות</w:t>
      </w:r>
      <w:r w:rsidR="00D560B3">
        <w:rPr>
          <w:rFonts w:ascii="David" w:hAnsi="David" w:cs="David" w:hint="cs"/>
          <w:sz w:val="24"/>
          <w:szCs w:val="24"/>
          <w:rtl/>
        </w:rPr>
        <w:t xml:space="preserve"> החוק,</w:t>
      </w:r>
      <w:r>
        <w:rPr>
          <w:rFonts w:ascii="David" w:hAnsi="David" w:cs="David" w:hint="cs"/>
          <w:sz w:val="24"/>
          <w:szCs w:val="24"/>
          <w:rtl/>
        </w:rPr>
        <w:t xml:space="preserve"> הפקודות והתקנות השונות </w:t>
      </w:r>
      <w:r>
        <w:rPr>
          <w:rFonts w:ascii="David" w:hAnsi="David" w:cs="David"/>
          <w:sz w:val="24"/>
          <w:szCs w:val="24"/>
          <w:rtl/>
        </w:rPr>
        <w:t>–</w:t>
      </w:r>
      <w:r>
        <w:rPr>
          <w:rFonts w:ascii="David" w:hAnsi="David" w:cs="David" w:hint="cs"/>
          <w:sz w:val="24"/>
          <w:szCs w:val="24"/>
          <w:rtl/>
        </w:rPr>
        <w:t xml:space="preserve"> תקנות בתי הסוהר, תקנות המעצרים, פקודת בתי הסוהר </w:t>
      </w:r>
      <w:r w:rsidR="00D560B3">
        <w:rPr>
          <w:rFonts w:ascii="David" w:hAnsi="David" w:cs="David" w:hint="cs"/>
          <w:sz w:val="24"/>
          <w:szCs w:val="24"/>
          <w:rtl/>
        </w:rPr>
        <w:t xml:space="preserve">וחוק המעצרים, השטח המינימלי אשר יוקצה לאסיר/עצור יהיה 4 מ"ר ללא שירותים ומקלחת ו4.5 מ"ר כולל. </w:t>
      </w:r>
    </w:p>
    <w:p w14:paraId="3F85E62A" w14:textId="5DCC0A78" w:rsidR="00D96A78" w:rsidRDefault="00D96A78" w:rsidP="0052007D">
      <w:pPr>
        <w:spacing w:line="360" w:lineRule="auto"/>
        <w:jc w:val="both"/>
        <w:rPr>
          <w:rFonts w:ascii="David" w:hAnsi="David" w:cs="David"/>
          <w:sz w:val="24"/>
          <w:szCs w:val="24"/>
          <w:rtl/>
        </w:rPr>
      </w:pPr>
      <w:r>
        <w:rPr>
          <w:rFonts w:ascii="David" w:hAnsi="David" w:cs="David" w:hint="cs"/>
          <w:b/>
          <w:bCs/>
          <w:sz w:val="24"/>
          <w:szCs w:val="24"/>
          <w:rtl/>
        </w:rPr>
        <w:t>בג"ץ 1892/14 האגודה לזכויות האזרח בישראל נ</w:t>
      </w:r>
      <w:r w:rsidR="005372FF">
        <w:rPr>
          <w:rFonts w:ascii="David" w:hAnsi="David" w:cs="David" w:hint="cs"/>
          <w:b/>
          <w:bCs/>
          <w:sz w:val="24"/>
          <w:szCs w:val="24"/>
          <w:rtl/>
        </w:rPr>
        <w:t>'</w:t>
      </w:r>
      <w:r>
        <w:rPr>
          <w:rFonts w:ascii="David" w:hAnsi="David" w:cs="David" w:hint="cs"/>
          <w:b/>
          <w:bCs/>
          <w:sz w:val="24"/>
          <w:szCs w:val="24"/>
          <w:rtl/>
        </w:rPr>
        <w:t xml:space="preserve"> השר לביטחון פנים:</w:t>
      </w:r>
      <w:r>
        <w:rPr>
          <w:rFonts w:ascii="David" w:hAnsi="David" w:cs="David" w:hint="cs"/>
          <w:sz w:val="24"/>
          <w:szCs w:val="24"/>
          <w:rtl/>
        </w:rPr>
        <w:t xml:space="preserve"> </w:t>
      </w:r>
      <w:r w:rsidR="004A5538">
        <w:rPr>
          <w:rFonts w:ascii="David" w:hAnsi="David" w:cs="David" w:hint="cs"/>
          <w:sz w:val="24"/>
          <w:szCs w:val="24"/>
          <w:rtl/>
        </w:rPr>
        <w:t xml:space="preserve">העתירה נסובה בהגדרת התנאים </w:t>
      </w:r>
      <w:r w:rsidR="006B2BEB">
        <w:rPr>
          <w:rFonts w:ascii="David" w:hAnsi="David" w:cs="David" w:hint="cs"/>
          <w:sz w:val="24"/>
          <w:szCs w:val="24"/>
          <w:rtl/>
        </w:rPr>
        <w:t>ההולמים</w:t>
      </w:r>
      <w:r w:rsidR="004A5538">
        <w:rPr>
          <w:rFonts w:ascii="David" w:hAnsi="David" w:cs="David" w:hint="cs"/>
          <w:sz w:val="24"/>
          <w:szCs w:val="24"/>
          <w:rtl/>
        </w:rPr>
        <w:t xml:space="preserve"> </w:t>
      </w:r>
      <w:r w:rsidR="00722677">
        <w:rPr>
          <w:rFonts w:ascii="David" w:hAnsi="David" w:cs="David" w:hint="cs"/>
          <w:sz w:val="24"/>
          <w:szCs w:val="24"/>
          <w:rtl/>
        </w:rPr>
        <w:t>בהחזקת אסיר בבית הכלא לפי סעיף 11ב(ב) לפקודת בתי הסוהר וסעיף 9(א) לחוק המעצרים</w:t>
      </w:r>
      <w:r w:rsidR="006B2BEB">
        <w:rPr>
          <w:rFonts w:ascii="David" w:hAnsi="David" w:cs="David" w:hint="cs"/>
          <w:sz w:val="24"/>
          <w:szCs w:val="24"/>
          <w:rtl/>
        </w:rPr>
        <w:t>.</w:t>
      </w:r>
      <w:r w:rsidR="00736B9F">
        <w:rPr>
          <w:rFonts w:ascii="David" w:hAnsi="David" w:cs="David" w:hint="cs"/>
          <w:sz w:val="24"/>
          <w:szCs w:val="24"/>
          <w:rtl/>
        </w:rPr>
        <w:t xml:space="preserve"> בית המשפט קבע כי ביישום תיקון 42 תקנה 2(ח) לתקנות בית הסוהר, תקנה 3(ה)(3) לתקנות המצערים ותקנה 8 לתקנות בתי הסוהר, </w:t>
      </w:r>
      <w:r w:rsidR="00DA7AAA">
        <w:rPr>
          <w:rFonts w:ascii="David" w:hAnsi="David" w:cs="David" w:hint="cs"/>
          <w:sz w:val="24"/>
          <w:szCs w:val="24"/>
          <w:rtl/>
        </w:rPr>
        <w:t>שטח המחיה המזערי לכל אסיר ועצור יועמד על 4 מ"ר ללא שירותים ומקלחת כמבוקש בעתירה, או 4.5 כולל</w:t>
      </w:r>
      <w:r w:rsidR="005372FF">
        <w:rPr>
          <w:rFonts w:ascii="David" w:hAnsi="David" w:cs="David" w:hint="cs"/>
          <w:sz w:val="24"/>
          <w:szCs w:val="24"/>
          <w:rtl/>
        </w:rPr>
        <w:t xml:space="preserve">. </w:t>
      </w:r>
    </w:p>
    <w:p w14:paraId="6C463EAA" w14:textId="2F592DDA" w:rsidR="00E77FC1" w:rsidRDefault="00CB24DA" w:rsidP="0052007D">
      <w:pPr>
        <w:spacing w:line="360" w:lineRule="auto"/>
        <w:jc w:val="both"/>
        <w:rPr>
          <w:rFonts w:ascii="David" w:hAnsi="David" w:cs="David"/>
          <w:sz w:val="24"/>
          <w:szCs w:val="24"/>
          <w:rtl/>
        </w:rPr>
      </w:pPr>
      <w:r>
        <w:rPr>
          <w:rFonts w:ascii="David" w:hAnsi="David" w:cs="David" w:hint="cs"/>
          <w:sz w:val="24"/>
          <w:szCs w:val="24"/>
          <w:u w:val="single"/>
          <w:rtl/>
        </w:rPr>
        <w:t xml:space="preserve">משמעות </w:t>
      </w:r>
      <w:r w:rsidR="008A2AFF">
        <w:rPr>
          <w:rFonts w:ascii="David" w:hAnsi="David" w:cs="David" w:hint="cs"/>
          <w:sz w:val="24"/>
          <w:szCs w:val="24"/>
          <w:u w:val="single"/>
          <w:rtl/>
        </w:rPr>
        <w:t>בג"ץ זה:</w:t>
      </w:r>
      <w:r w:rsidR="008A2AFF">
        <w:rPr>
          <w:rFonts w:ascii="David" w:hAnsi="David" w:cs="David" w:hint="cs"/>
          <w:sz w:val="24"/>
          <w:szCs w:val="24"/>
          <w:rtl/>
        </w:rPr>
        <w:t xml:space="preserve"> </w:t>
      </w:r>
    </w:p>
    <w:p w14:paraId="4838B266" w14:textId="7F16D131" w:rsidR="00C46B25" w:rsidRDefault="008A2AFF" w:rsidP="00C46B25">
      <w:pPr>
        <w:spacing w:line="360" w:lineRule="auto"/>
        <w:jc w:val="both"/>
        <w:rPr>
          <w:rFonts w:ascii="David" w:hAnsi="David" w:cs="David"/>
          <w:sz w:val="24"/>
          <w:szCs w:val="24"/>
          <w:rtl/>
        </w:rPr>
      </w:pPr>
      <w:r>
        <w:rPr>
          <w:rFonts w:ascii="David" w:hAnsi="David" w:cs="David" w:hint="cs"/>
          <w:sz w:val="24"/>
          <w:szCs w:val="24"/>
          <w:rtl/>
        </w:rPr>
        <w:t xml:space="preserve">בג"ץ זה דרש את הרחבת תאי המעצר והמאסר, מכך נדרש צמצום של כ 1,500 מקומות כליאה עד לסוף שנת 2022 (שהרי צריך להגדיל את התאים, מה שגורם לצמצום בכמות התאים הקיימת). </w:t>
      </w:r>
      <w:r w:rsidR="00077955">
        <w:rPr>
          <w:rFonts w:ascii="David" w:hAnsi="David" w:cs="David" w:hint="cs"/>
          <w:sz w:val="24"/>
          <w:szCs w:val="24"/>
          <w:rtl/>
        </w:rPr>
        <w:t>מכך "בעיית המקום" התרחבה ונדרשו פתרונות בהתאם. פתרונות אלו כוללים</w:t>
      </w:r>
      <w:r w:rsidR="00BC3546">
        <w:rPr>
          <w:rFonts w:ascii="David" w:hAnsi="David" w:cs="David" w:hint="cs"/>
          <w:sz w:val="24"/>
          <w:szCs w:val="24"/>
          <w:rtl/>
        </w:rPr>
        <w:t>:</w:t>
      </w:r>
      <w:r w:rsidR="00077955">
        <w:rPr>
          <w:rFonts w:ascii="David" w:hAnsi="David" w:cs="David" w:hint="cs"/>
          <w:sz w:val="24"/>
          <w:szCs w:val="24"/>
          <w:rtl/>
        </w:rPr>
        <w:t xml:space="preserve"> שחרור מנהלי מורחב, הרחבת הקצאת עבודות </w:t>
      </w:r>
      <w:r w:rsidR="00BC3546">
        <w:rPr>
          <w:rFonts w:ascii="David" w:hAnsi="David" w:cs="David" w:hint="cs"/>
          <w:sz w:val="24"/>
          <w:szCs w:val="24"/>
          <w:rtl/>
        </w:rPr>
        <w:t>ה</w:t>
      </w:r>
      <w:r w:rsidR="00077955">
        <w:rPr>
          <w:rFonts w:ascii="David" w:hAnsi="David" w:cs="David" w:hint="cs"/>
          <w:sz w:val="24"/>
          <w:szCs w:val="24"/>
          <w:rtl/>
        </w:rPr>
        <w:t>שירות למשך 9 חודשים והקמת בתי משפט קהילתיים בכל המחוזות</w:t>
      </w:r>
      <w:r w:rsidR="00C46B25">
        <w:rPr>
          <w:rFonts w:ascii="David" w:hAnsi="David" w:cs="David" w:hint="cs"/>
          <w:sz w:val="24"/>
          <w:szCs w:val="24"/>
          <w:rtl/>
        </w:rPr>
        <w:t xml:space="preserve"> ואף בעתיד חלופת מאסר בקהילה. </w:t>
      </w:r>
      <w:r w:rsidR="00B810B3">
        <w:rPr>
          <w:rFonts w:ascii="David" w:hAnsi="David" w:cs="David" w:hint="cs"/>
          <w:sz w:val="24"/>
          <w:szCs w:val="24"/>
          <w:rtl/>
        </w:rPr>
        <w:t xml:space="preserve">והרחבת סל סמכויות הקצין הממונה לתנאי שחרור בערובה. </w:t>
      </w:r>
    </w:p>
    <w:p w14:paraId="0A781714" w14:textId="49EAE8FE" w:rsidR="00C46B25" w:rsidRDefault="00C46B25" w:rsidP="00C46B25">
      <w:pPr>
        <w:spacing w:line="360" w:lineRule="auto"/>
        <w:jc w:val="both"/>
        <w:rPr>
          <w:rFonts w:ascii="David" w:hAnsi="David" w:cs="David"/>
          <w:sz w:val="24"/>
          <w:szCs w:val="24"/>
          <w:rtl/>
        </w:rPr>
      </w:pPr>
      <w:r>
        <w:rPr>
          <w:rFonts w:ascii="David" w:hAnsi="David" w:cs="David" w:hint="cs"/>
          <w:sz w:val="24"/>
          <w:szCs w:val="24"/>
          <w:rtl/>
        </w:rPr>
        <w:t xml:space="preserve">עניין זה העלה את הטענה כי עולים המון מעצרים מיותרים ומכך כמה הוועדה הממשלתית </w:t>
      </w:r>
      <w:r w:rsidR="005B3450">
        <w:rPr>
          <w:rFonts w:ascii="David" w:hAnsi="David" w:cs="David" w:hint="cs"/>
          <w:sz w:val="24"/>
          <w:szCs w:val="24"/>
          <w:rtl/>
        </w:rPr>
        <w:t xml:space="preserve">- </w:t>
      </w:r>
      <w:r>
        <w:rPr>
          <w:rFonts w:ascii="David" w:hAnsi="David" w:cs="David" w:hint="cs"/>
          <w:sz w:val="24"/>
          <w:szCs w:val="24"/>
          <w:rtl/>
        </w:rPr>
        <w:t xml:space="preserve">וועדת דותן </w:t>
      </w:r>
      <w:r w:rsidR="00B810B3">
        <w:rPr>
          <w:rFonts w:ascii="David" w:hAnsi="David" w:cs="David" w:hint="cs"/>
          <w:sz w:val="24"/>
          <w:szCs w:val="24"/>
          <w:rtl/>
        </w:rPr>
        <w:t xml:space="preserve">לבחינת המעצרים. </w:t>
      </w:r>
    </w:p>
    <w:p w14:paraId="357F553B" w14:textId="7ED12388" w:rsidR="00B21546" w:rsidRDefault="0043633C" w:rsidP="00C46B25">
      <w:pPr>
        <w:spacing w:line="360" w:lineRule="auto"/>
        <w:jc w:val="both"/>
        <w:rPr>
          <w:rFonts w:ascii="David" w:hAnsi="David" w:cs="David"/>
          <w:sz w:val="24"/>
          <w:szCs w:val="24"/>
          <w:rtl/>
        </w:rPr>
      </w:pPr>
      <w:r>
        <w:rPr>
          <w:noProof/>
        </w:rPr>
        <mc:AlternateContent>
          <mc:Choice Requires="wps">
            <w:drawing>
              <wp:anchor distT="0" distB="0" distL="114300" distR="114300" simplePos="0" relativeHeight="251660288" behindDoc="0" locked="0" layoutInCell="1" allowOverlap="1" wp14:anchorId="09E57C5C" wp14:editId="373D4C2E">
                <wp:simplePos x="0" y="0"/>
                <wp:positionH relativeFrom="column">
                  <wp:posOffset>-744855</wp:posOffset>
                </wp:positionH>
                <wp:positionV relativeFrom="paragraph">
                  <wp:posOffset>269312</wp:posOffset>
                </wp:positionV>
                <wp:extent cx="3113429" cy="1585731"/>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3113429" cy="1585731"/>
                        </a:xfrm>
                        <a:prstGeom prst="rect">
                          <a:avLst/>
                        </a:prstGeom>
                        <a:noFill/>
                        <a:ln w="6350">
                          <a:noFill/>
                        </a:ln>
                      </wps:spPr>
                      <wps:txbx>
                        <w:txbxContent>
                          <w:p w14:paraId="086AB34D"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(5) איסור כליאה לצורך שחרור בתנאים בסמכות קצין משטרה. </w:t>
                            </w:r>
                          </w:p>
                          <w:p w14:paraId="006D3491"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(6) שחרור בתנאים בתחנה וזימון לדיון בבית המשפט. </w:t>
                            </w:r>
                          </w:p>
                          <w:p w14:paraId="78865CDD"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(7) התייעצות עם חטיבת התביעות/הפרקליטות. </w:t>
                            </w:r>
                          </w:p>
                          <w:p w14:paraId="55A58159"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(8) חלופת מעצר. </w:t>
                            </w:r>
                          </w:p>
                          <w:p w14:paraId="49600A79" w14:textId="77777777" w:rsidR="0043633C" w:rsidRPr="00B7393F" w:rsidRDefault="0043633C" w:rsidP="0043633C">
                            <w:pPr>
                              <w:spacing w:line="360" w:lineRule="auto"/>
                              <w:jc w:val="both"/>
                              <w:rPr>
                                <w:rFonts w:ascii="David" w:hAnsi="David" w:cs="David"/>
                                <w:sz w:val="24"/>
                                <w:szCs w:val="24"/>
                              </w:rPr>
                            </w:pPr>
                            <w:r>
                              <w:rPr>
                                <w:rFonts w:ascii="David" w:hAnsi="David" w:cs="David" w:hint="cs"/>
                                <w:sz w:val="24"/>
                                <w:szCs w:val="24"/>
                                <w:rtl/>
                              </w:rPr>
                              <w:t xml:space="preserve">(9) ביקורת קצין אח"מ תחנה/מרחב/מחוז מטא"ר.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57C5C" id="_x0000_t202" coordsize="21600,21600" o:spt="202" path="m,l,21600r21600,l21600,xe">
                <v:stroke joinstyle="miter"/>
                <v:path gradientshapeok="t" o:connecttype="rect"/>
              </v:shapetype>
              <v:shape id="תיבת טקסט 4" o:spid="_x0000_s1026" type="#_x0000_t202" style="position:absolute;left:0;text-align:left;margin-left:-58.65pt;margin-top:21.2pt;width:245.15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" filled="f" stroked="f" strokeweight=".5pt">
                <v:textbox>
                  <w:txbxContent>
                    <w:p w14:paraId="086AB34D"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(5) איסור כליאה לצורך שחרור בתנאים בסמכות קצין משטרה. </w:t>
                      </w:r>
                    </w:p>
                    <w:p w14:paraId="006D3491"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(6) שחרור בתנאים בתחנה וזימון לדיון בבית המשפט. </w:t>
                      </w:r>
                    </w:p>
                    <w:p w14:paraId="78865CDD"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(7) התייעצות עם חטיבת התביעות/הפרקליטות. </w:t>
                      </w:r>
                    </w:p>
                    <w:p w14:paraId="55A58159" w14:textId="77777777" w:rsidR="0043633C" w:rsidRDefault="0043633C" w:rsidP="0043633C">
                      <w:pPr>
                        <w:spacing w:line="360" w:lineRule="auto"/>
                        <w:jc w:val="both"/>
                        <w:rPr>
                          <w:rFonts w:ascii="David" w:hAnsi="David" w:cs="David"/>
                          <w:sz w:val="24"/>
                          <w:szCs w:val="24"/>
                          <w:rtl/>
                        </w:rPr>
                      </w:pPr>
                      <w:r>
                        <w:rPr>
                          <w:rFonts w:ascii="David" w:hAnsi="David" w:cs="David" w:hint="cs"/>
                          <w:sz w:val="24"/>
                          <w:szCs w:val="24"/>
                          <w:rtl/>
                        </w:rPr>
                        <w:t xml:space="preserve">(8) חלופת מעצר. </w:t>
                      </w:r>
                    </w:p>
                    <w:p w14:paraId="49600A79" w14:textId="77777777" w:rsidR="0043633C" w:rsidRPr="00B7393F" w:rsidRDefault="0043633C" w:rsidP="0043633C">
                      <w:pPr>
                        <w:spacing w:line="360" w:lineRule="auto"/>
                        <w:jc w:val="both"/>
                        <w:rPr>
                          <w:rFonts w:ascii="David" w:hAnsi="David" w:cs="David"/>
                          <w:sz w:val="24"/>
                          <w:szCs w:val="24"/>
                        </w:rPr>
                      </w:pPr>
                      <w:r>
                        <w:rPr>
                          <w:rFonts w:ascii="David" w:hAnsi="David" w:cs="David" w:hint="cs"/>
                          <w:sz w:val="24"/>
                          <w:szCs w:val="24"/>
                          <w:rtl/>
                        </w:rPr>
                        <w:t xml:space="preserve">(9) ביקורת קצין אח"מ תחנה/מרחב/מחוז מטא"ר. </w:t>
                      </w:r>
                    </w:p>
                  </w:txbxContent>
                </v:textbox>
              </v:shape>
            </w:pict>
          </mc:Fallback>
        </mc:AlternateContent>
      </w:r>
      <w:r w:rsidR="00B21546">
        <w:rPr>
          <w:rFonts w:ascii="David" w:hAnsi="David" w:cs="David" w:hint="cs"/>
          <w:sz w:val="24"/>
          <w:szCs w:val="24"/>
          <w:u w:val="single"/>
          <w:rtl/>
        </w:rPr>
        <w:t xml:space="preserve">הנחיות חטיבת החקירות משנת 2018 </w:t>
      </w:r>
      <w:r w:rsidR="00B21546">
        <w:rPr>
          <w:rFonts w:ascii="David" w:hAnsi="David" w:cs="David"/>
          <w:sz w:val="24"/>
          <w:szCs w:val="24"/>
          <w:u w:val="single"/>
          <w:rtl/>
        </w:rPr>
        <w:t>–</w:t>
      </w:r>
      <w:r w:rsidR="00B21546">
        <w:rPr>
          <w:rFonts w:ascii="David" w:hAnsi="David" w:cs="David" w:hint="cs"/>
          <w:sz w:val="24"/>
          <w:szCs w:val="24"/>
          <w:u w:val="single"/>
          <w:rtl/>
        </w:rPr>
        <w:t xml:space="preserve"> שיקול הדעת במעצר ושחרור על ידי קצין משטרה:</w:t>
      </w:r>
      <w:r w:rsidR="00B21546">
        <w:rPr>
          <w:rFonts w:ascii="David" w:hAnsi="David" w:cs="David" w:hint="cs"/>
          <w:sz w:val="24"/>
          <w:szCs w:val="24"/>
          <w:rtl/>
        </w:rPr>
        <w:t xml:space="preserve"> </w:t>
      </w:r>
    </w:p>
    <w:p w14:paraId="35EBBB69" w14:textId="003EA874" w:rsidR="00706E0B" w:rsidRDefault="00706E0B" w:rsidP="00C46B25">
      <w:pPr>
        <w:spacing w:line="360" w:lineRule="auto"/>
        <w:jc w:val="both"/>
        <w:rPr>
          <w:rFonts w:ascii="David" w:hAnsi="David" w:cs="David"/>
          <w:sz w:val="24"/>
          <w:szCs w:val="24"/>
          <w:rtl/>
        </w:rPr>
      </w:pPr>
      <w:r>
        <w:rPr>
          <w:rFonts w:ascii="David" w:hAnsi="David" w:cs="David" w:hint="cs"/>
          <w:sz w:val="24"/>
          <w:szCs w:val="24"/>
          <w:rtl/>
        </w:rPr>
        <w:t xml:space="preserve">(1) קריאת תיק החקירה. </w:t>
      </w:r>
    </w:p>
    <w:p w14:paraId="790E93C7" w14:textId="73B8A79B" w:rsidR="00706E0B" w:rsidRDefault="00706E0B" w:rsidP="00C46B25">
      <w:pPr>
        <w:spacing w:line="360" w:lineRule="auto"/>
        <w:jc w:val="both"/>
        <w:rPr>
          <w:rFonts w:ascii="David" w:hAnsi="David" w:cs="David"/>
          <w:sz w:val="24"/>
          <w:szCs w:val="24"/>
          <w:rtl/>
        </w:rPr>
      </w:pPr>
      <w:r>
        <w:rPr>
          <w:rFonts w:ascii="David" w:hAnsi="David" w:cs="David" w:hint="cs"/>
          <w:sz w:val="24"/>
          <w:szCs w:val="24"/>
          <w:rtl/>
        </w:rPr>
        <w:lastRenderedPageBreak/>
        <w:t xml:space="preserve">(2) קיום עילת מעצר. </w:t>
      </w:r>
    </w:p>
    <w:p w14:paraId="213138A5" w14:textId="7FE17E2A" w:rsidR="00706E0B" w:rsidRDefault="00706E0B" w:rsidP="00C46B25">
      <w:pPr>
        <w:spacing w:line="360" w:lineRule="auto"/>
        <w:jc w:val="both"/>
        <w:rPr>
          <w:rFonts w:ascii="David" w:hAnsi="David" w:cs="David"/>
          <w:sz w:val="24"/>
          <w:szCs w:val="24"/>
          <w:rtl/>
        </w:rPr>
      </w:pPr>
      <w:r>
        <w:rPr>
          <w:rFonts w:ascii="David" w:hAnsi="David" w:cs="David" w:hint="cs"/>
          <w:sz w:val="24"/>
          <w:szCs w:val="24"/>
          <w:rtl/>
        </w:rPr>
        <w:t xml:space="preserve">(3) עניין נוסף הדורש מעצר. </w:t>
      </w:r>
    </w:p>
    <w:p w14:paraId="3012E7AF" w14:textId="0CCBC718" w:rsidR="00706E0B" w:rsidRDefault="00706E0B" w:rsidP="00C46B25">
      <w:pPr>
        <w:spacing w:line="360" w:lineRule="auto"/>
        <w:jc w:val="both"/>
        <w:rPr>
          <w:rFonts w:ascii="David" w:hAnsi="David" w:cs="David"/>
          <w:sz w:val="24"/>
          <w:szCs w:val="24"/>
          <w:rtl/>
        </w:rPr>
      </w:pPr>
      <w:r>
        <w:rPr>
          <w:rFonts w:ascii="David" w:hAnsi="David" w:cs="David" w:hint="cs"/>
          <w:sz w:val="24"/>
          <w:szCs w:val="24"/>
          <w:rtl/>
        </w:rPr>
        <w:t xml:space="preserve">(4) בחינת הצדקת קיום החקירה כאשר החשוד עצור. </w:t>
      </w:r>
    </w:p>
    <w:p w14:paraId="7DE28C37" w14:textId="77777777" w:rsidR="005B3450" w:rsidRDefault="005B3450" w:rsidP="00E20FF0">
      <w:pPr>
        <w:pStyle w:val="a7"/>
        <w:spacing w:line="360" w:lineRule="auto"/>
        <w:ind w:left="360"/>
        <w:jc w:val="center"/>
        <w:rPr>
          <w:rFonts w:ascii="David" w:hAnsi="David" w:cs="David"/>
          <w:sz w:val="24"/>
          <w:szCs w:val="24"/>
          <w:u w:val="single"/>
          <w:shd w:val="clear" w:color="auto" w:fill="D0DDFC"/>
          <w:rtl/>
        </w:rPr>
      </w:pPr>
    </w:p>
    <w:p w14:paraId="25AB69DB" w14:textId="77777777" w:rsidR="005B3450" w:rsidRDefault="005B3450" w:rsidP="00E20FF0">
      <w:pPr>
        <w:pStyle w:val="a7"/>
        <w:spacing w:line="360" w:lineRule="auto"/>
        <w:ind w:left="360"/>
        <w:jc w:val="center"/>
        <w:rPr>
          <w:rFonts w:ascii="David" w:hAnsi="David" w:cs="David"/>
          <w:sz w:val="24"/>
          <w:szCs w:val="24"/>
          <w:u w:val="single"/>
          <w:shd w:val="clear" w:color="auto" w:fill="D0DDFC"/>
          <w:rtl/>
        </w:rPr>
      </w:pPr>
    </w:p>
    <w:p w14:paraId="34616214" w14:textId="77777777" w:rsidR="005B3450" w:rsidRDefault="005B3450" w:rsidP="00E20FF0">
      <w:pPr>
        <w:pStyle w:val="a7"/>
        <w:spacing w:line="360" w:lineRule="auto"/>
        <w:ind w:left="360"/>
        <w:jc w:val="center"/>
        <w:rPr>
          <w:rFonts w:ascii="David" w:hAnsi="David" w:cs="David"/>
          <w:sz w:val="24"/>
          <w:szCs w:val="24"/>
          <w:u w:val="single"/>
          <w:shd w:val="clear" w:color="auto" w:fill="D0DDFC"/>
          <w:rtl/>
        </w:rPr>
      </w:pPr>
    </w:p>
    <w:p w14:paraId="2EC66346" w14:textId="3C08B054" w:rsidR="00E20FF0" w:rsidRPr="00D24423" w:rsidRDefault="00E20FF0" w:rsidP="00E20FF0">
      <w:pPr>
        <w:pStyle w:val="a7"/>
        <w:spacing w:line="360" w:lineRule="auto"/>
        <w:ind w:left="360"/>
        <w:jc w:val="center"/>
        <w:rPr>
          <w:rFonts w:ascii="David" w:hAnsi="David" w:cs="David"/>
          <w:sz w:val="24"/>
          <w:szCs w:val="24"/>
          <w:u w:val="single"/>
          <w:rtl/>
        </w:rPr>
      </w:pPr>
      <w:r>
        <w:rPr>
          <w:rFonts w:ascii="David" w:hAnsi="David" w:cs="David" w:hint="cs"/>
          <w:sz w:val="24"/>
          <w:szCs w:val="24"/>
          <w:u w:val="single"/>
          <w:shd w:val="clear" w:color="auto" w:fill="D0DDFC"/>
          <w:rtl/>
        </w:rPr>
        <w:t>סגירת תיק והעמדה לדין</w:t>
      </w:r>
      <w:r w:rsidRPr="00D24423">
        <w:rPr>
          <w:rFonts w:ascii="David" w:hAnsi="David" w:cs="David" w:hint="cs"/>
          <w:sz w:val="24"/>
          <w:szCs w:val="24"/>
          <w:u w:val="single"/>
          <w:shd w:val="clear" w:color="auto" w:fill="D0DDFC"/>
          <w:rtl/>
        </w:rPr>
        <w:t>:</w:t>
      </w:r>
    </w:p>
    <w:p w14:paraId="35AD9445" w14:textId="0B4214C6" w:rsidR="005377BC" w:rsidRPr="00883478" w:rsidRDefault="005377BC" w:rsidP="00883478">
      <w:pPr>
        <w:spacing w:line="360" w:lineRule="auto"/>
        <w:jc w:val="both"/>
        <w:rPr>
          <w:rFonts w:ascii="David" w:hAnsi="David" w:cs="David"/>
          <w:sz w:val="24"/>
          <w:szCs w:val="24"/>
          <w:rtl/>
        </w:rPr>
      </w:pPr>
      <w:r w:rsidRPr="005377BC">
        <w:rPr>
          <w:rFonts w:ascii="David" w:hAnsi="David" w:cs="David" w:hint="cs"/>
          <w:b/>
          <w:bCs/>
          <w:sz w:val="24"/>
          <w:szCs w:val="24"/>
          <w:u w:val="single"/>
          <w:rtl/>
        </w:rPr>
        <w:t>סעיף 62א' לחוק סדר הדין הפלילי:</w:t>
      </w:r>
      <w:r>
        <w:rPr>
          <w:rFonts w:ascii="David" w:hAnsi="David" w:cs="David" w:hint="cs"/>
          <w:sz w:val="24"/>
          <w:szCs w:val="24"/>
          <w:rtl/>
        </w:rPr>
        <w:t xml:space="preserve"> "ראה תובע שהועבר אליו חומר החקירה שהראיות מספיקות לאישום אדם פלוני, יעמידו לדין, זולת אם סבר שנסיבות העניין בכללותן אינן מתאימות לפתיחה בחקירה/העמדה לדין".</w:t>
      </w:r>
    </w:p>
    <w:p w14:paraId="4CF358F7" w14:textId="6FAD4FDE" w:rsidR="00883478" w:rsidRPr="00883478" w:rsidRDefault="00883478" w:rsidP="009129E8">
      <w:pPr>
        <w:spacing w:line="360" w:lineRule="auto"/>
        <w:jc w:val="both"/>
        <w:rPr>
          <w:rFonts w:ascii="David" w:hAnsi="David" w:cs="David"/>
          <w:sz w:val="24"/>
          <w:szCs w:val="24"/>
          <w:rtl/>
        </w:rPr>
      </w:pPr>
      <w:r>
        <w:rPr>
          <w:rFonts w:ascii="David" w:hAnsi="David" w:cs="David" w:hint="cs"/>
          <w:b/>
          <w:bCs/>
          <w:sz w:val="24"/>
          <w:szCs w:val="24"/>
          <w:u w:val="single"/>
          <w:rtl/>
        </w:rPr>
        <w:t>סגירת תיק:</w:t>
      </w:r>
    </w:p>
    <w:p w14:paraId="0A6A4BCE" w14:textId="0123940D" w:rsidR="009129E8" w:rsidRDefault="009129E8" w:rsidP="009129E8">
      <w:pPr>
        <w:spacing w:line="360" w:lineRule="auto"/>
        <w:jc w:val="both"/>
        <w:rPr>
          <w:rFonts w:ascii="David" w:hAnsi="David" w:cs="David"/>
          <w:sz w:val="24"/>
          <w:szCs w:val="24"/>
          <w:rtl/>
        </w:rPr>
      </w:pPr>
      <w:r>
        <w:rPr>
          <w:rFonts w:ascii="David" w:hAnsi="David" w:cs="David" w:hint="cs"/>
          <w:sz w:val="24"/>
          <w:szCs w:val="24"/>
          <w:u w:val="single"/>
          <w:rtl/>
        </w:rPr>
        <w:t xml:space="preserve">תפקיד התובע: </w:t>
      </w:r>
      <w:r>
        <w:rPr>
          <w:rFonts w:ascii="David" w:hAnsi="David" w:cs="David" w:hint="cs"/>
          <w:sz w:val="24"/>
          <w:szCs w:val="24"/>
          <w:rtl/>
        </w:rPr>
        <w:t>גילוי וחקר האמת, פיקוח על החקירה, קבלת ההחלטה האם להעמיד לדין, הגשת הראיות וחומרי החקירה אל בית המשפט</w:t>
      </w:r>
      <w:r w:rsidR="000A0B08">
        <w:rPr>
          <w:rFonts w:ascii="David" w:hAnsi="David" w:cs="David" w:hint="cs"/>
          <w:sz w:val="24"/>
          <w:szCs w:val="24"/>
          <w:rtl/>
        </w:rPr>
        <w:t xml:space="preserve"> והצגת עמדת התביעה לעונש (תיקון 113). </w:t>
      </w:r>
    </w:p>
    <w:p w14:paraId="46F18ADE" w14:textId="0DA717AA" w:rsidR="000A0B08" w:rsidRDefault="000A0B08" w:rsidP="009129E8">
      <w:pPr>
        <w:spacing w:line="360" w:lineRule="auto"/>
        <w:jc w:val="both"/>
        <w:rPr>
          <w:rFonts w:ascii="David" w:hAnsi="David" w:cs="David"/>
          <w:sz w:val="24"/>
          <w:szCs w:val="24"/>
          <w:rtl/>
        </w:rPr>
      </w:pPr>
      <w:r>
        <w:rPr>
          <w:rFonts w:ascii="David" w:hAnsi="David" w:cs="David" w:hint="cs"/>
          <w:sz w:val="24"/>
          <w:szCs w:val="24"/>
          <w:u w:val="single"/>
          <w:rtl/>
        </w:rPr>
        <w:t>עילות גניזה:</w:t>
      </w:r>
      <w:r>
        <w:rPr>
          <w:rFonts w:ascii="David" w:hAnsi="David" w:cs="David" w:hint="cs"/>
          <w:sz w:val="24"/>
          <w:szCs w:val="24"/>
          <w:rtl/>
        </w:rPr>
        <w:t xml:space="preserve"> ישנן 3 עילות גניזה מרכזיות אשר בגינן ניתן להחליט </w:t>
      </w:r>
      <w:r w:rsidR="00B738D6">
        <w:rPr>
          <w:rFonts w:ascii="David" w:hAnsi="David" w:cs="David" w:hint="cs"/>
          <w:sz w:val="24"/>
          <w:szCs w:val="24"/>
          <w:rtl/>
        </w:rPr>
        <w:t>שלא להגיש כתב אישום:</w:t>
      </w:r>
    </w:p>
    <w:p w14:paraId="603892AF" w14:textId="217E655C" w:rsidR="00B738D6" w:rsidRDefault="00B738D6" w:rsidP="009129E8">
      <w:pPr>
        <w:spacing w:line="360" w:lineRule="auto"/>
        <w:jc w:val="both"/>
        <w:rPr>
          <w:rFonts w:ascii="David" w:hAnsi="David" w:cs="David"/>
          <w:sz w:val="24"/>
          <w:szCs w:val="24"/>
          <w:rtl/>
        </w:rPr>
      </w:pPr>
      <w:r w:rsidRPr="00EC1D58">
        <w:rPr>
          <w:rFonts w:ascii="David" w:hAnsi="David" w:cs="David" w:hint="cs"/>
          <w:b/>
          <w:bCs/>
          <w:sz w:val="24"/>
          <w:szCs w:val="24"/>
          <w:rtl/>
        </w:rPr>
        <w:lastRenderedPageBreak/>
        <w:t>(1) חוסר ראיות מספיקות:</w:t>
      </w:r>
      <w:r>
        <w:rPr>
          <w:rFonts w:ascii="David" w:hAnsi="David" w:cs="David" w:hint="cs"/>
          <w:sz w:val="24"/>
          <w:szCs w:val="24"/>
          <w:rtl/>
        </w:rPr>
        <w:t xml:space="preserve"> לפני הגשת כתב האישום על התובע לבחון מה סיכויי ההצלחה בתביעה. ובמידה ואין סיכוי הצלחה גבוה או תשתית ראייתית עמוקה (מבחן הסיכוי הסביר להרשעה), אין להגיש כתב אישום ו</w:t>
      </w:r>
      <w:r w:rsidR="00D2518D">
        <w:rPr>
          <w:rFonts w:ascii="David" w:hAnsi="David" w:cs="David" w:hint="cs"/>
          <w:sz w:val="24"/>
          <w:szCs w:val="24"/>
          <w:rtl/>
        </w:rPr>
        <w:t xml:space="preserve">יש </w:t>
      </w:r>
      <w:r>
        <w:rPr>
          <w:rFonts w:ascii="David" w:hAnsi="David" w:cs="David" w:hint="cs"/>
          <w:sz w:val="24"/>
          <w:szCs w:val="24"/>
          <w:rtl/>
        </w:rPr>
        <w:t xml:space="preserve">לסגור את התיק. </w:t>
      </w:r>
    </w:p>
    <w:p w14:paraId="70AEA3AA" w14:textId="77777777" w:rsidR="00EC1D58" w:rsidRDefault="00CD5091" w:rsidP="009129E8">
      <w:pPr>
        <w:spacing w:line="360" w:lineRule="auto"/>
        <w:jc w:val="both"/>
        <w:rPr>
          <w:rFonts w:ascii="David" w:hAnsi="David" w:cs="David"/>
          <w:sz w:val="24"/>
          <w:szCs w:val="24"/>
          <w:rtl/>
        </w:rPr>
      </w:pPr>
      <w:r>
        <w:rPr>
          <w:rFonts w:ascii="David" w:hAnsi="David" w:cs="David" w:hint="cs"/>
          <w:sz w:val="24"/>
          <w:szCs w:val="24"/>
          <w:rtl/>
        </w:rPr>
        <w:t>סיכוי סביר להרשעה עולה לאחר בחינת הראיות.</w:t>
      </w:r>
      <w:r w:rsidR="0061390D">
        <w:rPr>
          <w:rFonts w:ascii="David" w:hAnsi="David" w:cs="David" w:hint="cs"/>
          <w:sz w:val="24"/>
          <w:szCs w:val="24"/>
          <w:rtl/>
        </w:rPr>
        <w:t xml:space="preserve"> </w:t>
      </w:r>
      <w:r>
        <w:rPr>
          <w:rFonts w:ascii="David" w:hAnsi="David" w:cs="David" w:hint="cs"/>
          <w:sz w:val="24"/>
          <w:szCs w:val="24"/>
          <w:rtl/>
        </w:rPr>
        <w:t xml:space="preserve">במידה והחקירה מעלה ראיות חזקות </w:t>
      </w:r>
      <w:r>
        <w:rPr>
          <w:rFonts w:ascii="David" w:hAnsi="David" w:cs="David" w:hint="cs"/>
          <w:b/>
          <w:bCs/>
          <w:sz w:val="24"/>
          <w:szCs w:val="24"/>
          <w:rtl/>
        </w:rPr>
        <w:t xml:space="preserve">לדוגמה </w:t>
      </w:r>
      <w:r>
        <w:rPr>
          <w:rFonts w:ascii="David" w:hAnsi="David" w:cs="David" w:hint="cs"/>
          <w:sz w:val="24"/>
          <w:szCs w:val="24"/>
          <w:rtl/>
        </w:rPr>
        <w:t>טביעת אצבע/כתם דם</w:t>
      </w:r>
      <w:r w:rsidR="00EC1D58">
        <w:rPr>
          <w:rFonts w:ascii="David" w:hAnsi="David" w:cs="David" w:hint="cs"/>
          <w:sz w:val="24"/>
          <w:szCs w:val="24"/>
          <w:rtl/>
        </w:rPr>
        <w:t xml:space="preserve">/תצלומים </w:t>
      </w:r>
      <w:r w:rsidR="006C6A3F">
        <w:rPr>
          <w:rFonts w:ascii="David" w:hAnsi="David" w:cs="David" w:hint="cs"/>
          <w:sz w:val="24"/>
          <w:szCs w:val="24"/>
          <w:rtl/>
        </w:rPr>
        <w:t xml:space="preserve">ואין לנחקר "אליבי" והסבר הגיוני לראיות אלו, </w:t>
      </w:r>
      <w:r w:rsidR="0061390D">
        <w:rPr>
          <w:rFonts w:ascii="David" w:hAnsi="David" w:cs="David" w:hint="cs"/>
          <w:sz w:val="24"/>
          <w:szCs w:val="24"/>
          <w:rtl/>
        </w:rPr>
        <w:t>נמשיך אל כתב האישום.</w:t>
      </w:r>
    </w:p>
    <w:p w14:paraId="7A267672" w14:textId="77777777" w:rsidR="009977B0" w:rsidRDefault="00EC1D58" w:rsidP="009129E8">
      <w:pPr>
        <w:spacing w:line="360" w:lineRule="auto"/>
        <w:jc w:val="both"/>
        <w:rPr>
          <w:rFonts w:ascii="David" w:hAnsi="David" w:cs="David"/>
          <w:sz w:val="24"/>
          <w:szCs w:val="24"/>
          <w:rtl/>
        </w:rPr>
      </w:pPr>
      <w:r>
        <w:rPr>
          <w:rFonts w:ascii="David" w:hAnsi="David" w:cs="David" w:hint="cs"/>
          <w:b/>
          <w:bCs/>
          <w:sz w:val="24"/>
          <w:szCs w:val="24"/>
          <w:rtl/>
        </w:rPr>
        <w:t xml:space="preserve">(2) נסיבות העניין אינן מתאימות להעמדה לדין </w:t>
      </w:r>
      <w:r>
        <w:rPr>
          <w:rFonts w:ascii="David" w:hAnsi="David" w:cs="David"/>
          <w:b/>
          <w:bCs/>
          <w:sz w:val="24"/>
          <w:szCs w:val="24"/>
          <w:rtl/>
        </w:rPr>
        <w:t>–</w:t>
      </w:r>
      <w:r>
        <w:rPr>
          <w:rFonts w:ascii="David" w:hAnsi="David" w:cs="David" w:hint="cs"/>
          <w:b/>
          <w:bCs/>
          <w:sz w:val="24"/>
          <w:szCs w:val="24"/>
          <w:rtl/>
        </w:rPr>
        <w:t xml:space="preserve"> "חוסר עניין לציבור":</w:t>
      </w:r>
      <w:r>
        <w:rPr>
          <w:rFonts w:ascii="David" w:hAnsi="David" w:cs="David" w:hint="cs"/>
          <w:sz w:val="24"/>
          <w:szCs w:val="24"/>
          <w:rtl/>
        </w:rPr>
        <w:t xml:space="preserve"> </w:t>
      </w:r>
      <w:r w:rsidR="00FA0CB8">
        <w:rPr>
          <w:rFonts w:ascii="David" w:hAnsi="David" w:cs="David" w:hint="cs"/>
          <w:sz w:val="24"/>
          <w:szCs w:val="24"/>
          <w:rtl/>
        </w:rPr>
        <w:t xml:space="preserve">מקרים בהם אין עניין להעמיד את "העבריין" לדין, </w:t>
      </w:r>
      <w:r w:rsidR="00FA0CB8">
        <w:rPr>
          <w:rFonts w:ascii="David" w:hAnsi="David" w:cs="David" w:hint="cs"/>
          <w:b/>
          <w:bCs/>
          <w:sz w:val="24"/>
          <w:szCs w:val="24"/>
          <w:rtl/>
        </w:rPr>
        <w:t>לדוגמה</w:t>
      </w:r>
      <w:r w:rsidR="00FA0CB8">
        <w:rPr>
          <w:rFonts w:ascii="David" w:hAnsi="David" w:cs="David" w:hint="cs"/>
          <w:sz w:val="24"/>
          <w:szCs w:val="24"/>
          <w:rtl/>
        </w:rPr>
        <w:t>, גניבת "מטרנה" מסופרים (לשימוש אישי)</w:t>
      </w:r>
      <w:r w:rsidR="000C20FE">
        <w:rPr>
          <w:rFonts w:ascii="David" w:hAnsi="David" w:cs="David" w:hint="cs"/>
          <w:sz w:val="24"/>
          <w:szCs w:val="24"/>
          <w:rtl/>
        </w:rPr>
        <w:t xml:space="preserve">. כאשר אנו בוחנים אם הנסיבות מתאימות להעמדה לדין, עלינו לבחון את חומרת העבירה, נסיבות הביצוע, הנסיבות האישיות של החשוד, </w:t>
      </w:r>
      <w:r w:rsidR="0064789C">
        <w:rPr>
          <w:rFonts w:ascii="David" w:hAnsi="David" w:cs="David" w:hint="cs"/>
          <w:sz w:val="24"/>
          <w:szCs w:val="24"/>
          <w:rtl/>
        </w:rPr>
        <w:t xml:space="preserve">הנסיבות הקשורות לנפגע העבירה ואת מדיניות האכיפה המותווית במדיניות התביעה (הנחיית פרקליט המדינה). </w:t>
      </w:r>
      <w:r w:rsidR="009977B0">
        <w:rPr>
          <w:rFonts w:ascii="David" w:hAnsi="David" w:cs="David" w:hint="cs"/>
          <w:sz w:val="24"/>
          <w:szCs w:val="24"/>
          <w:rtl/>
        </w:rPr>
        <w:t xml:space="preserve">נסיבות אלו עומדות תחת שיקול דעת התובע. </w:t>
      </w:r>
    </w:p>
    <w:p w14:paraId="7D596D35" w14:textId="660C7F7B" w:rsidR="00FD144A" w:rsidRDefault="009977B0" w:rsidP="009129E8">
      <w:pPr>
        <w:spacing w:line="360" w:lineRule="auto"/>
        <w:jc w:val="both"/>
        <w:rPr>
          <w:rFonts w:ascii="David" w:hAnsi="David" w:cs="David"/>
          <w:sz w:val="24"/>
          <w:szCs w:val="24"/>
          <w:rtl/>
        </w:rPr>
      </w:pPr>
      <w:r>
        <w:rPr>
          <w:rFonts w:ascii="David" w:hAnsi="David" w:cs="David" w:hint="cs"/>
          <w:b/>
          <w:bCs/>
          <w:sz w:val="24"/>
          <w:szCs w:val="24"/>
          <w:rtl/>
        </w:rPr>
        <w:t>(3)</w:t>
      </w:r>
      <w:r w:rsidR="00B20A94">
        <w:rPr>
          <w:rFonts w:ascii="David" w:hAnsi="David" w:cs="David" w:hint="cs"/>
          <w:b/>
          <w:bCs/>
          <w:sz w:val="24"/>
          <w:szCs w:val="24"/>
          <w:rtl/>
        </w:rPr>
        <w:t xml:space="preserve"> היעדר אשמה וחוסר ראיות </w:t>
      </w:r>
      <w:r w:rsidR="00B20A94">
        <w:rPr>
          <w:rFonts w:ascii="David" w:hAnsi="David" w:cs="David"/>
          <w:b/>
          <w:bCs/>
          <w:sz w:val="24"/>
          <w:szCs w:val="24"/>
          <w:rtl/>
        </w:rPr>
        <w:t>–</w:t>
      </w:r>
      <w:r w:rsidR="00B20A94">
        <w:rPr>
          <w:rFonts w:ascii="David" w:hAnsi="David" w:cs="David" w:hint="cs"/>
          <w:b/>
          <w:bCs/>
          <w:sz w:val="24"/>
          <w:szCs w:val="24"/>
          <w:rtl/>
        </w:rPr>
        <w:t xml:space="preserve"> הנחיית פרקליט </w:t>
      </w:r>
      <w:r w:rsidR="0091639B">
        <w:rPr>
          <w:rFonts w:ascii="David" w:hAnsi="David" w:cs="David" w:hint="cs"/>
          <w:b/>
          <w:bCs/>
          <w:sz w:val="24"/>
          <w:szCs w:val="24"/>
          <w:rtl/>
        </w:rPr>
        <w:t>המדינה מספר 1.3:</w:t>
      </w:r>
      <w:r w:rsidR="0091639B">
        <w:rPr>
          <w:rFonts w:ascii="David" w:hAnsi="David" w:cs="David" w:hint="cs"/>
          <w:sz w:val="24"/>
          <w:szCs w:val="24"/>
          <w:rtl/>
        </w:rPr>
        <w:t xml:space="preserve"> עוצמת הראיות בתיקים פליליים נעה בטווח שבין 0 </w:t>
      </w:r>
      <w:r w:rsidR="0091639B">
        <w:rPr>
          <w:rFonts w:ascii="David" w:hAnsi="David" w:cs="David"/>
          <w:sz w:val="24"/>
          <w:szCs w:val="24"/>
          <w:rtl/>
        </w:rPr>
        <w:t>–</w:t>
      </w:r>
      <w:r w:rsidR="0091639B">
        <w:rPr>
          <w:rFonts w:ascii="David" w:hAnsi="David" w:cs="David" w:hint="cs"/>
          <w:sz w:val="24"/>
          <w:szCs w:val="24"/>
          <w:rtl/>
        </w:rPr>
        <w:t xml:space="preserve"> אין כל ראיה הקושרת את החשוד לביצוע העבירה, ל 10 </w:t>
      </w:r>
      <w:r w:rsidR="0091639B">
        <w:rPr>
          <w:rFonts w:ascii="David" w:hAnsi="David" w:cs="David"/>
          <w:sz w:val="24"/>
          <w:szCs w:val="24"/>
          <w:rtl/>
        </w:rPr>
        <w:t>–</w:t>
      </w:r>
      <w:r w:rsidR="0091639B">
        <w:rPr>
          <w:rFonts w:ascii="David" w:hAnsi="David" w:cs="David" w:hint="cs"/>
          <w:sz w:val="24"/>
          <w:szCs w:val="24"/>
          <w:rtl/>
        </w:rPr>
        <w:t xml:space="preserve"> הראיות קושרות את הנאשם לעבירה באופן וודאי. דירוג הראיה במספר 5, מבטא סיכוי זהה שהחשוד ביצע את העבירה לסיכוי שהוא לא ביצע אותה. </w:t>
      </w:r>
      <w:r w:rsidR="0027149F">
        <w:rPr>
          <w:rFonts w:ascii="David" w:hAnsi="David" w:cs="David" w:hint="cs"/>
          <w:sz w:val="24"/>
          <w:szCs w:val="24"/>
          <w:rtl/>
        </w:rPr>
        <w:t>מכך, בתיק שבו עוצמת הראיות תהה 2 ומטה, התיק ייסגר בעילת גניזה של היעדר אשמה ואילו בתיק שעוצמת הראיות בו מעל 2, הוא ייסגר בעילת גניזה של חוסר ראיות. סקאלה זו מהווה כלי עזר נוס</w:t>
      </w:r>
      <w:r w:rsidR="00C153D8">
        <w:rPr>
          <w:rFonts w:ascii="David" w:hAnsi="David" w:cs="David" w:hint="cs"/>
          <w:sz w:val="24"/>
          <w:szCs w:val="24"/>
          <w:rtl/>
        </w:rPr>
        <w:t>ף</w:t>
      </w:r>
      <w:r w:rsidR="0027149F">
        <w:rPr>
          <w:rFonts w:ascii="David" w:hAnsi="David" w:cs="David" w:hint="cs"/>
          <w:sz w:val="24"/>
          <w:szCs w:val="24"/>
          <w:rtl/>
        </w:rPr>
        <w:t xml:space="preserve"> לתובע במתן החלטותיו. </w:t>
      </w:r>
    </w:p>
    <w:p w14:paraId="7FFC5985" w14:textId="77777777" w:rsidR="00937E74" w:rsidRDefault="00937E74" w:rsidP="00C153D8">
      <w:pPr>
        <w:spacing w:line="360" w:lineRule="auto"/>
        <w:jc w:val="both"/>
        <w:rPr>
          <w:rFonts w:ascii="David" w:hAnsi="David" w:cs="David"/>
          <w:sz w:val="24"/>
          <w:szCs w:val="24"/>
          <w:u w:val="single"/>
          <w:rtl/>
        </w:rPr>
      </w:pPr>
      <w:r>
        <w:rPr>
          <w:rFonts w:ascii="David" w:hAnsi="David" w:cs="David" w:hint="cs"/>
          <w:sz w:val="24"/>
          <w:szCs w:val="24"/>
          <w:u w:val="single"/>
          <w:rtl/>
        </w:rPr>
        <w:t>עילות נוספות אשר עשויות להשפיע על הגשת כתב האישום יהיו:</w:t>
      </w:r>
    </w:p>
    <w:p w14:paraId="0CEEB664" w14:textId="5A78B992" w:rsidR="00C153D8" w:rsidRDefault="00937E74" w:rsidP="00C153D8">
      <w:pPr>
        <w:spacing w:line="360" w:lineRule="auto"/>
        <w:jc w:val="both"/>
        <w:rPr>
          <w:rFonts w:ascii="David" w:hAnsi="David" w:cs="David"/>
          <w:sz w:val="24"/>
          <w:szCs w:val="24"/>
          <w:rtl/>
        </w:rPr>
      </w:pPr>
      <w:r>
        <w:rPr>
          <w:rFonts w:ascii="David" w:hAnsi="David" w:cs="David" w:hint="cs"/>
          <w:b/>
          <w:bCs/>
          <w:sz w:val="24"/>
          <w:szCs w:val="24"/>
          <w:rtl/>
        </w:rPr>
        <w:t xml:space="preserve">(1) </w:t>
      </w:r>
      <w:r w:rsidR="00FD144A">
        <w:rPr>
          <w:rFonts w:ascii="David" w:hAnsi="David" w:cs="David" w:hint="cs"/>
          <w:b/>
          <w:bCs/>
          <w:sz w:val="24"/>
          <w:szCs w:val="24"/>
          <w:rtl/>
        </w:rPr>
        <w:t>עבריין לא נודע:</w:t>
      </w:r>
      <w:r w:rsidR="006C6A3F">
        <w:rPr>
          <w:rFonts w:ascii="David" w:hAnsi="David" w:cs="David" w:hint="cs"/>
          <w:sz w:val="24"/>
          <w:szCs w:val="24"/>
          <w:rtl/>
        </w:rPr>
        <w:t xml:space="preserve"> </w:t>
      </w:r>
      <w:r w:rsidR="00C153D8">
        <w:rPr>
          <w:rFonts w:ascii="David" w:hAnsi="David" w:cs="David" w:hint="cs"/>
          <w:sz w:val="24"/>
          <w:szCs w:val="24"/>
          <w:rtl/>
        </w:rPr>
        <w:t>מצב ב</w:t>
      </w:r>
      <w:r w:rsidR="00B071D9">
        <w:rPr>
          <w:rFonts w:ascii="David" w:hAnsi="David" w:cs="David" w:hint="cs"/>
          <w:sz w:val="24"/>
          <w:szCs w:val="24"/>
          <w:rtl/>
        </w:rPr>
        <w:t>ו</w:t>
      </w:r>
      <w:r w:rsidR="00C153D8">
        <w:rPr>
          <w:rFonts w:ascii="David" w:hAnsi="David" w:cs="David" w:hint="cs"/>
          <w:sz w:val="24"/>
          <w:szCs w:val="24"/>
          <w:rtl/>
        </w:rPr>
        <w:t xml:space="preserve"> אנו לא יודעים מי ביצע את העבירה, </w:t>
      </w:r>
      <w:r w:rsidR="00C153D8">
        <w:rPr>
          <w:rFonts w:ascii="David" w:hAnsi="David" w:cs="David" w:hint="cs"/>
          <w:b/>
          <w:bCs/>
          <w:sz w:val="24"/>
          <w:szCs w:val="24"/>
          <w:rtl/>
        </w:rPr>
        <w:t>לדוגמה,</w:t>
      </w:r>
      <w:r w:rsidR="00C153D8">
        <w:rPr>
          <w:rFonts w:ascii="David" w:hAnsi="David" w:cs="David" w:hint="cs"/>
          <w:sz w:val="24"/>
          <w:szCs w:val="24"/>
          <w:rtl/>
        </w:rPr>
        <w:t xml:space="preserve"> פריצה לרכב ואין תצלום או טביעות אצבע. </w:t>
      </w:r>
    </w:p>
    <w:p w14:paraId="6B8AFB08" w14:textId="3DA4CE4F" w:rsidR="00C153D8" w:rsidRDefault="00C153D8" w:rsidP="00C153D8">
      <w:pPr>
        <w:spacing w:line="360" w:lineRule="auto"/>
        <w:jc w:val="both"/>
        <w:rPr>
          <w:rFonts w:ascii="David" w:hAnsi="David" w:cs="David"/>
          <w:sz w:val="24"/>
          <w:szCs w:val="24"/>
          <w:rtl/>
        </w:rPr>
      </w:pPr>
      <w:r>
        <w:rPr>
          <w:rFonts w:ascii="David" w:hAnsi="David" w:cs="David" w:hint="cs"/>
          <w:b/>
          <w:bCs/>
          <w:sz w:val="24"/>
          <w:szCs w:val="24"/>
          <w:rtl/>
        </w:rPr>
        <w:t>(</w:t>
      </w:r>
      <w:r w:rsidR="00937E74">
        <w:rPr>
          <w:rFonts w:ascii="David" w:hAnsi="David" w:cs="David" w:hint="cs"/>
          <w:b/>
          <w:bCs/>
          <w:sz w:val="24"/>
          <w:szCs w:val="24"/>
          <w:rtl/>
        </w:rPr>
        <w:t>2)</w:t>
      </w:r>
      <w:r>
        <w:rPr>
          <w:rFonts w:ascii="David" w:hAnsi="David" w:cs="David" w:hint="cs"/>
          <w:b/>
          <w:bCs/>
          <w:sz w:val="24"/>
          <w:szCs w:val="24"/>
          <w:rtl/>
        </w:rPr>
        <w:t xml:space="preserve"> עבירות ללא עניין פלילי:</w:t>
      </w:r>
      <w:r>
        <w:rPr>
          <w:rFonts w:ascii="David" w:hAnsi="David" w:cs="David" w:hint="cs"/>
          <w:sz w:val="24"/>
          <w:szCs w:val="24"/>
          <w:rtl/>
        </w:rPr>
        <w:t xml:space="preserve"> </w:t>
      </w:r>
      <w:r w:rsidR="00937E74">
        <w:rPr>
          <w:rFonts w:ascii="David" w:hAnsi="David" w:cs="David" w:hint="cs"/>
          <w:sz w:val="24"/>
          <w:szCs w:val="24"/>
          <w:rtl/>
        </w:rPr>
        <w:t xml:space="preserve">מצבים בהם אירע דבר לא "תקין" אך הוא לא מהווה עבירה פלילי, </w:t>
      </w:r>
      <w:r w:rsidR="00937E74">
        <w:rPr>
          <w:rFonts w:ascii="David" w:hAnsi="David" w:cs="David" w:hint="cs"/>
          <w:b/>
          <w:bCs/>
          <w:sz w:val="24"/>
          <w:szCs w:val="24"/>
          <w:rtl/>
        </w:rPr>
        <w:t xml:space="preserve">לדוגמה, </w:t>
      </w:r>
      <w:r w:rsidR="00937E74">
        <w:rPr>
          <w:rFonts w:ascii="David" w:hAnsi="David" w:cs="David" w:hint="cs"/>
          <w:sz w:val="24"/>
          <w:szCs w:val="24"/>
          <w:rtl/>
        </w:rPr>
        <w:t xml:space="preserve">שכן השופך מים אל מפרסת שכנתו. </w:t>
      </w:r>
    </w:p>
    <w:p w14:paraId="33495F6A" w14:textId="0C2D06E6" w:rsidR="001B34D5" w:rsidRPr="00E714BF" w:rsidRDefault="00E714BF" w:rsidP="001B34D5">
      <w:pPr>
        <w:spacing w:line="360" w:lineRule="auto"/>
        <w:jc w:val="both"/>
        <w:rPr>
          <w:rFonts w:ascii="David" w:hAnsi="David" w:cs="David"/>
          <w:sz w:val="24"/>
          <w:szCs w:val="24"/>
          <w:rtl/>
        </w:rPr>
      </w:pPr>
      <w:r>
        <w:rPr>
          <w:rFonts w:ascii="David" w:hAnsi="David" w:cs="David" w:hint="cs"/>
          <w:b/>
          <w:bCs/>
          <w:sz w:val="24"/>
          <w:szCs w:val="24"/>
          <w:u w:val="single"/>
          <w:rtl/>
        </w:rPr>
        <w:lastRenderedPageBreak/>
        <w:t>הודעה על סגירת תיק:</w:t>
      </w:r>
      <w:r>
        <w:rPr>
          <w:rFonts w:ascii="David" w:hAnsi="David" w:cs="David" w:hint="cs"/>
          <w:sz w:val="24"/>
          <w:szCs w:val="24"/>
          <w:rtl/>
        </w:rPr>
        <w:t xml:space="preserve"> ההודעה תישלח לחשוד לאחר ההחלטה ובדרך כלל לא מופיעה בה עילת הסגירה. המתלונן יכול לערר על סגירת התיק תוך 30 ימים מקבלת ההודעה. </w:t>
      </w:r>
    </w:p>
    <w:p w14:paraId="2802D7E5" w14:textId="77777777" w:rsidR="008D3BB0" w:rsidRDefault="00FB3477" w:rsidP="00C153D8">
      <w:pPr>
        <w:spacing w:line="360" w:lineRule="auto"/>
        <w:jc w:val="both"/>
        <w:rPr>
          <w:rFonts w:ascii="David" w:hAnsi="David" w:cs="David"/>
          <w:sz w:val="24"/>
          <w:szCs w:val="24"/>
          <w:rtl/>
        </w:rPr>
      </w:pPr>
      <w:r>
        <w:rPr>
          <w:rFonts w:ascii="David" w:hAnsi="David" w:cs="David" w:hint="cs"/>
          <w:sz w:val="24"/>
          <w:szCs w:val="24"/>
          <w:u w:val="single"/>
          <w:rtl/>
        </w:rPr>
        <w:t>ערעור על עילת הגניזה:</w:t>
      </w:r>
      <w:r>
        <w:rPr>
          <w:rFonts w:ascii="David" w:hAnsi="David" w:cs="David" w:hint="cs"/>
          <w:sz w:val="24"/>
          <w:szCs w:val="24"/>
          <w:rtl/>
        </w:rPr>
        <w:t xml:space="preserve"> </w:t>
      </w:r>
      <w:r w:rsidR="008D3BB0">
        <w:rPr>
          <w:rFonts w:ascii="David" w:hAnsi="David" w:cs="David" w:hint="cs"/>
          <w:sz w:val="24"/>
          <w:szCs w:val="24"/>
          <w:rtl/>
        </w:rPr>
        <w:t xml:space="preserve">ערעור זה יכול להיעשות על ידי "שני" גורמים </w:t>
      </w:r>
      <w:r w:rsidR="008D3BB0">
        <w:rPr>
          <w:rFonts w:ascii="David" w:hAnsi="David" w:cs="David"/>
          <w:sz w:val="24"/>
          <w:szCs w:val="24"/>
          <w:rtl/>
        </w:rPr>
        <w:t>–</w:t>
      </w:r>
      <w:r w:rsidR="008D3BB0">
        <w:rPr>
          <w:rFonts w:ascii="David" w:hAnsi="David" w:cs="David" w:hint="cs"/>
          <w:sz w:val="24"/>
          <w:szCs w:val="24"/>
          <w:rtl/>
        </w:rPr>
        <w:t xml:space="preserve"> נפגע העבירה והחשוד. </w:t>
      </w:r>
    </w:p>
    <w:p w14:paraId="4A560B1E" w14:textId="77777777" w:rsidR="00FC58FD" w:rsidRDefault="00A27150" w:rsidP="00C153D8">
      <w:pPr>
        <w:spacing w:line="360" w:lineRule="auto"/>
        <w:jc w:val="both"/>
        <w:rPr>
          <w:rFonts w:ascii="David" w:hAnsi="David" w:cs="David"/>
          <w:sz w:val="24"/>
          <w:szCs w:val="24"/>
          <w:rtl/>
        </w:rPr>
      </w:pPr>
      <w:r>
        <w:rPr>
          <w:rFonts w:ascii="David" w:hAnsi="David" w:cs="David" w:hint="cs"/>
          <w:sz w:val="24"/>
          <w:szCs w:val="24"/>
          <w:rtl/>
        </w:rPr>
        <w:t xml:space="preserve">נפגע העבירה: עשוי לערער במצב בו הוא אינו מסכים עם החלטת התובע על סגירת התיק. </w:t>
      </w:r>
    </w:p>
    <w:p w14:paraId="1DF70B08" w14:textId="6CA18D88" w:rsidR="00FC58FD" w:rsidRDefault="00FC58FD" w:rsidP="00C153D8">
      <w:pPr>
        <w:spacing w:line="360" w:lineRule="auto"/>
        <w:jc w:val="both"/>
        <w:rPr>
          <w:rFonts w:ascii="David" w:hAnsi="David" w:cs="David"/>
          <w:sz w:val="24"/>
          <w:szCs w:val="24"/>
          <w:rtl/>
        </w:rPr>
      </w:pPr>
      <w:r>
        <w:rPr>
          <w:rFonts w:ascii="David" w:hAnsi="David" w:cs="David" w:hint="cs"/>
          <w:sz w:val="24"/>
          <w:szCs w:val="24"/>
          <w:rtl/>
        </w:rPr>
        <w:t>החשוד: עשוי לערער במצב בו עולה משמעות לעילת הגניזה שנקבעה</w:t>
      </w:r>
      <w:r w:rsidR="00891205">
        <w:rPr>
          <w:rFonts w:ascii="David" w:hAnsi="David" w:cs="David" w:hint="cs"/>
          <w:sz w:val="24"/>
          <w:szCs w:val="24"/>
          <w:rtl/>
        </w:rPr>
        <w:t xml:space="preserve"> (רישום פלילי). </w:t>
      </w:r>
    </w:p>
    <w:p w14:paraId="0022AF27" w14:textId="7CD847EB" w:rsidR="00FB3477" w:rsidRDefault="00A27150" w:rsidP="00C153D8">
      <w:pPr>
        <w:spacing w:line="360" w:lineRule="auto"/>
        <w:jc w:val="both"/>
        <w:rPr>
          <w:rFonts w:ascii="David" w:hAnsi="David" w:cs="David"/>
          <w:sz w:val="24"/>
          <w:szCs w:val="24"/>
          <w:rtl/>
        </w:rPr>
      </w:pPr>
      <w:r>
        <w:rPr>
          <w:rFonts w:ascii="David" w:hAnsi="David" w:cs="David" w:hint="cs"/>
          <w:sz w:val="24"/>
          <w:szCs w:val="24"/>
          <w:rtl/>
        </w:rPr>
        <w:t>במקרה זה על</w:t>
      </w:r>
      <w:r w:rsidR="00891205">
        <w:rPr>
          <w:rFonts w:ascii="David" w:hAnsi="David" w:cs="David" w:hint="cs"/>
          <w:sz w:val="24"/>
          <w:szCs w:val="24"/>
          <w:rtl/>
        </w:rPr>
        <w:t xml:space="preserve"> </w:t>
      </w:r>
      <w:r w:rsidR="00404785">
        <w:rPr>
          <w:rFonts w:ascii="David" w:hAnsi="David" w:cs="David" w:hint="cs"/>
          <w:sz w:val="24"/>
          <w:szCs w:val="24"/>
          <w:rtl/>
        </w:rPr>
        <w:t>המעוניין</w:t>
      </w:r>
      <w:r>
        <w:rPr>
          <w:rFonts w:ascii="David" w:hAnsi="David" w:cs="David" w:hint="cs"/>
          <w:sz w:val="24"/>
          <w:szCs w:val="24"/>
          <w:rtl/>
        </w:rPr>
        <w:t xml:space="preserve"> לפנות אל הגוף אשר סגר את התיק ולבקש לעיין בחומרי החקירה בכדי לשקול להגיש ערר. </w:t>
      </w:r>
      <w:r w:rsidR="006B7BB0">
        <w:rPr>
          <w:rFonts w:ascii="David" w:hAnsi="David" w:cs="David" w:hint="cs"/>
          <w:sz w:val="24"/>
          <w:szCs w:val="24"/>
          <w:rtl/>
        </w:rPr>
        <w:t xml:space="preserve">במצב בו הוגש ערר, העניין נבחן על ידי הגוף הסוגר, אשר מעביר את חוות דעתו ונימוקיו למחלקת עררים בפרקליטות המדינה. </w:t>
      </w:r>
      <w:r w:rsidR="002253C0">
        <w:rPr>
          <w:rFonts w:ascii="David" w:hAnsi="David" w:cs="David" w:hint="cs"/>
          <w:sz w:val="24"/>
          <w:szCs w:val="24"/>
          <w:rtl/>
        </w:rPr>
        <w:t xml:space="preserve">במחלקת העררים מובאות טענות הצדדים (הגוף הסוגר והמערער) והן נבחנות על סמך חומר הראיות המצוי בתיק. </w:t>
      </w:r>
      <w:r w:rsidR="00FF0899">
        <w:rPr>
          <w:rFonts w:ascii="David" w:hAnsi="David" w:cs="David" w:hint="cs"/>
          <w:sz w:val="24"/>
          <w:szCs w:val="24"/>
          <w:rtl/>
        </w:rPr>
        <w:t xml:space="preserve">לאחר מכן מעבירה מחלקת העררים את חוות דעתה להמשך טיפול לגורם המוסמך </w:t>
      </w:r>
      <w:r w:rsidR="00FF0899">
        <w:rPr>
          <w:rFonts w:ascii="David" w:hAnsi="David" w:cs="David"/>
          <w:sz w:val="24"/>
          <w:szCs w:val="24"/>
          <w:rtl/>
        </w:rPr>
        <w:t>–</w:t>
      </w:r>
      <w:r w:rsidR="00FF0899">
        <w:rPr>
          <w:rFonts w:ascii="David" w:hAnsi="David" w:cs="David" w:hint="cs"/>
          <w:sz w:val="24"/>
          <w:szCs w:val="24"/>
          <w:rtl/>
        </w:rPr>
        <w:t xml:space="preserve"> אשר זה יהיה בכיר מהגורם שקיבל את ההחלטה המקורית. </w:t>
      </w:r>
      <w:r w:rsidR="00FC58FD">
        <w:rPr>
          <w:rFonts w:ascii="David" w:hAnsi="David" w:cs="David" w:hint="cs"/>
          <w:sz w:val="24"/>
          <w:szCs w:val="24"/>
          <w:rtl/>
        </w:rPr>
        <w:t xml:space="preserve">עם קבלת ההחלטה הודעה נשלחת למערער או לבא כוחו. </w:t>
      </w:r>
      <w:r w:rsidR="00F85225">
        <w:rPr>
          <w:rFonts w:ascii="David" w:hAnsi="David" w:cs="David" w:hint="cs"/>
          <w:sz w:val="24"/>
          <w:szCs w:val="24"/>
          <w:rtl/>
        </w:rPr>
        <w:t xml:space="preserve"> </w:t>
      </w:r>
    </w:p>
    <w:p w14:paraId="1D49E3CB" w14:textId="72B7AAF0" w:rsidR="00FC58FD" w:rsidRDefault="00FC58FD" w:rsidP="00C153D8">
      <w:pPr>
        <w:spacing w:line="360" w:lineRule="auto"/>
        <w:jc w:val="both"/>
        <w:rPr>
          <w:rFonts w:ascii="David" w:hAnsi="David" w:cs="David"/>
          <w:sz w:val="24"/>
          <w:szCs w:val="24"/>
          <w:rtl/>
        </w:rPr>
      </w:pPr>
      <w:r>
        <w:rPr>
          <w:rFonts w:ascii="David" w:hAnsi="David" w:cs="David" w:hint="cs"/>
          <w:sz w:val="24"/>
          <w:szCs w:val="24"/>
          <w:rtl/>
        </w:rPr>
        <w:t>במידה וחטיבת התביעות המשטרתית היא זו שסגרה את התיק, הגורם המחליט יהיה גורם</w:t>
      </w:r>
      <w:r w:rsidR="0053218C">
        <w:rPr>
          <w:rFonts w:ascii="David" w:hAnsi="David" w:cs="David" w:hint="cs"/>
          <w:sz w:val="24"/>
          <w:szCs w:val="24"/>
          <w:rtl/>
        </w:rPr>
        <w:t xml:space="preserve"> משטרתי</w:t>
      </w:r>
      <w:r>
        <w:rPr>
          <w:rFonts w:ascii="David" w:hAnsi="David" w:cs="David" w:hint="cs"/>
          <w:sz w:val="24"/>
          <w:szCs w:val="24"/>
          <w:rtl/>
        </w:rPr>
        <w:t xml:space="preserve"> בכיר </w:t>
      </w:r>
      <w:r w:rsidR="0053218C">
        <w:rPr>
          <w:rFonts w:ascii="David" w:hAnsi="David" w:cs="David" w:hint="cs"/>
          <w:sz w:val="24"/>
          <w:szCs w:val="24"/>
          <w:rtl/>
        </w:rPr>
        <w:t xml:space="preserve">מזה שקיבל את ההחלטה המקורית. במידה והפרקליטות או המחלקה לחקירת שוטרים הם אלו אשר סגרו את התיק, הגורם המחליט יהיה המשנה לפרקליט המדינה. </w:t>
      </w:r>
    </w:p>
    <w:p w14:paraId="0DE46EEE" w14:textId="04CF15EB" w:rsidR="00316EE2" w:rsidRDefault="00316EE2" w:rsidP="00C153D8">
      <w:pPr>
        <w:spacing w:line="360" w:lineRule="auto"/>
        <w:jc w:val="both"/>
        <w:rPr>
          <w:rFonts w:ascii="David" w:hAnsi="David" w:cs="David"/>
          <w:sz w:val="24"/>
          <w:szCs w:val="24"/>
          <w:rtl/>
        </w:rPr>
      </w:pPr>
      <w:r>
        <w:rPr>
          <w:rFonts w:ascii="David" w:hAnsi="David" w:cs="David" w:hint="cs"/>
          <w:sz w:val="24"/>
          <w:szCs w:val="24"/>
          <w:u w:val="single"/>
          <w:rtl/>
        </w:rPr>
        <w:t>תקיפת ההחלטה בערר:</w:t>
      </w:r>
      <w:r>
        <w:rPr>
          <w:rFonts w:ascii="David" w:hAnsi="David" w:cs="David" w:hint="cs"/>
          <w:sz w:val="24"/>
          <w:szCs w:val="24"/>
          <w:rtl/>
        </w:rPr>
        <w:t xml:space="preserve"> יכולה להיעשות על ידי עתי</w:t>
      </w:r>
      <w:r w:rsidR="00826151">
        <w:rPr>
          <w:rFonts w:ascii="David" w:hAnsi="David" w:cs="David" w:hint="cs"/>
          <w:sz w:val="24"/>
          <w:szCs w:val="24"/>
          <w:rtl/>
        </w:rPr>
        <w:t>ר</w:t>
      </w:r>
      <w:r>
        <w:rPr>
          <w:rFonts w:ascii="David" w:hAnsi="David" w:cs="David" w:hint="cs"/>
          <w:sz w:val="24"/>
          <w:szCs w:val="24"/>
          <w:rtl/>
        </w:rPr>
        <w:t xml:space="preserve">ה לבג"ץ. </w:t>
      </w:r>
    </w:p>
    <w:p w14:paraId="65203C77" w14:textId="77777777" w:rsidR="00883478" w:rsidRDefault="001B34D5" w:rsidP="00C153D8">
      <w:pPr>
        <w:spacing w:line="360" w:lineRule="auto"/>
        <w:jc w:val="both"/>
        <w:rPr>
          <w:rFonts w:ascii="David" w:hAnsi="David" w:cs="David"/>
          <w:sz w:val="24"/>
          <w:szCs w:val="24"/>
          <w:rtl/>
        </w:rPr>
      </w:pPr>
      <w:r>
        <w:rPr>
          <w:rFonts w:ascii="David" w:hAnsi="David" w:cs="David" w:hint="cs"/>
          <w:b/>
          <w:bCs/>
          <w:sz w:val="24"/>
          <w:szCs w:val="24"/>
          <w:u w:val="single"/>
          <w:rtl/>
        </w:rPr>
        <w:t>שימוע:</w:t>
      </w:r>
      <w:r>
        <w:rPr>
          <w:rFonts w:ascii="David" w:hAnsi="David" w:cs="David" w:hint="cs"/>
          <w:sz w:val="24"/>
          <w:szCs w:val="24"/>
          <w:rtl/>
        </w:rPr>
        <w:t xml:space="preserve"> </w:t>
      </w:r>
    </w:p>
    <w:p w14:paraId="7A656C39" w14:textId="1FF5CE1B" w:rsidR="00883478" w:rsidRDefault="00883478" w:rsidP="00C153D8">
      <w:pPr>
        <w:spacing w:line="360" w:lineRule="auto"/>
        <w:jc w:val="both"/>
        <w:rPr>
          <w:rFonts w:ascii="David" w:hAnsi="David" w:cs="David"/>
          <w:sz w:val="24"/>
          <w:szCs w:val="24"/>
          <w:rtl/>
        </w:rPr>
      </w:pPr>
      <w:r w:rsidRPr="00883478">
        <w:rPr>
          <w:rFonts w:ascii="David" w:hAnsi="David" w:cs="David" w:hint="cs"/>
          <w:b/>
          <w:bCs/>
          <w:sz w:val="24"/>
          <w:szCs w:val="24"/>
          <w:rtl/>
        </w:rPr>
        <w:lastRenderedPageBreak/>
        <w:t>סעיף 60א לחוק סדר הדין הפלילי:</w:t>
      </w:r>
      <w:r w:rsidRPr="004A54A5">
        <w:rPr>
          <w:rFonts w:ascii="David" w:hAnsi="David" w:cs="David" w:hint="cs"/>
          <w:sz w:val="24"/>
          <w:szCs w:val="24"/>
          <w:rtl/>
        </w:rPr>
        <w:t xml:space="preserve"> "רשות התביעה שאליה הועבר חומר החקירה הנודע לעבירת פשע, תשלח לחשוד הודעה על כך לפי הכתובת הידועה לה, אלא אם </w:t>
      </w:r>
      <w:r>
        <w:rPr>
          <w:rFonts w:ascii="David" w:hAnsi="David" w:cs="David" w:hint="cs"/>
          <w:sz w:val="24"/>
          <w:szCs w:val="24"/>
          <w:rtl/>
        </w:rPr>
        <w:t>כ</w:t>
      </w:r>
      <w:r w:rsidRPr="004A54A5">
        <w:rPr>
          <w:rFonts w:ascii="David" w:hAnsi="David" w:cs="David" w:hint="cs"/>
          <w:sz w:val="24"/>
          <w:szCs w:val="24"/>
          <w:rtl/>
        </w:rPr>
        <w:t>ן החליט פרקליט מחוז או ראש יחידת התביעות לפי העניין, כי קיימת מניעה לכך".</w:t>
      </w:r>
    </w:p>
    <w:p w14:paraId="769D4A8F" w14:textId="1BF68316" w:rsidR="001B34D5" w:rsidRDefault="00901BA9" w:rsidP="00C153D8">
      <w:pPr>
        <w:spacing w:line="360" w:lineRule="auto"/>
        <w:jc w:val="both"/>
        <w:rPr>
          <w:rFonts w:ascii="David" w:hAnsi="David" w:cs="David"/>
          <w:sz w:val="24"/>
          <w:szCs w:val="24"/>
          <w:rtl/>
        </w:rPr>
      </w:pPr>
      <w:r>
        <w:rPr>
          <w:rFonts w:ascii="David" w:hAnsi="David" w:cs="David" w:hint="cs"/>
          <w:sz w:val="24"/>
          <w:szCs w:val="24"/>
          <w:rtl/>
        </w:rPr>
        <w:t>השימוע הוא ההליך הקודם להגשת כתב האישום</w:t>
      </w:r>
      <w:r w:rsidR="00C62E8C">
        <w:rPr>
          <w:rFonts w:ascii="David" w:hAnsi="David" w:cs="David" w:hint="cs"/>
          <w:sz w:val="24"/>
          <w:szCs w:val="24"/>
          <w:rtl/>
        </w:rPr>
        <w:t xml:space="preserve"> בעבירות מסוג פשע (בעבירות עוון אין חובת שימוע)</w:t>
      </w:r>
      <w:r>
        <w:rPr>
          <w:rFonts w:ascii="David" w:hAnsi="David" w:cs="David" w:hint="cs"/>
          <w:sz w:val="24"/>
          <w:szCs w:val="24"/>
          <w:rtl/>
        </w:rPr>
        <w:t xml:space="preserve">. במסגרת הליך זה עולה ההזדמנות לחשוד ובא כוחו להציג את טענותיו בפני רשות התביעה, בין אם בעל-פה ובין אם בכתב ובכך לשכנע את התובע כי חומרי החקירה לא מצדיקים הגשת כתב אישום ויש לפנות אל עילת גניזה. </w:t>
      </w:r>
      <w:r w:rsidR="00A665E8">
        <w:rPr>
          <w:rFonts w:ascii="David" w:hAnsi="David" w:cs="David" w:hint="cs"/>
          <w:sz w:val="24"/>
          <w:szCs w:val="24"/>
          <w:rtl/>
        </w:rPr>
        <w:t>במצב בו הנאשם עצור והוגש נ</w:t>
      </w:r>
      <w:r w:rsidR="0077691F">
        <w:rPr>
          <w:rFonts w:ascii="David" w:hAnsi="David" w:cs="David" w:hint="cs"/>
          <w:sz w:val="24"/>
          <w:szCs w:val="24"/>
          <w:rtl/>
        </w:rPr>
        <w:t>ג</w:t>
      </w:r>
      <w:r w:rsidR="00A665E8">
        <w:rPr>
          <w:rFonts w:ascii="David" w:hAnsi="David" w:cs="David" w:hint="cs"/>
          <w:sz w:val="24"/>
          <w:szCs w:val="24"/>
          <w:rtl/>
        </w:rPr>
        <w:t xml:space="preserve">דו הליך בגין המעצר, אין חובה לערוך שימוע. </w:t>
      </w:r>
    </w:p>
    <w:p w14:paraId="5BC5C374" w14:textId="6AFB89D7" w:rsidR="00A665E8" w:rsidRDefault="00A665E8" w:rsidP="00C153D8">
      <w:pPr>
        <w:spacing w:line="360" w:lineRule="auto"/>
        <w:jc w:val="both"/>
        <w:rPr>
          <w:rFonts w:ascii="David" w:hAnsi="David" w:cs="David"/>
          <w:sz w:val="24"/>
          <w:szCs w:val="24"/>
          <w:rtl/>
        </w:rPr>
      </w:pPr>
      <w:r>
        <w:rPr>
          <w:rFonts w:ascii="David" w:hAnsi="David" w:cs="David" w:hint="cs"/>
          <w:sz w:val="24"/>
          <w:szCs w:val="24"/>
          <w:rtl/>
        </w:rPr>
        <w:t>במהלך השימוע, הסנגור מצלם את חומ</w:t>
      </w:r>
      <w:r w:rsidR="00852D18">
        <w:rPr>
          <w:rFonts w:ascii="David" w:hAnsi="David" w:cs="David" w:hint="cs"/>
          <w:sz w:val="24"/>
          <w:szCs w:val="24"/>
          <w:rtl/>
        </w:rPr>
        <w:t>ר</w:t>
      </w:r>
      <w:r>
        <w:rPr>
          <w:rFonts w:ascii="David" w:hAnsi="David" w:cs="David" w:hint="cs"/>
          <w:sz w:val="24"/>
          <w:szCs w:val="24"/>
          <w:rtl/>
        </w:rPr>
        <w:t xml:space="preserve">י החקירה וכתב התביעה/טיוטת כתב התביעה ומתאפשרת לו להעביר תשובה לכך. כך, אנו יכולים להגיע להסדר לסיום התיק. </w:t>
      </w:r>
    </w:p>
    <w:p w14:paraId="217BBB31" w14:textId="34C10AE5" w:rsidR="00A665E8" w:rsidRDefault="00A665E8" w:rsidP="00C153D8">
      <w:pPr>
        <w:spacing w:line="360" w:lineRule="auto"/>
        <w:jc w:val="both"/>
        <w:rPr>
          <w:rFonts w:ascii="David" w:hAnsi="David" w:cs="David"/>
          <w:sz w:val="24"/>
          <w:szCs w:val="24"/>
          <w:rtl/>
        </w:rPr>
      </w:pPr>
      <w:r>
        <w:rPr>
          <w:rFonts w:ascii="David" w:hAnsi="David" w:cs="David" w:hint="cs"/>
          <w:sz w:val="24"/>
          <w:szCs w:val="24"/>
          <w:rtl/>
        </w:rPr>
        <w:t xml:space="preserve">במצב שבו לא בוצע שימוע והנתבע ביקש אחד, הסנגור יכול לפנות אל בית המשפט ולטעון "טענה להגנה על הצדק". בעזרת פניה זו, בית המשפט יכול להחזיר את הגלגל </w:t>
      </w:r>
      <w:r w:rsidR="00DB1835">
        <w:rPr>
          <w:rFonts w:ascii="David" w:hAnsi="David" w:cs="David" w:hint="cs"/>
          <w:sz w:val="24"/>
          <w:szCs w:val="24"/>
          <w:rtl/>
        </w:rPr>
        <w:t>לאחור</w:t>
      </w:r>
      <w:r>
        <w:rPr>
          <w:rFonts w:ascii="David" w:hAnsi="David" w:cs="David" w:hint="cs"/>
          <w:sz w:val="24"/>
          <w:szCs w:val="24"/>
          <w:rtl/>
        </w:rPr>
        <w:t xml:space="preserve">. </w:t>
      </w:r>
    </w:p>
    <w:p w14:paraId="29450CAB" w14:textId="1D06372D" w:rsidR="00F524EE" w:rsidRDefault="00557B09" w:rsidP="00557B09">
      <w:pPr>
        <w:spacing w:line="360" w:lineRule="auto"/>
        <w:jc w:val="center"/>
        <w:rPr>
          <w:rFonts w:ascii="David" w:hAnsi="David" w:cs="David"/>
          <w:sz w:val="24"/>
          <w:szCs w:val="24"/>
          <w:rtl/>
        </w:rPr>
      </w:pPr>
      <w:r w:rsidRPr="009071F1">
        <w:rPr>
          <w:rFonts w:ascii="David" w:hAnsi="David" w:cs="David" w:hint="cs"/>
          <w:sz w:val="24"/>
          <w:szCs w:val="24"/>
          <w:u w:val="single"/>
          <w:shd w:val="clear" w:color="auto" w:fill="D0DDFC"/>
          <w:rtl/>
        </w:rPr>
        <w:t>סגירת תיק בהסדר מותנה:</w:t>
      </w:r>
    </w:p>
    <w:p w14:paraId="2F005F4D" w14:textId="77777777" w:rsidR="00135B4E" w:rsidRDefault="002437B3" w:rsidP="00C153D8">
      <w:pPr>
        <w:spacing w:line="360" w:lineRule="auto"/>
        <w:jc w:val="both"/>
        <w:rPr>
          <w:rFonts w:ascii="David" w:hAnsi="David" w:cs="David"/>
          <w:sz w:val="24"/>
          <w:szCs w:val="24"/>
          <w:rtl/>
        </w:rPr>
      </w:pPr>
      <w:r>
        <w:rPr>
          <w:rFonts w:ascii="David" w:hAnsi="David" w:cs="David" w:hint="cs"/>
          <w:b/>
          <w:bCs/>
          <w:sz w:val="24"/>
          <w:szCs w:val="24"/>
          <w:u w:val="single"/>
          <w:rtl/>
        </w:rPr>
        <w:t xml:space="preserve">יחידת הסדר מותנה </w:t>
      </w:r>
      <w:r>
        <w:rPr>
          <w:rFonts w:ascii="David" w:hAnsi="David" w:cs="David"/>
          <w:b/>
          <w:bCs/>
          <w:sz w:val="24"/>
          <w:szCs w:val="24"/>
          <w:u w:val="single"/>
          <w:rtl/>
        </w:rPr>
        <w:t>–</w:t>
      </w:r>
      <w:r>
        <w:rPr>
          <w:rFonts w:ascii="David" w:hAnsi="David" w:cs="David" w:hint="cs"/>
          <w:b/>
          <w:bCs/>
          <w:sz w:val="24"/>
          <w:szCs w:val="24"/>
          <w:u w:val="single"/>
          <w:rtl/>
        </w:rPr>
        <w:t xml:space="preserve"> משטרת ישראל:</w:t>
      </w:r>
    </w:p>
    <w:p w14:paraId="69CE16B8" w14:textId="3C54D8CD" w:rsidR="00883478" w:rsidRDefault="002437B3" w:rsidP="00C153D8">
      <w:pPr>
        <w:spacing w:line="360" w:lineRule="auto"/>
        <w:jc w:val="both"/>
        <w:rPr>
          <w:rFonts w:ascii="David" w:hAnsi="David" w:cs="David"/>
          <w:sz w:val="24"/>
          <w:szCs w:val="24"/>
          <w:rtl/>
        </w:rPr>
      </w:pPr>
      <w:r>
        <w:rPr>
          <w:rFonts w:ascii="David" w:hAnsi="David" w:cs="David" w:hint="cs"/>
          <w:sz w:val="24"/>
          <w:szCs w:val="24"/>
          <w:rtl/>
        </w:rPr>
        <w:t xml:space="preserve">היחידה קמה בעקבות תיקון 66 ו68 לחוק סדר הדין הפלילי </w:t>
      </w:r>
      <w:r w:rsidR="009630A3">
        <w:rPr>
          <w:rFonts w:ascii="David" w:hAnsi="David" w:cs="David" w:hint="cs"/>
          <w:sz w:val="24"/>
          <w:szCs w:val="24"/>
          <w:rtl/>
        </w:rPr>
        <w:t>ובהתאם להנחיית היועמ"ש מספר 4.3043</w:t>
      </w:r>
      <w:r w:rsidR="005C7A6E">
        <w:rPr>
          <w:rFonts w:ascii="David" w:hAnsi="David" w:cs="David" w:hint="cs"/>
          <w:sz w:val="24"/>
          <w:szCs w:val="24"/>
          <w:rtl/>
        </w:rPr>
        <w:t xml:space="preserve">: </w:t>
      </w:r>
    </w:p>
    <w:p w14:paraId="5B86B63F" w14:textId="207FBA3D" w:rsidR="00595599" w:rsidRDefault="005C7A6E" w:rsidP="00C153D8">
      <w:pPr>
        <w:spacing w:line="360" w:lineRule="auto"/>
        <w:jc w:val="both"/>
        <w:rPr>
          <w:rFonts w:ascii="David" w:hAnsi="David" w:cs="David"/>
          <w:sz w:val="24"/>
          <w:szCs w:val="24"/>
          <w:rtl/>
        </w:rPr>
      </w:pPr>
      <w:r>
        <w:rPr>
          <w:rFonts w:ascii="David" w:hAnsi="David" w:cs="David" w:hint="cs"/>
          <w:sz w:val="24"/>
          <w:szCs w:val="24"/>
          <w:rtl/>
        </w:rPr>
        <w:lastRenderedPageBreak/>
        <w:t>חוק הסדר מותנה הסמיך את גופי התביעה המנויים בחוק, לסגור תיק חקירה כנגד חשו</w:t>
      </w:r>
      <w:r w:rsidR="00480840">
        <w:rPr>
          <w:rFonts w:ascii="David" w:hAnsi="David" w:cs="David" w:hint="cs"/>
          <w:sz w:val="24"/>
          <w:szCs w:val="24"/>
          <w:rtl/>
        </w:rPr>
        <w:t>ד</w:t>
      </w:r>
      <w:r>
        <w:rPr>
          <w:rFonts w:ascii="David" w:hAnsi="David" w:cs="David" w:hint="cs"/>
          <w:sz w:val="24"/>
          <w:szCs w:val="24"/>
          <w:rtl/>
        </w:rPr>
        <w:t xml:space="preserve"> בעילה </w:t>
      </w:r>
      <w:r w:rsidR="00480840">
        <w:rPr>
          <w:rFonts w:ascii="David" w:hAnsi="David" w:cs="David" w:hint="cs"/>
          <w:sz w:val="24"/>
          <w:szCs w:val="24"/>
          <w:rtl/>
        </w:rPr>
        <w:t>ש</w:t>
      </w:r>
      <w:r>
        <w:rPr>
          <w:rFonts w:ascii="David" w:hAnsi="David" w:cs="David" w:hint="cs"/>
          <w:sz w:val="24"/>
          <w:szCs w:val="24"/>
          <w:rtl/>
        </w:rPr>
        <w:t xml:space="preserve">ל "סגירה בהסדר", לאחר שהחשוד (או תאגיד) הסכים להודות בעובדות המהוות את העבירה המיוחסת לו ולקיים את התנאים אשר נקבעו בהסדר מולו. הסמכת החשוד מגיעה מתוך התחייבות התובע להימנע מהגשת כתב אישום ולסגור את התיק שנפתח בעילת "סגירה בהסדר". </w:t>
      </w:r>
    </w:p>
    <w:p w14:paraId="2A06DDFF" w14:textId="4916B9EF" w:rsidR="00546DD6" w:rsidRDefault="00556FEC" w:rsidP="00AF617D">
      <w:pPr>
        <w:spacing w:line="360" w:lineRule="auto"/>
        <w:jc w:val="center"/>
        <w:rPr>
          <w:rFonts w:ascii="David" w:hAnsi="David" w:cs="David"/>
          <w:sz w:val="24"/>
          <w:szCs w:val="24"/>
          <w:rtl/>
        </w:rPr>
      </w:pPr>
      <w:r>
        <w:rPr>
          <w:noProof/>
        </w:rPr>
        <mc:AlternateContent>
          <mc:Choice Requires="wps">
            <w:drawing>
              <wp:anchor distT="0" distB="0" distL="114300" distR="114300" simplePos="0" relativeHeight="251663360" behindDoc="0" locked="0" layoutInCell="1" allowOverlap="1" wp14:anchorId="3BA6F60D" wp14:editId="3CE512DF">
                <wp:simplePos x="0" y="0"/>
                <wp:positionH relativeFrom="column">
                  <wp:posOffset>-888414</wp:posOffset>
                </wp:positionH>
                <wp:positionV relativeFrom="paragraph">
                  <wp:posOffset>264160</wp:posOffset>
                </wp:positionV>
                <wp:extent cx="3073400" cy="1202690"/>
                <wp:effectExtent l="0" t="0" r="0" b="0"/>
                <wp:wrapSquare wrapText="bothSides"/>
                <wp:docPr id="5" name="תיבת טקסט 5"/>
                <wp:cNvGraphicFramePr/>
                <a:graphic xmlns:a="http://schemas.openxmlformats.org/drawingml/2006/main">
                  <a:graphicData uri="http://schemas.microsoft.com/office/word/2010/wordprocessingShape">
                    <wps:wsp>
                      <wps:cNvSpPr txBox="1"/>
                      <wps:spPr>
                        <a:xfrm>
                          <a:off x="0" y="0"/>
                          <a:ext cx="3073400" cy="1202690"/>
                        </a:xfrm>
                        <a:prstGeom prst="rect">
                          <a:avLst/>
                        </a:prstGeom>
                        <a:noFill/>
                        <a:ln w="6350">
                          <a:noFill/>
                        </a:ln>
                      </wps:spPr>
                      <wps:txbx>
                        <w:txbxContent>
                          <w:p w14:paraId="45D4A92A" w14:textId="77777777" w:rsidR="00EE39A9" w:rsidRDefault="00EE39A9" w:rsidP="00C153D8">
                            <w:pPr>
                              <w:spacing w:line="360" w:lineRule="auto"/>
                              <w:jc w:val="both"/>
                              <w:rPr>
                                <w:rFonts w:ascii="David" w:hAnsi="David" w:cs="David"/>
                                <w:sz w:val="24"/>
                                <w:szCs w:val="24"/>
                                <w:rtl/>
                              </w:rPr>
                            </w:pPr>
                            <w:r>
                              <w:rPr>
                                <w:rFonts w:ascii="David" w:hAnsi="David" w:cs="David" w:hint="cs"/>
                                <w:sz w:val="24"/>
                                <w:szCs w:val="24"/>
                                <w:rtl/>
                              </w:rPr>
                              <w:t xml:space="preserve">(4) לא בוצע הסדר מותנה בחמש השנים שקדמו אליו. </w:t>
                            </w:r>
                          </w:p>
                          <w:p w14:paraId="0A6A7E43" w14:textId="77777777" w:rsidR="00EE39A9" w:rsidRPr="008A5255" w:rsidRDefault="00EE39A9" w:rsidP="008A5255">
                            <w:pPr>
                              <w:spacing w:line="360" w:lineRule="auto"/>
                              <w:jc w:val="both"/>
                              <w:rPr>
                                <w:rFonts w:ascii="David" w:hAnsi="David" w:cs="David"/>
                                <w:sz w:val="24"/>
                                <w:szCs w:val="24"/>
                              </w:rPr>
                            </w:pPr>
                            <w:r>
                              <w:rPr>
                                <w:rFonts w:ascii="David" w:hAnsi="David" w:cs="David" w:hint="cs"/>
                                <w:sz w:val="24"/>
                                <w:szCs w:val="24"/>
                                <w:rtl/>
                              </w:rPr>
                              <w:t xml:space="preserve">(5) העונש הראוי הקבוע בחוק לא כולל מאסר או עבודות שירות.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6F60D" id="תיבת טקסט 5" o:spid="_x0000_s1027" type="#_x0000_t202" style="position:absolute;left:0;text-align:left;margin-left:-69.95pt;margin-top:20.8pt;width:242pt;height:9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" filled="f" stroked="f" strokeweight=".5pt">
                <v:textbox>
                  <w:txbxContent>
                    <w:p w14:paraId="45D4A92A" w14:textId="77777777" w:rsidR="00EE39A9" w:rsidRDefault="00EE39A9" w:rsidP="00C153D8">
                      <w:pPr>
                        <w:spacing w:line="360" w:lineRule="auto"/>
                        <w:jc w:val="both"/>
                        <w:rPr>
                          <w:rFonts w:ascii="David" w:hAnsi="David" w:cs="David"/>
                          <w:sz w:val="24"/>
                          <w:szCs w:val="24"/>
                          <w:rtl/>
                        </w:rPr>
                      </w:pPr>
                      <w:r>
                        <w:rPr>
                          <w:rFonts w:ascii="David" w:hAnsi="David" w:cs="David" w:hint="cs"/>
                          <w:sz w:val="24"/>
                          <w:szCs w:val="24"/>
                          <w:rtl/>
                        </w:rPr>
                        <w:t xml:space="preserve">(4) לא בוצע הסדר מותנה בחמש השנים שקדמו אליו. </w:t>
                      </w:r>
                    </w:p>
                    <w:p w14:paraId="0A6A7E43" w14:textId="77777777" w:rsidR="00EE39A9" w:rsidRPr="008A5255" w:rsidRDefault="00EE39A9" w:rsidP="008A5255">
                      <w:pPr>
                        <w:spacing w:line="360" w:lineRule="auto"/>
                        <w:jc w:val="both"/>
                        <w:rPr>
                          <w:rFonts w:ascii="David" w:hAnsi="David" w:cs="David"/>
                          <w:sz w:val="24"/>
                          <w:szCs w:val="24"/>
                        </w:rPr>
                      </w:pPr>
                      <w:r>
                        <w:rPr>
                          <w:rFonts w:ascii="David" w:hAnsi="David" w:cs="David" w:hint="cs"/>
                          <w:sz w:val="24"/>
                          <w:szCs w:val="24"/>
                          <w:rtl/>
                        </w:rPr>
                        <w:t xml:space="preserve">(5) העונש הראוי הקבוע בחוק לא כולל מאסר או עבודות שירות. </w:t>
                      </w:r>
                    </w:p>
                  </w:txbxContent>
                </v:textbox>
                <w10:wrap type="square"/>
              </v:shape>
            </w:pict>
          </mc:Fallback>
        </mc:AlternateContent>
      </w:r>
      <w:r w:rsidR="00546DD6">
        <w:rPr>
          <w:rFonts w:ascii="David" w:hAnsi="David" w:cs="David" w:hint="cs"/>
          <w:sz w:val="24"/>
          <w:szCs w:val="24"/>
          <w:u w:val="single"/>
          <w:rtl/>
        </w:rPr>
        <w:t>5 תנאים ל</w:t>
      </w:r>
      <w:r w:rsidR="00AF617D">
        <w:rPr>
          <w:rFonts w:ascii="David" w:hAnsi="David" w:cs="David" w:hint="cs"/>
          <w:sz w:val="24"/>
          <w:szCs w:val="24"/>
          <w:u w:val="single"/>
          <w:rtl/>
        </w:rPr>
        <w:t xml:space="preserve">קיום </w:t>
      </w:r>
      <w:r w:rsidR="00546DD6">
        <w:rPr>
          <w:rFonts w:ascii="David" w:hAnsi="David" w:cs="David" w:hint="cs"/>
          <w:sz w:val="24"/>
          <w:szCs w:val="24"/>
          <w:u w:val="single"/>
          <w:rtl/>
        </w:rPr>
        <w:t>הסדר המותנה:</w:t>
      </w:r>
    </w:p>
    <w:p w14:paraId="799485BF" w14:textId="5B4E5CD1" w:rsidR="00546DD6" w:rsidRDefault="00546DD6" w:rsidP="00C153D8">
      <w:pPr>
        <w:spacing w:line="360" w:lineRule="auto"/>
        <w:jc w:val="both"/>
        <w:rPr>
          <w:rFonts w:ascii="David" w:hAnsi="David" w:cs="David"/>
          <w:sz w:val="24"/>
          <w:szCs w:val="24"/>
          <w:rtl/>
        </w:rPr>
      </w:pPr>
      <w:r>
        <w:rPr>
          <w:rFonts w:ascii="David" w:hAnsi="David" w:cs="David" w:hint="cs"/>
          <w:sz w:val="24"/>
          <w:szCs w:val="24"/>
          <w:rtl/>
        </w:rPr>
        <w:t>(1) ראיות מספיקות לכדי הרשעה.</w:t>
      </w:r>
    </w:p>
    <w:p w14:paraId="292F7A4F" w14:textId="4C96AB7A" w:rsidR="00546DD6" w:rsidRDefault="00546DD6" w:rsidP="00C153D8">
      <w:pPr>
        <w:spacing w:line="360" w:lineRule="auto"/>
        <w:jc w:val="both"/>
        <w:rPr>
          <w:rFonts w:ascii="David" w:hAnsi="David" w:cs="David"/>
          <w:sz w:val="24"/>
          <w:szCs w:val="24"/>
          <w:rtl/>
        </w:rPr>
      </w:pPr>
      <w:r>
        <w:rPr>
          <w:rFonts w:ascii="David" w:hAnsi="David" w:cs="David" w:hint="cs"/>
          <w:sz w:val="24"/>
          <w:szCs w:val="24"/>
          <w:rtl/>
        </w:rPr>
        <w:t>(2) היעדר עבר פלילי בחמש השנים אשר קדמו להסדר.</w:t>
      </w:r>
    </w:p>
    <w:p w14:paraId="35C7AD8B" w14:textId="2AEC46A2" w:rsidR="00546DD6" w:rsidRDefault="00546DD6" w:rsidP="00C153D8">
      <w:pPr>
        <w:spacing w:line="360" w:lineRule="auto"/>
        <w:jc w:val="both"/>
        <w:rPr>
          <w:rFonts w:ascii="David" w:hAnsi="David" w:cs="David"/>
          <w:sz w:val="24"/>
          <w:szCs w:val="24"/>
          <w:rtl/>
        </w:rPr>
      </w:pPr>
      <w:r>
        <w:rPr>
          <w:rFonts w:ascii="David" w:hAnsi="David" w:cs="David" w:hint="cs"/>
          <w:sz w:val="24"/>
          <w:szCs w:val="24"/>
          <w:rtl/>
        </w:rPr>
        <w:t>(3) אין חקירות או משפטים תלויים ועומדים בזמן שקדם להסדר.</w:t>
      </w:r>
    </w:p>
    <w:p w14:paraId="34DE4AD8" w14:textId="0FAD92AD" w:rsidR="00135B4E" w:rsidRDefault="00135B4E" w:rsidP="00C153D8">
      <w:pPr>
        <w:spacing w:line="360" w:lineRule="auto"/>
        <w:jc w:val="both"/>
        <w:rPr>
          <w:rFonts w:ascii="David" w:hAnsi="David" w:cs="David"/>
          <w:sz w:val="24"/>
          <w:szCs w:val="24"/>
          <w:rtl/>
        </w:rPr>
      </w:pPr>
      <w:r>
        <w:rPr>
          <w:rFonts w:ascii="David" w:hAnsi="David" w:cs="David" w:hint="cs"/>
          <w:sz w:val="24"/>
          <w:szCs w:val="24"/>
          <w:u w:val="single"/>
          <w:rtl/>
        </w:rPr>
        <w:t>מטרת ההסדר המותנה:</w:t>
      </w:r>
      <w:r>
        <w:rPr>
          <w:rFonts w:ascii="David" w:hAnsi="David" w:cs="David" w:hint="cs"/>
          <w:sz w:val="24"/>
          <w:szCs w:val="24"/>
          <w:rtl/>
        </w:rPr>
        <w:t xml:space="preserve"> </w:t>
      </w:r>
      <w:r w:rsidR="003951A4">
        <w:rPr>
          <w:rFonts w:ascii="David" w:hAnsi="David" w:cs="David" w:hint="cs"/>
          <w:sz w:val="24"/>
          <w:szCs w:val="24"/>
          <w:rtl/>
        </w:rPr>
        <w:t xml:space="preserve">החוק נועד לאפשר במקרים המתאימים, דרך חלופית להעמדת החשוד לדין פלילי בבית המשפט, על ידי סגירת התיק ומילוי תנאים מסויימים על ידי החשוד. </w:t>
      </w:r>
      <w:r w:rsidR="00345079">
        <w:rPr>
          <w:rFonts w:ascii="David" w:hAnsi="David" w:cs="David" w:hint="cs"/>
          <w:sz w:val="24"/>
          <w:szCs w:val="24"/>
          <w:rtl/>
        </w:rPr>
        <w:t xml:space="preserve">הסדר זה מפחית את העומס מהתביעה ומבתי המשפט ומפנה את המשאבים לתיקים החמורים יותר. בנוסף, מדובר בהסדר מהיר, מיידי, בעל תוצאה ודאית ומרתיע. </w:t>
      </w:r>
      <w:r w:rsidR="00E67043">
        <w:rPr>
          <w:rFonts w:ascii="David" w:hAnsi="David" w:cs="David" w:hint="cs"/>
          <w:sz w:val="24"/>
          <w:szCs w:val="24"/>
          <w:rtl/>
        </w:rPr>
        <w:t>בנוסף, הסדר זה מאפשר את הרחבת הא</w:t>
      </w:r>
      <w:r w:rsidR="00A2155E">
        <w:rPr>
          <w:rFonts w:ascii="David" w:hAnsi="David" w:cs="David" w:hint="cs"/>
          <w:sz w:val="24"/>
          <w:szCs w:val="24"/>
          <w:rtl/>
        </w:rPr>
        <w:t>כי</w:t>
      </w:r>
      <w:r w:rsidR="00E67043">
        <w:rPr>
          <w:rFonts w:ascii="David" w:hAnsi="David" w:cs="David" w:hint="cs"/>
          <w:sz w:val="24"/>
          <w:szCs w:val="24"/>
          <w:rtl/>
        </w:rPr>
        <w:t>פה על תיקים פלילי</w:t>
      </w:r>
      <w:r w:rsidR="00163E59">
        <w:rPr>
          <w:rFonts w:ascii="David" w:hAnsi="David" w:cs="David" w:hint="cs"/>
          <w:sz w:val="24"/>
          <w:szCs w:val="24"/>
          <w:rtl/>
        </w:rPr>
        <w:t>ים אשר הנטייה היא לסגור אותם בעילה של "נסיבות העניין בכללותן אינן מתאימות להעמדה לדין", מאחר שההצדקה לקיים בגינם הליך פלילי בבית המשפט, היא גבולית ובשל שיקולי ת</w:t>
      </w:r>
      <w:r w:rsidR="003866D3">
        <w:rPr>
          <w:rFonts w:ascii="David" w:hAnsi="David" w:cs="David" w:hint="cs"/>
          <w:sz w:val="24"/>
          <w:szCs w:val="24"/>
          <w:rtl/>
        </w:rPr>
        <w:t>י</w:t>
      </w:r>
      <w:r w:rsidR="00163E59">
        <w:rPr>
          <w:rFonts w:ascii="David" w:hAnsi="David" w:cs="David" w:hint="cs"/>
          <w:sz w:val="24"/>
          <w:szCs w:val="24"/>
          <w:rtl/>
        </w:rPr>
        <w:t>עדוף הנו</w:t>
      </w:r>
      <w:r w:rsidR="000C7D94">
        <w:rPr>
          <w:rFonts w:ascii="David" w:hAnsi="David" w:cs="David" w:hint="cs"/>
          <w:sz w:val="24"/>
          <w:szCs w:val="24"/>
          <w:rtl/>
        </w:rPr>
        <w:t>ב</w:t>
      </w:r>
      <w:r w:rsidR="00163E59">
        <w:rPr>
          <w:rFonts w:ascii="David" w:hAnsi="David" w:cs="David" w:hint="cs"/>
          <w:sz w:val="24"/>
          <w:szCs w:val="24"/>
          <w:rtl/>
        </w:rPr>
        <w:t xml:space="preserve">עים מאילוצי כוח אדם וזמן שיפוטי. </w:t>
      </w:r>
    </w:p>
    <w:p w14:paraId="43C3C9B8" w14:textId="528A4CD3" w:rsidR="003866D3" w:rsidRDefault="00BB6F9C" w:rsidP="00C153D8">
      <w:pPr>
        <w:spacing w:line="360" w:lineRule="auto"/>
        <w:jc w:val="both"/>
        <w:rPr>
          <w:rFonts w:ascii="David" w:hAnsi="David" w:cs="David"/>
          <w:sz w:val="24"/>
          <w:szCs w:val="24"/>
          <w:rtl/>
        </w:rPr>
      </w:pPr>
      <w:r>
        <w:rPr>
          <w:rFonts w:ascii="David" w:hAnsi="David" w:cs="David" w:hint="cs"/>
          <w:sz w:val="24"/>
          <w:szCs w:val="24"/>
          <w:u w:val="single"/>
          <w:rtl/>
        </w:rPr>
        <w:t>היתרונות בהסדר:</w:t>
      </w:r>
    </w:p>
    <w:p w14:paraId="42B5CF47" w14:textId="1C36B3F9" w:rsidR="00BB6F9C" w:rsidRDefault="00BB6F9C" w:rsidP="00C153D8">
      <w:pPr>
        <w:spacing w:line="360" w:lineRule="auto"/>
        <w:jc w:val="both"/>
        <w:rPr>
          <w:rFonts w:ascii="David" w:hAnsi="David" w:cs="David"/>
          <w:sz w:val="24"/>
          <w:szCs w:val="24"/>
          <w:rtl/>
        </w:rPr>
      </w:pPr>
      <w:r>
        <w:rPr>
          <w:rFonts w:ascii="David" w:hAnsi="David" w:cs="David" w:hint="cs"/>
          <w:sz w:val="24"/>
          <w:szCs w:val="24"/>
          <w:rtl/>
        </w:rPr>
        <w:t xml:space="preserve">(1) הלימה: הסכום שבו הוערכה הפגיעה, מהווה את הסכום אשר העבריין יצטרך להחזיר. כך מקבל נפגע העבירה את הפיצוי בצורה מכובדת ומהירה. </w:t>
      </w:r>
    </w:p>
    <w:p w14:paraId="093CB343" w14:textId="568892B5" w:rsidR="00BB6F9C" w:rsidRDefault="00BB6F9C" w:rsidP="00C153D8">
      <w:pPr>
        <w:spacing w:line="360" w:lineRule="auto"/>
        <w:jc w:val="both"/>
        <w:rPr>
          <w:rFonts w:ascii="David" w:hAnsi="David" w:cs="David"/>
          <w:sz w:val="24"/>
          <w:szCs w:val="24"/>
          <w:rtl/>
        </w:rPr>
      </w:pPr>
      <w:r>
        <w:rPr>
          <w:rFonts w:ascii="David" w:hAnsi="David" w:cs="David" w:hint="cs"/>
          <w:sz w:val="24"/>
          <w:szCs w:val="24"/>
          <w:rtl/>
        </w:rPr>
        <w:lastRenderedPageBreak/>
        <w:t xml:space="preserve">(2) חיזוק אמון הציבור: פעמים רבות תיקים היו נסגרים או לא מטופלים, הסדר זה מוודא כי יותר תיקים מגיעים לכדי פתרון וכך האזרח לא נפגע פגיעה נוספת </w:t>
      </w:r>
      <w:r w:rsidR="00C255E6">
        <w:rPr>
          <w:rFonts w:ascii="David" w:hAnsi="David" w:cs="David" w:hint="cs"/>
          <w:sz w:val="24"/>
          <w:szCs w:val="24"/>
          <w:rtl/>
        </w:rPr>
        <w:t xml:space="preserve">בצורת </w:t>
      </w:r>
      <w:r w:rsidR="00247665">
        <w:rPr>
          <w:rFonts w:ascii="David" w:hAnsi="David" w:cs="David" w:hint="cs"/>
          <w:sz w:val="24"/>
          <w:szCs w:val="24"/>
          <w:rtl/>
        </w:rPr>
        <w:t xml:space="preserve">עוגמת נפש. </w:t>
      </w:r>
    </w:p>
    <w:p w14:paraId="7069A439" w14:textId="72E5AE16" w:rsidR="00247665" w:rsidRDefault="00247665" w:rsidP="00C153D8">
      <w:pPr>
        <w:spacing w:line="360" w:lineRule="auto"/>
        <w:jc w:val="both"/>
        <w:rPr>
          <w:rFonts w:ascii="David" w:hAnsi="David" w:cs="David"/>
          <w:sz w:val="24"/>
          <w:szCs w:val="24"/>
          <w:rtl/>
        </w:rPr>
      </w:pPr>
      <w:r>
        <w:rPr>
          <w:rFonts w:ascii="David" w:hAnsi="David" w:cs="David" w:hint="cs"/>
          <w:sz w:val="24"/>
          <w:szCs w:val="24"/>
          <w:rtl/>
        </w:rPr>
        <w:t xml:space="preserve">(3) צדק תהליכי: </w:t>
      </w:r>
      <w:r w:rsidR="00F029BA">
        <w:rPr>
          <w:rFonts w:ascii="David" w:hAnsi="David" w:cs="David" w:hint="cs"/>
          <w:sz w:val="24"/>
          <w:szCs w:val="24"/>
          <w:rtl/>
        </w:rPr>
        <w:t xml:space="preserve">מדובר בהליך הוגן בו נפגע העבירה מרגיש כי קיבל יחס ופיצוי ראוי ומולו, העבריין נענש, בלי לעמוד בפני בית המשפט ובהסכמתו. </w:t>
      </w:r>
    </w:p>
    <w:p w14:paraId="00321598" w14:textId="3B4ACA2C" w:rsidR="00996A0C" w:rsidRDefault="00996A0C" w:rsidP="00C153D8">
      <w:pPr>
        <w:spacing w:line="360" w:lineRule="auto"/>
        <w:jc w:val="both"/>
        <w:rPr>
          <w:rFonts w:ascii="David" w:hAnsi="David" w:cs="David"/>
          <w:sz w:val="24"/>
          <w:szCs w:val="24"/>
          <w:rtl/>
        </w:rPr>
      </w:pPr>
      <w:r>
        <w:rPr>
          <w:rFonts w:ascii="David" w:hAnsi="David" w:cs="David" w:hint="cs"/>
          <w:sz w:val="24"/>
          <w:szCs w:val="24"/>
          <w:rtl/>
        </w:rPr>
        <w:t xml:space="preserve">(4) אכיפה מהירה: נפגע העבירה מקבל את הסעד בצורה מהירה. </w:t>
      </w:r>
    </w:p>
    <w:p w14:paraId="2709D0C4" w14:textId="4ECCB44B" w:rsidR="00996A0C" w:rsidRDefault="00996A0C" w:rsidP="00C153D8">
      <w:pPr>
        <w:spacing w:line="360" w:lineRule="auto"/>
        <w:jc w:val="both"/>
        <w:rPr>
          <w:rFonts w:ascii="David" w:hAnsi="David" w:cs="David"/>
          <w:sz w:val="24"/>
          <w:szCs w:val="24"/>
          <w:rtl/>
        </w:rPr>
      </w:pPr>
      <w:r>
        <w:rPr>
          <w:rFonts w:ascii="David" w:hAnsi="David" w:cs="David" w:hint="cs"/>
          <w:sz w:val="24"/>
          <w:szCs w:val="24"/>
          <w:rtl/>
        </w:rPr>
        <w:t>(5) הגברת הרתעה ומניעה: מיצוי הדין עם העבריין, גם במצבים של עבירות נמוכות,</w:t>
      </w:r>
      <w:r w:rsidR="00546DD6">
        <w:rPr>
          <w:rFonts w:ascii="David" w:hAnsi="David" w:cs="David" w:hint="cs"/>
          <w:sz w:val="24"/>
          <w:szCs w:val="24"/>
          <w:rtl/>
        </w:rPr>
        <w:t xml:space="preserve"> מה שיוצר הרתעה גם בעבירות מסוג זה. </w:t>
      </w:r>
    </w:p>
    <w:p w14:paraId="467E81C1" w14:textId="1EB224AE" w:rsidR="00546DD6" w:rsidRDefault="00C81507" w:rsidP="00C153D8">
      <w:pPr>
        <w:spacing w:line="360" w:lineRule="auto"/>
        <w:jc w:val="both"/>
        <w:rPr>
          <w:rtl/>
        </w:rPr>
      </w:pPr>
      <w:r>
        <w:rPr>
          <w:rFonts w:ascii="David" w:hAnsi="David" w:cs="David"/>
          <w:noProof/>
          <w:sz w:val="24"/>
          <w:szCs w:val="24"/>
          <w:rtl/>
          <w:lang w:val="he-IL"/>
        </w:rPr>
        <w:drawing>
          <wp:anchor distT="0" distB="0" distL="114300" distR="114300" simplePos="0" relativeHeight="251661312" behindDoc="0" locked="0" layoutInCell="1" allowOverlap="1" wp14:anchorId="36857AB6" wp14:editId="421AE4B4">
            <wp:simplePos x="0" y="0"/>
            <wp:positionH relativeFrom="margin">
              <wp:posOffset>319356</wp:posOffset>
            </wp:positionH>
            <wp:positionV relativeFrom="paragraph">
              <wp:posOffset>236513</wp:posOffset>
            </wp:positionV>
            <wp:extent cx="4564966" cy="2121291"/>
            <wp:effectExtent l="0" t="38100" r="26670" b="50800"/>
            <wp:wrapNone/>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546DD6">
        <w:rPr>
          <w:rFonts w:ascii="David" w:hAnsi="David" w:cs="David" w:hint="cs"/>
          <w:sz w:val="24"/>
          <w:szCs w:val="24"/>
          <w:u w:val="single"/>
          <w:rtl/>
        </w:rPr>
        <w:t>תהליך ההסדר:</w:t>
      </w:r>
      <w:r w:rsidR="00546DD6">
        <w:rPr>
          <w:rFonts w:hint="cs"/>
          <w:rtl/>
        </w:rPr>
        <w:t xml:space="preserve"> </w:t>
      </w:r>
    </w:p>
    <w:p w14:paraId="1D59BF2A" w14:textId="409CF223" w:rsidR="00EE39A9" w:rsidRDefault="00EE39A9" w:rsidP="00C153D8">
      <w:pPr>
        <w:spacing w:line="360" w:lineRule="auto"/>
        <w:jc w:val="both"/>
        <w:rPr>
          <w:rtl/>
        </w:rPr>
      </w:pPr>
    </w:p>
    <w:p w14:paraId="366F1954" w14:textId="77777777" w:rsidR="00C81507" w:rsidRDefault="00C81507" w:rsidP="00C153D8">
      <w:pPr>
        <w:spacing w:line="360" w:lineRule="auto"/>
        <w:jc w:val="both"/>
        <w:rPr>
          <w:rtl/>
        </w:rPr>
      </w:pPr>
    </w:p>
    <w:p w14:paraId="2091494C" w14:textId="77777777" w:rsidR="00C81507" w:rsidRDefault="00C81507" w:rsidP="00C153D8">
      <w:pPr>
        <w:spacing w:line="360" w:lineRule="auto"/>
        <w:jc w:val="both"/>
        <w:rPr>
          <w:rtl/>
        </w:rPr>
      </w:pPr>
    </w:p>
    <w:p w14:paraId="553CC69E" w14:textId="77777777" w:rsidR="00C81507" w:rsidRDefault="00C81507" w:rsidP="00C153D8">
      <w:pPr>
        <w:spacing w:line="360" w:lineRule="auto"/>
        <w:jc w:val="both"/>
        <w:rPr>
          <w:rtl/>
        </w:rPr>
      </w:pPr>
    </w:p>
    <w:p w14:paraId="67956A71" w14:textId="77777777" w:rsidR="00C81507" w:rsidRDefault="00C81507" w:rsidP="00C153D8">
      <w:pPr>
        <w:spacing w:line="360" w:lineRule="auto"/>
        <w:jc w:val="both"/>
        <w:rPr>
          <w:rtl/>
        </w:rPr>
      </w:pPr>
    </w:p>
    <w:p w14:paraId="1D67BA4B" w14:textId="77777777" w:rsidR="00C81507" w:rsidRDefault="00C81507" w:rsidP="00C153D8">
      <w:pPr>
        <w:spacing w:line="360" w:lineRule="auto"/>
        <w:jc w:val="both"/>
        <w:rPr>
          <w:rtl/>
        </w:rPr>
      </w:pPr>
    </w:p>
    <w:p w14:paraId="54E624A0" w14:textId="77777777" w:rsidR="00EF05B2" w:rsidRDefault="00EF05B2" w:rsidP="00250C30">
      <w:pPr>
        <w:spacing w:line="360" w:lineRule="auto"/>
        <w:jc w:val="both"/>
        <w:rPr>
          <w:rFonts w:ascii="David" w:hAnsi="David" w:cs="David"/>
          <w:sz w:val="24"/>
          <w:szCs w:val="24"/>
          <w:u w:val="single"/>
          <w:rtl/>
        </w:rPr>
      </w:pPr>
    </w:p>
    <w:p w14:paraId="70B98AD3" w14:textId="711F32A0" w:rsidR="00C81507" w:rsidRDefault="00250C30" w:rsidP="00250C30">
      <w:pPr>
        <w:spacing w:line="360" w:lineRule="auto"/>
        <w:jc w:val="both"/>
        <w:rPr>
          <w:rFonts w:ascii="David" w:hAnsi="David" w:cs="David"/>
          <w:sz w:val="24"/>
          <w:szCs w:val="24"/>
          <w:rtl/>
        </w:rPr>
      </w:pPr>
      <w:r w:rsidRPr="00250C30">
        <w:rPr>
          <w:rFonts w:ascii="David" w:hAnsi="David" w:cs="David"/>
          <w:sz w:val="24"/>
          <w:szCs w:val="24"/>
          <w:u w:val="single"/>
          <w:rtl/>
        </w:rPr>
        <w:lastRenderedPageBreak/>
        <w:t>מקרים חריגים:</w:t>
      </w:r>
      <w:r>
        <w:rPr>
          <w:rFonts w:ascii="David" w:hAnsi="David" w:cs="David" w:hint="cs"/>
          <w:sz w:val="24"/>
          <w:szCs w:val="24"/>
          <w:rtl/>
        </w:rPr>
        <w:t xml:space="preserve"> במצב בו הנאשם לא מודה באשמה או עומד בתנאי ההסדר, התיק יעבור להליך פלילי רגיל </w:t>
      </w:r>
      <w:r w:rsidR="005C426B">
        <w:rPr>
          <w:rFonts w:ascii="David" w:hAnsi="David" w:cs="David" w:hint="cs"/>
          <w:sz w:val="24"/>
          <w:szCs w:val="24"/>
          <w:rtl/>
        </w:rPr>
        <w:t xml:space="preserve">והנאשם עשוי לקבל עונש מאסר. </w:t>
      </w:r>
    </w:p>
    <w:p w14:paraId="05E600D2" w14:textId="25F89514" w:rsidR="009C540D" w:rsidRDefault="009C540D" w:rsidP="00250C30">
      <w:pPr>
        <w:spacing w:line="360" w:lineRule="auto"/>
        <w:jc w:val="both"/>
        <w:rPr>
          <w:rFonts w:ascii="David" w:hAnsi="David" w:cs="David"/>
          <w:sz w:val="24"/>
          <w:szCs w:val="24"/>
          <w:rtl/>
        </w:rPr>
      </w:pPr>
      <w:r>
        <w:rPr>
          <w:rFonts w:ascii="David" w:hAnsi="David" w:cs="David" w:hint="cs"/>
          <w:sz w:val="24"/>
          <w:szCs w:val="24"/>
          <w:u w:val="single"/>
          <w:rtl/>
        </w:rPr>
        <w:t>התנאים המופיעים בהסדר:</w:t>
      </w:r>
      <w:r>
        <w:rPr>
          <w:rFonts w:ascii="David" w:hAnsi="David" w:cs="David" w:hint="cs"/>
          <w:sz w:val="24"/>
          <w:szCs w:val="24"/>
          <w:rtl/>
        </w:rPr>
        <w:t xml:space="preserve"> בהסדר יכול להופיע תנאי אחד או מספר תנאים יחד, העניין תלוי מקרה. </w:t>
      </w:r>
      <w:r w:rsidR="003B0401">
        <w:rPr>
          <w:rFonts w:ascii="David" w:hAnsi="David" w:cs="David" w:hint="cs"/>
          <w:sz w:val="24"/>
          <w:szCs w:val="24"/>
          <w:rtl/>
        </w:rPr>
        <w:t>התנאים מנויים בסעיף 67 לחוק ומדובר ברשימה סגורה:</w:t>
      </w:r>
    </w:p>
    <w:p w14:paraId="709A0F1E" w14:textId="7FE4B2C4" w:rsidR="008B749C" w:rsidRDefault="008B749C" w:rsidP="00250C30">
      <w:pPr>
        <w:spacing w:line="360" w:lineRule="auto"/>
        <w:jc w:val="both"/>
        <w:rPr>
          <w:rFonts w:ascii="David" w:hAnsi="David" w:cs="David"/>
          <w:sz w:val="24"/>
          <w:szCs w:val="24"/>
          <w:rtl/>
        </w:rPr>
      </w:pPr>
      <w:r>
        <w:rPr>
          <w:rFonts w:ascii="David" w:hAnsi="David" w:cs="David" w:hint="cs"/>
          <w:sz w:val="24"/>
          <w:szCs w:val="24"/>
          <w:rtl/>
        </w:rPr>
        <w:t>(1) תשלום קנס לאוצר המדינה או פיצוי עד ל</w:t>
      </w:r>
      <w:r w:rsidR="002161E0">
        <w:rPr>
          <w:rFonts w:ascii="David" w:hAnsi="David" w:cs="David" w:hint="cs"/>
          <w:sz w:val="24"/>
          <w:szCs w:val="24"/>
          <w:rtl/>
        </w:rPr>
        <w:t>גובה</w:t>
      </w:r>
      <w:r>
        <w:rPr>
          <w:rFonts w:ascii="David" w:hAnsi="David" w:cs="David" w:hint="cs"/>
          <w:sz w:val="24"/>
          <w:szCs w:val="24"/>
          <w:rtl/>
        </w:rPr>
        <w:t xml:space="preserve"> של 29,200</w:t>
      </w:r>
      <w:r w:rsidR="00571AFB">
        <w:rPr>
          <w:rFonts w:ascii="David" w:hAnsi="David" w:cs="David" w:hint="cs"/>
          <w:sz w:val="24"/>
          <w:szCs w:val="24"/>
          <w:rtl/>
        </w:rPr>
        <w:t xml:space="preserve"> ₪</w:t>
      </w:r>
      <w:r w:rsidR="002161E0">
        <w:rPr>
          <w:rFonts w:ascii="David" w:hAnsi="David" w:cs="David" w:hint="cs"/>
          <w:sz w:val="24"/>
          <w:szCs w:val="24"/>
          <w:rtl/>
        </w:rPr>
        <w:t xml:space="preserve">, אף אם ההסדר כולל יותר מעבירה אחת (סעיף 61(א)(2). </w:t>
      </w:r>
    </w:p>
    <w:p w14:paraId="44FB51C2" w14:textId="4ED05032" w:rsidR="002161E0" w:rsidRDefault="002161E0" w:rsidP="00250C30">
      <w:pPr>
        <w:spacing w:line="360" w:lineRule="auto"/>
        <w:jc w:val="both"/>
        <w:rPr>
          <w:rFonts w:ascii="David" w:hAnsi="David" w:cs="David"/>
          <w:sz w:val="24"/>
          <w:szCs w:val="24"/>
          <w:rtl/>
        </w:rPr>
      </w:pPr>
      <w:r>
        <w:rPr>
          <w:rFonts w:ascii="David" w:hAnsi="David" w:cs="David" w:hint="cs"/>
          <w:sz w:val="24"/>
          <w:szCs w:val="24"/>
          <w:rtl/>
        </w:rPr>
        <w:t>(</w:t>
      </w:r>
      <w:r w:rsidR="00571AFB">
        <w:rPr>
          <w:rFonts w:ascii="David" w:hAnsi="David" w:cs="David" w:hint="cs"/>
          <w:sz w:val="24"/>
          <w:szCs w:val="24"/>
          <w:rtl/>
        </w:rPr>
        <w:t xml:space="preserve">2) פיצוי לכל נפגע עבירה עד לסכום הקובע בסעיף 61(א)(2) </w:t>
      </w:r>
      <w:r w:rsidR="00571AFB">
        <w:rPr>
          <w:rFonts w:ascii="David" w:hAnsi="David" w:cs="David"/>
          <w:sz w:val="24"/>
          <w:szCs w:val="24"/>
          <w:rtl/>
        </w:rPr>
        <w:t>–</w:t>
      </w:r>
      <w:r w:rsidR="00571AFB">
        <w:rPr>
          <w:rFonts w:ascii="David" w:hAnsi="David" w:cs="David" w:hint="cs"/>
          <w:sz w:val="24"/>
          <w:szCs w:val="24"/>
          <w:rtl/>
        </w:rPr>
        <w:t xml:space="preserve"> 29,200 ₪. </w:t>
      </w:r>
    </w:p>
    <w:p w14:paraId="4A87B812" w14:textId="04FA74CD" w:rsidR="004D7B36" w:rsidRDefault="004D7B36" w:rsidP="004D7B36">
      <w:pPr>
        <w:spacing w:line="360" w:lineRule="auto"/>
        <w:jc w:val="both"/>
        <w:rPr>
          <w:rFonts w:ascii="David" w:hAnsi="David" w:cs="David"/>
          <w:sz w:val="24"/>
          <w:szCs w:val="24"/>
          <w:rtl/>
        </w:rPr>
      </w:pPr>
      <w:r>
        <w:rPr>
          <w:rFonts w:ascii="David" w:hAnsi="David" w:cs="David" w:hint="cs"/>
          <w:sz w:val="24"/>
          <w:szCs w:val="24"/>
          <w:rtl/>
        </w:rPr>
        <w:t>(3) התחייבות להימנע מביצוע עבירה נוספת.</w:t>
      </w:r>
    </w:p>
    <w:p w14:paraId="7FEA2D37" w14:textId="3027134C" w:rsidR="004D7B36" w:rsidRDefault="004D7B36" w:rsidP="004D7B36">
      <w:pPr>
        <w:spacing w:line="360" w:lineRule="auto"/>
        <w:jc w:val="both"/>
        <w:rPr>
          <w:rFonts w:ascii="David" w:hAnsi="David" w:cs="David"/>
          <w:sz w:val="24"/>
          <w:szCs w:val="24"/>
          <w:rtl/>
        </w:rPr>
      </w:pPr>
      <w:r>
        <w:rPr>
          <w:rFonts w:ascii="David" w:hAnsi="David" w:cs="David" w:hint="cs"/>
          <w:sz w:val="24"/>
          <w:szCs w:val="24"/>
          <w:rtl/>
        </w:rPr>
        <w:t xml:space="preserve">(4) עמידה בתנאי תוכנית טיפול, תיקון ושיקום, לרבות ביצוע שירות לציבור (של"צ), שיקבע קצין מבחן והמצאות בפיקוח קצין מבחן. </w:t>
      </w:r>
    </w:p>
    <w:p w14:paraId="7ED2146B" w14:textId="56A37432" w:rsidR="004D7B36" w:rsidRDefault="004D7B36" w:rsidP="004D7B36">
      <w:pPr>
        <w:spacing w:line="360" w:lineRule="auto"/>
        <w:jc w:val="both"/>
        <w:rPr>
          <w:rFonts w:ascii="David" w:hAnsi="David" w:cs="David"/>
          <w:sz w:val="24"/>
          <w:szCs w:val="24"/>
          <w:rtl/>
        </w:rPr>
      </w:pPr>
      <w:r>
        <w:rPr>
          <w:rFonts w:ascii="David" w:hAnsi="David" w:cs="David" w:hint="cs"/>
          <w:sz w:val="24"/>
          <w:szCs w:val="24"/>
          <w:rtl/>
        </w:rPr>
        <w:t>(5) נקיטת האמצעים הקבועים בתוספת החמישית לחוק, לצורך תיקון הנזק שנגרם מהעבירה, לשם השבת המצב לקדמותו ולמניעת ביצוע העבירה שבהסדר</w:t>
      </w:r>
      <w:r w:rsidR="00BE0E41">
        <w:rPr>
          <w:rFonts w:ascii="David" w:hAnsi="David" w:cs="David" w:hint="cs"/>
          <w:sz w:val="24"/>
          <w:szCs w:val="24"/>
          <w:rtl/>
        </w:rPr>
        <w:t xml:space="preserve"> ובלבד שיש זיקה עניינית בין התנאי ובין העבירה שבוצעה. האמצעים יהיו אחד או יותר מאלה: </w:t>
      </w:r>
    </w:p>
    <w:p w14:paraId="5DE185D6" w14:textId="5CA53AEF" w:rsidR="00533E77" w:rsidRDefault="00533E77" w:rsidP="00BE0E41">
      <w:pPr>
        <w:spacing w:line="360" w:lineRule="auto"/>
        <w:jc w:val="both"/>
        <w:rPr>
          <w:rFonts w:ascii="David" w:hAnsi="David" w:cs="David"/>
          <w:sz w:val="24"/>
          <w:szCs w:val="24"/>
          <w:rtl/>
        </w:rPr>
      </w:pPr>
      <w:r>
        <w:rPr>
          <w:rFonts w:ascii="David" w:hAnsi="David" w:cs="David" w:hint="cs"/>
          <w:sz w:val="24"/>
          <w:szCs w:val="24"/>
          <w:rtl/>
        </w:rPr>
        <w:t xml:space="preserve">- </w:t>
      </w:r>
      <w:r w:rsidR="00BE0E41">
        <w:rPr>
          <w:rFonts w:ascii="David" w:hAnsi="David" w:cs="David" w:hint="cs"/>
          <w:sz w:val="24"/>
          <w:szCs w:val="24"/>
          <w:rtl/>
        </w:rPr>
        <w:t>פסילת רישיון נהיגה</w:t>
      </w:r>
      <w:r>
        <w:rPr>
          <w:rFonts w:ascii="David" w:hAnsi="David" w:cs="David" w:hint="cs"/>
          <w:sz w:val="24"/>
          <w:szCs w:val="24"/>
          <w:rtl/>
        </w:rPr>
        <w:t>.</w:t>
      </w:r>
    </w:p>
    <w:p w14:paraId="1E42B187" w14:textId="01F449ED" w:rsidR="00533E77" w:rsidRDefault="00533E77" w:rsidP="00BE0E41">
      <w:pPr>
        <w:spacing w:line="360" w:lineRule="auto"/>
        <w:jc w:val="both"/>
        <w:rPr>
          <w:rFonts w:ascii="David" w:hAnsi="David" w:cs="David"/>
          <w:sz w:val="24"/>
          <w:szCs w:val="24"/>
          <w:rtl/>
        </w:rPr>
      </w:pPr>
      <w:r>
        <w:rPr>
          <w:rFonts w:ascii="David" w:hAnsi="David" w:cs="David" w:hint="cs"/>
          <w:sz w:val="24"/>
          <w:szCs w:val="24"/>
          <w:rtl/>
        </w:rPr>
        <w:t xml:space="preserve">- </w:t>
      </w:r>
      <w:r w:rsidR="00BE0E41">
        <w:rPr>
          <w:rFonts w:ascii="David" w:hAnsi="David" w:cs="David" w:hint="cs"/>
          <w:sz w:val="24"/>
          <w:szCs w:val="24"/>
          <w:rtl/>
        </w:rPr>
        <w:t>הפקדת כלי יריה</w:t>
      </w:r>
      <w:r>
        <w:rPr>
          <w:rFonts w:ascii="David" w:hAnsi="David" w:cs="David" w:hint="cs"/>
          <w:sz w:val="24"/>
          <w:szCs w:val="24"/>
          <w:rtl/>
        </w:rPr>
        <w:t>.</w:t>
      </w:r>
    </w:p>
    <w:p w14:paraId="62B54B10" w14:textId="074768D9" w:rsidR="00533E77" w:rsidRDefault="00533E77" w:rsidP="00BE0E41">
      <w:pPr>
        <w:spacing w:line="360" w:lineRule="auto"/>
        <w:jc w:val="both"/>
        <w:rPr>
          <w:rFonts w:ascii="David" w:hAnsi="David" w:cs="David"/>
          <w:sz w:val="24"/>
          <w:szCs w:val="24"/>
          <w:rtl/>
        </w:rPr>
      </w:pPr>
      <w:r>
        <w:rPr>
          <w:rFonts w:ascii="David" w:hAnsi="David" w:cs="David" w:hint="cs"/>
          <w:sz w:val="24"/>
          <w:szCs w:val="24"/>
          <w:rtl/>
        </w:rPr>
        <w:t xml:space="preserve">- </w:t>
      </w:r>
      <w:r w:rsidR="00BE0E41">
        <w:rPr>
          <w:rFonts w:ascii="David" w:hAnsi="David" w:cs="David" w:hint="cs"/>
          <w:sz w:val="24"/>
          <w:szCs w:val="24"/>
          <w:rtl/>
        </w:rPr>
        <w:t>התחייבות להימנע מכניסה למקום או שלא להיות בקשר עם אדם</w:t>
      </w:r>
      <w:r>
        <w:rPr>
          <w:rFonts w:ascii="David" w:hAnsi="David" w:cs="David" w:hint="cs"/>
          <w:sz w:val="24"/>
          <w:szCs w:val="24"/>
          <w:rtl/>
        </w:rPr>
        <w:t>.</w:t>
      </w:r>
    </w:p>
    <w:p w14:paraId="33499A69" w14:textId="73710D46" w:rsidR="00533E77" w:rsidRDefault="00533E77" w:rsidP="00BE0E41">
      <w:pPr>
        <w:spacing w:line="360" w:lineRule="auto"/>
        <w:jc w:val="both"/>
        <w:rPr>
          <w:rFonts w:ascii="David" w:hAnsi="David" w:cs="David"/>
          <w:sz w:val="24"/>
          <w:szCs w:val="24"/>
          <w:rtl/>
        </w:rPr>
      </w:pPr>
      <w:r>
        <w:rPr>
          <w:rFonts w:ascii="David" w:hAnsi="David" w:cs="David" w:hint="cs"/>
          <w:sz w:val="24"/>
          <w:szCs w:val="24"/>
          <w:rtl/>
        </w:rPr>
        <w:t>-</w:t>
      </w:r>
      <w:r w:rsidR="00BE0E41">
        <w:rPr>
          <w:rFonts w:ascii="David" w:hAnsi="David" w:cs="David" w:hint="cs"/>
          <w:sz w:val="24"/>
          <w:szCs w:val="24"/>
          <w:rtl/>
        </w:rPr>
        <w:t xml:space="preserve"> מכתב התנצלות לנפגע העבירה</w:t>
      </w:r>
      <w:r>
        <w:rPr>
          <w:rFonts w:ascii="David" w:hAnsi="David" w:cs="David" w:hint="cs"/>
          <w:sz w:val="24"/>
          <w:szCs w:val="24"/>
          <w:rtl/>
        </w:rPr>
        <w:t>.</w:t>
      </w:r>
    </w:p>
    <w:p w14:paraId="57ED5951" w14:textId="05D32100" w:rsidR="00533E77" w:rsidRDefault="00533E77" w:rsidP="00BE0E41">
      <w:pPr>
        <w:spacing w:line="360" w:lineRule="auto"/>
        <w:jc w:val="both"/>
        <w:rPr>
          <w:rFonts w:ascii="David" w:hAnsi="David" w:cs="David"/>
          <w:sz w:val="24"/>
          <w:szCs w:val="24"/>
          <w:rtl/>
        </w:rPr>
      </w:pPr>
      <w:r>
        <w:rPr>
          <w:rFonts w:ascii="David" w:hAnsi="David" w:cs="David" w:hint="cs"/>
          <w:sz w:val="24"/>
          <w:szCs w:val="24"/>
          <w:rtl/>
        </w:rPr>
        <w:lastRenderedPageBreak/>
        <w:t xml:space="preserve">- </w:t>
      </w:r>
      <w:r w:rsidR="00BE0E41">
        <w:rPr>
          <w:rFonts w:ascii="David" w:hAnsi="David" w:cs="David" w:hint="cs"/>
          <w:sz w:val="24"/>
          <w:szCs w:val="24"/>
          <w:rtl/>
        </w:rPr>
        <w:t>הסכמה לחלט או להשמיד חפץ הקשור לעבירה ואסור בהחזקה לפי כל דין</w:t>
      </w:r>
      <w:r>
        <w:rPr>
          <w:rFonts w:ascii="David" w:hAnsi="David" w:cs="David" w:hint="cs"/>
          <w:sz w:val="24"/>
          <w:szCs w:val="24"/>
          <w:rtl/>
        </w:rPr>
        <w:t>.</w:t>
      </w:r>
    </w:p>
    <w:p w14:paraId="2F4EE478" w14:textId="1F99E481" w:rsidR="00BE0E41" w:rsidRPr="009C540D" w:rsidRDefault="00533E77" w:rsidP="00BE0E41">
      <w:pPr>
        <w:spacing w:line="360" w:lineRule="auto"/>
        <w:jc w:val="both"/>
        <w:rPr>
          <w:rFonts w:ascii="David" w:hAnsi="David" w:cs="David"/>
          <w:sz w:val="24"/>
          <w:szCs w:val="24"/>
          <w:rtl/>
        </w:rPr>
      </w:pPr>
      <w:r>
        <w:rPr>
          <w:rFonts w:ascii="David" w:hAnsi="David" w:cs="David" w:hint="cs"/>
          <w:sz w:val="24"/>
          <w:szCs w:val="24"/>
          <w:rtl/>
        </w:rPr>
        <w:t xml:space="preserve">- </w:t>
      </w:r>
      <w:r w:rsidR="00BE0E41">
        <w:rPr>
          <w:rFonts w:ascii="David" w:hAnsi="David" w:cs="David" w:hint="cs"/>
          <w:sz w:val="24"/>
          <w:szCs w:val="24"/>
          <w:rtl/>
        </w:rPr>
        <w:t xml:space="preserve">השבת חפץ </w:t>
      </w:r>
      <w:r w:rsidR="001D36C2">
        <w:rPr>
          <w:rFonts w:ascii="David" w:hAnsi="David" w:cs="David" w:hint="cs"/>
          <w:sz w:val="24"/>
          <w:szCs w:val="24"/>
          <w:rtl/>
        </w:rPr>
        <w:t>בעין לנפגע העבירה או תיקון חפץ שניזוק בעבירה</w:t>
      </w:r>
      <w:r>
        <w:rPr>
          <w:rFonts w:ascii="David" w:hAnsi="David" w:cs="David" w:hint="cs"/>
          <w:sz w:val="24"/>
          <w:szCs w:val="24"/>
          <w:rtl/>
        </w:rPr>
        <w:t xml:space="preserve">. </w:t>
      </w:r>
    </w:p>
    <w:p w14:paraId="0BFEE7F7" w14:textId="140DBF71" w:rsidR="00C81507" w:rsidRDefault="00533E77" w:rsidP="00C153D8">
      <w:pPr>
        <w:spacing w:line="360" w:lineRule="auto"/>
        <w:jc w:val="both"/>
        <w:rPr>
          <w:rFonts w:ascii="David" w:hAnsi="David" w:cs="David"/>
          <w:sz w:val="24"/>
          <w:szCs w:val="24"/>
          <w:rtl/>
        </w:rPr>
      </w:pPr>
      <w:r w:rsidRPr="00533E77">
        <w:rPr>
          <w:rFonts w:ascii="David" w:hAnsi="David" w:cs="David" w:hint="cs"/>
          <w:sz w:val="28"/>
          <w:szCs w:val="28"/>
          <w:rtl/>
        </w:rPr>
        <w:t xml:space="preserve">* </w:t>
      </w:r>
      <w:r>
        <w:rPr>
          <w:rFonts w:ascii="David" w:hAnsi="David" w:cs="David" w:hint="cs"/>
          <w:sz w:val="24"/>
          <w:szCs w:val="24"/>
          <w:rtl/>
        </w:rPr>
        <w:t>לעניין עבירות לפי חוק התכנון והבנייה עולים תנאים נוספים המנויים בחוק.</w:t>
      </w:r>
      <w:r w:rsidRPr="00533E77">
        <w:rPr>
          <w:rFonts w:ascii="David" w:hAnsi="David" w:cs="David" w:hint="cs"/>
          <w:sz w:val="28"/>
          <w:szCs w:val="28"/>
          <w:rtl/>
        </w:rPr>
        <w:t xml:space="preserve"> *</w:t>
      </w:r>
    </w:p>
    <w:p w14:paraId="673E6669" w14:textId="59E41363" w:rsidR="00533E77" w:rsidRDefault="0054721D" w:rsidP="0054721D">
      <w:pPr>
        <w:spacing w:line="360" w:lineRule="auto"/>
        <w:jc w:val="center"/>
        <w:rPr>
          <w:rFonts w:ascii="David" w:hAnsi="David" w:cs="David"/>
          <w:sz w:val="24"/>
          <w:szCs w:val="24"/>
          <w:rtl/>
        </w:rPr>
      </w:pPr>
      <w:r w:rsidRPr="00EA2D67">
        <w:rPr>
          <w:rFonts w:ascii="David" w:hAnsi="David" w:cs="David" w:hint="cs"/>
          <w:sz w:val="24"/>
          <w:szCs w:val="24"/>
          <w:u w:val="single"/>
          <w:shd w:val="clear" w:color="auto" w:fill="D0DDFC"/>
          <w:rtl/>
        </w:rPr>
        <w:t>אלימות במשפחה:</w:t>
      </w:r>
    </w:p>
    <w:p w14:paraId="04D7339C" w14:textId="4DA295C7" w:rsidR="00D467E2" w:rsidRDefault="0054721D" w:rsidP="00D467E2">
      <w:pPr>
        <w:spacing w:line="360" w:lineRule="auto"/>
        <w:jc w:val="both"/>
        <w:rPr>
          <w:rFonts w:ascii="David" w:hAnsi="David" w:cs="David"/>
          <w:sz w:val="24"/>
          <w:szCs w:val="24"/>
          <w:rtl/>
        </w:rPr>
      </w:pPr>
      <w:r>
        <w:rPr>
          <w:rFonts w:ascii="David" w:hAnsi="David" w:cs="David" w:hint="cs"/>
          <w:sz w:val="24"/>
          <w:szCs w:val="24"/>
          <w:rtl/>
        </w:rPr>
        <w:t xml:space="preserve"> </w:t>
      </w:r>
      <w:r w:rsidR="00247CE1">
        <w:rPr>
          <w:rFonts w:ascii="David" w:hAnsi="David" w:cs="David" w:hint="cs"/>
          <w:b/>
          <w:bCs/>
          <w:sz w:val="24"/>
          <w:szCs w:val="24"/>
          <w:u w:val="single"/>
          <w:rtl/>
        </w:rPr>
        <w:t>אלימות בין בני זוג:</w:t>
      </w:r>
      <w:r w:rsidR="00247CE1">
        <w:rPr>
          <w:rFonts w:ascii="David" w:hAnsi="David" w:cs="David" w:hint="cs"/>
          <w:sz w:val="24"/>
          <w:szCs w:val="24"/>
          <w:rtl/>
        </w:rPr>
        <w:t xml:space="preserve"> </w:t>
      </w:r>
    </w:p>
    <w:p w14:paraId="58CEAE1F" w14:textId="2F78488D" w:rsidR="00247CE1" w:rsidRDefault="00247CE1" w:rsidP="0054721D">
      <w:pPr>
        <w:spacing w:line="360" w:lineRule="auto"/>
        <w:jc w:val="both"/>
        <w:rPr>
          <w:rFonts w:ascii="David" w:hAnsi="David" w:cs="David"/>
          <w:sz w:val="24"/>
          <w:szCs w:val="24"/>
          <w:rtl/>
        </w:rPr>
      </w:pPr>
      <w:r>
        <w:rPr>
          <w:rFonts w:ascii="David" w:hAnsi="David" w:cs="David" w:hint="cs"/>
          <w:sz w:val="24"/>
          <w:szCs w:val="24"/>
          <w:rtl/>
        </w:rPr>
        <w:t xml:space="preserve">אלימות בין בני זוג מהווה את הצורך להשיג שליטה על בן הזוג, לרוב מדובר בדפוס התנהגות מעגלי וחוזר. מחקרים מראים כי יש ההדדיות וסימטריה מגדרית </w:t>
      </w:r>
      <w:r>
        <w:rPr>
          <w:rFonts w:ascii="David" w:hAnsi="David" w:cs="David"/>
          <w:sz w:val="24"/>
          <w:szCs w:val="24"/>
          <w:rtl/>
        </w:rPr>
        <w:t>–</w:t>
      </w:r>
      <w:r>
        <w:rPr>
          <w:rFonts w:ascii="David" w:hAnsi="David" w:cs="David" w:hint="cs"/>
          <w:sz w:val="24"/>
          <w:szCs w:val="24"/>
          <w:rtl/>
        </w:rPr>
        <w:t xml:space="preserve"> גם נשים תוקפות. אלימות זו קיימת בכל החברות והמגזרים. </w:t>
      </w:r>
    </w:p>
    <w:p w14:paraId="489E25BB" w14:textId="3B43099D" w:rsidR="004A38C6" w:rsidRDefault="004A38C6" w:rsidP="0054721D">
      <w:pPr>
        <w:spacing w:line="360" w:lineRule="auto"/>
        <w:jc w:val="both"/>
        <w:rPr>
          <w:rFonts w:ascii="David" w:hAnsi="David" w:cs="David"/>
          <w:sz w:val="24"/>
          <w:szCs w:val="24"/>
          <w:rtl/>
        </w:rPr>
      </w:pPr>
      <w:r>
        <w:rPr>
          <w:rFonts w:ascii="David" w:hAnsi="David" w:cs="David" w:hint="cs"/>
          <w:sz w:val="24"/>
          <w:szCs w:val="24"/>
          <w:rtl/>
        </w:rPr>
        <w:t>אלימות מסוג זה מאופיינת בבי</w:t>
      </w:r>
      <w:r w:rsidR="003350BD">
        <w:rPr>
          <w:rFonts w:ascii="David" w:hAnsi="David" w:cs="David" w:hint="cs"/>
          <w:sz w:val="24"/>
          <w:szCs w:val="24"/>
          <w:rtl/>
        </w:rPr>
        <w:t>ד</w:t>
      </w:r>
      <w:r>
        <w:rPr>
          <w:rFonts w:ascii="David" w:hAnsi="David" w:cs="David" w:hint="cs"/>
          <w:sz w:val="24"/>
          <w:szCs w:val="24"/>
          <w:rtl/>
        </w:rPr>
        <w:t xml:space="preserve">וד חברתי, שליטה כלכלית, פגיעה פיזית, פגיעה ברכוש, פגיעה מינית (ולעיתים "בהסכמת" האישה בשל חשש), איום ממשי, אלימות מילולית, אלימות נפשית ופסיכולוגית, סטוקינג (חוק הגנת הפרטיות), האזנות סתר (חוק האזנות סתר) והטרדות טלפוניות (חוק בזק). </w:t>
      </w:r>
    </w:p>
    <w:p w14:paraId="4F2787A0" w14:textId="02E60011" w:rsidR="00433201" w:rsidRDefault="00433201" w:rsidP="0054721D">
      <w:pPr>
        <w:spacing w:line="360" w:lineRule="auto"/>
        <w:jc w:val="both"/>
        <w:rPr>
          <w:rFonts w:ascii="David" w:hAnsi="David" w:cs="David"/>
          <w:b/>
          <w:bCs/>
          <w:sz w:val="24"/>
          <w:szCs w:val="24"/>
          <w:rtl/>
        </w:rPr>
      </w:pPr>
    </w:p>
    <w:p w14:paraId="7C8CFBEB" w14:textId="702DB6D1" w:rsidR="00433201" w:rsidRDefault="00433201" w:rsidP="0054721D">
      <w:pPr>
        <w:spacing w:line="360" w:lineRule="auto"/>
        <w:jc w:val="both"/>
        <w:rPr>
          <w:rFonts w:ascii="David" w:hAnsi="David" w:cs="David"/>
          <w:b/>
          <w:bCs/>
          <w:sz w:val="24"/>
          <w:szCs w:val="24"/>
          <w:rtl/>
        </w:rPr>
      </w:pPr>
      <w:r>
        <w:rPr>
          <w:rFonts w:ascii="David" w:hAnsi="David" w:cs="David" w:hint="cs"/>
          <w:noProof/>
          <w:sz w:val="24"/>
          <w:szCs w:val="24"/>
          <w:rtl/>
          <w:lang w:val="he-IL"/>
        </w:rPr>
        <w:drawing>
          <wp:anchor distT="0" distB="0" distL="114300" distR="114300" simplePos="0" relativeHeight="251665408" behindDoc="0" locked="0" layoutInCell="1" allowOverlap="1" wp14:anchorId="33A2BA0E" wp14:editId="79D92344">
            <wp:simplePos x="0" y="0"/>
            <wp:positionH relativeFrom="margin">
              <wp:posOffset>557838</wp:posOffset>
            </wp:positionH>
            <wp:positionV relativeFrom="paragraph">
              <wp:posOffset>-514350</wp:posOffset>
            </wp:positionV>
            <wp:extent cx="4348480" cy="2719070"/>
            <wp:effectExtent l="0" t="0" r="0" b="0"/>
            <wp:wrapNone/>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1B3921F1" w14:textId="77777777" w:rsidR="00433201" w:rsidRDefault="00433201" w:rsidP="0054721D">
      <w:pPr>
        <w:spacing w:line="360" w:lineRule="auto"/>
        <w:jc w:val="both"/>
        <w:rPr>
          <w:rFonts w:ascii="David" w:hAnsi="David" w:cs="David"/>
          <w:b/>
          <w:bCs/>
          <w:sz w:val="24"/>
          <w:szCs w:val="24"/>
          <w:rtl/>
        </w:rPr>
      </w:pPr>
    </w:p>
    <w:p w14:paraId="4CC2E510" w14:textId="77777777" w:rsidR="00433201" w:rsidRDefault="00433201" w:rsidP="0054721D">
      <w:pPr>
        <w:spacing w:line="360" w:lineRule="auto"/>
        <w:jc w:val="both"/>
        <w:rPr>
          <w:rFonts w:ascii="David" w:hAnsi="David" w:cs="David"/>
          <w:b/>
          <w:bCs/>
          <w:sz w:val="24"/>
          <w:szCs w:val="24"/>
          <w:rtl/>
        </w:rPr>
      </w:pPr>
    </w:p>
    <w:p w14:paraId="34463DAE" w14:textId="77777777" w:rsidR="00433201" w:rsidRDefault="00433201" w:rsidP="0054721D">
      <w:pPr>
        <w:spacing w:line="360" w:lineRule="auto"/>
        <w:jc w:val="both"/>
        <w:rPr>
          <w:rFonts w:ascii="David" w:hAnsi="David" w:cs="David"/>
          <w:b/>
          <w:bCs/>
          <w:sz w:val="24"/>
          <w:szCs w:val="24"/>
          <w:rtl/>
        </w:rPr>
      </w:pPr>
    </w:p>
    <w:p w14:paraId="26EC1547" w14:textId="77777777" w:rsidR="00433201" w:rsidRDefault="00433201" w:rsidP="0054721D">
      <w:pPr>
        <w:spacing w:line="360" w:lineRule="auto"/>
        <w:jc w:val="both"/>
        <w:rPr>
          <w:rFonts w:ascii="David" w:hAnsi="David" w:cs="David"/>
          <w:b/>
          <w:bCs/>
          <w:sz w:val="24"/>
          <w:szCs w:val="24"/>
          <w:rtl/>
        </w:rPr>
      </w:pPr>
    </w:p>
    <w:p w14:paraId="7336143F" w14:textId="77777777" w:rsidR="00433201" w:rsidRDefault="00433201" w:rsidP="0054721D">
      <w:pPr>
        <w:spacing w:line="360" w:lineRule="auto"/>
        <w:jc w:val="both"/>
        <w:rPr>
          <w:rFonts w:ascii="David" w:hAnsi="David" w:cs="David"/>
          <w:b/>
          <w:bCs/>
          <w:sz w:val="24"/>
          <w:szCs w:val="24"/>
          <w:rtl/>
        </w:rPr>
      </w:pPr>
    </w:p>
    <w:p w14:paraId="6704D458" w14:textId="77777777" w:rsidR="00433201" w:rsidRDefault="00433201" w:rsidP="0054721D">
      <w:pPr>
        <w:spacing w:line="360" w:lineRule="auto"/>
        <w:jc w:val="both"/>
        <w:rPr>
          <w:rFonts w:ascii="David" w:hAnsi="David" w:cs="David"/>
          <w:b/>
          <w:bCs/>
          <w:sz w:val="24"/>
          <w:szCs w:val="24"/>
          <w:rtl/>
        </w:rPr>
      </w:pPr>
    </w:p>
    <w:p w14:paraId="2B7DDD74" w14:textId="7158D3CC" w:rsidR="004A38C6" w:rsidRDefault="00433201" w:rsidP="0054721D">
      <w:pPr>
        <w:spacing w:line="360" w:lineRule="auto"/>
        <w:jc w:val="both"/>
        <w:rPr>
          <w:rFonts w:ascii="David" w:hAnsi="David" w:cs="David"/>
          <w:sz w:val="24"/>
          <w:szCs w:val="24"/>
          <w:rtl/>
        </w:rPr>
      </w:pPr>
      <w:r w:rsidRPr="00433201">
        <w:rPr>
          <w:rFonts w:ascii="David" w:hAnsi="David" w:cs="David" w:hint="cs"/>
          <w:sz w:val="24"/>
          <w:szCs w:val="24"/>
          <w:u w:val="single"/>
          <w:rtl/>
        </w:rPr>
        <w:t>הטיפול המשטרתי עד סוף שנות ה-70:</w:t>
      </w:r>
      <w:r>
        <w:rPr>
          <w:rFonts w:ascii="David" w:hAnsi="David" w:cs="David" w:hint="cs"/>
          <w:sz w:val="24"/>
          <w:szCs w:val="24"/>
          <w:rtl/>
        </w:rPr>
        <w:t xml:space="preserve"> </w:t>
      </w:r>
      <w:r w:rsidR="009B23B2">
        <w:rPr>
          <w:rFonts w:ascii="David" w:hAnsi="David" w:cs="David" w:hint="cs"/>
          <w:sz w:val="24"/>
          <w:szCs w:val="24"/>
          <w:rtl/>
        </w:rPr>
        <w:t>התפיסה החברתית באותה התקופה הייתה כי אירועים המתרחשים בתא המשפחתי, אינם מהווים עניין פלילי. מכך, הטיפול המשטרתי כלל הרגעת המצב, פשרה והשגת שלום בית</w:t>
      </w:r>
      <w:r w:rsidR="00425E37">
        <w:rPr>
          <w:rFonts w:ascii="David" w:hAnsi="David" w:cs="David" w:hint="cs"/>
          <w:sz w:val="24"/>
          <w:szCs w:val="24"/>
          <w:rtl/>
        </w:rPr>
        <w:t xml:space="preserve"> </w:t>
      </w:r>
      <w:r w:rsidR="00425E37">
        <w:rPr>
          <w:rFonts w:ascii="David" w:hAnsi="David" w:cs="David"/>
          <w:sz w:val="24"/>
          <w:szCs w:val="24"/>
          <w:rtl/>
        </w:rPr>
        <w:t>–</w:t>
      </w:r>
      <w:r w:rsidR="00425E37">
        <w:rPr>
          <w:rFonts w:ascii="David" w:hAnsi="David" w:cs="David" w:hint="cs"/>
          <w:sz w:val="24"/>
          <w:szCs w:val="24"/>
          <w:rtl/>
        </w:rPr>
        <w:t xml:space="preserve"> סכסוכי משפחה. כפועל יוצא ממדיניות זו, מיעטו נשים להתלונן במשטרה ולא ניתן היה לאמוד את ממדי התופעה בתקופה זו. עניין משמעותי היה כי הגישה הייתה שאותן מתלוננות, תלותיות, נחותות, מעוררות פרובוקציות ותורמות לאלימות. </w:t>
      </w:r>
    </w:p>
    <w:p w14:paraId="319B9DC1" w14:textId="611A2A5E" w:rsidR="00425E37" w:rsidRDefault="00425E37" w:rsidP="0054721D">
      <w:pPr>
        <w:spacing w:line="360" w:lineRule="auto"/>
        <w:jc w:val="both"/>
        <w:rPr>
          <w:rFonts w:ascii="David" w:hAnsi="David" w:cs="David"/>
          <w:sz w:val="24"/>
          <w:szCs w:val="24"/>
          <w:rtl/>
        </w:rPr>
      </w:pPr>
      <w:r>
        <w:rPr>
          <w:rFonts w:ascii="David" w:hAnsi="David" w:cs="David" w:hint="cs"/>
          <w:sz w:val="24"/>
          <w:szCs w:val="24"/>
          <w:u w:val="single"/>
          <w:rtl/>
        </w:rPr>
        <w:t>דו"ח וועדת קרפ 1989:</w:t>
      </w:r>
      <w:r>
        <w:rPr>
          <w:rFonts w:ascii="David" w:hAnsi="David" w:cs="David" w:hint="cs"/>
          <w:sz w:val="24"/>
          <w:szCs w:val="24"/>
          <w:rtl/>
        </w:rPr>
        <w:t xml:space="preserve"> </w:t>
      </w:r>
      <w:r w:rsidR="00A40EE1">
        <w:rPr>
          <w:rFonts w:ascii="David" w:hAnsi="David" w:cs="David" w:hint="cs"/>
          <w:sz w:val="24"/>
          <w:szCs w:val="24"/>
          <w:rtl/>
        </w:rPr>
        <w:t>דו"ח זה קבע כי אלימות בין בני זוג מאופיינת בסיכון וחומרה מיוחדים לעומת עבירות אלימות אחרות. מכך, טיפול המשטרה צריך להיות בהתאם. הפעלת הסמכויות בחקירה יהיו מתוך התחשבות באישה המוכה וצרכ</w:t>
      </w:r>
      <w:r w:rsidR="00687F7A">
        <w:rPr>
          <w:rFonts w:ascii="David" w:hAnsi="David" w:cs="David" w:hint="cs"/>
          <w:sz w:val="24"/>
          <w:szCs w:val="24"/>
          <w:rtl/>
        </w:rPr>
        <w:t>י</w:t>
      </w:r>
      <w:r w:rsidR="00A40EE1">
        <w:rPr>
          <w:rFonts w:ascii="David" w:hAnsi="David" w:cs="David" w:hint="cs"/>
          <w:sz w:val="24"/>
          <w:szCs w:val="24"/>
          <w:rtl/>
        </w:rPr>
        <w:t xml:space="preserve">ה והטיפול יהיה לפי אמות מדינה פליליות ובשיתוף פעולה עם שירותים חברתיים טיפוליים. </w:t>
      </w:r>
    </w:p>
    <w:p w14:paraId="2F75B21F" w14:textId="5B93D0D0" w:rsidR="00D467E2" w:rsidRPr="00D467E2" w:rsidRDefault="00D467E2" w:rsidP="0054721D">
      <w:pPr>
        <w:spacing w:line="360" w:lineRule="auto"/>
        <w:jc w:val="both"/>
        <w:rPr>
          <w:rFonts w:ascii="David" w:hAnsi="David" w:cs="David"/>
          <w:sz w:val="24"/>
          <w:szCs w:val="24"/>
          <w:rtl/>
        </w:rPr>
      </w:pPr>
      <w:r>
        <w:rPr>
          <w:rFonts w:ascii="David" w:hAnsi="David" w:cs="David" w:hint="cs"/>
          <w:sz w:val="24"/>
          <w:szCs w:val="24"/>
          <w:u w:val="single"/>
          <w:rtl/>
        </w:rPr>
        <w:t>הבסיס הנורמטיבי:</w:t>
      </w:r>
      <w:r>
        <w:rPr>
          <w:rFonts w:ascii="David" w:hAnsi="David" w:cs="David" w:hint="cs"/>
          <w:sz w:val="24"/>
          <w:szCs w:val="24"/>
          <w:rtl/>
        </w:rPr>
        <w:t xml:space="preserve"> סעיף 382 לחוק העונשין: </w:t>
      </w:r>
      <w:r w:rsidR="001B4976">
        <w:rPr>
          <w:rFonts w:ascii="David" w:hAnsi="David" w:cs="David" w:hint="cs"/>
          <w:sz w:val="24"/>
          <w:szCs w:val="24"/>
          <w:rtl/>
        </w:rPr>
        <w:t xml:space="preserve">תקיפות בנסיבות מחמירות </w:t>
      </w:r>
    </w:p>
    <w:p w14:paraId="622BF567" w14:textId="39DD7AD4" w:rsidR="00F43617" w:rsidRDefault="00A40EE1" w:rsidP="00F43617">
      <w:pPr>
        <w:spacing w:line="360" w:lineRule="auto"/>
        <w:jc w:val="both"/>
        <w:rPr>
          <w:rFonts w:ascii="David" w:hAnsi="David" w:cs="David"/>
          <w:sz w:val="24"/>
          <w:szCs w:val="24"/>
          <w:rtl/>
        </w:rPr>
      </w:pPr>
      <w:r>
        <w:rPr>
          <w:rFonts w:ascii="David" w:hAnsi="David" w:cs="David" w:hint="cs"/>
          <w:sz w:val="24"/>
          <w:szCs w:val="24"/>
          <w:u w:val="single"/>
          <w:rtl/>
        </w:rPr>
        <w:lastRenderedPageBreak/>
        <w:t>הטיפול המשטרתי היום:</w:t>
      </w:r>
      <w:r w:rsidR="00AE3B2F">
        <w:rPr>
          <w:rFonts w:ascii="David" w:hAnsi="David" w:cs="David" w:hint="cs"/>
          <w:sz w:val="24"/>
          <w:szCs w:val="24"/>
          <w:rtl/>
        </w:rPr>
        <w:t xml:space="preserve"> </w:t>
      </w:r>
      <w:r w:rsidR="007D4284">
        <w:rPr>
          <w:rFonts w:ascii="David" w:hAnsi="David" w:cs="David" w:hint="cs"/>
          <w:sz w:val="24"/>
          <w:szCs w:val="24"/>
          <w:rtl/>
        </w:rPr>
        <w:t>קיום</w:t>
      </w:r>
      <w:r w:rsidR="00AE3B2F">
        <w:rPr>
          <w:rFonts w:ascii="David" w:hAnsi="David" w:cs="David" w:hint="cs"/>
          <w:sz w:val="24"/>
          <w:szCs w:val="24"/>
          <w:rtl/>
        </w:rPr>
        <w:t xml:space="preserve"> מערך חקירות המתמחה בנושאי אלימות במשפחה, תוך מענה לכל אירוע </w:t>
      </w:r>
      <w:r w:rsidR="00AE3B2F">
        <w:rPr>
          <w:rFonts w:ascii="David" w:hAnsi="David" w:cs="David"/>
          <w:sz w:val="24"/>
          <w:szCs w:val="24"/>
          <w:rtl/>
        </w:rPr>
        <w:t>–</w:t>
      </w:r>
      <w:r w:rsidR="00AE3B2F">
        <w:rPr>
          <w:rFonts w:ascii="David" w:hAnsi="David" w:cs="David" w:hint="cs"/>
          <w:sz w:val="24"/>
          <w:szCs w:val="24"/>
          <w:rtl/>
        </w:rPr>
        <w:t xml:space="preserve"> בין אם הפניה טלפונית, בתחנה, אנונימית ולרבות מצד גורמי טיפול, שכנים ועוד. מעת קבלת הפניה על השוטרים להגיע במהירות אל מקום האירוע, לתעד את המתרחש ולאתר עדים רלוונטיים. במידה ונמצא במקום נשק, יש לתפוס אותו. </w:t>
      </w:r>
      <w:r w:rsidR="004C5C37">
        <w:rPr>
          <w:rFonts w:ascii="David" w:hAnsi="David" w:cs="David" w:hint="cs"/>
          <w:sz w:val="24"/>
          <w:szCs w:val="24"/>
          <w:rtl/>
        </w:rPr>
        <w:t>במידת הצורך ניתן לעצור או לעכב את החשוד</w:t>
      </w:r>
      <w:r w:rsidR="00F43617">
        <w:rPr>
          <w:rFonts w:ascii="David" w:hAnsi="David" w:cs="David" w:hint="cs"/>
          <w:sz w:val="24"/>
          <w:szCs w:val="24"/>
          <w:rtl/>
        </w:rPr>
        <w:t xml:space="preserve">. </w:t>
      </w:r>
    </w:p>
    <w:p w14:paraId="56489C98" w14:textId="488B1DE8" w:rsidR="00F43617" w:rsidRDefault="00F43617" w:rsidP="00F43617">
      <w:pPr>
        <w:spacing w:line="360" w:lineRule="auto"/>
        <w:jc w:val="both"/>
        <w:rPr>
          <w:rFonts w:ascii="David" w:hAnsi="David" w:cs="David"/>
          <w:sz w:val="24"/>
          <w:szCs w:val="24"/>
          <w:rtl/>
        </w:rPr>
      </w:pPr>
      <w:r>
        <w:rPr>
          <w:rFonts w:ascii="David" w:hAnsi="David" w:cs="David" w:hint="cs"/>
          <w:sz w:val="24"/>
          <w:szCs w:val="24"/>
          <w:rtl/>
        </w:rPr>
        <w:t xml:space="preserve">במקרי אלימות במשפחה </w:t>
      </w:r>
      <w:r w:rsidR="004C5C37">
        <w:rPr>
          <w:rFonts w:ascii="David" w:hAnsi="David" w:cs="David" w:hint="cs"/>
          <w:sz w:val="24"/>
          <w:szCs w:val="24"/>
          <w:rtl/>
        </w:rPr>
        <w:t xml:space="preserve">עולה חובה לקיים הערכת מסוכנות </w:t>
      </w:r>
      <w:r w:rsidR="008A35D0">
        <w:rPr>
          <w:rFonts w:ascii="David" w:hAnsi="David" w:cs="David" w:hint="cs"/>
          <w:sz w:val="24"/>
          <w:szCs w:val="24"/>
          <w:rtl/>
        </w:rPr>
        <w:t>לחשוד.</w:t>
      </w:r>
      <w:r w:rsidR="00312B75">
        <w:rPr>
          <w:rFonts w:ascii="David" w:hAnsi="David" w:cs="David" w:hint="cs"/>
          <w:sz w:val="24"/>
          <w:szCs w:val="24"/>
          <w:rtl/>
        </w:rPr>
        <w:t xml:space="preserve"> הערכה זו מגיעה בתור שאלון אשר עונה עליו המתלוננת והוא כולל שאלות על נשק, אלכוהול, אלימות כלפי ילדים, אלימות פיזית כלפי האישה, אלימות מינית ונפשית, סטוקינג ועוד. השאלות יהיו:</w:t>
      </w:r>
    </w:p>
    <w:p w14:paraId="5BF2C539" w14:textId="4588B025" w:rsidR="00312B75" w:rsidRDefault="00312B75" w:rsidP="00F43617">
      <w:pPr>
        <w:spacing w:line="360" w:lineRule="auto"/>
        <w:jc w:val="both"/>
        <w:rPr>
          <w:rFonts w:ascii="David" w:hAnsi="David" w:cs="David"/>
          <w:sz w:val="24"/>
          <w:szCs w:val="24"/>
          <w:rtl/>
        </w:rPr>
      </w:pPr>
      <w:r>
        <w:rPr>
          <w:rFonts w:ascii="David" w:hAnsi="David" w:cs="David" w:hint="cs"/>
          <w:sz w:val="24"/>
          <w:szCs w:val="24"/>
          <w:rtl/>
        </w:rPr>
        <w:t xml:space="preserve">(1) האם היו תלונות קודמות כלשהן כנגד החשוד בגין עבירות אלימות? </w:t>
      </w:r>
    </w:p>
    <w:p w14:paraId="7E42DA1C" w14:textId="44631669" w:rsidR="00312B75" w:rsidRDefault="00312B75" w:rsidP="00F43617">
      <w:pPr>
        <w:spacing w:line="360" w:lineRule="auto"/>
        <w:jc w:val="both"/>
        <w:rPr>
          <w:rFonts w:ascii="David" w:hAnsi="David" w:cs="David"/>
          <w:sz w:val="24"/>
          <w:szCs w:val="24"/>
          <w:rtl/>
        </w:rPr>
      </w:pPr>
      <w:r>
        <w:rPr>
          <w:rFonts w:ascii="David" w:hAnsi="David" w:cs="David" w:hint="cs"/>
          <w:sz w:val="24"/>
          <w:szCs w:val="24"/>
          <w:rtl/>
        </w:rPr>
        <w:t>(2) האם החשוד גרם בעבר נזק לרכוש המשפחתי בזדון?</w:t>
      </w:r>
    </w:p>
    <w:p w14:paraId="734D3848" w14:textId="39DC235C" w:rsidR="00312B75" w:rsidRDefault="00312B75" w:rsidP="00F43617">
      <w:pPr>
        <w:spacing w:line="360" w:lineRule="auto"/>
        <w:jc w:val="both"/>
        <w:rPr>
          <w:rFonts w:ascii="David" w:hAnsi="David" w:cs="David"/>
          <w:sz w:val="24"/>
          <w:szCs w:val="24"/>
          <w:rtl/>
        </w:rPr>
      </w:pPr>
      <w:r>
        <w:rPr>
          <w:rFonts w:ascii="David" w:hAnsi="David" w:cs="David" w:hint="cs"/>
          <w:sz w:val="24"/>
          <w:szCs w:val="24"/>
          <w:rtl/>
        </w:rPr>
        <w:t xml:space="preserve">(3) האם המתלוננת מרגישה אווירת פחד וטרור? </w:t>
      </w:r>
    </w:p>
    <w:p w14:paraId="0089CD72" w14:textId="7C489CA3" w:rsidR="00312B75" w:rsidRDefault="00312B75" w:rsidP="00F43617">
      <w:pPr>
        <w:spacing w:line="360" w:lineRule="auto"/>
        <w:jc w:val="both"/>
        <w:rPr>
          <w:rFonts w:ascii="David" w:hAnsi="David" w:cs="David"/>
          <w:sz w:val="24"/>
          <w:szCs w:val="24"/>
          <w:rtl/>
        </w:rPr>
      </w:pPr>
      <w:r>
        <w:rPr>
          <w:rFonts w:ascii="David" w:hAnsi="David" w:cs="David" w:hint="cs"/>
          <w:sz w:val="24"/>
          <w:szCs w:val="24"/>
          <w:rtl/>
        </w:rPr>
        <w:t xml:space="preserve">(4) האם החשוד מגביל את המתלוננת מבחינה כלכלית? שולט במשכורת ובכמות הכסף שברשותה? </w:t>
      </w:r>
    </w:p>
    <w:p w14:paraId="2AE00748" w14:textId="72522318" w:rsidR="004C5C37" w:rsidRDefault="00F43617" w:rsidP="00F43617">
      <w:pPr>
        <w:spacing w:line="360" w:lineRule="auto"/>
        <w:jc w:val="both"/>
        <w:rPr>
          <w:rFonts w:ascii="David" w:hAnsi="David" w:cs="David"/>
          <w:sz w:val="24"/>
          <w:szCs w:val="24"/>
          <w:rtl/>
        </w:rPr>
      </w:pPr>
      <w:r>
        <w:rPr>
          <w:rFonts w:ascii="David" w:hAnsi="David" w:cs="David" w:hint="cs"/>
          <w:sz w:val="24"/>
          <w:szCs w:val="24"/>
          <w:rtl/>
        </w:rPr>
        <w:t>על השוטרים</w:t>
      </w:r>
      <w:r w:rsidR="008A35D0">
        <w:rPr>
          <w:rFonts w:ascii="David" w:hAnsi="David" w:cs="David" w:hint="cs"/>
          <w:sz w:val="24"/>
          <w:szCs w:val="24"/>
          <w:rtl/>
        </w:rPr>
        <w:t xml:space="preserve"> ליידע את נפגע העבירה על זכויותיו, על ידי דף מידע, הפניה לגורמי טיפול והדרכה כיצד להוציא צו הגנה. במידת הצורך, ניתן להפנות את הקורבנות למקלטים לנשים מוכות או לגורמים קהילתיים טיפוליים</w:t>
      </w:r>
      <w:r w:rsidR="008478F4">
        <w:rPr>
          <w:rFonts w:ascii="David" w:hAnsi="David" w:cs="David" w:hint="cs"/>
          <w:sz w:val="24"/>
          <w:szCs w:val="24"/>
          <w:rtl/>
        </w:rPr>
        <w:t xml:space="preserve"> </w:t>
      </w:r>
      <w:r w:rsidR="008478F4">
        <w:rPr>
          <w:rFonts w:ascii="David" w:hAnsi="David" w:cs="David"/>
          <w:sz w:val="24"/>
          <w:szCs w:val="24"/>
          <w:rtl/>
        </w:rPr>
        <w:t>–</w:t>
      </w:r>
      <w:r w:rsidR="008478F4">
        <w:rPr>
          <w:rFonts w:ascii="David" w:hAnsi="David" w:cs="David" w:hint="cs"/>
          <w:sz w:val="24"/>
          <w:szCs w:val="24"/>
          <w:rtl/>
        </w:rPr>
        <w:t xml:space="preserve"> מרכז סיוע, מחלקת רווחה וצו הגנה. </w:t>
      </w:r>
    </w:p>
    <w:p w14:paraId="2256E1E3" w14:textId="1819B891" w:rsidR="008478F4" w:rsidRDefault="008478F4" w:rsidP="0054721D">
      <w:pPr>
        <w:spacing w:line="360" w:lineRule="auto"/>
        <w:jc w:val="both"/>
        <w:rPr>
          <w:rFonts w:ascii="David" w:hAnsi="David" w:cs="David"/>
          <w:sz w:val="24"/>
          <w:szCs w:val="24"/>
          <w:rtl/>
        </w:rPr>
      </w:pPr>
      <w:r>
        <w:rPr>
          <w:rFonts w:ascii="David" w:hAnsi="David" w:cs="David" w:hint="cs"/>
          <w:sz w:val="24"/>
          <w:szCs w:val="24"/>
          <w:rtl/>
        </w:rPr>
        <w:t xml:space="preserve">יש להגיד את כתב האישום בהליך מהיר. </w:t>
      </w:r>
    </w:p>
    <w:p w14:paraId="5339D47C" w14:textId="144DBC4C" w:rsidR="00312B75" w:rsidRDefault="00312B75" w:rsidP="00F03F72">
      <w:pPr>
        <w:spacing w:line="360" w:lineRule="auto"/>
        <w:jc w:val="both"/>
        <w:rPr>
          <w:rFonts w:ascii="David" w:hAnsi="David" w:cs="David"/>
          <w:sz w:val="24"/>
          <w:szCs w:val="24"/>
          <w:rtl/>
        </w:rPr>
      </w:pPr>
      <w:r>
        <w:rPr>
          <w:rFonts w:ascii="David" w:hAnsi="David" w:cs="David" w:hint="cs"/>
          <w:sz w:val="24"/>
          <w:szCs w:val="24"/>
          <w:u w:val="single"/>
          <w:rtl/>
        </w:rPr>
        <w:t>תסמונת האישה המוכה:</w:t>
      </w:r>
      <w:r>
        <w:rPr>
          <w:rFonts w:ascii="David" w:hAnsi="David" w:cs="David" w:hint="cs"/>
          <w:sz w:val="24"/>
          <w:szCs w:val="24"/>
          <w:rtl/>
        </w:rPr>
        <w:t xml:space="preserve"> </w:t>
      </w:r>
      <w:r w:rsidR="00F03F72">
        <w:rPr>
          <w:rFonts w:ascii="David" w:hAnsi="David" w:cs="David" w:hint="cs"/>
          <w:sz w:val="24"/>
          <w:szCs w:val="24"/>
          <w:rtl/>
        </w:rPr>
        <w:t>תסמונת זו מוכרת כמצב פסיכולוגי המתאר אישה שעקב התעללות פיזית</w:t>
      </w:r>
      <w:r w:rsidR="004F02B7">
        <w:rPr>
          <w:rFonts w:ascii="David" w:hAnsi="David" w:cs="David" w:hint="cs"/>
          <w:sz w:val="24"/>
          <w:szCs w:val="24"/>
          <w:rtl/>
        </w:rPr>
        <w:t xml:space="preserve"> ו</w:t>
      </w:r>
      <w:r w:rsidR="00F03F72">
        <w:rPr>
          <w:rFonts w:ascii="David" w:hAnsi="David" w:cs="David" w:hint="cs"/>
          <w:sz w:val="24"/>
          <w:szCs w:val="24"/>
          <w:rtl/>
        </w:rPr>
        <w:t xml:space="preserve">נפשית, עקבית וקשה על ידי בן זוגה, הופכת למדוכאת ובלתי מסוגלת ליזום פעולה המאפשרת לה להימלט מההתעללות. </w:t>
      </w:r>
    </w:p>
    <w:p w14:paraId="6D0421C9" w14:textId="34A33AAF" w:rsidR="009E268C" w:rsidRDefault="009E268C" w:rsidP="00F03F72">
      <w:pPr>
        <w:spacing w:line="360" w:lineRule="auto"/>
        <w:jc w:val="both"/>
        <w:rPr>
          <w:rFonts w:ascii="David" w:hAnsi="David" w:cs="David"/>
          <w:sz w:val="24"/>
          <w:szCs w:val="24"/>
          <w:rtl/>
        </w:rPr>
      </w:pPr>
      <w:r>
        <w:rPr>
          <w:rFonts w:ascii="David" w:hAnsi="David" w:cs="David" w:hint="cs"/>
          <w:sz w:val="24"/>
          <w:szCs w:val="24"/>
          <w:rtl/>
        </w:rPr>
        <w:t xml:space="preserve">מצב זה מסביר מדוע נשים שעוברות התעללות לא פונות לקבלת סיוע חיצוני, נאבקות במתעלל או עוזבות את הסיטואציה "הקורבנית". אותן נשים סובלות מדימוי עצמי נמוך ולעיתים קרובות מאמינות כי הן אשמות האלימות. נשים כאלה יסרבו במרבית הפעמים להתלונן במשטרה נגד בן הזוג המתעלל ויתנגדו לכל </w:t>
      </w:r>
      <w:r w:rsidR="00D467E2">
        <w:rPr>
          <w:rFonts w:ascii="David" w:hAnsi="David" w:cs="David" w:hint="cs"/>
          <w:sz w:val="24"/>
          <w:szCs w:val="24"/>
          <w:rtl/>
        </w:rPr>
        <w:t>הצעת עזרה. פעמים רבו</w:t>
      </w:r>
      <w:r w:rsidR="00B625A9">
        <w:rPr>
          <w:rFonts w:ascii="David" w:hAnsi="David" w:cs="David" w:hint="cs"/>
          <w:sz w:val="24"/>
          <w:szCs w:val="24"/>
          <w:rtl/>
        </w:rPr>
        <w:t>ת</w:t>
      </w:r>
      <w:r w:rsidR="00D467E2">
        <w:rPr>
          <w:rFonts w:ascii="David" w:hAnsi="David" w:cs="David" w:hint="cs"/>
          <w:sz w:val="24"/>
          <w:szCs w:val="24"/>
          <w:rtl/>
        </w:rPr>
        <w:t xml:space="preserve"> אף יהפכו בעצמן לאלימות ומתעללות כלפי אלה המציעים להן סיוע. </w:t>
      </w:r>
    </w:p>
    <w:p w14:paraId="05633F7D" w14:textId="230826D9" w:rsidR="00D24D9B" w:rsidRDefault="00D24D9B" w:rsidP="00F03F72">
      <w:pPr>
        <w:spacing w:line="360" w:lineRule="auto"/>
        <w:jc w:val="both"/>
        <w:rPr>
          <w:rFonts w:ascii="David" w:hAnsi="David" w:cs="David"/>
          <w:sz w:val="24"/>
          <w:szCs w:val="24"/>
          <w:rtl/>
        </w:rPr>
      </w:pPr>
      <w:r>
        <w:rPr>
          <w:rFonts w:ascii="David" w:hAnsi="David" w:cs="David" w:hint="cs"/>
          <w:sz w:val="24"/>
          <w:szCs w:val="24"/>
          <w:u w:val="single"/>
          <w:rtl/>
        </w:rPr>
        <w:t>הכשרות להעיד:</w:t>
      </w:r>
      <w:r w:rsidR="008266C1">
        <w:rPr>
          <w:rFonts w:ascii="David" w:hAnsi="David" w:cs="David" w:hint="cs"/>
          <w:sz w:val="24"/>
          <w:szCs w:val="24"/>
          <w:rtl/>
        </w:rPr>
        <w:t xml:space="preserve"> סעיפים 2-5 לפקודת הראיות. בדרך כלל החוק קובע כי בני זוג לא יעידו אחד כנגד השני, החריג לכך עולה במקרי אלימות. במקרים אלו, גם בני זוג וגם ילדים יכולים להעיד האחד כנגד השני. </w:t>
      </w:r>
    </w:p>
    <w:p w14:paraId="47381130" w14:textId="55195067" w:rsidR="008C3F90" w:rsidRDefault="008C3F90" w:rsidP="008C3F90">
      <w:pPr>
        <w:spacing w:line="360" w:lineRule="auto"/>
        <w:jc w:val="both"/>
        <w:rPr>
          <w:rFonts w:ascii="David" w:hAnsi="David" w:cs="David"/>
          <w:sz w:val="24"/>
          <w:szCs w:val="24"/>
          <w:rtl/>
        </w:rPr>
      </w:pPr>
      <w:r>
        <w:rPr>
          <w:rFonts w:ascii="David" w:hAnsi="David" w:cs="David" w:hint="cs"/>
          <w:b/>
          <w:bCs/>
          <w:sz w:val="24"/>
          <w:szCs w:val="24"/>
          <w:rtl/>
        </w:rPr>
        <w:t>עד עוין, סעיף 179 לחוק סדר הדין הפלילי:</w:t>
      </w:r>
      <w:r>
        <w:rPr>
          <w:rFonts w:ascii="David" w:hAnsi="David" w:cs="David" w:hint="cs"/>
          <w:sz w:val="24"/>
          <w:szCs w:val="24"/>
          <w:rtl/>
        </w:rPr>
        <w:t xml:space="preserve"> קבע בית המשפט כי עד שקרא לו בעל דין הוא עד עוין לאותו בעל דין </w:t>
      </w:r>
      <w:r>
        <w:rPr>
          <w:rFonts w:ascii="David" w:hAnsi="David" w:cs="David"/>
          <w:sz w:val="24"/>
          <w:szCs w:val="24"/>
          <w:rtl/>
        </w:rPr>
        <w:t>–</w:t>
      </w:r>
      <w:r>
        <w:rPr>
          <w:rFonts w:ascii="David" w:hAnsi="David" w:cs="David" w:hint="cs"/>
          <w:sz w:val="24"/>
          <w:szCs w:val="24"/>
          <w:rtl/>
        </w:rPr>
        <w:t xml:space="preserve"> בין מפני שמסר בבית המשפט עדות הסותרת את עדותו בחקירת המשטרה ובין מטעם אחר </w:t>
      </w:r>
      <w:r>
        <w:rPr>
          <w:rFonts w:ascii="David" w:hAnsi="David" w:cs="David"/>
          <w:sz w:val="24"/>
          <w:szCs w:val="24"/>
          <w:rtl/>
        </w:rPr>
        <w:t>–</w:t>
      </w:r>
      <w:r>
        <w:rPr>
          <w:rFonts w:ascii="David" w:hAnsi="David" w:cs="David" w:hint="cs"/>
          <w:sz w:val="24"/>
          <w:szCs w:val="24"/>
          <w:rtl/>
        </w:rPr>
        <w:t xml:space="preserve"> רשאי הוא להרשות לבעל הדין לחקור את העד בחקירה הראשית כאילו הייתה חקירה שכנגד ולקבוע</w:t>
      </w:r>
      <w:r w:rsidR="0091659C">
        <w:rPr>
          <w:rFonts w:ascii="David" w:hAnsi="David" w:cs="David" w:hint="cs"/>
          <w:sz w:val="24"/>
          <w:szCs w:val="24"/>
          <w:rtl/>
        </w:rPr>
        <w:t xml:space="preserve"> את</w:t>
      </w:r>
      <w:r>
        <w:rPr>
          <w:rFonts w:ascii="David" w:hAnsi="David" w:cs="David" w:hint="cs"/>
          <w:sz w:val="24"/>
          <w:szCs w:val="24"/>
          <w:rtl/>
        </w:rPr>
        <w:t xml:space="preserve"> סדר חקירתו בידי בעלי הדין האחרים. </w:t>
      </w:r>
    </w:p>
    <w:p w14:paraId="3C0AF0BF" w14:textId="16FA9021" w:rsidR="004C6A88" w:rsidRDefault="004C6A88" w:rsidP="008C3F90">
      <w:pPr>
        <w:spacing w:line="360" w:lineRule="auto"/>
        <w:jc w:val="both"/>
        <w:rPr>
          <w:rFonts w:ascii="David" w:hAnsi="David" w:cs="David"/>
          <w:sz w:val="24"/>
          <w:szCs w:val="24"/>
          <w:rtl/>
        </w:rPr>
      </w:pPr>
      <w:r>
        <w:rPr>
          <w:rFonts w:ascii="David" w:hAnsi="David" w:cs="David" w:hint="cs"/>
          <w:sz w:val="24"/>
          <w:szCs w:val="24"/>
          <w:rtl/>
        </w:rPr>
        <w:t>במקרי אלימות אלו, העדה העוינת תהה לרוב האישה</w:t>
      </w:r>
      <w:r w:rsidR="000C6364">
        <w:rPr>
          <w:rFonts w:ascii="David" w:hAnsi="David" w:cs="David" w:hint="cs"/>
          <w:sz w:val="24"/>
          <w:szCs w:val="24"/>
          <w:rtl/>
        </w:rPr>
        <w:t xml:space="preserve">, </w:t>
      </w:r>
      <w:r>
        <w:rPr>
          <w:rFonts w:ascii="David" w:hAnsi="David" w:cs="David" w:hint="cs"/>
          <w:sz w:val="24"/>
          <w:szCs w:val="24"/>
          <w:rtl/>
        </w:rPr>
        <w:t xml:space="preserve">במצבים בהם היא מסרבת להגיש תלונה/מבטלת את התלונה, מוסרת עדויות סותרות במשטרה, מסרבת להעיד בבית המשפט, או משנה את גרסתה. </w:t>
      </w:r>
    </w:p>
    <w:p w14:paraId="6CBFD54D" w14:textId="1F40C095" w:rsidR="004C6A88" w:rsidRDefault="004C6A88" w:rsidP="00F03F72">
      <w:pPr>
        <w:spacing w:line="360" w:lineRule="auto"/>
        <w:jc w:val="both"/>
        <w:rPr>
          <w:rFonts w:ascii="David" w:hAnsi="David" w:cs="David"/>
          <w:sz w:val="24"/>
          <w:szCs w:val="24"/>
          <w:rtl/>
        </w:rPr>
      </w:pPr>
      <w:r>
        <w:rPr>
          <w:rFonts w:ascii="David" w:hAnsi="David" w:cs="David" w:hint="cs"/>
          <w:b/>
          <w:bCs/>
          <w:sz w:val="24"/>
          <w:szCs w:val="24"/>
          <w:rtl/>
        </w:rPr>
        <w:t>העדות הכבושה:</w:t>
      </w:r>
      <w:r>
        <w:rPr>
          <w:rFonts w:ascii="David" w:hAnsi="David" w:cs="David" w:hint="cs"/>
          <w:sz w:val="24"/>
          <w:szCs w:val="24"/>
          <w:rtl/>
        </w:rPr>
        <w:t xml:space="preserve"> </w:t>
      </w:r>
      <w:r w:rsidR="00F62C17">
        <w:rPr>
          <w:rFonts w:ascii="David" w:hAnsi="David" w:cs="David" w:hint="cs"/>
          <w:sz w:val="24"/>
          <w:szCs w:val="24"/>
          <w:rtl/>
        </w:rPr>
        <w:t xml:space="preserve">מצב בו העד לא סיפר "את מלוא הסיפור" בתחילת החקירה ומכך, במסגרת השלמת החקירה ואף במהלך </w:t>
      </w:r>
      <w:r w:rsidR="00265C4B">
        <w:rPr>
          <w:rFonts w:ascii="David" w:hAnsi="David" w:cs="David" w:hint="cs"/>
          <w:sz w:val="24"/>
          <w:szCs w:val="24"/>
          <w:rtl/>
        </w:rPr>
        <w:t>המשפט הסיפור נחשף. מטבע הדברים עניין זה יוצר חשד על אמיתות העדות ולכן במידה וניתן הסבר משכנע לאיחור ב</w:t>
      </w:r>
      <w:r w:rsidR="004146F8">
        <w:rPr>
          <w:rFonts w:ascii="David" w:hAnsi="David" w:cs="David" w:hint="cs"/>
          <w:sz w:val="24"/>
          <w:szCs w:val="24"/>
          <w:rtl/>
        </w:rPr>
        <w:t xml:space="preserve">חשיפה, רשאי בית המשפט להאמין ולהעניק לה את המשקל הראייתי הנדרש. </w:t>
      </w:r>
      <w:r w:rsidR="00304D1D">
        <w:rPr>
          <w:rFonts w:ascii="David" w:hAnsi="David" w:cs="David" w:hint="cs"/>
          <w:sz w:val="24"/>
          <w:szCs w:val="24"/>
          <w:rtl/>
        </w:rPr>
        <w:t>ב</w:t>
      </w:r>
      <w:r w:rsidR="004146F8">
        <w:rPr>
          <w:rFonts w:ascii="David" w:hAnsi="David" w:cs="David" w:hint="cs"/>
          <w:sz w:val="24"/>
          <w:szCs w:val="24"/>
          <w:rtl/>
        </w:rPr>
        <w:t xml:space="preserve">הסבר זה נדרש להתייחס ל2 שאלות: מדוע כבש העד את עדותו ומדוע החליט לדבר כעת. </w:t>
      </w:r>
    </w:p>
    <w:p w14:paraId="089CABDC" w14:textId="60F5D187" w:rsidR="00396E08" w:rsidRDefault="00396E08" w:rsidP="00396E08">
      <w:pPr>
        <w:spacing w:line="360" w:lineRule="auto"/>
        <w:jc w:val="both"/>
        <w:rPr>
          <w:rFonts w:ascii="David" w:hAnsi="David" w:cs="David"/>
          <w:sz w:val="24"/>
          <w:szCs w:val="24"/>
          <w:rtl/>
        </w:rPr>
      </w:pPr>
      <w:r>
        <w:rPr>
          <w:rFonts w:ascii="David" w:hAnsi="David" w:cs="David" w:hint="cs"/>
          <w:b/>
          <w:bCs/>
          <w:sz w:val="24"/>
          <w:szCs w:val="24"/>
          <w:u w:val="single"/>
          <w:rtl/>
        </w:rPr>
        <w:t>החוק למניעת אלימות במשפחה:</w:t>
      </w:r>
      <w:r>
        <w:rPr>
          <w:rFonts w:ascii="David" w:hAnsi="David" w:cs="David" w:hint="cs"/>
          <w:sz w:val="24"/>
          <w:szCs w:val="24"/>
          <w:rtl/>
        </w:rPr>
        <w:t xml:space="preserve"> חוק זה מגדיר בסעיף 1 מי יהיה בן משפחה לצורך המונח אלימות במשפחה וביניהם: סבא/סבתא, הורה/הורה חורג, ילד/ילד חורג</w:t>
      </w:r>
      <w:r w:rsidR="00860494">
        <w:rPr>
          <w:rFonts w:ascii="David" w:hAnsi="David" w:cs="David" w:hint="cs"/>
          <w:sz w:val="24"/>
          <w:szCs w:val="24"/>
          <w:rtl/>
        </w:rPr>
        <w:t xml:space="preserve">, בן.בת זוג ועוד. חוק זה קובע חובת טיפול, מניעת החזקת נשק והעמדת דרישות התנהגות מול האדם שכנגדו התלוננו. מכוח חוק זה עוד ניתן להוציא צו הגנה. </w:t>
      </w:r>
    </w:p>
    <w:p w14:paraId="6FBA503F" w14:textId="7D6DFD83" w:rsidR="00860494" w:rsidRDefault="00860494" w:rsidP="00396E08">
      <w:pPr>
        <w:spacing w:line="360" w:lineRule="auto"/>
        <w:jc w:val="both"/>
        <w:rPr>
          <w:rFonts w:ascii="David" w:hAnsi="David" w:cs="David"/>
          <w:sz w:val="24"/>
          <w:szCs w:val="24"/>
          <w:rtl/>
        </w:rPr>
      </w:pPr>
      <w:r>
        <w:rPr>
          <w:rFonts w:ascii="David" w:hAnsi="David" w:cs="David" w:hint="cs"/>
          <w:b/>
          <w:bCs/>
          <w:sz w:val="24"/>
          <w:szCs w:val="24"/>
          <w:u w:val="single"/>
          <w:rtl/>
        </w:rPr>
        <w:t>החוק למניעת הטרדה מאיימת:</w:t>
      </w:r>
      <w:r>
        <w:rPr>
          <w:rFonts w:ascii="David" w:hAnsi="David" w:cs="David" w:hint="cs"/>
          <w:sz w:val="24"/>
          <w:szCs w:val="24"/>
          <w:rtl/>
        </w:rPr>
        <w:t xml:space="preserve"> הטרדה מאיימת היא הטרדתו של אדם בידי אחר, בכל דרך שהיא או איומים כלפיו, בנסיבות הנותנות בסיס סביר להנחה כי המטריד עלול לשוב ולפגוע </w:t>
      </w:r>
      <w:r w:rsidR="00243777">
        <w:rPr>
          <w:rFonts w:ascii="David" w:hAnsi="David" w:cs="David" w:hint="cs"/>
          <w:sz w:val="24"/>
          <w:szCs w:val="24"/>
          <w:rtl/>
        </w:rPr>
        <w:t>במוטרד, בשלוות חייו, בפרטיות, חירות</w:t>
      </w:r>
      <w:r w:rsidR="00CB06E4">
        <w:rPr>
          <w:rFonts w:ascii="David" w:hAnsi="David" w:cs="David" w:hint="cs"/>
          <w:sz w:val="24"/>
          <w:szCs w:val="24"/>
          <w:rtl/>
        </w:rPr>
        <w:t>ו</w:t>
      </w:r>
      <w:r w:rsidR="00243777">
        <w:rPr>
          <w:rFonts w:ascii="David" w:hAnsi="David" w:cs="David" w:hint="cs"/>
          <w:sz w:val="24"/>
          <w:szCs w:val="24"/>
          <w:rtl/>
        </w:rPr>
        <w:t xml:space="preserve"> או גופו. </w:t>
      </w:r>
    </w:p>
    <w:p w14:paraId="1CBC7E41" w14:textId="4498EA3C" w:rsidR="00243777" w:rsidRDefault="00243777" w:rsidP="00396E08">
      <w:pPr>
        <w:spacing w:line="360" w:lineRule="auto"/>
        <w:jc w:val="both"/>
        <w:rPr>
          <w:rFonts w:ascii="David" w:hAnsi="David" w:cs="David"/>
          <w:sz w:val="24"/>
          <w:szCs w:val="24"/>
          <w:rtl/>
        </w:rPr>
      </w:pPr>
      <w:r>
        <w:rPr>
          <w:rFonts w:ascii="David" w:hAnsi="David" w:cs="David" w:hint="cs"/>
          <w:sz w:val="24"/>
          <w:szCs w:val="24"/>
          <w:rtl/>
        </w:rPr>
        <w:t xml:space="preserve">הטרדה זו תהה על ידי: בילוש, התחקות, פגיעה בפרטיות, יצירת קשר בכל אמצעי, פגיעה ברכוש, </w:t>
      </w:r>
      <w:r w:rsidR="008F42A2">
        <w:rPr>
          <w:rFonts w:ascii="David" w:hAnsi="David" w:cs="David" w:hint="cs"/>
          <w:sz w:val="24"/>
          <w:szCs w:val="24"/>
          <w:rtl/>
        </w:rPr>
        <w:t>פגיעה ב</w:t>
      </w:r>
      <w:r>
        <w:rPr>
          <w:rFonts w:ascii="David" w:hAnsi="David" w:cs="David" w:hint="cs"/>
          <w:sz w:val="24"/>
          <w:szCs w:val="24"/>
          <w:rtl/>
        </w:rPr>
        <w:t>שמו הטוב ו</w:t>
      </w:r>
      <w:r w:rsidR="008F42A2">
        <w:rPr>
          <w:rFonts w:ascii="David" w:hAnsi="David" w:cs="David" w:hint="cs"/>
          <w:sz w:val="24"/>
          <w:szCs w:val="24"/>
          <w:rtl/>
        </w:rPr>
        <w:t>ב</w:t>
      </w:r>
      <w:r>
        <w:rPr>
          <w:rFonts w:ascii="David" w:hAnsi="David" w:cs="David" w:hint="cs"/>
          <w:sz w:val="24"/>
          <w:szCs w:val="24"/>
          <w:rtl/>
        </w:rPr>
        <w:t xml:space="preserve">חופש התנועה. הפגיעה יכולה להיות כלפיו או כלפי קרוב לו, במישורין או בעקיפין, במפורש או במשתמע. </w:t>
      </w:r>
    </w:p>
    <w:p w14:paraId="0DFA46E1" w14:textId="67386FA6" w:rsidR="00F34EEE" w:rsidRDefault="00F34EEE" w:rsidP="00396E08">
      <w:pPr>
        <w:spacing w:line="360" w:lineRule="auto"/>
        <w:jc w:val="both"/>
        <w:rPr>
          <w:rFonts w:ascii="David" w:hAnsi="David" w:cs="David"/>
          <w:sz w:val="24"/>
          <w:szCs w:val="24"/>
          <w:rtl/>
        </w:rPr>
      </w:pPr>
      <w:r>
        <w:rPr>
          <w:rFonts w:ascii="David" w:hAnsi="David" w:cs="David" w:hint="cs"/>
          <w:b/>
          <w:bCs/>
          <w:sz w:val="24"/>
          <w:szCs w:val="24"/>
          <w:u w:val="single"/>
          <w:rtl/>
        </w:rPr>
        <w:t>סגירת התיק:</w:t>
      </w:r>
      <w:r>
        <w:rPr>
          <w:rFonts w:ascii="David" w:hAnsi="David" w:cs="David" w:hint="cs"/>
          <w:sz w:val="24"/>
          <w:szCs w:val="24"/>
          <w:rtl/>
        </w:rPr>
        <w:t xml:space="preserve"> העניין תלוי נסיבות, סיטואציה ואמצעים. יהיו מקרים בהם התיק ייסגר מפאת היות </w:t>
      </w:r>
      <w:r w:rsidRPr="00F34EEE">
        <w:rPr>
          <w:rFonts w:ascii="David" w:hAnsi="David" w:cs="David" w:hint="cs"/>
          <w:sz w:val="24"/>
          <w:szCs w:val="24"/>
          <w:rtl/>
        </w:rPr>
        <w:t>נסיבות העניין אינן מתאימות להעמדה לדין</w:t>
      </w:r>
      <w:r w:rsidR="00E46665">
        <w:rPr>
          <w:rFonts w:ascii="David" w:hAnsi="David" w:cs="David" w:hint="cs"/>
          <w:sz w:val="24"/>
          <w:szCs w:val="24"/>
          <w:rtl/>
        </w:rPr>
        <w:t xml:space="preserve"> ואף מסיבות בהן העניין לא מצדיק העמדה לדין או חרטה מהתלונה. </w:t>
      </w:r>
    </w:p>
    <w:p w14:paraId="54EE4B06" w14:textId="6297CFB4" w:rsidR="00E46665" w:rsidRDefault="00EB45CD" w:rsidP="00AA6987">
      <w:pPr>
        <w:spacing w:line="360" w:lineRule="auto"/>
        <w:jc w:val="center"/>
        <w:rPr>
          <w:rFonts w:ascii="David" w:hAnsi="David" w:cs="David"/>
          <w:sz w:val="24"/>
          <w:szCs w:val="24"/>
          <w:rtl/>
        </w:rPr>
      </w:pPr>
      <w:r w:rsidRPr="00AA6987">
        <w:rPr>
          <w:rFonts w:ascii="David" w:hAnsi="David" w:cs="David" w:hint="cs"/>
          <w:sz w:val="24"/>
          <w:szCs w:val="24"/>
          <w:u w:val="single"/>
          <w:shd w:val="clear" w:color="auto" w:fill="D0DDFC"/>
          <w:rtl/>
        </w:rPr>
        <w:t>ראיות נסיבתיות:</w:t>
      </w:r>
    </w:p>
    <w:p w14:paraId="5059B1CD" w14:textId="61A39576" w:rsidR="00AA6987" w:rsidRDefault="00E05E4A" w:rsidP="00AA6987">
      <w:pPr>
        <w:spacing w:line="360" w:lineRule="auto"/>
        <w:jc w:val="both"/>
        <w:rPr>
          <w:rFonts w:ascii="David" w:hAnsi="David" w:cs="David"/>
          <w:sz w:val="24"/>
          <w:szCs w:val="24"/>
          <w:rtl/>
        </w:rPr>
      </w:pPr>
      <w:r>
        <w:rPr>
          <w:rFonts w:ascii="David" w:hAnsi="David" w:cs="David" w:hint="cs"/>
          <w:sz w:val="24"/>
          <w:szCs w:val="24"/>
          <w:rtl/>
        </w:rPr>
        <w:t>ראיה נסיבתית היא ראיה המחייב</w:t>
      </w:r>
      <w:r w:rsidR="006907A1">
        <w:rPr>
          <w:rFonts w:ascii="David" w:hAnsi="David" w:cs="David" w:hint="cs"/>
          <w:sz w:val="24"/>
          <w:szCs w:val="24"/>
          <w:rtl/>
        </w:rPr>
        <w:t>ת הנחת מסקנה עובדתית</w:t>
      </w:r>
      <w:r w:rsidR="007E7323">
        <w:rPr>
          <w:rFonts w:ascii="David" w:hAnsi="David" w:cs="David" w:hint="cs"/>
          <w:sz w:val="24"/>
          <w:szCs w:val="24"/>
          <w:rtl/>
        </w:rPr>
        <w:t>. הראיה הנסיבתית כשלעצמה, נתונה ליותר מפרשנות אח</w:t>
      </w:r>
      <w:r w:rsidR="007F1053">
        <w:rPr>
          <w:rFonts w:ascii="David" w:hAnsi="David" w:cs="David" w:hint="cs"/>
          <w:sz w:val="24"/>
          <w:szCs w:val="24"/>
          <w:rtl/>
        </w:rPr>
        <w:t>ת</w:t>
      </w:r>
      <w:r w:rsidR="007E7323">
        <w:rPr>
          <w:rFonts w:ascii="David" w:hAnsi="David" w:cs="David" w:hint="cs"/>
          <w:sz w:val="24"/>
          <w:szCs w:val="24"/>
          <w:rtl/>
        </w:rPr>
        <w:t xml:space="preserve"> ומשכך, היא מותירה ספק באמינותה. בכדי שראיה זו תהה אמינה, עליה להגיע כחלק מאוסף של ראיות נסיבתיות אחרות, אשר יחד "חוברות" לכדי אוסף ראיות מאמתות</w:t>
      </w:r>
      <w:r w:rsidR="007A64A0">
        <w:rPr>
          <w:rFonts w:ascii="David" w:hAnsi="David" w:cs="David" w:hint="cs"/>
          <w:sz w:val="24"/>
          <w:szCs w:val="24"/>
          <w:rtl/>
        </w:rPr>
        <w:t xml:space="preserve"> - </w:t>
      </w:r>
      <w:r w:rsidR="007F1053">
        <w:rPr>
          <w:rFonts w:ascii="David" w:hAnsi="David" w:cs="David" w:hint="cs"/>
          <w:sz w:val="24"/>
          <w:szCs w:val="24"/>
          <w:rtl/>
        </w:rPr>
        <w:t xml:space="preserve">מדובר בפאזל. </w:t>
      </w:r>
      <w:r w:rsidR="009F5C09">
        <w:rPr>
          <w:rFonts w:ascii="David" w:hAnsi="David" w:cs="David" w:hint="cs"/>
          <w:sz w:val="24"/>
          <w:szCs w:val="24"/>
          <w:rtl/>
        </w:rPr>
        <w:t xml:space="preserve"> ברוב המקרים ניתן להרשיע אדם על סמך ראיות נסיבתיות (חריג לעבירות בהן נדרש "חיזוק ראייתי" מסוג סיוע). </w:t>
      </w:r>
    </w:p>
    <w:p w14:paraId="0F3CD7EA" w14:textId="549C55E4" w:rsidR="00D60DB5" w:rsidRDefault="00D60DB5" w:rsidP="00AA6987">
      <w:pPr>
        <w:spacing w:line="360" w:lineRule="auto"/>
        <w:jc w:val="both"/>
        <w:rPr>
          <w:rFonts w:ascii="David" w:hAnsi="David" w:cs="David"/>
          <w:sz w:val="24"/>
          <w:szCs w:val="24"/>
          <w:rtl/>
        </w:rPr>
      </w:pPr>
      <w:r>
        <w:rPr>
          <w:rFonts w:ascii="David" w:hAnsi="David" w:cs="David" w:hint="cs"/>
          <w:sz w:val="24"/>
          <w:szCs w:val="24"/>
          <w:rtl/>
        </w:rPr>
        <w:t>בבחינת מקרים בהם ראיות נסיבתיות הובילו להרשעה</w:t>
      </w:r>
      <w:r w:rsidR="00F4204A">
        <w:rPr>
          <w:rFonts w:ascii="David" w:hAnsi="David" w:cs="David" w:hint="cs"/>
          <w:sz w:val="24"/>
          <w:szCs w:val="24"/>
          <w:rtl/>
        </w:rPr>
        <w:t xml:space="preserve">, ניתן לראות את התקיפה של דנה. דנה הייתה אישה צעירה אשר הותקפה </w:t>
      </w:r>
      <w:r w:rsidR="00951AC9">
        <w:rPr>
          <w:rFonts w:ascii="David" w:hAnsi="David" w:cs="David" w:hint="cs"/>
          <w:sz w:val="24"/>
          <w:szCs w:val="24"/>
          <w:rtl/>
        </w:rPr>
        <w:t xml:space="preserve">בעזרת סכין </w:t>
      </w:r>
      <w:r w:rsidR="00F4204A">
        <w:rPr>
          <w:rFonts w:ascii="David" w:hAnsi="David" w:cs="David" w:hint="cs"/>
          <w:sz w:val="24"/>
          <w:szCs w:val="24"/>
          <w:rtl/>
        </w:rPr>
        <w:t xml:space="preserve">בשנת 2011, בלילה על ידי גבר מכוסה פנים. במהלך החקירה עלו מספר ראיות נסיבתיות אשר הובילו את החוקרים להאמין ולבסוף גם להגשת כתב האישום נגד עידן אנורי. עידן אנורי גבר ישראלי, אשר עבד עם דנה בעבר ובעקבות סכסוך עבודה שעלה בין השניים ובו אנורי </w:t>
      </w:r>
      <w:r w:rsidR="00951AC9">
        <w:rPr>
          <w:rFonts w:ascii="David" w:hAnsi="David" w:cs="David" w:hint="cs"/>
          <w:sz w:val="24"/>
          <w:szCs w:val="24"/>
          <w:rtl/>
        </w:rPr>
        <w:t>איים עליה, הוא פוטר מעבודתו. אנורי החליט לפגוע בדנה בשל אותו סכסוך עבודה ומפני שלא יכל להאמין כי "אישה גרמה לפיטוריו". כלל הראיות אשר נאספו נגד אנורי היו ראיות נסיבתיות אשר בסופו של דבר הובילו להרשעתו בתקיפה</w:t>
      </w:r>
      <w:r w:rsidR="009113B3">
        <w:rPr>
          <w:rFonts w:ascii="David" w:hAnsi="David" w:cs="David" w:hint="cs"/>
          <w:sz w:val="24"/>
          <w:szCs w:val="24"/>
          <w:rtl/>
        </w:rPr>
        <w:t xml:space="preserve"> והכנסתו לכלא בשל כך. </w:t>
      </w:r>
    </w:p>
    <w:p w14:paraId="722018CC" w14:textId="34E17060" w:rsidR="009113B3" w:rsidRDefault="00E1689C" w:rsidP="00E1689C">
      <w:pPr>
        <w:spacing w:line="360" w:lineRule="auto"/>
        <w:jc w:val="center"/>
        <w:rPr>
          <w:rFonts w:ascii="David" w:hAnsi="David" w:cs="David"/>
          <w:sz w:val="24"/>
          <w:szCs w:val="24"/>
          <w:u w:val="single"/>
          <w:shd w:val="clear" w:color="auto" w:fill="D0DDFC"/>
          <w:rtl/>
        </w:rPr>
      </w:pPr>
      <w:r w:rsidRPr="002158CA">
        <w:rPr>
          <w:rFonts w:ascii="David" w:hAnsi="David" w:cs="David" w:hint="cs"/>
          <w:sz w:val="24"/>
          <w:szCs w:val="24"/>
          <w:u w:val="single"/>
          <w:shd w:val="clear" w:color="auto" w:fill="D0DDFC"/>
          <w:rtl/>
        </w:rPr>
        <w:t>הלי</w:t>
      </w:r>
      <w:r w:rsidR="008B32C4">
        <w:rPr>
          <w:rFonts w:ascii="David" w:hAnsi="David" w:cs="David" w:hint="cs"/>
          <w:sz w:val="24"/>
          <w:szCs w:val="24"/>
          <w:u w:val="single"/>
          <w:shd w:val="clear" w:color="auto" w:fill="D0DDFC"/>
          <w:rtl/>
        </w:rPr>
        <w:t>ך</w:t>
      </w:r>
      <w:r w:rsidRPr="002158CA">
        <w:rPr>
          <w:rFonts w:ascii="David" w:hAnsi="David" w:cs="David" w:hint="cs"/>
          <w:sz w:val="24"/>
          <w:szCs w:val="24"/>
          <w:u w:val="single"/>
          <w:shd w:val="clear" w:color="auto" w:fill="D0DDFC"/>
          <w:rtl/>
        </w:rPr>
        <w:t xml:space="preserve"> </w:t>
      </w:r>
      <w:r w:rsidR="008B32C4">
        <w:rPr>
          <w:rFonts w:ascii="David" w:hAnsi="David" w:cs="David" w:hint="cs"/>
          <w:sz w:val="24"/>
          <w:szCs w:val="24"/>
          <w:u w:val="single"/>
          <w:shd w:val="clear" w:color="auto" w:fill="D0DDFC"/>
          <w:rtl/>
        </w:rPr>
        <w:t>ה</w:t>
      </w:r>
      <w:r w:rsidRPr="002158CA">
        <w:rPr>
          <w:rFonts w:ascii="David" w:hAnsi="David" w:cs="David" w:hint="cs"/>
          <w:sz w:val="24"/>
          <w:szCs w:val="24"/>
          <w:u w:val="single"/>
          <w:shd w:val="clear" w:color="auto" w:fill="D0DDFC"/>
          <w:rtl/>
        </w:rPr>
        <w:t>מעצר</w:t>
      </w:r>
      <w:r>
        <w:rPr>
          <w:rFonts w:ascii="David" w:hAnsi="David" w:cs="David" w:hint="cs"/>
          <w:sz w:val="24"/>
          <w:szCs w:val="24"/>
          <w:u w:val="single"/>
          <w:shd w:val="clear" w:color="auto" w:fill="D0DDFC"/>
          <w:rtl/>
        </w:rPr>
        <w:t>:</w:t>
      </w:r>
    </w:p>
    <w:p w14:paraId="7A18D1EC" w14:textId="53F1D4FF" w:rsidR="00E1689C" w:rsidRDefault="008B32C4" w:rsidP="00E1689C">
      <w:pPr>
        <w:spacing w:line="360" w:lineRule="auto"/>
        <w:jc w:val="both"/>
        <w:rPr>
          <w:rFonts w:ascii="David" w:hAnsi="David" w:cs="David"/>
          <w:sz w:val="24"/>
          <w:szCs w:val="24"/>
          <w:rtl/>
        </w:rPr>
      </w:pPr>
      <w:r>
        <w:rPr>
          <w:rFonts w:ascii="David" w:hAnsi="David" w:cs="David" w:hint="cs"/>
          <w:sz w:val="24"/>
          <w:szCs w:val="24"/>
          <w:u w:val="single"/>
          <w:rtl/>
        </w:rPr>
        <w:t>המקור הנורמטיבי:</w:t>
      </w:r>
      <w:r>
        <w:rPr>
          <w:rFonts w:ascii="David" w:hAnsi="David" w:cs="David" w:hint="cs"/>
          <w:sz w:val="24"/>
          <w:szCs w:val="24"/>
          <w:rtl/>
        </w:rPr>
        <w:t xml:space="preserve"> סעיפים 13 ו 21 לחוק סדר הדין הפלילי</w:t>
      </w:r>
      <w:r w:rsidR="004D53CF">
        <w:rPr>
          <w:rFonts w:ascii="David" w:hAnsi="David" w:cs="David" w:hint="cs"/>
          <w:sz w:val="24"/>
          <w:szCs w:val="24"/>
          <w:rtl/>
        </w:rPr>
        <w:t xml:space="preserve"> (</w:t>
      </w:r>
      <w:r>
        <w:rPr>
          <w:rFonts w:ascii="David" w:hAnsi="David" w:cs="David" w:hint="cs"/>
          <w:sz w:val="24"/>
          <w:szCs w:val="24"/>
          <w:rtl/>
        </w:rPr>
        <w:t>סמכויות אכיפה</w:t>
      </w:r>
      <w:r w:rsidR="004D53CF">
        <w:rPr>
          <w:rFonts w:ascii="David" w:hAnsi="David" w:cs="David" w:hint="cs"/>
          <w:sz w:val="24"/>
          <w:szCs w:val="24"/>
          <w:rtl/>
        </w:rPr>
        <w:t xml:space="preserve"> -</w:t>
      </w:r>
      <w:r>
        <w:rPr>
          <w:rFonts w:ascii="David" w:hAnsi="David" w:cs="David" w:hint="cs"/>
          <w:sz w:val="24"/>
          <w:szCs w:val="24"/>
          <w:rtl/>
        </w:rPr>
        <w:t xml:space="preserve"> מעצרים</w:t>
      </w:r>
      <w:r w:rsidR="004D53CF">
        <w:rPr>
          <w:rFonts w:ascii="David" w:hAnsi="David" w:cs="David" w:hint="cs"/>
          <w:sz w:val="24"/>
          <w:szCs w:val="24"/>
          <w:rtl/>
        </w:rPr>
        <w:t>)</w:t>
      </w:r>
      <w:r>
        <w:rPr>
          <w:rFonts w:ascii="David" w:hAnsi="David" w:cs="David" w:hint="cs"/>
          <w:sz w:val="24"/>
          <w:szCs w:val="24"/>
          <w:rtl/>
        </w:rPr>
        <w:t xml:space="preserve">. </w:t>
      </w:r>
    </w:p>
    <w:p w14:paraId="5C09BE5D" w14:textId="6E2B9B99" w:rsidR="008B32C4" w:rsidRDefault="008B32C4" w:rsidP="00E1689C">
      <w:pPr>
        <w:spacing w:line="360" w:lineRule="auto"/>
        <w:jc w:val="both"/>
        <w:rPr>
          <w:rFonts w:ascii="David" w:hAnsi="David" w:cs="David"/>
          <w:sz w:val="24"/>
          <w:szCs w:val="24"/>
          <w:rtl/>
        </w:rPr>
      </w:pPr>
      <w:r>
        <w:rPr>
          <w:rFonts w:ascii="David" w:hAnsi="David" w:cs="David" w:hint="cs"/>
          <w:sz w:val="24"/>
          <w:szCs w:val="24"/>
          <w:u w:val="single"/>
          <w:rtl/>
        </w:rPr>
        <w:t>סוגי המעצר:</w:t>
      </w:r>
      <w:r>
        <w:rPr>
          <w:rFonts w:ascii="David" w:hAnsi="David" w:cs="David" w:hint="cs"/>
          <w:sz w:val="24"/>
          <w:szCs w:val="24"/>
          <w:rtl/>
        </w:rPr>
        <w:t xml:space="preserve"> </w:t>
      </w:r>
    </w:p>
    <w:p w14:paraId="1E6032D4" w14:textId="00CFF5A9" w:rsidR="008B32C4" w:rsidRDefault="008B32C4" w:rsidP="00E1689C">
      <w:pPr>
        <w:spacing w:line="360" w:lineRule="auto"/>
        <w:jc w:val="both"/>
        <w:rPr>
          <w:rFonts w:ascii="David" w:hAnsi="David" w:cs="David"/>
          <w:sz w:val="24"/>
          <w:szCs w:val="24"/>
          <w:rtl/>
        </w:rPr>
      </w:pPr>
      <w:r>
        <w:rPr>
          <w:rFonts w:ascii="David" w:hAnsi="David" w:cs="David" w:hint="cs"/>
          <w:sz w:val="24"/>
          <w:szCs w:val="24"/>
          <w:rtl/>
        </w:rPr>
        <w:t>(1) מעצר בסמכות שוטר: אפשרי ל</w:t>
      </w:r>
      <w:r w:rsidR="005C4FF5">
        <w:rPr>
          <w:rFonts w:ascii="David" w:hAnsi="David" w:cs="David" w:hint="cs"/>
          <w:sz w:val="24"/>
          <w:szCs w:val="24"/>
          <w:rtl/>
        </w:rPr>
        <w:t xml:space="preserve">מקסימום 24 שעות. </w:t>
      </w:r>
    </w:p>
    <w:p w14:paraId="145278F2" w14:textId="35766656" w:rsidR="005C4FF5" w:rsidRDefault="005C4FF5" w:rsidP="00E1689C">
      <w:pPr>
        <w:spacing w:line="360" w:lineRule="auto"/>
        <w:jc w:val="both"/>
        <w:rPr>
          <w:rFonts w:ascii="David" w:hAnsi="David" w:cs="David"/>
          <w:sz w:val="24"/>
          <w:szCs w:val="24"/>
          <w:rtl/>
        </w:rPr>
      </w:pPr>
      <w:r>
        <w:rPr>
          <w:rFonts w:ascii="David" w:hAnsi="David" w:cs="David" w:hint="cs"/>
          <w:sz w:val="24"/>
          <w:szCs w:val="24"/>
          <w:rtl/>
        </w:rPr>
        <w:t xml:space="preserve">- מעצר ללא צו שופט: יהיה במצבים בהם העבירה בת המעצר, בוצעה בפני השוטר, "או שזה מקרוב", כלומה במצב בו העבירה בוצעה קרוב לזמן המעצר </w:t>
      </w:r>
      <w:r w:rsidR="009847CA">
        <w:rPr>
          <w:rFonts w:ascii="David" w:hAnsi="David" w:cs="David" w:hint="cs"/>
          <w:sz w:val="24"/>
          <w:szCs w:val="24"/>
          <w:rtl/>
        </w:rPr>
        <w:t xml:space="preserve">ומדובר בשעת לילה מאוחרת, אדם הנמלט מן הדין או עולה חשש לשיבוש הליכי חקירה. </w:t>
      </w:r>
    </w:p>
    <w:p w14:paraId="3F96DA83" w14:textId="2B0BA70C" w:rsidR="009847CA" w:rsidRDefault="009847CA" w:rsidP="00E1689C">
      <w:pPr>
        <w:spacing w:line="360" w:lineRule="auto"/>
        <w:jc w:val="both"/>
        <w:rPr>
          <w:rFonts w:ascii="David" w:hAnsi="David" w:cs="David"/>
          <w:sz w:val="24"/>
          <w:szCs w:val="24"/>
          <w:rtl/>
        </w:rPr>
      </w:pPr>
      <w:r>
        <w:rPr>
          <w:rFonts w:ascii="David" w:hAnsi="David" w:cs="David" w:hint="cs"/>
          <w:sz w:val="24"/>
          <w:szCs w:val="24"/>
          <w:rtl/>
        </w:rPr>
        <w:t xml:space="preserve">- מעצר עם צו שופט: </w:t>
      </w:r>
      <w:r w:rsidR="00BD0A4C">
        <w:rPr>
          <w:rFonts w:ascii="David" w:hAnsi="David" w:cs="David" w:hint="cs"/>
          <w:sz w:val="24"/>
          <w:szCs w:val="24"/>
          <w:rtl/>
        </w:rPr>
        <w:t>במצב בו עולה החשש כי בוצעה עבירה שאינה מסוג חטא</w:t>
      </w:r>
      <w:r w:rsidR="00DF513A">
        <w:rPr>
          <w:rFonts w:ascii="David" w:hAnsi="David" w:cs="David" w:hint="cs"/>
          <w:sz w:val="24"/>
          <w:szCs w:val="24"/>
          <w:rtl/>
        </w:rPr>
        <w:t>, או</w:t>
      </w:r>
      <w:r w:rsidR="00BD0A4C">
        <w:rPr>
          <w:rFonts w:ascii="David" w:hAnsi="David" w:cs="David" w:hint="cs"/>
          <w:sz w:val="24"/>
          <w:szCs w:val="24"/>
          <w:rtl/>
        </w:rPr>
        <w:t xml:space="preserve"> </w:t>
      </w:r>
      <w:r w:rsidR="00AC00B5">
        <w:rPr>
          <w:rFonts w:ascii="David" w:hAnsi="David" w:cs="David" w:hint="cs"/>
          <w:sz w:val="24"/>
          <w:szCs w:val="24"/>
          <w:rtl/>
        </w:rPr>
        <w:t xml:space="preserve">עולה חשש משיבוש בהליכי חקירה וצורכי החקירה לא מאפשרים לוותר על המעצר. </w:t>
      </w:r>
    </w:p>
    <w:p w14:paraId="55D424F8" w14:textId="7F745D87" w:rsidR="00AC00B5" w:rsidRDefault="00AC00B5" w:rsidP="00E1689C">
      <w:pPr>
        <w:spacing w:line="360" w:lineRule="auto"/>
        <w:jc w:val="both"/>
        <w:rPr>
          <w:rFonts w:ascii="David" w:hAnsi="David" w:cs="David"/>
          <w:sz w:val="24"/>
          <w:szCs w:val="24"/>
          <w:rtl/>
        </w:rPr>
      </w:pPr>
      <w:r>
        <w:rPr>
          <w:rFonts w:ascii="David" w:hAnsi="David" w:cs="David" w:hint="cs"/>
          <w:sz w:val="24"/>
          <w:szCs w:val="24"/>
          <w:rtl/>
        </w:rPr>
        <w:t xml:space="preserve">(2) </w:t>
      </w:r>
      <w:r w:rsidR="00263FDB">
        <w:rPr>
          <w:rFonts w:ascii="David" w:hAnsi="David" w:cs="David" w:hint="cs"/>
          <w:sz w:val="24"/>
          <w:szCs w:val="24"/>
          <w:rtl/>
        </w:rPr>
        <w:t>מעצר לצור</w:t>
      </w:r>
      <w:r w:rsidR="00DD13C0">
        <w:rPr>
          <w:rFonts w:ascii="David" w:hAnsi="David" w:cs="David" w:hint="cs"/>
          <w:sz w:val="24"/>
          <w:szCs w:val="24"/>
          <w:rtl/>
        </w:rPr>
        <w:t xml:space="preserve">כי חקירה/מעצר ימים: המעצר יהיה למשך 15 ימים, כאשר לאחר זמן זה ניתן לבקש צו הארכה משופט, אשר יכול להאריך בכל פעם למשך 15 ימים ובסך הכל עד 30 ימים. מטרת </w:t>
      </w:r>
      <w:r w:rsidR="00482279">
        <w:rPr>
          <w:rFonts w:ascii="David" w:hAnsi="David" w:cs="David" w:hint="cs"/>
          <w:sz w:val="24"/>
          <w:szCs w:val="24"/>
          <w:rtl/>
        </w:rPr>
        <w:t xml:space="preserve">ההדרגתיות היא הצורך </w:t>
      </w:r>
      <w:r w:rsidR="0036104F">
        <w:rPr>
          <w:rFonts w:ascii="David" w:hAnsi="David" w:cs="David" w:hint="cs"/>
          <w:sz w:val="24"/>
          <w:szCs w:val="24"/>
          <w:rtl/>
        </w:rPr>
        <w:t xml:space="preserve">לבקר </w:t>
      </w:r>
      <w:r w:rsidR="00482279">
        <w:rPr>
          <w:rFonts w:ascii="David" w:hAnsi="David" w:cs="David" w:hint="cs"/>
          <w:sz w:val="24"/>
          <w:szCs w:val="24"/>
          <w:rtl/>
        </w:rPr>
        <w:t xml:space="preserve"> על התקדמות החקירה. </w:t>
      </w:r>
    </w:p>
    <w:p w14:paraId="3AD0D00F" w14:textId="77777777" w:rsidR="008859FE" w:rsidRDefault="00482279" w:rsidP="008859FE">
      <w:pPr>
        <w:spacing w:line="360" w:lineRule="auto"/>
        <w:jc w:val="both"/>
        <w:rPr>
          <w:rFonts w:ascii="David" w:hAnsi="David" w:cs="David"/>
          <w:sz w:val="24"/>
          <w:szCs w:val="24"/>
          <w:rtl/>
        </w:rPr>
      </w:pPr>
      <w:r>
        <w:rPr>
          <w:rFonts w:ascii="David" w:hAnsi="David" w:cs="David" w:hint="cs"/>
          <w:sz w:val="24"/>
          <w:szCs w:val="24"/>
          <w:rtl/>
        </w:rPr>
        <w:t xml:space="preserve">(3) הצהרת תובע: </w:t>
      </w:r>
      <w:r w:rsidR="00D22052">
        <w:rPr>
          <w:rFonts w:ascii="David" w:hAnsi="David" w:cs="David" w:hint="cs"/>
          <w:sz w:val="24"/>
          <w:szCs w:val="24"/>
          <w:rtl/>
        </w:rPr>
        <w:t xml:space="preserve">מדובר במעצר </w:t>
      </w:r>
      <w:r w:rsidR="00C877C3">
        <w:rPr>
          <w:rFonts w:ascii="David" w:hAnsi="David" w:cs="David" w:hint="cs"/>
          <w:sz w:val="24"/>
          <w:szCs w:val="24"/>
          <w:rtl/>
        </w:rPr>
        <w:t>במצבים בהם צפויה הגשת כתב האישום ועולה הצורך לעצור עד להגשתו. מדובר בשלב המגשר בין המעצר לצורכי חקירה ולמעצר עד תום ההליכים. מעצר זה מאפשר לתובע ימים נוספים ל</w:t>
      </w:r>
      <w:r w:rsidR="00135931">
        <w:rPr>
          <w:rFonts w:ascii="David" w:hAnsi="David" w:cs="David" w:hint="cs"/>
          <w:sz w:val="24"/>
          <w:szCs w:val="24"/>
          <w:rtl/>
        </w:rPr>
        <w:t>צורך הגשת כתב האישו</w:t>
      </w:r>
      <w:r w:rsidR="008859FE">
        <w:rPr>
          <w:rFonts w:ascii="David" w:hAnsi="David" w:cs="David" w:hint="cs"/>
          <w:sz w:val="24"/>
          <w:szCs w:val="24"/>
          <w:rtl/>
        </w:rPr>
        <w:t>ם</w:t>
      </w:r>
    </w:p>
    <w:p w14:paraId="68A3526A" w14:textId="3AE0E5AD" w:rsidR="00787C1F" w:rsidRDefault="008859FE" w:rsidP="008859FE">
      <w:pPr>
        <w:spacing w:line="360" w:lineRule="auto"/>
        <w:jc w:val="both"/>
        <w:rPr>
          <w:rFonts w:ascii="David" w:hAnsi="David" w:cs="David"/>
          <w:sz w:val="24"/>
          <w:szCs w:val="24"/>
          <w:rtl/>
        </w:rPr>
      </w:pPr>
      <w:r w:rsidRPr="008859FE">
        <w:rPr>
          <w:rFonts w:ascii="David" w:hAnsi="David" w:cs="David" w:hint="cs"/>
          <w:b/>
          <w:bCs/>
          <w:sz w:val="24"/>
          <w:szCs w:val="24"/>
          <w:rtl/>
        </w:rPr>
        <w:t xml:space="preserve">סעיף 17(ד) לחוק: </w:t>
      </w:r>
      <w:r>
        <w:rPr>
          <w:rFonts w:ascii="David" w:hAnsi="David" w:cs="David" w:hint="cs"/>
          <w:sz w:val="24"/>
          <w:szCs w:val="24"/>
          <w:rtl/>
        </w:rPr>
        <w:t>"</w:t>
      </w:r>
      <w:r w:rsidR="00787C1F" w:rsidRPr="00787C1F">
        <w:rPr>
          <w:rFonts w:ascii="David" w:hAnsi="David" w:cs="David"/>
          <w:sz w:val="24"/>
          <w:szCs w:val="24"/>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r>
        <w:rPr>
          <w:rFonts w:ascii="David" w:hAnsi="David" w:cs="David" w:hint="cs"/>
          <w:sz w:val="24"/>
          <w:szCs w:val="24"/>
          <w:rtl/>
        </w:rPr>
        <w:t xml:space="preserve">". </w:t>
      </w:r>
    </w:p>
    <w:p w14:paraId="71C93B64" w14:textId="236179FF" w:rsidR="00F572A0" w:rsidRDefault="001C5F7A" w:rsidP="008859FE">
      <w:pPr>
        <w:spacing w:line="360" w:lineRule="auto"/>
        <w:jc w:val="both"/>
        <w:rPr>
          <w:rFonts w:ascii="David" w:hAnsi="David" w:cs="David"/>
          <w:sz w:val="24"/>
          <w:szCs w:val="24"/>
          <w:rtl/>
        </w:rPr>
      </w:pPr>
      <w:r>
        <w:rPr>
          <w:rFonts w:ascii="David" w:hAnsi="David" w:cs="David" w:hint="cs"/>
          <w:sz w:val="24"/>
          <w:szCs w:val="24"/>
          <w:rtl/>
        </w:rPr>
        <w:t xml:space="preserve">(4) מעצר עד תום ההליכים: מדובר במעצר שמתקיים לאחר סיום החקירה המשטרתית ולאחר הגשת כתב האישום כנגד הנאשם. במסגר הליך זה פונה התביעה אל בית המשפט בבקשה להארכת מעצר הנאשם עד לתום בירור ההליכים המשפטיים נגדו. בבקשה זו בית המשפט בוחן את המקרה </w:t>
      </w:r>
      <w:r w:rsidR="00F572A0">
        <w:rPr>
          <w:rFonts w:ascii="David" w:hAnsi="David" w:cs="David" w:hint="cs"/>
          <w:sz w:val="24"/>
          <w:szCs w:val="24"/>
          <w:rtl/>
        </w:rPr>
        <w:t xml:space="preserve">ובכך את הראיות לכאורה (האם יש בחומר החקירה פוטנציאל ראייתי להוכחת אשמו של הנאשם), את עילת המעצר והאם קיימת חלופת מעצר. </w:t>
      </w:r>
      <w:r w:rsidR="000117CE">
        <w:rPr>
          <w:rFonts w:ascii="David" w:hAnsi="David" w:cs="David" w:hint="cs"/>
          <w:sz w:val="24"/>
          <w:szCs w:val="24"/>
          <w:rtl/>
        </w:rPr>
        <w:t>מעצר זה יהיה למשך 9 חודשים וניתן להאריך זאת על ידי העליון</w:t>
      </w:r>
      <w:r w:rsidR="00EA5B50">
        <w:rPr>
          <w:rFonts w:ascii="David" w:hAnsi="David" w:cs="David" w:hint="cs"/>
          <w:sz w:val="24"/>
          <w:szCs w:val="24"/>
          <w:rtl/>
        </w:rPr>
        <w:t xml:space="preserve"> למשך שלושה חודשים </w:t>
      </w:r>
      <w:r w:rsidR="00EA5B50">
        <w:rPr>
          <w:rFonts w:ascii="David" w:hAnsi="David" w:cs="David"/>
          <w:sz w:val="24"/>
          <w:szCs w:val="24"/>
          <w:rtl/>
        </w:rPr>
        <w:t>–</w:t>
      </w:r>
      <w:r w:rsidR="00EA5B50">
        <w:rPr>
          <w:rFonts w:ascii="David" w:hAnsi="David" w:cs="David" w:hint="cs"/>
          <w:sz w:val="24"/>
          <w:szCs w:val="24"/>
          <w:rtl/>
        </w:rPr>
        <w:t xml:space="preserve"> את בקשה זו ניתן להגיש מספר פעמים.</w:t>
      </w:r>
    </w:p>
    <w:p w14:paraId="139E8561" w14:textId="2522C3CB" w:rsidR="00EA5B50" w:rsidRDefault="00EA5B50" w:rsidP="008859FE">
      <w:pPr>
        <w:spacing w:line="360" w:lineRule="auto"/>
        <w:jc w:val="both"/>
        <w:rPr>
          <w:rFonts w:ascii="David" w:hAnsi="David" w:cs="David"/>
          <w:sz w:val="24"/>
          <w:szCs w:val="24"/>
          <w:rtl/>
        </w:rPr>
      </w:pPr>
      <w:r>
        <w:rPr>
          <w:rFonts w:ascii="David" w:hAnsi="David" w:cs="David" w:hint="cs"/>
          <w:sz w:val="24"/>
          <w:szCs w:val="24"/>
          <w:rtl/>
        </w:rPr>
        <w:t xml:space="preserve">- עיון חוזר: </w:t>
      </w:r>
      <w:r w:rsidR="00F507DD">
        <w:rPr>
          <w:rFonts w:ascii="David" w:hAnsi="David" w:cs="David" w:hint="cs"/>
          <w:sz w:val="24"/>
          <w:szCs w:val="24"/>
          <w:rtl/>
        </w:rPr>
        <w:t>מדובר</w:t>
      </w:r>
      <w:r w:rsidR="00370B27">
        <w:rPr>
          <w:rFonts w:ascii="David" w:hAnsi="David" w:cs="David" w:hint="cs"/>
          <w:sz w:val="24"/>
          <w:szCs w:val="24"/>
          <w:rtl/>
        </w:rPr>
        <w:t xml:space="preserve"> בבקשה לעין בשנית בהחלטת המעצר, העיון יכול להעלות בכל זמן שהוא וגם הנאשם וגם המדינה יכולים להגיש זאת, במצבים בהם אחד הצדדים לא מרוצה מההחלטה. </w:t>
      </w:r>
      <w:r w:rsidR="00463142">
        <w:rPr>
          <w:rFonts w:ascii="David" w:hAnsi="David" w:cs="David" w:hint="cs"/>
          <w:sz w:val="24"/>
          <w:szCs w:val="24"/>
          <w:rtl/>
        </w:rPr>
        <w:t xml:space="preserve">דיון בעיון חוזר יהיה בערכאה הראשונה בה המקרה נידון. </w:t>
      </w:r>
    </w:p>
    <w:p w14:paraId="32FA1395" w14:textId="5FB864EA" w:rsidR="00463142" w:rsidRPr="000E6B79" w:rsidRDefault="00463142" w:rsidP="008859FE">
      <w:pPr>
        <w:spacing w:line="360" w:lineRule="auto"/>
        <w:jc w:val="both"/>
        <w:rPr>
          <w:rFonts w:ascii="David" w:hAnsi="David" w:cs="David"/>
          <w:sz w:val="24"/>
          <w:szCs w:val="24"/>
          <w:rtl/>
        </w:rPr>
      </w:pPr>
      <w:r>
        <w:rPr>
          <w:rFonts w:ascii="David" w:hAnsi="David" w:cs="David" w:hint="cs"/>
          <w:sz w:val="24"/>
          <w:szCs w:val="24"/>
          <w:rtl/>
        </w:rPr>
        <w:t xml:space="preserve">- הגשת ערר: </w:t>
      </w:r>
      <w:r w:rsidR="000E6B79">
        <w:rPr>
          <w:rFonts w:ascii="David" w:hAnsi="David" w:cs="David" w:hint="cs"/>
          <w:b/>
          <w:bCs/>
          <w:sz w:val="24"/>
          <w:szCs w:val="24"/>
          <w:rtl/>
        </w:rPr>
        <w:t>סעיף 53(א) לחוק המעצרים:</w:t>
      </w:r>
      <w:r w:rsidR="000E6B79">
        <w:rPr>
          <w:rFonts w:ascii="David" w:hAnsi="David" w:cs="David" w:hint="cs"/>
          <w:sz w:val="24"/>
          <w:szCs w:val="24"/>
          <w:rtl/>
        </w:rPr>
        <w:t xml:space="preserve"> קובע כי לאחר 30 </w:t>
      </w:r>
      <w:r w:rsidR="00F92D9F">
        <w:rPr>
          <w:rFonts w:ascii="David" w:hAnsi="David" w:cs="David" w:hint="cs"/>
          <w:sz w:val="24"/>
          <w:szCs w:val="24"/>
          <w:rtl/>
        </w:rPr>
        <w:t>ימים מהחלטת בית המשפט</w:t>
      </w:r>
      <w:r w:rsidR="000E6B79">
        <w:rPr>
          <w:rFonts w:ascii="David" w:hAnsi="David" w:cs="David" w:hint="cs"/>
          <w:sz w:val="24"/>
          <w:szCs w:val="24"/>
          <w:rtl/>
        </w:rPr>
        <w:t>,</w:t>
      </w:r>
      <w:r w:rsidR="00F92D9F">
        <w:rPr>
          <w:rFonts w:ascii="David" w:hAnsi="David" w:cs="David" w:hint="cs"/>
          <w:sz w:val="24"/>
          <w:szCs w:val="24"/>
          <w:rtl/>
        </w:rPr>
        <w:t xml:space="preserve"> הנאשם/המדינה יכולים</w:t>
      </w:r>
      <w:r w:rsidR="000E6B79">
        <w:rPr>
          <w:rFonts w:ascii="David" w:hAnsi="David" w:cs="David" w:hint="cs"/>
          <w:sz w:val="24"/>
          <w:szCs w:val="24"/>
          <w:rtl/>
        </w:rPr>
        <w:t xml:space="preserve"> להגיש ערר על החלטת בית המשפט </w:t>
      </w:r>
      <w:r w:rsidR="00F92D9F">
        <w:rPr>
          <w:rFonts w:ascii="David" w:hAnsi="David" w:cs="David"/>
          <w:sz w:val="24"/>
          <w:szCs w:val="24"/>
          <w:rtl/>
        </w:rPr>
        <w:t>–</w:t>
      </w:r>
      <w:r w:rsidR="00F92D9F">
        <w:rPr>
          <w:rFonts w:ascii="David" w:hAnsi="David" w:cs="David" w:hint="cs"/>
          <w:sz w:val="24"/>
          <w:szCs w:val="24"/>
          <w:rtl/>
        </w:rPr>
        <w:t xml:space="preserve"> בין אם לגביי שחרור בערובה ובין אם על שינוי המעצר וביטולו. </w:t>
      </w:r>
    </w:p>
    <w:p w14:paraId="6B9D1E87" w14:textId="73DC7166" w:rsidR="00F572A0" w:rsidRDefault="00F572A0" w:rsidP="00F572A0">
      <w:pPr>
        <w:spacing w:line="360" w:lineRule="auto"/>
        <w:jc w:val="both"/>
        <w:rPr>
          <w:rFonts w:ascii="David" w:hAnsi="David" w:cs="David"/>
          <w:sz w:val="24"/>
          <w:szCs w:val="24"/>
          <w:rtl/>
        </w:rPr>
      </w:pPr>
      <w:r w:rsidRPr="00F572A0">
        <w:rPr>
          <w:rFonts w:ascii="David" w:hAnsi="David" w:cs="David" w:hint="cs"/>
          <w:sz w:val="24"/>
          <w:szCs w:val="24"/>
          <w:u w:val="single"/>
          <w:rtl/>
        </w:rPr>
        <w:t>עילות המעצר:</w:t>
      </w:r>
      <w:r>
        <w:rPr>
          <w:rFonts w:ascii="David" w:hAnsi="David" w:cs="David" w:hint="cs"/>
          <w:sz w:val="24"/>
          <w:szCs w:val="24"/>
          <w:rtl/>
        </w:rPr>
        <w:t xml:space="preserve"> </w:t>
      </w:r>
    </w:p>
    <w:p w14:paraId="58E02842" w14:textId="5F5BD713" w:rsidR="00EE0EC3" w:rsidRDefault="00EE0EC3" w:rsidP="00EE0EC3">
      <w:pPr>
        <w:spacing w:line="360" w:lineRule="auto"/>
        <w:jc w:val="both"/>
        <w:rPr>
          <w:rFonts w:ascii="David" w:hAnsi="David" w:cs="David"/>
          <w:sz w:val="24"/>
          <w:szCs w:val="24"/>
          <w:rtl/>
        </w:rPr>
      </w:pPr>
      <w:r>
        <w:rPr>
          <w:rFonts w:ascii="David" w:hAnsi="David" w:cs="David" w:hint="cs"/>
          <w:sz w:val="24"/>
          <w:szCs w:val="24"/>
          <w:rtl/>
        </w:rPr>
        <w:t xml:space="preserve">עולות </w:t>
      </w:r>
      <w:r w:rsidR="0053433C">
        <w:rPr>
          <w:rFonts w:ascii="David" w:hAnsi="David" w:cs="David" w:hint="cs"/>
          <w:sz w:val="24"/>
          <w:szCs w:val="24"/>
          <w:rtl/>
        </w:rPr>
        <w:t>מספר</w:t>
      </w:r>
      <w:r w:rsidR="00481352">
        <w:rPr>
          <w:rFonts w:ascii="David" w:hAnsi="David" w:cs="David" w:hint="cs"/>
          <w:sz w:val="24"/>
          <w:szCs w:val="24"/>
          <w:rtl/>
        </w:rPr>
        <w:t xml:space="preserve"> </w:t>
      </w:r>
      <w:r>
        <w:rPr>
          <w:rFonts w:ascii="David" w:hAnsi="David" w:cs="David" w:hint="cs"/>
          <w:sz w:val="24"/>
          <w:szCs w:val="24"/>
          <w:rtl/>
        </w:rPr>
        <w:t xml:space="preserve">עילות מעצר: (1) חשש משיבוש הליכי חקירה, (2) מסוכנות, (3) </w:t>
      </w:r>
      <w:r w:rsidR="00A4688A">
        <w:rPr>
          <w:rFonts w:ascii="David" w:hAnsi="David" w:cs="David" w:hint="cs"/>
          <w:sz w:val="24"/>
          <w:szCs w:val="24"/>
          <w:rtl/>
        </w:rPr>
        <w:t xml:space="preserve">צורכי חקירה, (4) </w:t>
      </w:r>
      <w:r w:rsidR="008A10A5">
        <w:rPr>
          <w:rFonts w:ascii="David" w:hAnsi="David" w:cs="David" w:hint="cs"/>
          <w:sz w:val="24"/>
          <w:szCs w:val="24"/>
          <w:rtl/>
        </w:rPr>
        <w:t xml:space="preserve">חשש מבריחה, (5) </w:t>
      </w:r>
      <w:r w:rsidR="00481352">
        <w:rPr>
          <w:rFonts w:ascii="David" w:hAnsi="David" w:cs="David" w:hint="cs"/>
          <w:sz w:val="24"/>
          <w:szCs w:val="24"/>
          <w:rtl/>
        </w:rPr>
        <w:t xml:space="preserve">זה מקרוב. </w:t>
      </w:r>
    </w:p>
    <w:p w14:paraId="2EA4CE25" w14:textId="3C11CAB6" w:rsidR="00B470B4" w:rsidRDefault="00B470B4" w:rsidP="00EE0EC3">
      <w:pPr>
        <w:spacing w:line="360" w:lineRule="auto"/>
        <w:jc w:val="both"/>
        <w:rPr>
          <w:rFonts w:ascii="David" w:hAnsi="David" w:cs="David"/>
          <w:sz w:val="24"/>
          <w:szCs w:val="24"/>
          <w:rtl/>
        </w:rPr>
      </w:pPr>
      <w:r>
        <w:rPr>
          <w:rFonts w:ascii="David" w:hAnsi="David" w:cs="David" w:hint="cs"/>
          <w:sz w:val="24"/>
          <w:szCs w:val="24"/>
          <w:u w:val="single"/>
          <w:rtl/>
        </w:rPr>
        <w:t>עילת מעצר לעבירות רכוש:</w:t>
      </w:r>
      <w:r>
        <w:rPr>
          <w:rFonts w:ascii="David" w:hAnsi="David" w:cs="David" w:hint="cs"/>
          <w:sz w:val="24"/>
          <w:szCs w:val="24"/>
          <w:rtl/>
        </w:rPr>
        <w:t xml:space="preserve"> </w:t>
      </w:r>
    </w:p>
    <w:p w14:paraId="6C286BD3" w14:textId="0B6682B2" w:rsidR="00B470B4" w:rsidRPr="00B470B4" w:rsidRDefault="003D4660" w:rsidP="00EE0EC3">
      <w:pPr>
        <w:spacing w:line="360" w:lineRule="auto"/>
        <w:jc w:val="both"/>
        <w:rPr>
          <w:rFonts w:ascii="David" w:hAnsi="David" w:cs="David"/>
          <w:sz w:val="24"/>
          <w:szCs w:val="24"/>
          <w:rtl/>
        </w:rPr>
      </w:pPr>
      <w:r>
        <w:rPr>
          <w:rFonts w:ascii="David" w:hAnsi="David" w:cs="David" w:hint="cs"/>
          <w:sz w:val="24"/>
          <w:szCs w:val="24"/>
          <w:rtl/>
        </w:rPr>
        <w:t xml:space="preserve">בעבירות רכוש עילת המעצר תלויה בנסיבות המקרה </w:t>
      </w:r>
      <w:r>
        <w:rPr>
          <w:rFonts w:ascii="David" w:hAnsi="David" w:cs="David"/>
          <w:sz w:val="24"/>
          <w:szCs w:val="24"/>
          <w:rtl/>
        </w:rPr>
        <w:t>–</w:t>
      </w:r>
      <w:r>
        <w:rPr>
          <w:rFonts w:ascii="David" w:hAnsi="David" w:cs="David" w:hint="cs"/>
          <w:sz w:val="24"/>
          <w:szCs w:val="24"/>
          <w:rtl/>
        </w:rPr>
        <w:t xml:space="preserve"> כיצד העניין בוצע, מספר המבצעים, הרכוש "שנפגע/נגנב"</w:t>
      </w:r>
      <w:r w:rsidR="00E30B41">
        <w:rPr>
          <w:rFonts w:ascii="David" w:hAnsi="David" w:cs="David" w:hint="cs"/>
          <w:sz w:val="24"/>
          <w:szCs w:val="24"/>
          <w:rtl/>
        </w:rPr>
        <w:t xml:space="preserve"> והאם המבצע פועל בשיטתיות או בהיקף ניכר. </w:t>
      </w:r>
    </w:p>
    <w:p w14:paraId="6832DC2E" w14:textId="29C83385" w:rsidR="00A46399" w:rsidRDefault="00016AE6" w:rsidP="00016AE6">
      <w:pPr>
        <w:spacing w:line="360" w:lineRule="auto"/>
        <w:jc w:val="both"/>
        <w:rPr>
          <w:rFonts w:ascii="David" w:hAnsi="David" w:cs="David"/>
          <w:sz w:val="24"/>
          <w:szCs w:val="24"/>
          <w:rtl/>
        </w:rPr>
      </w:pPr>
      <w:r w:rsidRPr="00016AE6">
        <w:rPr>
          <w:rFonts w:ascii="David" w:hAnsi="David" w:cs="David"/>
          <w:b/>
          <w:bCs/>
          <w:sz w:val="24"/>
          <w:szCs w:val="24"/>
          <w:rtl/>
        </w:rPr>
        <w:t>בש"פ 5431/98 רוסלן פרנקל נ' מדינת ישראל</w:t>
      </w:r>
      <w:r>
        <w:rPr>
          <w:rFonts w:ascii="David" w:hAnsi="David" w:cs="David" w:hint="cs"/>
          <w:b/>
          <w:bCs/>
          <w:sz w:val="24"/>
          <w:szCs w:val="24"/>
          <w:rtl/>
        </w:rPr>
        <w:t>:</w:t>
      </w:r>
      <w:r>
        <w:rPr>
          <w:rFonts w:ascii="David" w:hAnsi="David" w:cs="David" w:hint="cs"/>
          <w:sz w:val="24"/>
          <w:szCs w:val="24"/>
          <w:rtl/>
        </w:rPr>
        <w:t xml:space="preserve"> העותרים הועמדו לדין בגין גניבת מכוניות, ציוד וחלפים ממוסך שבו עבד אחד מהם, תוך ניצול מידע פנימי ושימוש בזהות כוזבת.</w:t>
      </w:r>
      <w:r w:rsidR="006D6C2D">
        <w:rPr>
          <w:rFonts w:ascii="David" w:hAnsi="David" w:cs="David" w:hint="cs"/>
          <w:sz w:val="24"/>
          <w:szCs w:val="24"/>
          <w:rtl/>
        </w:rPr>
        <w:t xml:space="preserve"> לאחר הגשת כתב האישום התבקש מעצרם עד לתום </w:t>
      </w:r>
      <w:r w:rsidR="00AB531E">
        <w:rPr>
          <w:rFonts w:ascii="David" w:hAnsi="David" w:cs="David" w:hint="cs"/>
          <w:sz w:val="24"/>
          <w:szCs w:val="24"/>
          <w:rtl/>
        </w:rPr>
        <w:t xml:space="preserve">ההליכים. </w:t>
      </w:r>
      <w:r w:rsidR="009F4CC2">
        <w:rPr>
          <w:rFonts w:ascii="David" w:hAnsi="David" w:cs="David" w:hint="cs"/>
          <w:sz w:val="24"/>
          <w:szCs w:val="24"/>
          <w:rtl/>
        </w:rPr>
        <w:t xml:space="preserve">השלום קיבל את עמדת העותרים ושחרר אותם, אך המחוזי קיבל את ערעור המדינה וקבע כי מתקיימות 2 עילות מעצר: </w:t>
      </w:r>
      <w:r w:rsidR="00731869">
        <w:rPr>
          <w:rFonts w:ascii="David" w:hAnsi="David" w:cs="David" w:hint="cs"/>
          <w:sz w:val="24"/>
          <w:szCs w:val="24"/>
          <w:rtl/>
        </w:rPr>
        <w:t xml:space="preserve">סיכון לשלום הציבור </w:t>
      </w:r>
      <w:r w:rsidR="00DD19BA">
        <w:rPr>
          <w:rFonts w:ascii="David" w:hAnsi="David" w:cs="David" w:hint="cs"/>
          <w:sz w:val="24"/>
          <w:szCs w:val="24"/>
          <w:rtl/>
        </w:rPr>
        <w:t xml:space="preserve">וחשש מהתחמקות ושיבוש הליכי משפט. </w:t>
      </w:r>
      <w:r w:rsidR="00417707">
        <w:rPr>
          <w:rFonts w:ascii="David" w:hAnsi="David" w:cs="David" w:hint="cs"/>
          <w:sz w:val="24"/>
          <w:szCs w:val="24"/>
          <w:rtl/>
        </w:rPr>
        <w:t xml:space="preserve">לטענת העותרים לאחר חקיקת חוק המעצרים, התחלפה עילת סיכון שלום הציבור בעילה של סיכון ביטחון הציבור ועבירות רכוש אינן מקימות עילת מעצר לפי חוק זה. בית המשפט העליון פסק כי </w:t>
      </w:r>
      <w:r w:rsidR="004A4395">
        <w:rPr>
          <w:rFonts w:ascii="David" w:hAnsi="David" w:cs="David" w:hint="cs"/>
          <w:sz w:val="24"/>
          <w:szCs w:val="24"/>
          <w:rtl/>
        </w:rPr>
        <w:t xml:space="preserve">מעשים שנועדו לצורך פגיעה בהסדרי החברה ובכך ברכוש, פוגעים בזכויות היסוד של החברה ובנסיבות מסויימות המפגע מהווה סכנה לביטחונה של החברה ושל החברים בה. בנוסף, עבירות רכוש </w:t>
      </w:r>
      <w:r w:rsidR="005D52C6">
        <w:rPr>
          <w:rFonts w:ascii="David" w:hAnsi="David" w:cs="David" w:hint="cs"/>
          <w:sz w:val="24"/>
          <w:szCs w:val="24"/>
          <w:rtl/>
        </w:rPr>
        <w:t xml:space="preserve">טומנות בחובן סיכון טבוע כי בתנאים מסויימים הן יבוצעו באלימות ותוך סיכון חיי אדם או שלמות גופו, אם לצורך השגת הרכוש, שמירה על הרכוש והימנעות </w:t>
      </w:r>
      <w:r w:rsidR="00382726">
        <w:rPr>
          <w:rFonts w:ascii="David" w:hAnsi="David" w:cs="David" w:hint="cs"/>
          <w:sz w:val="24"/>
          <w:szCs w:val="24"/>
          <w:rtl/>
        </w:rPr>
        <w:t>ה</w:t>
      </w:r>
      <w:r w:rsidR="005D52C6">
        <w:rPr>
          <w:rFonts w:ascii="David" w:hAnsi="David" w:cs="David" w:hint="cs"/>
          <w:sz w:val="24"/>
          <w:szCs w:val="24"/>
          <w:rtl/>
        </w:rPr>
        <w:t xml:space="preserve">מבצעים מהעונש. מכך, במצבים בהם עבירת הרכוש תהה שיטתית או בהיקף ניכר, או תוך התארגנות של מספר עבריינים, או תוך שימוש באמצעים מיוחדים ומתוחכמים, המהות והנסיבות יהוו סכנה לביטחון האדם ולביטחון הציבור. </w:t>
      </w:r>
    </w:p>
    <w:p w14:paraId="57A969C8" w14:textId="50B6A3E5" w:rsidR="006822BB" w:rsidRDefault="003E5982" w:rsidP="006822BB">
      <w:pPr>
        <w:spacing w:line="360" w:lineRule="auto"/>
        <w:jc w:val="both"/>
        <w:rPr>
          <w:rFonts w:ascii="David" w:hAnsi="David" w:cs="David"/>
          <w:sz w:val="24"/>
          <w:szCs w:val="24"/>
          <w:rtl/>
        </w:rPr>
      </w:pPr>
      <w:r>
        <w:rPr>
          <w:rFonts w:ascii="David" w:hAnsi="David" w:cs="David" w:hint="cs"/>
          <w:sz w:val="24"/>
          <w:szCs w:val="24"/>
          <w:u w:val="single"/>
          <w:rtl/>
        </w:rPr>
        <w:t>הדילמות במעצר:</w:t>
      </w:r>
      <w:r>
        <w:rPr>
          <w:rFonts w:ascii="David" w:hAnsi="David" w:cs="David" w:hint="cs"/>
          <w:sz w:val="24"/>
          <w:szCs w:val="24"/>
          <w:rtl/>
        </w:rPr>
        <w:t xml:space="preserve"> </w:t>
      </w:r>
    </w:p>
    <w:p w14:paraId="50CDC1DE" w14:textId="17635811" w:rsidR="003E5982" w:rsidRDefault="003E5982" w:rsidP="006822BB">
      <w:pPr>
        <w:spacing w:line="360" w:lineRule="auto"/>
        <w:jc w:val="both"/>
        <w:rPr>
          <w:rFonts w:ascii="David" w:hAnsi="David" w:cs="David"/>
          <w:sz w:val="24"/>
          <w:szCs w:val="24"/>
          <w:rtl/>
        </w:rPr>
      </w:pPr>
      <w:r>
        <w:rPr>
          <w:rFonts w:ascii="David" w:hAnsi="David" w:cs="David" w:hint="cs"/>
          <w:sz w:val="24"/>
          <w:szCs w:val="24"/>
          <w:rtl/>
        </w:rPr>
        <w:t>(1) חומרת המעשה נמוכה</w:t>
      </w:r>
      <w:r w:rsidR="00F92139">
        <w:rPr>
          <w:rFonts w:ascii="David" w:hAnsi="David" w:cs="David" w:hint="cs"/>
          <w:sz w:val="24"/>
          <w:szCs w:val="24"/>
          <w:rtl/>
        </w:rPr>
        <w:t>,</w:t>
      </w:r>
      <w:r>
        <w:rPr>
          <w:rFonts w:ascii="David" w:hAnsi="David" w:cs="David" w:hint="cs"/>
          <w:sz w:val="24"/>
          <w:szCs w:val="24"/>
          <w:rtl/>
        </w:rPr>
        <w:t xml:space="preserve"> אך מסוכנות העושה גבוהה</w:t>
      </w:r>
      <w:r w:rsidR="00EF0464">
        <w:rPr>
          <w:rFonts w:ascii="David" w:hAnsi="David" w:cs="David" w:hint="cs"/>
          <w:sz w:val="24"/>
          <w:szCs w:val="24"/>
          <w:rtl/>
        </w:rPr>
        <w:t xml:space="preserve"> (רצידיוויזם מתמשך)</w:t>
      </w:r>
      <w:r>
        <w:rPr>
          <w:rFonts w:ascii="David" w:hAnsi="David" w:cs="David" w:hint="cs"/>
          <w:sz w:val="24"/>
          <w:szCs w:val="24"/>
          <w:rtl/>
        </w:rPr>
        <w:t xml:space="preserve">: מצבים בהם המבצע </w:t>
      </w:r>
      <w:r w:rsidR="00F92139">
        <w:rPr>
          <w:rFonts w:ascii="David" w:hAnsi="David" w:cs="David" w:hint="cs"/>
          <w:sz w:val="24"/>
          <w:szCs w:val="24"/>
          <w:rtl/>
        </w:rPr>
        <w:t xml:space="preserve">עובר על החוק בצורה חוזרת ונשנה, אך חומרת העבירה האינדיבידואלית נמוכה. </w:t>
      </w:r>
    </w:p>
    <w:p w14:paraId="1856A0C0" w14:textId="67CF7912" w:rsidR="00906345" w:rsidRDefault="00F92139" w:rsidP="00906345">
      <w:pPr>
        <w:spacing w:line="360" w:lineRule="auto"/>
        <w:jc w:val="both"/>
        <w:rPr>
          <w:rFonts w:ascii="David" w:hAnsi="David" w:cs="David"/>
          <w:sz w:val="24"/>
          <w:szCs w:val="24"/>
          <w:rtl/>
        </w:rPr>
      </w:pPr>
      <w:r>
        <w:rPr>
          <w:rFonts w:ascii="David" w:hAnsi="David" w:cs="David" w:hint="cs"/>
          <w:sz w:val="24"/>
          <w:szCs w:val="24"/>
          <w:rtl/>
        </w:rPr>
        <w:t>(2) חומרת המעשה גבוהה, אך אין עבר פלילי:</w:t>
      </w:r>
      <w:r w:rsidR="00906345">
        <w:rPr>
          <w:rFonts w:ascii="David" w:hAnsi="David" w:cs="David" w:hint="cs"/>
          <w:sz w:val="24"/>
          <w:szCs w:val="24"/>
          <w:rtl/>
        </w:rPr>
        <w:t xml:space="preserve"> בדרך כלל מדובר במצבים של אלימות במשפחה, כאשר אין תלונה קודמת. </w:t>
      </w:r>
    </w:p>
    <w:p w14:paraId="354286B6" w14:textId="641CBFF3" w:rsidR="00906345" w:rsidRDefault="00906345" w:rsidP="00906345">
      <w:pPr>
        <w:spacing w:line="360" w:lineRule="auto"/>
        <w:jc w:val="both"/>
        <w:rPr>
          <w:rFonts w:ascii="David" w:hAnsi="David" w:cs="David"/>
          <w:sz w:val="24"/>
          <w:szCs w:val="24"/>
          <w:rtl/>
        </w:rPr>
      </w:pPr>
      <w:r>
        <w:rPr>
          <w:rFonts w:ascii="David" w:hAnsi="David" w:cs="David" w:hint="cs"/>
          <w:sz w:val="24"/>
          <w:szCs w:val="24"/>
          <w:rtl/>
        </w:rPr>
        <w:t xml:space="preserve">(3) נסיבות חיים מצערות: </w:t>
      </w:r>
      <w:r w:rsidR="00334B27">
        <w:rPr>
          <w:rFonts w:ascii="David" w:hAnsi="David" w:cs="David" w:hint="cs"/>
          <w:sz w:val="24"/>
          <w:szCs w:val="24"/>
          <w:rtl/>
        </w:rPr>
        <w:t xml:space="preserve">לדוגמה גניבת מזון/מזון לתינוקות. במצבים כאלו נטען כי נסיבות העניין אינן מתאימות להעמדה לדין </w:t>
      </w:r>
      <w:r w:rsidR="004A3096">
        <w:rPr>
          <w:rFonts w:ascii="David" w:hAnsi="David" w:cs="David" w:hint="cs"/>
          <w:sz w:val="24"/>
          <w:szCs w:val="24"/>
          <w:rtl/>
        </w:rPr>
        <w:t xml:space="preserve">ומכך אין עילת מעצר. שיקולים נוספים יכולים להיות מחלה סופנית במצבים בהם העבירה "לא חמורה", "מחלות נפש" שמצריכות טיפול אך לא מעצר ועוד. </w:t>
      </w:r>
    </w:p>
    <w:p w14:paraId="53363158" w14:textId="6550EE0F" w:rsidR="007B4AD7" w:rsidRDefault="00BC5F72" w:rsidP="006822BB">
      <w:pPr>
        <w:spacing w:line="360" w:lineRule="auto"/>
        <w:jc w:val="both"/>
        <w:rPr>
          <w:rFonts w:ascii="David" w:hAnsi="David" w:cs="David"/>
          <w:sz w:val="24"/>
          <w:szCs w:val="24"/>
          <w:rtl/>
        </w:rPr>
      </w:pPr>
      <w:r>
        <w:rPr>
          <w:rFonts w:ascii="David" w:hAnsi="David" w:cs="David" w:hint="cs"/>
          <w:sz w:val="24"/>
          <w:szCs w:val="24"/>
          <w:u w:val="single"/>
          <w:rtl/>
        </w:rPr>
        <w:t>חלופת מעצר:</w:t>
      </w:r>
      <w:r>
        <w:rPr>
          <w:rFonts w:ascii="David" w:hAnsi="David" w:cs="David" w:hint="cs"/>
          <w:sz w:val="24"/>
          <w:szCs w:val="24"/>
          <w:rtl/>
        </w:rPr>
        <w:t xml:space="preserve"> </w:t>
      </w:r>
    </w:p>
    <w:p w14:paraId="0DAD02FC" w14:textId="0A512159" w:rsidR="00BC5F72" w:rsidRDefault="00BC5F72" w:rsidP="006822BB">
      <w:pPr>
        <w:spacing w:line="360" w:lineRule="auto"/>
        <w:jc w:val="both"/>
        <w:rPr>
          <w:rFonts w:ascii="David" w:hAnsi="David" w:cs="David"/>
          <w:sz w:val="24"/>
          <w:szCs w:val="24"/>
          <w:rtl/>
        </w:rPr>
      </w:pPr>
      <w:r>
        <w:rPr>
          <w:rFonts w:ascii="David" w:hAnsi="David" w:cs="David" w:hint="cs"/>
          <w:b/>
          <w:bCs/>
          <w:sz w:val="24"/>
          <w:szCs w:val="24"/>
          <w:rtl/>
        </w:rPr>
        <w:t>סעיף 21</w:t>
      </w:r>
      <w:r w:rsidR="00BB36F3">
        <w:rPr>
          <w:rFonts w:ascii="David" w:hAnsi="David" w:cs="David" w:hint="cs"/>
          <w:b/>
          <w:bCs/>
          <w:sz w:val="24"/>
          <w:szCs w:val="24"/>
          <w:rtl/>
        </w:rPr>
        <w:t>(ב)</w:t>
      </w:r>
      <w:r>
        <w:rPr>
          <w:rFonts w:ascii="David" w:hAnsi="David" w:cs="David" w:hint="cs"/>
          <w:b/>
          <w:bCs/>
          <w:sz w:val="24"/>
          <w:szCs w:val="24"/>
          <w:rtl/>
        </w:rPr>
        <w:t xml:space="preserve"> לחוק סדר הדין הפלילי (</w:t>
      </w:r>
      <w:r w:rsidR="00D9702D">
        <w:rPr>
          <w:rFonts w:ascii="David" w:hAnsi="David" w:cs="David" w:hint="cs"/>
          <w:b/>
          <w:bCs/>
          <w:sz w:val="24"/>
          <w:szCs w:val="24"/>
          <w:rtl/>
        </w:rPr>
        <w:t xml:space="preserve">סמכויות אכיפה </w:t>
      </w:r>
      <w:r w:rsidR="00D9702D">
        <w:rPr>
          <w:rFonts w:ascii="David" w:hAnsi="David" w:cs="David"/>
          <w:b/>
          <w:bCs/>
          <w:sz w:val="24"/>
          <w:szCs w:val="24"/>
          <w:rtl/>
        </w:rPr>
        <w:t>–</w:t>
      </w:r>
      <w:r w:rsidR="00D9702D">
        <w:rPr>
          <w:rFonts w:ascii="David" w:hAnsi="David" w:cs="David" w:hint="cs"/>
          <w:b/>
          <w:bCs/>
          <w:sz w:val="24"/>
          <w:szCs w:val="24"/>
          <w:rtl/>
        </w:rPr>
        <w:t xml:space="preserve"> מעצרים):</w:t>
      </w:r>
      <w:r w:rsidR="00D9702D">
        <w:rPr>
          <w:rFonts w:ascii="David" w:hAnsi="David" w:cs="David" w:hint="cs"/>
          <w:sz w:val="24"/>
          <w:szCs w:val="24"/>
          <w:rtl/>
        </w:rPr>
        <w:t xml:space="preserve"> </w:t>
      </w:r>
      <w:r w:rsidR="004E1DBC">
        <w:rPr>
          <w:rFonts w:ascii="David" w:hAnsi="David" w:cs="David" w:hint="cs"/>
          <w:sz w:val="24"/>
          <w:szCs w:val="24"/>
          <w:rtl/>
        </w:rPr>
        <w:t>בית המשפט לא ייתן צו מעצר לפי סעיף 21א, אלא אם כן נוכח, לאחר ששמע את הצדדים, שיש ראיות לכאורה להוכחת האשמה, ולעניין סעיף 21א(1) לא יצווה בית המשפט כאמור אלא אם כן נתקיימו גם אלה: (1) לא ניתן להשיג את מטרת המעצר בשרך של שחרור בערובה ותנאי שחררו, שפגיעתם בחירותו של הנאשם פתוחה".</w:t>
      </w:r>
    </w:p>
    <w:p w14:paraId="674663E2" w14:textId="301F9AAC" w:rsidR="004E1DBC" w:rsidRDefault="004E1DBC" w:rsidP="006822BB">
      <w:pPr>
        <w:spacing w:line="360" w:lineRule="auto"/>
        <w:jc w:val="both"/>
        <w:rPr>
          <w:rFonts w:ascii="David" w:hAnsi="David" w:cs="David"/>
          <w:sz w:val="24"/>
          <w:szCs w:val="24"/>
          <w:rtl/>
        </w:rPr>
      </w:pPr>
      <w:r>
        <w:rPr>
          <w:rFonts w:ascii="David" w:hAnsi="David" w:cs="David" w:hint="cs"/>
          <w:sz w:val="24"/>
          <w:szCs w:val="24"/>
          <w:rtl/>
        </w:rPr>
        <w:t xml:space="preserve">(1) מעצר בית מלא. </w:t>
      </w:r>
    </w:p>
    <w:p w14:paraId="34722DB5" w14:textId="22FCCE71" w:rsidR="004E1DBC" w:rsidRDefault="004E1DBC" w:rsidP="006822BB">
      <w:pPr>
        <w:spacing w:line="360" w:lineRule="auto"/>
        <w:jc w:val="both"/>
        <w:rPr>
          <w:rFonts w:ascii="David" w:hAnsi="David" w:cs="David"/>
          <w:sz w:val="24"/>
          <w:szCs w:val="24"/>
          <w:rtl/>
        </w:rPr>
      </w:pPr>
      <w:r>
        <w:rPr>
          <w:rFonts w:ascii="David" w:hAnsi="David" w:cs="David" w:hint="cs"/>
          <w:sz w:val="24"/>
          <w:szCs w:val="24"/>
          <w:rtl/>
        </w:rPr>
        <w:t xml:space="preserve">(2) מעצר בית חלקי. </w:t>
      </w:r>
    </w:p>
    <w:p w14:paraId="2B564FC4" w14:textId="2FB3604A" w:rsidR="004E1DBC" w:rsidRDefault="004E1DBC" w:rsidP="006822BB">
      <w:pPr>
        <w:spacing w:line="360" w:lineRule="auto"/>
        <w:jc w:val="both"/>
        <w:rPr>
          <w:rFonts w:ascii="David" w:hAnsi="David" w:cs="David"/>
          <w:sz w:val="24"/>
          <w:szCs w:val="24"/>
          <w:rtl/>
        </w:rPr>
      </w:pPr>
      <w:r>
        <w:rPr>
          <w:rFonts w:ascii="David" w:hAnsi="David" w:cs="David" w:hint="cs"/>
          <w:sz w:val="24"/>
          <w:szCs w:val="24"/>
          <w:rtl/>
        </w:rPr>
        <w:t xml:space="preserve">(3) שחרור בתנאים (לדוגמה הרחקה). </w:t>
      </w:r>
    </w:p>
    <w:p w14:paraId="7EAA837C" w14:textId="71C24B33" w:rsidR="004E1DBC" w:rsidRDefault="004E1DBC" w:rsidP="006822BB">
      <w:pPr>
        <w:spacing w:line="360" w:lineRule="auto"/>
        <w:jc w:val="both"/>
        <w:rPr>
          <w:rFonts w:ascii="David" w:hAnsi="David" w:cs="David"/>
          <w:sz w:val="24"/>
          <w:szCs w:val="24"/>
          <w:rtl/>
        </w:rPr>
      </w:pPr>
      <w:r>
        <w:rPr>
          <w:rFonts w:ascii="David" w:hAnsi="David" w:cs="David" w:hint="cs"/>
          <w:sz w:val="24"/>
          <w:szCs w:val="24"/>
          <w:rtl/>
        </w:rPr>
        <w:t xml:space="preserve">(4) מעצר במוסד גמילה/קהילה טיפולית. </w:t>
      </w:r>
    </w:p>
    <w:p w14:paraId="5CE7F165" w14:textId="762DA30A" w:rsidR="004E1DBC" w:rsidRDefault="004E1DBC" w:rsidP="004E1DBC">
      <w:pPr>
        <w:spacing w:line="360" w:lineRule="auto"/>
        <w:jc w:val="both"/>
        <w:rPr>
          <w:rFonts w:ascii="David" w:hAnsi="David" w:cs="David"/>
          <w:sz w:val="24"/>
          <w:szCs w:val="24"/>
          <w:rtl/>
        </w:rPr>
      </w:pPr>
      <w:r>
        <w:rPr>
          <w:rFonts w:ascii="David" w:hAnsi="David" w:cs="David" w:hint="cs"/>
          <w:sz w:val="24"/>
          <w:szCs w:val="24"/>
          <w:rtl/>
        </w:rPr>
        <w:t xml:space="preserve">- בבחינת חלופת המעצר יש לבחון את: </w:t>
      </w:r>
    </w:p>
    <w:p w14:paraId="2C91376C" w14:textId="6463F440" w:rsidR="004E1DBC" w:rsidRDefault="004E1DBC" w:rsidP="004E1DBC">
      <w:pPr>
        <w:spacing w:line="360" w:lineRule="auto"/>
        <w:jc w:val="both"/>
        <w:rPr>
          <w:rFonts w:ascii="David" w:hAnsi="David" w:cs="David"/>
          <w:sz w:val="24"/>
          <w:szCs w:val="24"/>
          <w:rtl/>
        </w:rPr>
      </w:pPr>
      <w:r>
        <w:rPr>
          <w:rFonts w:ascii="David" w:hAnsi="David" w:cs="David" w:hint="cs"/>
          <w:sz w:val="24"/>
          <w:szCs w:val="24"/>
          <w:rtl/>
        </w:rPr>
        <w:t xml:space="preserve">(1) חומרת העבירה. </w:t>
      </w:r>
    </w:p>
    <w:p w14:paraId="72EEEA41" w14:textId="0A215E55" w:rsidR="004E1DBC" w:rsidRDefault="004E1DBC" w:rsidP="004E1DBC">
      <w:pPr>
        <w:spacing w:line="360" w:lineRule="auto"/>
        <w:jc w:val="both"/>
        <w:rPr>
          <w:rFonts w:ascii="David" w:hAnsi="David" w:cs="David"/>
          <w:sz w:val="24"/>
          <w:szCs w:val="24"/>
          <w:rtl/>
        </w:rPr>
      </w:pPr>
      <w:r>
        <w:rPr>
          <w:rFonts w:ascii="David" w:hAnsi="David" w:cs="David" w:hint="cs"/>
          <w:sz w:val="24"/>
          <w:szCs w:val="24"/>
          <w:rtl/>
        </w:rPr>
        <w:t xml:space="preserve">(2) ריבוי אישומים. </w:t>
      </w:r>
    </w:p>
    <w:p w14:paraId="70748B0B" w14:textId="0E4AFB7D" w:rsidR="004E1DBC" w:rsidRDefault="004E1DBC" w:rsidP="004E1DBC">
      <w:pPr>
        <w:spacing w:line="360" w:lineRule="auto"/>
        <w:jc w:val="both"/>
        <w:rPr>
          <w:rFonts w:ascii="David" w:hAnsi="David" w:cs="David"/>
          <w:sz w:val="24"/>
          <w:szCs w:val="24"/>
          <w:rtl/>
        </w:rPr>
      </w:pPr>
      <w:r>
        <w:rPr>
          <w:rFonts w:ascii="David" w:hAnsi="David" w:cs="David" w:hint="cs"/>
          <w:sz w:val="24"/>
          <w:szCs w:val="24"/>
          <w:rtl/>
        </w:rPr>
        <w:t xml:space="preserve">(3) עבר פלילי ומהותו. </w:t>
      </w:r>
    </w:p>
    <w:p w14:paraId="79F09590" w14:textId="5AE94B54" w:rsidR="004E1DBC" w:rsidRDefault="004E1DBC" w:rsidP="004E1DBC">
      <w:pPr>
        <w:spacing w:line="360" w:lineRule="auto"/>
        <w:jc w:val="both"/>
        <w:rPr>
          <w:rFonts w:ascii="David" w:hAnsi="David" w:cs="David"/>
          <w:sz w:val="24"/>
          <w:szCs w:val="24"/>
          <w:rtl/>
        </w:rPr>
      </w:pPr>
      <w:r>
        <w:rPr>
          <w:rFonts w:ascii="David" w:hAnsi="David" w:cs="David" w:hint="cs"/>
          <w:sz w:val="24"/>
          <w:szCs w:val="24"/>
          <w:rtl/>
        </w:rPr>
        <w:t xml:space="preserve">(4) עמדת המתלונן בעבירות אלימות במשפחה, חשש ממשי של המתלוננת לחייה. </w:t>
      </w:r>
    </w:p>
    <w:p w14:paraId="509398EA" w14:textId="7478D1D7" w:rsidR="004E1DBC" w:rsidRDefault="004E1DBC" w:rsidP="004E1DBC">
      <w:pPr>
        <w:spacing w:line="360" w:lineRule="auto"/>
        <w:jc w:val="both"/>
        <w:rPr>
          <w:rFonts w:ascii="David" w:hAnsi="David" w:cs="David"/>
          <w:sz w:val="24"/>
          <w:szCs w:val="24"/>
          <w:rtl/>
        </w:rPr>
      </w:pPr>
      <w:r>
        <w:rPr>
          <w:rFonts w:ascii="David" w:hAnsi="David" w:cs="David" w:hint="cs"/>
          <w:sz w:val="24"/>
          <w:szCs w:val="24"/>
          <w:rtl/>
        </w:rPr>
        <w:t>(5</w:t>
      </w:r>
      <w:r w:rsidR="005379BD">
        <w:rPr>
          <w:rFonts w:ascii="David" w:hAnsi="David" w:cs="David" w:hint="cs"/>
          <w:sz w:val="24"/>
          <w:szCs w:val="24"/>
          <w:rtl/>
        </w:rPr>
        <w:t xml:space="preserve">) תסקיר שירות מבחן. </w:t>
      </w:r>
    </w:p>
    <w:p w14:paraId="41FF9BE7" w14:textId="35004BA3" w:rsidR="005379BD" w:rsidRDefault="005379BD" w:rsidP="004E1DBC">
      <w:pPr>
        <w:spacing w:line="360" w:lineRule="auto"/>
        <w:jc w:val="both"/>
        <w:rPr>
          <w:rFonts w:ascii="David" w:hAnsi="David" w:cs="David"/>
          <w:sz w:val="24"/>
          <w:szCs w:val="24"/>
          <w:rtl/>
        </w:rPr>
      </w:pPr>
      <w:r>
        <w:rPr>
          <w:rFonts w:ascii="David" w:hAnsi="David" w:cs="David" w:hint="cs"/>
          <w:sz w:val="24"/>
          <w:szCs w:val="24"/>
          <w:rtl/>
        </w:rPr>
        <w:t xml:space="preserve">(6) התרשמות בית המשפט מהנאשם עצמו. </w:t>
      </w:r>
    </w:p>
    <w:p w14:paraId="45C414ED" w14:textId="5FECE389" w:rsidR="005379BD" w:rsidRDefault="005379BD" w:rsidP="004E1DBC">
      <w:pPr>
        <w:spacing w:line="360" w:lineRule="auto"/>
        <w:jc w:val="both"/>
        <w:rPr>
          <w:rFonts w:ascii="David" w:hAnsi="David" w:cs="David"/>
          <w:sz w:val="24"/>
          <w:szCs w:val="24"/>
          <w:rtl/>
        </w:rPr>
      </w:pPr>
      <w:r>
        <w:rPr>
          <w:rFonts w:ascii="David" w:hAnsi="David" w:cs="David" w:hint="cs"/>
          <w:sz w:val="24"/>
          <w:szCs w:val="24"/>
          <w:rtl/>
        </w:rPr>
        <w:t xml:space="preserve">(7) טיב החלופה והמפקחים. </w:t>
      </w:r>
    </w:p>
    <w:p w14:paraId="7C98C655" w14:textId="5DBB7580" w:rsidR="005379BD" w:rsidRDefault="005379BD" w:rsidP="004E1DBC">
      <w:pPr>
        <w:spacing w:line="360" w:lineRule="auto"/>
        <w:jc w:val="both"/>
        <w:rPr>
          <w:rFonts w:ascii="David" w:hAnsi="David" w:cs="David"/>
          <w:sz w:val="24"/>
          <w:szCs w:val="24"/>
          <w:rtl/>
        </w:rPr>
      </w:pPr>
      <w:r>
        <w:rPr>
          <w:rFonts w:ascii="David" w:hAnsi="David" w:cs="David" w:hint="cs"/>
          <w:sz w:val="24"/>
          <w:szCs w:val="24"/>
          <w:rtl/>
        </w:rPr>
        <w:t xml:space="preserve">(8) שיקולים נוספים שיכולים לעלות (מדובר "ברשימה פתוחה"). </w:t>
      </w:r>
    </w:p>
    <w:p w14:paraId="21396927" w14:textId="4FCB299C" w:rsidR="00090E02" w:rsidRDefault="00090E02" w:rsidP="004E1DBC">
      <w:pPr>
        <w:spacing w:line="360" w:lineRule="auto"/>
        <w:jc w:val="both"/>
        <w:rPr>
          <w:rFonts w:ascii="David" w:hAnsi="David" w:cs="David"/>
          <w:sz w:val="24"/>
          <w:szCs w:val="24"/>
          <w:rtl/>
        </w:rPr>
      </w:pPr>
      <w:r>
        <w:rPr>
          <w:rFonts w:ascii="David" w:hAnsi="David" w:cs="David" w:hint="cs"/>
          <w:sz w:val="24"/>
          <w:szCs w:val="24"/>
          <w:rtl/>
        </w:rPr>
        <w:t>(9) חלופה טיפולית, חלופת מעצר בדמוי גמילה</w:t>
      </w:r>
      <w:r w:rsidR="00B164B3">
        <w:rPr>
          <w:rFonts w:ascii="David" w:hAnsi="David" w:cs="David" w:hint="cs"/>
          <w:sz w:val="24"/>
          <w:szCs w:val="24"/>
          <w:rtl/>
        </w:rPr>
        <w:t xml:space="preserve">/קהילה טיפולית. </w:t>
      </w:r>
    </w:p>
    <w:p w14:paraId="13D2E913" w14:textId="6D7E616D" w:rsidR="00B164B3" w:rsidRDefault="00B164B3" w:rsidP="00B164B3">
      <w:pPr>
        <w:spacing w:line="360" w:lineRule="auto"/>
        <w:jc w:val="both"/>
        <w:rPr>
          <w:rFonts w:ascii="David" w:hAnsi="David" w:cs="David"/>
          <w:sz w:val="24"/>
          <w:szCs w:val="24"/>
          <w:rtl/>
        </w:rPr>
      </w:pPr>
      <w:r w:rsidRPr="00B164B3">
        <w:rPr>
          <w:rFonts w:ascii="David" w:hAnsi="David" w:cs="David"/>
          <w:b/>
          <w:bCs/>
          <w:sz w:val="24"/>
          <w:szCs w:val="24"/>
          <w:rtl/>
        </w:rPr>
        <w:t>בש"פ 1981/11 מדינת ישראל נ' אשר סויסה</w:t>
      </w:r>
      <w:r w:rsidRPr="00B164B3">
        <w:rPr>
          <w:rFonts w:ascii="David" w:hAnsi="David" w:cs="David" w:hint="cs"/>
          <w:b/>
          <w:bCs/>
          <w:sz w:val="24"/>
          <w:szCs w:val="24"/>
          <w:rtl/>
        </w:rPr>
        <w:t>:</w:t>
      </w:r>
      <w:r>
        <w:rPr>
          <w:rFonts w:ascii="David" w:hAnsi="David" w:cs="David" w:hint="cs"/>
          <w:sz w:val="24"/>
          <w:szCs w:val="24"/>
          <w:rtl/>
        </w:rPr>
        <w:t xml:space="preserve"> ערעור על החלטת בית המשפט המחוזי </w:t>
      </w:r>
      <w:r w:rsidR="00C13760">
        <w:rPr>
          <w:rFonts w:ascii="David" w:hAnsi="David" w:cs="David" w:hint="cs"/>
          <w:sz w:val="24"/>
          <w:szCs w:val="24"/>
          <w:rtl/>
        </w:rPr>
        <w:t xml:space="preserve">אשר הורה בניגוד להמלצת שירות המבחן, על שחרור המשיב לחלופת מעצר בקהילה טיפולית. במסגרת הדיון בחן בית המשפט, אם, מתי ובאילו תנאים ישלח בית המשפט נאשם לחלופת מעצר בדמות טיפול גמילה מסמים. </w:t>
      </w:r>
      <w:r w:rsidR="00AF1EEB">
        <w:rPr>
          <w:rFonts w:ascii="David" w:hAnsi="David" w:cs="David" w:hint="cs"/>
          <w:sz w:val="24"/>
          <w:szCs w:val="24"/>
          <w:rtl/>
        </w:rPr>
        <w:t>בית המשפט קבע</w:t>
      </w:r>
      <w:r w:rsidR="0024429A">
        <w:rPr>
          <w:rFonts w:ascii="David" w:hAnsi="David" w:cs="David" w:hint="cs"/>
          <w:sz w:val="24"/>
          <w:szCs w:val="24"/>
          <w:rtl/>
        </w:rPr>
        <w:t xml:space="preserve"> רשימה לא סגורה של</w:t>
      </w:r>
      <w:r w:rsidR="00AF1EEB">
        <w:rPr>
          <w:rFonts w:ascii="David" w:hAnsi="David" w:cs="David" w:hint="cs"/>
          <w:sz w:val="24"/>
          <w:szCs w:val="24"/>
          <w:rtl/>
        </w:rPr>
        <w:t xml:space="preserve"> </w:t>
      </w:r>
      <w:r w:rsidR="007822B4">
        <w:rPr>
          <w:rFonts w:ascii="David" w:hAnsi="David" w:cs="David" w:hint="cs"/>
          <w:sz w:val="24"/>
          <w:szCs w:val="24"/>
          <w:rtl/>
        </w:rPr>
        <w:t>10</w:t>
      </w:r>
      <w:r w:rsidR="00AF1EEB">
        <w:rPr>
          <w:rFonts w:ascii="David" w:hAnsi="David" w:cs="David" w:hint="cs"/>
          <w:sz w:val="24"/>
          <w:szCs w:val="24"/>
          <w:rtl/>
        </w:rPr>
        <w:t xml:space="preserve"> </w:t>
      </w:r>
      <w:r w:rsidR="00876EB0">
        <w:rPr>
          <w:rFonts w:ascii="David" w:hAnsi="David" w:cs="David" w:hint="cs"/>
          <w:sz w:val="24"/>
          <w:szCs w:val="24"/>
          <w:rtl/>
        </w:rPr>
        <w:t>תנאים לקביעת חלופת מעצר זו</w:t>
      </w:r>
      <w:r w:rsidR="0024429A">
        <w:rPr>
          <w:rFonts w:ascii="David" w:hAnsi="David" w:cs="David" w:hint="cs"/>
          <w:sz w:val="24"/>
          <w:szCs w:val="24"/>
          <w:rtl/>
        </w:rPr>
        <w:t>, אשר ייבחנו בכל מקרה לפי נסיבותיו</w:t>
      </w:r>
      <w:r w:rsidR="00876EB0">
        <w:rPr>
          <w:rFonts w:ascii="David" w:hAnsi="David" w:cs="David" w:hint="cs"/>
          <w:sz w:val="24"/>
          <w:szCs w:val="24"/>
          <w:rtl/>
        </w:rPr>
        <w:t xml:space="preserve">: </w:t>
      </w:r>
    </w:p>
    <w:p w14:paraId="5A705B64" w14:textId="3C1C3876" w:rsidR="00876EB0" w:rsidRDefault="00876EB0" w:rsidP="00B164B3">
      <w:pPr>
        <w:spacing w:line="360" w:lineRule="auto"/>
        <w:jc w:val="both"/>
        <w:rPr>
          <w:rFonts w:ascii="David" w:hAnsi="David" w:cs="David"/>
          <w:sz w:val="24"/>
          <w:szCs w:val="24"/>
          <w:rtl/>
        </w:rPr>
      </w:pPr>
      <w:r>
        <w:rPr>
          <w:rFonts w:ascii="David" w:hAnsi="David" w:cs="David" w:hint="cs"/>
          <w:sz w:val="24"/>
          <w:szCs w:val="24"/>
          <w:rtl/>
        </w:rPr>
        <w:t xml:space="preserve">(1) </w:t>
      </w:r>
      <w:r w:rsidR="003F622B">
        <w:rPr>
          <w:rFonts w:ascii="David" w:hAnsi="David" w:cs="David" w:hint="cs"/>
          <w:sz w:val="24"/>
          <w:szCs w:val="24"/>
          <w:rtl/>
        </w:rPr>
        <w:t xml:space="preserve">האם הנאשם החל בגמילה עוד לפני שביצע את העבירה שבגינה נעצר. </w:t>
      </w:r>
    </w:p>
    <w:p w14:paraId="4BE3FD74" w14:textId="004F9BFE" w:rsidR="003F622B" w:rsidRDefault="003F622B" w:rsidP="00B164B3">
      <w:pPr>
        <w:spacing w:line="360" w:lineRule="auto"/>
        <w:jc w:val="both"/>
        <w:rPr>
          <w:rFonts w:ascii="David" w:hAnsi="David" w:cs="David"/>
          <w:sz w:val="24"/>
          <w:szCs w:val="24"/>
          <w:rtl/>
        </w:rPr>
      </w:pPr>
      <w:r>
        <w:rPr>
          <w:rFonts w:ascii="David" w:hAnsi="David" w:cs="David" w:hint="cs"/>
          <w:sz w:val="24"/>
          <w:szCs w:val="24"/>
          <w:rtl/>
        </w:rPr>
        <w:t xml:space="preserve">(2) סיכויי הצלחת הטיפול </w:t>
      </w:r>
      <w:r>
        <w:rPr>
          <w:rFonts w:ascii="David" w:hAnsi="David" w:cs="David"/>
          <w:sz w:val="24"/>
          <w:szCs w:val="24"/>
          <w:rtl/>
        </w:rPr>
        <w:t>–</w:t>
      </w:r>
      <w:r>
        <w:rPr>
          <w:rFonts w:ascii="David" w:hAnsi="David" w:cs="David" w:hint="cs"/>
          <w:sz w:val="24"/>
          <w:szCs w:val="24"/>
          <w:rtl/>
        </w:rPr>
        <w:t xml:space="preserve"> מידת התאמתו ומוכנותו של הנאשם לטיפול הגמילה. </w:t>
      </w:r>
    </w:p>
    <w:p w14:paraId="2DB8AA38" w14:textId="37191E93" w:rsidR="003F622B" w:rsidRDefault="003F622B" w:rsidP="00B164B3">
      <w:pPr>
        <w:spacing w:line="360" w:lineRule="auto"/>
        <w:jc w:val="both"/>
        <w:rPr>
          <w:rFonts w:ascii="David" w:hAnsi="David" w:cs="David"/>
          <w:sz w:val="24"/>
          <w:szCs w:val="24"/>
          <w:rtl/>
        </w:rPr>
      </w:pPr>
      <w:r>
        <w:rPr>
          <w:rFonts w:ascii="David" w:hAnsi="David" w:cs="David" w:hint="cs"/>
          <w:sz w:val="24"/>
          <w:szCs w:val="24"/>
          <w:rtl/>
        </w:rPr>
        <w:t xml:space="preserve">(3) גילו של הנאשם והזדמנויות הגמילה שניתנו לו בעבר. </w:t>
      </w:r>
    </w:p>
    <w:p w14:paraId="515A45F9" w14:textId="219E83EC" w:rsidR="003F622B" w:rsidRDefault="003F622B" w:rsidP="00B164B3">
      <w:pPr>
        <w:spacing w:line="360" w:lineRule="auto"/>
        <w:jc w:val="both"/>
        <w:rPr>
          <w:rFonts w:ascii="David" w:hAnsi="David" w:cs="David"/>
          <w:sz w:val="24"/>
          <w:szCs w:val="24"/>
          <w:rtl/>
        </w:rPr>
      </w:pPr>
      <w:r>
        <w:rPr>
          <w:rFonts w:ascii="David" w:hAnsi="David" w:cs="David" w:hint="cs"/>
          <w:sz w:val="24"/>
          <w:szCs w:val="24"/>
          <w:rtl/>
        </w:rPr>
        <w:t>(4) האם יש בחלופת הגמילה כדי לאיין או להקהות את עילת המעצר, אם של חשש לשיבוש הליכי משפט ואם של מסוכנות לציבור</w:t>
      </w:r>
      <w:r w:rsidR="001F12EF">
        <w:rPr>
          <w:rFonts w:ascii="David" w:hAnsi="David" w:cs="David" w:hint="cs"/>
          <w:sz w:val="24"/>
          <w:szCs w:val="24"/>
          <w:rtl/>
        </w:rPr>
        <w:t xml:space="preserve"> (מוסד גמילה רחוק מלהיות חלופה הרמטית). </w:t>
      </w:r>
    </w:p>
    <w:p w14:paraId="4839E5E8" w14:textId="5CFB18E1" w:rsidR="001F12EF" w:rsidRDefault="001F12EF" w:rsidP="00B164B3">
      <w:pPr>
        <w:spacing w:line="360" w:lineRule="auto"/>
        <w:jc w:val="both"/>
        <w:rPr>
          <w:rFonts w:ascii="David" w:hAnsi="David" w:cs="David"/>
          <w:sz w:val="24"/>
          <w:szCs w:val="24"/>
          <w:rtl/>
        </w:rPr>
      </w:pPr>
      <w:r>
        <w:rPr>
          <w:rFonts w:ascii="David" w:hAnsi="David" w:cs="David" w:hint="cs"/>
          <w:sz w:val="24"/>
          <w:szCs w:val="24"/>
          <w:rtl/>
        </w:rPr>
        <w:t xml:space="preserve">(5) סוג העבירות המיוחסות לנאשם. ככל שהעבירה ונסיבותיה חמורות יותר, כך מצטמצם כוחו של החריג. </w:t>
      </w:r>
    </w:p>
    <w:p w14:paraId="326556EA" w14:textId="3D4B3996" w:rsidR="001F12EF" w:rsidRDefault="001F12EF" w:rsidP="00B164B3">
      <w:pPr>
        <w:spacing w:line="360" w:lineRule="auto"/>
        <w:jc w:val="both"/>
        <w:rPr>
          <w:rFonts w:ascii="David" w:hAnsi="David" w:cs="David"/>
          <w:sz w:val="24"/>
          <w:szCs w:val="24"/>
          <w:rtl/>
        </w:rPr>
      </w:pPr>
      <w:r>
        <w:rPr>
          <w:rFonts w:ascii="David" w:hAnsi="David" w:cs="David" w:hint="cs"/>
          <w:sz w:val="24"/>
          <w:szCs w:val="24"/>
          <w:rtl/>
        </w:rPr>
        <w:t>(6) עברו הפלילי של הנאשם</w:t>
      </w:r>
      <w:r w:rsidR="00D31377">
        <w:rPr>
          <w:rFonts w:ascii="David" w:hAnsi="David" w:cs="David" w:hint="cs"/>
          <w:sz w:val="24"/>
          <w:szCs w:val="24"/>
          <w:rtl/>
        </w:rPr>
        <w:t xml:space="preserve"> </w:t>
      </w:r>
      <w:r w:rsidR="00D31377">
        <w:rPr>
          <w:rFonts w:ascii="David" w:hAnsi="David" w:cs="David"/>
          <w:sz w:val="24"/>
          <w:szCs w:val="24"/>
          <w:rtl/>
        </w:rPr>
        <w:t>–</w:t>
      </w:r>
      <w:r w:rsidR="00D31377">
        <w:rPr>
          <w:rFonts w:ascii="David" w:hAnsi="David" w:cs="David" w:hint="cs"/>
          <w:sz w:val="24"/>
          <w:szCs w:val="24"/>
          <w:rtl/>
        </w:rPr>
        <w:t xml:space="preserve"> האם ניתן להקהות מסוכנותו של הנאשם בחלופת הגמילה והאם ניתן לתת בו אמו</w:t>
      </w:r>
      <w:r w:rsidR="00A47A25">
        <w:rPr>
          <w:rFonts w:ascii="David" w:hAnsi="David" w:cs="David" w:hint="cs"/>
          <w:sz w:val="24"/>
          <w:szCs w:val="24"/>
          <w:rtl/>
        </w:rPr>
        <w:t xml:space="preserve">ן. </w:t>
      </w:r>
      <w:r w:rsidR="00D31377">
        <w:rPr>
          <w:rFonts w:ascii="David" w:hAnsi="David" w:cs="David" w:hint="cs"/>
          <w:sz w:val="24"/>
          <w:szCs w:val="24"/>
          <w:rtl/>
        </w:rPr>
        <w:t xml:space="preserve"> </w:t>
      </w:r>
    </w:p>
    <w:p w14:paraId="6FA60156" w14:textId="6AFCE9DF" w:rsidR="00D31377" w:rsidRDefault="00D31377" w:rsidP="00B164B3">
      <w:pPr>
        <w:spacing w:line="360" w:lineRule="auto"/>
        <w:jc w:val="both"/>
        <w:rPr>
          <w:rFonts w:ascii="David" w:hAnsi="David" w:cs="David"/>
          <w:sz w:val="24"/>
          <w:szCs w:val="24"/>
          <w:rtl/>
        </w:rPr>
      </w:pPr>
      <w:r>
        <w:rPr>
          <w:rFonts w:ascii="David" w:hAnsi="David" w:cs="David" w:hint="cs"/>
          <w:sz w:val="24"/>
          <w:szCs w:val="24"/>
          <w:rtl/>
        </w:rPr>
        <w:t>(7) השלב בו נמצא התיק העיקרי והזמן שנותר עד לסיומו</w:t>
      </w:r>
      <w:r w:rsidR="00824D2D">
        <w:rPr>
          <w:rFonts w:ascii="David" w:hAnsi="David" w:cs="David" w:hint="cs"/>
          <w:sz w:val="24"/>
          <w:szCs w:val="24"/>
          <w:rtl/>
        </w:rPr>
        <w:t xml:space="preserve"> (שהרי הגמילה משפיעה על שיקול דעתו של המותב בתיק העיקרי בעת גזירת הדין). </w:t>
      </w:r>
    </w:p>
    <w:p w14:paraId="6B978051" w14:textId="6E510AE5" w:rsidR="00824D2D" w:rsidRDefault="00824D2D" w:rsidP="00B164B3">
      <w:pPr>
        <w:spacing w:line="360" w:lineRule="auto"/>
        <w:jc w:val="both"/>
        <w:rPr>
          <w:rFonts w:ascii="David" w:hAnsi="David" w:cs="David"/>
          <w:sz w:val="24"/>
          <w:szCs w:val="24"/>
          <w:rtl/>
        </w:rPr>
      </w:pPr>
      <w:r>
        <w:rPr>
          <w:rFonts w:ascii="David" w:hAnsi="David" w:cs="David" w:hint="cs"/>
          <w:sz w:val="24"/>
          <w:szCs w:val="24"/>
          <w:rtl/>
        </w:rPr>
        <w:t>(8) גזר הדין הצפוי לנאשם אם יורשע. אם יש חשש לעונש של מאסר בפועל והאם במקרה כאמור יש חשש כי המאסר בפועל יוריד לטמיון את הליך הגמילה המוצלח או שמא אין בכך חשש ולכל היותר נאשם יכנס לריצוי מאסרו כאשר הוא "נקי מסמים"</w:t>
      </w:r>
      <w:r w:rsidR="00FA0DE0">
        <w:rPr>
          <w:rFonts w:ascii="David" w:hAnsi="David" w:cs="David" w:hint="cs"/>
          <w:sz w:val="24"/>
          <w:szCs w:val="24"/>
          <w:rtl/>
        </w:rPr>
        <w:t xml:space="preserve">. שיקול זה נשקל יחד עם החשש לשיבוש הליכי המשפט והימלטות הנאשם מהדין. </w:t>
      </w:r>
    </w:p>
    <w:p w14:paraId="69581B3B" w14:textId="7237CFEF" w:rsidR="00FA0DE0" w:rsidRDefault="00FA0DE0" w:rsidP="00B164B3">
      <w:pPr>
        <w:spacing w:line="360" w:lineRule="auto"/>
        <w:jc w:val="both"/>
        <w:rPr>
          <w:rFonts w:ascii="David" w:hAnsi="David" w:cs="David"/>
          <w:sz w:val="24"/>
          <w:szCs w:val="24"/>
          <w:rtl/>
        </w:rPr>
      </w:pPr>
      <w:r>
        <w:rPr>
          <w:rFonts w:ascii="David" w:hAnsi="David" w:cs="David" w:hint="cs"/>
          <w:sz w:val="24"/>
          <w:szCs w:val="24"/>
          <w:rtl/>
        </w:rPr>
        <w:t xml:space="preserve">(9) נכונות מוסד מתאים לקלוט את הנאשם. </w:t>
      </w:r>
    </w:p>
    <w:p w14:paraId="5767DE98" w14:textId="550CF3D6" w:rsidR="007822B4" w:rsidRDefault="007822B4" w:rsidP="00B164B3">
      <w:pPr>
        <w:spacing w:line="360" w:lineRule="auto"/>
        <w:jc w:val="both"/>
        <w:rPr>
          <w:rFonts w:ascii="David" w:hAnsi="David" w:cs="David"/>
          <w:sz w:val="24"/>
          <w:szCs w:val="24"/>
          <w:rtl/>
        </w:rPr>
      </w:pPr>
      <w:r>
        <w:rPr>
          <w:rFonts w:ascii="David" w:hAnsi="David" w:cs="David" w:hint="cs"/>
          <w:sz w:val="24"/>
          <w:szCs w:val="24"/>
          <w:rtl/>
        </w:rPr>
        <w:t xml:space="preserve">(10) במצבים של ערר </w:t>
      </w:r>
      <w:r>
        <w:rPr>
          <w:rFonts w:ascii="David" w:hAnsi="David" w:cs="David"/>
          <w:sz w:val="24"/>
          <w:szCs w:val="24"/>
          <w:rtl/>
        </w:rPr>
        <w:t>–</w:t>
      </w:r>
      <w:r>
        <w:rPr>
          <w:rFonts w:ascii="David" w:hAnsi="David" w:cs="David" w:hint="cs"/>
          <w:sz w:val="24"/>
          <w:szCs w:val="24"/>
          <w:rtl/>
        </w:rPr>
        <w:t xml:space="preserve"> אם ניתנה כבר חלופת מעצר זו ועלה ערר, יש לשקול לראות בה "כמעשה עשוי" מתוך הציפיה שפיתח הנאשם על סמך החלטת שופט המעצרים. </w:t>
      </w:r>
    </w:p>
    <w:p w14:paraId="35CBD717" w14:textId="53F46620" w:rsidR="007E2DE2" w:rsidRDefault="007E2DE2" w:rsidP="00B164B3">
      <w:pPr>
        <w:spacing w:line="360" w:lineRule="auto"/>
        <w:jc w:val="both"/>
        <w:rPr>
          <w:rFonts w:ascii="David" w:hAnsi="David" w:cs="David"/>
          <w:sz w:val="24"/>
          <w:szCs w:val="24"/>
          <w:rtl/>
        </w:rPr>
      </w:pPr>
      <w:r>
        <w:rPr>
          <w:rFonts w:ascii="David" w:hAnsi="David" w:cs="David" w:hint="cs"/>
          <w:sz w:val="24"/>
          <w:szCs w:val="24"/>
          <w:rtl/>
        </w:rPr>
        <w:t>ההשגה על ההחלטה תהה מכוח סעיף 52 לחוק המעצרים</w:t>
      </w:r>
      <w:r w:rsidR="008F6CF8">
        <w:rPr>
          <w:rFonts w:ascii="David" w:hAnsi="David" w:cs="David" w:hint="cs"/>
          <w:sz w:val="24"/>
          <w:szCs w:val="24"/>
          <w:rtl/>
        </w:rPr>
        <w:t xml:space="preserve"> </w:t>
      </w:r>
      <w:r w:rsidR="008F6CF8">
        <w:rPr>
          <w:rFonts w:ascii="David" w:hAnsi="David" w:cs="David"/>
          <w:sz w:val="24"/>
          <w:szCs w:val="24"/>
          <w:rtl/>
        </w:rPr>
        <w:t>–</w:t>
      </w:r>
      <w:r w:rsidR="008F6CF8">
        <w:rPr>
          <w:rFonts w:ascii="David" w:hAnsi="David" w:cs="David" w:hint="cs"/>
          <w:sz w:val="24"/>
          <w:szCs w:val="24"/>
          <w:rtl/>
        </w:rPr>
        <w:t xml:space="preserve"> ניתן לפנות אל בית המשפט בבקשה לעיון חוזר על החלטת המעצר או השחרור, כאשר מתקי</w:t>
      </w:r>
      <w:r w:rsidR="00490BD5">
        <w:rPr>
          <w:rFonts w:ascii="David" w:hAnsi="David" w:cs="David" w:hint="cs"/>
          <w:sz w:val="24"/>
          <w:szCs w:val="24"/>
          <w:rtl/>
        </w:rPr>
        <w:t xml:space="preserve">ים אחד מהתנאים הבאים: עובדות חדשות, חלף זמן ניכר ושינוי נסיבות המעצר. </w:t>
      </w:r>
    </w:p>
    <w:p w14:paraId="1A78C40B" w14:textId="62E00CEE" w:rsidR="0017084B" w:rsidRPr="006F6B4D" w:rsidRDefault="00490BD5" w:rsidP="006F6B4D">
      <w:pPr>
        <w:spacing w:line="360" w:lineRule="auto"/>
        <w:jc w:val="both"/>
        <w:rPr>
          <w:rFonts w:ascii="David" w:hAnsi="David" w:cs="David"/>
          <w:sz w:val="24"/>
          <w:szCs w:val="24"/>
          <w:rtl/>
        </w:rPr>
      </w:pPr>
      <w:r>
        <w:rPr>
          <w:rFonts w:ascii="David" w:hAnsi="David" w:cs="David" w:hint="cs"/>
          <w:sz w:val="24"/>
          <w:szCs w:val="24"/>
          <w:rtl/>
        </w:rPr>
        <w:t xml:space="preserve">בנוסף קיימת אפשרות לערר מכוח סעיף 53 לחוק המעצרים, על ידי הגשת בקשת מעצר מהתביעה או הסנגוריה לבית משפט בערכאה גבוהה יותר, תוך 30 ימים מקבלת ההחלטה. </w:t>
      </w:r>
    </w:p>
    <w:p w14:paraId="3F981B0A" w14:textId="485CE1B9" w:rsidR="0017084B" w:rsidRDefault="006F6B4D" w:rsidP="006F6B4D">
      <w:pPr>
        <w:spacing w:line="360" w:lineRule="auto"/>
        <w:jc w:val="center"/>
        <w:rPr>
          <w:rFonts w:ascii="David" w:hAnsi="David" w:cs="David"/>
          <w:b/>
          <w:bCs/>
          <w:sz w:val="24"/>
          <w:szCs w:val="24"/>
          <w:rtl/>
        </w:rPr>
      </w:pPr>
      <w:r w:rsidRPr="007B4AD7">
        <w:rPr>
          <w:rFonts w:ascii="David" w:hAnsi="David" w:cs="David"/>
          <w:b/>
          <w:bCs/>
          <w:noProof/>
          <w:sz w:val="24"/>
          <w:szCs w:val="24"/>
          <w:rtl/>
        </w:rPr>
        <w:drawing>
          <wp:anchor distT="0" distB="0" distL="114300" distR="114300" simplePos="0" relativeHeight="251667456" behindDoc="0" locked="0" layoutInCell="1" allowOverlap="1" wp14:anchorId="34361DF1" wp14:editId="36A5BA6E">
            <wp:simplePos x="0" y="0"/>
            <wp:positionH relativeFrom="column">
              <wp:posOffset>132538</wp:posOffset>
            </wp:positionH>
            <wp:positionV relativeFrom="paragraph">
              <wp:posOffset>220655</wp:posOffset>
            </wp:positionV>
            <wp:extent cx="4369982" cy="3829653"/>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69982" cy="3829653"/>
                    </a:xfrm>
                    <a:prstGeom prst="rect">
                      <a:avLst/>
                    </a:prstGeom>
                  </pic:spPr>
                </pic:pic>
              </a:graphicData>
            </a:graphic>
            <wp14:sizeRelH relativeFrom="margin">
              <wp14:pctWidth>0</wp14:pctWidth>
            </wp14:sizeRelH>
            <wp14:sizeRelV relativeFrom="margin">
              <wp14:pctHeight>0</wp14:pctHeight>
            </wp14:sizeRelV>
          </wp:anchor>
        </w:drawing>
      </w:r>
      <w:r>
        <w:rPr>
          <w:rFonts w:ascii="David" w:hAnsi="David" w:cs="David" w:hint="cs"/>
          <w:sz w:val="24"/>
          <w:szCs w:val="24"/>
          <w:u w:val="single"/>
          <w:shd w:val="clear" w:color="auto" w:fill="D0DDFC"/>
          <w:rtl/>
        </w:rPr>
        <w:t>שלבי ההליך המשפטי</w:t>
      </w:r>
      <w:r w:rsidRPr="00535BBA">
        <w:rPr>
          <w:rFonts w:ascii="David" w:hAnsi="David" w:cs="David" w:hint="cs"/>
          <w:sz w:val="24"/>
          <w:szCs w:val="24"/>
          <w:u w:val="single"/>
          <w:shd w:val="clear" w:color="auto" w:fill="D0DDFC"/>
          <w:rtl/>
        </w:rPr>
        <w:t>:</w:t>
      </w:r>
    </w:p>
    <w:p w14:paraId="49523702" w14:textId="6897142E" w:rsidR="0017084B" w:rsidRDefault="0017084B" w:rsidP="0017084B">
      <w:pPr>
        <w:spacing w:line="360" w:lineRule="auto"/>
        <w:jc w:val="both"/>
        <w:rPr>
          <w:rFonts w:ascii="David" w:hAnsi="David" w:cs="David"/>
          <w:b/>
          <w:bCs/>
          <w:sz w:val="24"/>
          <w:szCs w:val="24"/>
          <w:rtl/>
        </w:rPr>
      </w:pPr>
    </w:p>
    <w:p w14:paraId="72152289" w14:textId="77777777" w:rsidR="0017084B" w:rsidRDefault="0017084B" w:rsidP="0017084B">
      <w:pPr>
        <w:spacing w:line="360" w:lineRule="auto"/>
        <w:jc w:val="both"/>
        <w:rPr>
          <w:rFonts w:ascii="David" w:hAnsi="David" w:cs="David"/>
          <w:b/>
          <w:bCs/>
          <w:sz w:val="24"/>
          <w:szCs w:val="24"/>
          <w:rtl/>
        </w:rPr>
      </w:pPr>
    </w:p>
    <w:p w14:paraId="2FDAE7AB" w14:textId="77777777" w:rsidR="0017084B" w:rsidRDefault="0017084B" w:rsidP="0017084B">
      <w:pPr>
        <w:spacing w:line="360" w:lineRule="auto"/>
        <w:jc w:val="both"/>
        <w:rPr>
          <w:rFonts w:ascii="David" w:hAnsi="David" w:cs="David"/>
          <w:b/>
          <w:bCs/>
          <w:sz w:val="24"/>
          <w:szCs w:val="24"/>
          <w:rtl/>
        </w:rPr>
      </w:pPr>
    </w:p>
    <w:p w14:paraId="7BF6555F" w14:textId="77777777" w:rsidR="0017084B" w:rsidRDefault="0017084B" w:rsidP="0017084B">
      <w:pPr>
        <w:spacing w:line="360" w:lineRule="auto"/>
        <w:jc w:val="both"/>
        <w:rPr>
          <w:rFonts w:ascii="David" w:hAnsi="David" w:cs="David"/>
          <w:b/>
          <w:bCs/>
          <w:sz w:val="24"/>
          <w:szCs w:val="24"/>
          <w:rtl/>
        </w:rPr>
      </w:pPr>
    </w:p>
    <w:p w14:paraId="7ED464FF" w14:textId="77777777" w:rsidR="007B4AD7" w:rsidRDefault="007B4AD7" w:rsidP="006822BB">
      <w:pPr>
        <w:spacing w:line="360" w:lineRule="auto"/>
        <w:jc w:val="both"/>
        <w:rPr>
          <w:rFonts w:ascii="David" w:hAnsi="David" w:cs="David"/>
          <w:b/>
          <w:bCs/>
          <w:sz w:val="24"/>
          <w:szCs w:val="24"/>
          <w:rtl/>
        </w:rPr>
      </w:pPr>
    </w:p>
    <w:p w14:paraId="135FA2EE" w14:textId="77777777" w:rsidR="007B4AD7" w:rsidRDefault="007B4AD7" w:rsidP="006822BB">
      <w:pPr>
        <w:spacing w:line="360" w:lineRule="auto"/>
        <w:jc w:val="both"/>
        <w:rPr>
          <w:rFonts w:ascii="David" w:hAnsi="David" w:cs="David"/>
          <w:b/>
          <w:bCs/>
          <w:sz w:val="24"/>
          <w:szCs w:val="24"/>
          <w:rtl/>
        </w:rPr>
      </w:pPr>
    </w:p>
    <w:p w14:paraId="597FD581" w14:textId="77777777" w:rsidR="007B4AD7" w:rsidRDefault="007B4AD7" w:rsidP="006822BB">
      <w:pPr>
        <w:spacing w:line="360" w:lineRule="auto"/>
        <w:jc w:val="both"/>
        <w:rPr>
          <w:rFonts w:ascii="David" w:hAnsi="David" w:cs="David"/>
          <w:b/>
          <w:bCs/>
          <w:sz w:val="24"/>
          <w:szCs w:val="24"/>
          <w:rtl/>
        </w:rPr>
      </w:pPr>
    </w:p>
    <w:p w14:paraId="4DAA99CB" w14:textId="77777777" w:rsidR="007B4AD7" w:rsidRDefault="007B4AD7" w:rsidP="006822BB">
      <w:pPr>
        <w:spacing w:line="360" w:lineRule="auto"/>
        <w:jc w:val="both"/>
        <w:rPr>
          <w:rFonts w:ascii="David" w:hAnsi="David" w:cs="David"/>
          <w:b/>
          <w:bCs/>
          <w:sz w:val="24"/>
          <w:szCs w:val="24"/>
          <w:rtl/>
        </w:rPr>
      </w:pPr>
    </w:p>
    <w:p w14:paraId="7D8D00CE" w14:textId="77777777" w:rsidR="007B4AD7" w:rsidRDefault="007B4AD7" w:rsidP="006822BB">
      <w:pPr>
        <w:spacing w:line="360" w:lineRule="auto"/>
        <w:jc w:val="both"/>
        <w:rPr>
          <w:rFonts w:ascii="David" w:hAnsi="David" w:cs="David"/>
          <w:b/>
          <w:bCs/>
          <w:sz w:val="24"/>
          <w:szCs w:val="24"/>
          <w:rtl/>
        </w:rPr>
      </w:pPr>
    </w:p>
    <w:p w14:paraId="2785CE8F" w14:textId="77777777" w:rsidR="007B4AD7" w:rsidRDefault="007B4AD7" w:rsidP="006822BB">
      <w:pPr>
        <w:spacing w:line="360" w:lineRule="auto"/>
        <w:jc w:val="both"/>
        <w:rPr>
          <w:rFonts w:ascii="David" w:hAnsi="David" w:cs="David"/>
          <w:b/>
          <w:bCs/>
          <w:sz w:val="24"/>
          <w:szCs w:val="24"/>
          <w:rtl/>
        </w:rPr>
      </w:pPr>
    </w:p>
    <w:p w14:paraId="0F1FCDA3" w14:textId="77777777" w:rsidR="007B4AD7" w:rsidRDefault="007B4AD7" w:rsidP="006822BB">
      <w:pPr>
        <w:spacing w:line="360" w:lineRule="auto"/>
        <w:jc w:val="both"/>
        <w:rPr>
          <w:rFonts w:ascii="David" w:hAnsi="David" w:cs="David"/>
          <w:b/>
          <w:bCs/>
          <w:sz w:val="24"/>
          <w:szCs w:val="24"/>
          <w:rtl/>
        </w:rPr>
      </w:pPr>
    </w:p>
    <w:p w14:paraId="2F177088" w14:textId="180ECB40" w:rsidR="009437DE" w:rsidRDefault="00D577EE" w:rsidP="006822BB">
      <w:pPr>
        <w:spacing w:line="360" w:lineRule="auto"/>
        <w:jc w:val="both"/>
        <w:rPr>
          <w:rFonts w:ascii="David" w:hAnsi="David" w:cs="David"/>
          <w:sz w:val="24"/>
          <w:szCs w:val="24"/>
          <w:rtl/>
        </w:rPr>
      </w:pPr>
      <w:r>
        <w:rPr>
          <w:rFonts w:ascii="David" w:hAnsi="David" w:cs="David" w:hint="cs"/>
          <w:b/>
          <w:bCs/>
          <w:sz w:val="24"/>
          <w:szCs w:val="24"/>
          <w:u w:val="single"/>
          <w:rtl/>
        </w:rPr>
        <w:t>לאחר הגשת כתב האישום לבית המשפט, עולות 2 סיטואציות:</w:t>
      </w:r>
    </w:p>
    <w:p w14:paraId="4493B07D" w14:textId="45CCA808" w:rsidR="004E3D48" w:rsidRPr="004E3D48" w:rsidRDefault="004E3D48" w:rsidP="004E3D48">
      <w:pPr>
        <w:spacing w:line="360" w:lineRule="auto"/>
        <w:jc w:val="both"/>
        <w:rPr>
          <w:rFonts w:ascii="David" w:hAnsi="David" w:cs="David"/>
          <w:sz w:val="24"/>
          <w:szCs w:val="24"/>
          <w:rtl/>
        </w:rPr>
      </w:pPr>
      <w:r>
        <w:rPr>
          <w:rFonts w:ascii="David" w:hAnsi="David" w:cs="David" w:hint="cs"/>
          <w:sz w:val="24"/>
          <w:szCs w:val="24"/>
          <w:u w:val="single"/>
          <w:rtl/>
        </w:rPr>
        <w:t>הנאשם הודה:</w:t>
      </w:r>
      <w:r>
        <w:rPr>
          <w:rFonts w:ascii="David" w:hAnsi="David" w:cs="David" w:hint="cs"/>
          <w:sz w:val="24"/>
          <w:szCs w:val="24"/>
          <w:rtl/>
        </w:rPr>
        <w:t xml:space="preserve"> הכרעת הדין תהה בהתאם להודיה ומכך השלב הבא יהיה הטיעונים לעונש וגזר הדין. </w:t>
      </w:r>
    </w:p>
    <w:p w14:paraId="05F093CA" w14:textId="627F3150" w:rsidR="00D577EE" w:rsidRPr="00D577EE" w:rsidRDefault="00D577EE" w:rsidP="006822BB">
      <w:pPr>
        <w:spacing w:line="360" w:lineRule="auto"/>
        <w:jc w:val="both"/>
        <w:rPr>
          <w:rFonts w:ascii="David" w:hAnsi="David" w:cs="David"/>
          <w:sz w:val="24"/>
          <w:szCs w:val="24"/>
          <w:rtl/>
        </w:rPr>
      </w:pPr>
      <w:r>
        <w:rPr>
          <w:rFonts w:ascii="David" w:hAnsi="David" w:cs="David" w:hint="cs"/>
          <w:sz w:val="24"/>
          <w:szCs w:val="24"/>
          <w:u w:val="single"/>
          <w:rtl/>
        </w:rPr>
        <w:t>הנאשם לא הודה:</w:t>
      </w:r>
      <w:r>
        <w:rPr>
          <w:rFonts w:ascii="David" w:hAnsi="David" w:cs="David" w:hint="cs"/>
          <w:sz w:val="24"/>
          <w:szCs w:val="24"/>
          <w:rtl/>
        </w:rPr>
        <w:t xml:space="preserve"> במצב זה לאחר הגשת כתב האישום והטענות המקדמיות, הדיון ממשיך לישיבת ההוכחות וחקירת העדים ולבסוף הכרעת הדין ובכך האם הנאשם מזוכה או מורשע. במידה ומורשע יעלו הטיעונים לעונש ולגזר הדין. </w:t>
      </w:r>
    </w:p>
    <w:p w14:paraId="6841E55C" w14:textId="5D058F51" w:rsidR="004E3D48" w:rsidRDefault="004E3D48" w:rsidP="006822BB">
      <w:pPr>
        <w:spacing w:line="360" w:lineRule="auto"/>
        <w:jc w:val="both"/>
        <w:rPr>
          <w:rFonts w:ascii="David" w:hAnsi="David" w:cs="David"/>
          <w:i/>
          <w:iCs/>
          <w:sz w:val="24"/>
          <w:szCs w:val="24"/>
          <w:rtl/>
        </w:rPr>
      </w:pPr>
      <w:r>
        <w:rPr>
          <w:rFonts w:ascii="David" w:hAnsi="David" w:cs="David" w:hint="cs"/>
          <w:b/>
          <w:bCs/>
          <w:sz w:val="24"/>
          <w:szCs w:val="24"/>
          <w:rtl/>
        </w:rPr>
        <w:t xml:space="preserve">טענות מקדמיות: </w:t>
      </w:r>
      <w:r w:rsidR="004B752C">
        <w:rPr>
          <w:rFonts w:ascii="David" w:hAnsi="David" w:cs="David" w:hint="cs"/>
          <w:sz w:val="24"/>
          <w:szCs w:val="24"/>
          <w:rtl/>
        </w:rPr>
        <w:t>טענות העולות מכוח סעיף 149 לחוק סדר הדין הפלילי:</w:t>
      </w:r>
    </w:p>
    <w:p w14:paraId="56FDE49E" w14:textId="51E202DC" w:rsidR="00EC28D0" w:rsidRDefault="00EC28D0" w:rsidP="00EC28D0">
      <w:pPr>
        <w:pStyle w:val="a7"/>
        <w:numPr>
          <w:ilvl w:val="0"/>
          <w:numId w:val="2"/>
        </w:numPr>
        <w:spacing w:line="360" w:lineRule="auto"/>
        <w:jc w:val="both"/>
        <w:rPr>
          <w:rFonts w:ascii="David" w:hAnsi="David" w:cs="David"/>
          <w:sz w:val="24"/>
          <w:szCs w:val="24"/>
        </w:rPr>
      </w:pPr>
      <w:r w:rsidRPr="00EC28D0">
        <w:rPr>
          <w:rFonts w:ascii="David" w:hAnsi="David" w:cs="David" w:hint="cs"/>
          <w:sz w:val="24"/>
          <w:szCs w:val="24"/>
          <w:rtl/>
        </w:rPr>
        <w:t xml:space="preserve">חוסר </w:t>
      </w:r>
      <w:r>
        <w:rPr>
          <w:rFonts w:ascii="David" w:hAnsi="David" w:cs="David" w:hint="cs"/>
          <w:sz w:val="24"/>
          <w:szCs w:val="24"/>
          <w:rtl/>
        </w:rPr>
        <w:t xml:space="preserve">סמכות מקומית. </w:t>
      </w:r>
    </w:p>
    <w:p w14:paraId="6D521788" w14:textId="1452021D" w:rsidR="00EC28D0" w:rsidRDefault="00EC28D0"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חוסר סמכות עניינית. </w:t>
      </w:r>
    </w:p>
    <w:p w14:paraId="0C26F61A" w14:textId="77777777" w:rsidR="00EC28D0" w:rsidRDefault="00EC28D0"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פגם או פסול בכתב האישום.</w:t>
      </w:r>
    </w:p>
    <w:p w14:paraId="781712E6" w14:textId="77777777" w:rsidR="00003CAE"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העובדות המתוארות בכתב האישום אין מהוות עבירה. </w:t>
      </w:r>
    </w:p>
    <w:p w14:paraId="68120F7B" w14:textId="77777777" w:rsidR="00003CAE"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זיכוי קודם או הרשעה קודמת בשל המעשה נושא כתב האישום. </w:t>
      </w:r>
    </w:p>
    <w:p w14:paraId="74CD5F4E" w14:textId="3A43B3EC" w:rsidR="00EC28D0"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משפט פלילי אחר תלוי ועומד נגד הנאשם בשל המעשה נושא כתב האישום. </w:t>
      </w:r>
      <w:r w:rsidR="00EC28D0">
        <w:rPr>
          <w:rFonts w:ascii="David" w:hAnsi="David" w:cs="David" w:hint="cs"/>
          <w:sz w:val="24"/>
          <w:szCs w:val="24"/>
          <w:rtl/>
        </w:rPr>
        <w:t xml:space="preserve"> </w:t>
      </w:r>
    </w:p>
    <w:p w14:paraId="692B3593" w14:textId="73822FBB" w:rsidR="00003CAE"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חסינות. </w:t>
      </w:r>
    </w:p>
    <w:p w14:paraId="6ADED277" w14:textId="5E3F8533" w:rsidR="00003CAE"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התיישנות.</w:t>
      </w:r>
    </w:p>
    <w:p w14:paraId="1CAD16AF" w14:textId="53208846" w:rsidR="00003CAE"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חנינה. </w:t>
      </w:r>
    </w:p>
    <w:p w14:paraId="2C5CF57F" w14:textId="64D9E0F8" w:rsidR="00003CAE" w:rsidRDefault="00003CAE" w:rsidP="00EC28D0">
      <w:pPr>
        <w:pStyle w:val="a7"/>
        <w:numPr>
          <w:ilvl w:val="0"/>
          <w:numId w:val="2"/>
        </w:numPr>
        <w:spacing w:line="360" w:lineRule="auto"/>
        <w:jc w:val="both"/>
        <w:rPr>
          <w:rFonts w:ascii="David" w:hAnsi="David" w:cs="David"/>
          <w:sz w:val="24"/>
          <w:szCs w:val="24"/>
        </w:rPr>
      </w:pPr>
      <w:r>
        <w:rPr>
          <w:rFonts w:ascii="David" w:hAnsi="David" w:cs="David" w:hint="cs"/>
          <w:sz w:val="24"/>
          <w:szCs w:val="24"/>
          <w:rtl/>
        </w:rPr>
        <w:t>הגשת כתב האישום או ניהול ההליך הפלילי</w:t>
      </w:r>
      <w:r w:rsidR="00722BD7">
        <w:rPr>
          <w:rFonts w:ascii="David" w:hAnsi="David" w:cs="David" w:hint="cs"/>
          <w:sz w:val="24"/>
          <w:szCs w:val="24"/>
          <w:rtl/>
        </w:rPr>
        <w:t xml:space="preserve"> עומדים בסתירה מהותית לעקרונות של צדק והגינות משפטית. </w:t>
      </w:r>
    </w:p>
    <w:p w14:paraId="13864AC2" w14:textId="0BB638D6" w:rsidR="00722BD7" w:rsidRDefault="00722BD7" w:rsidP="00722BD7">
      <w:pPr>
        <w:spacing w:line="360" w:lineRule="auto"/>
        <w:jc w:val="both"/>
        <w:rPr>
          <w:rFonts w:ascii="David" w:hAnsi="David" w:cs="David"/>
          <w:sz w:val="24"/>
          <w:szCs w:val="24"/>
          <w:rtl/>
        </w:rPr>
      </w:pPr>
      <w:r>
        <w:rPr>
          <w:rFonts w:ascii="David" w:hAnsi="David" w:cs="David" w:hint="cs"/>
          <w:b/>
          <w:bCs/>
          <w:sz w:val="24"/>
          <w:szCs w:val="24"/>
          <w:rtl/>
        </w:rPr>
        <w:t>הדיון המקדים:</w:t>
      </w:r>
      <w:r>
        <w:rPr>
          <w:rFonts w:ascii="David" w:hAnsi="David" w:cs="David" w:hint="cs"/>
          <w:sz w:val="24"/>
          <w:szCs w:val="24"/>
          <w:rtl/>
        </w:rPr>
        <w:t xml:space="preserve"> בדיון זה מתרחש הגישור, המשא והמתן, חשיפת קו ההגנה (לרוב)</w:t>
      </w:r>
      <w:r w:rsidR="00110819">
        <w:rPr>
          <w:rFonts w:ascii="David" w:hAnsi="David" w:cs="David" w:hint="cs"/>
          <w:sz w:val="24"/>
          <w:szCs w:val="24"/>
          <w:rtl/>
        </w:rPr>
        <w:t xml:space="preserve">, העלאת טענות ראייתיות והתייחסויות השופט. במדינה והתיק אינו מגיע לכדי "פתרון" </w:t>
      </w:r>
      <w:r w:rsidR="00305C94">
        <w:rPr>
          <w:rFonts w:ascii="David" w:hAnsi="David" w:cs="David" w:hint="cs"/>
          <w:sz w:val="24"/>
          <w:szCs w:val="24"/>
          <w:rtl/>
        </w:rPr>
        <w:t>ועולה כפירה מוחלטת באישומים, המשפט ממשיך להתייחסות לעובדות שבמחלוקת ולרשימת עדי התביעה.</w:t>
      </w:r>
    </w:p>
    <w:p w14:paraId="22680EDA" w14:textId="70EFCC7A" w:rsidR="00305C94" w:rsidRDefault="00F12417" w:rsidP="00722BD7">
      <w:pPr>
        <w:spacing w:line="360" w:lineRule="auto"/>
        <w:jc w:val="both"/>
        <w:rPr>
          <w:rFonts w:ascii="David" w:hAnsi="David" w:cs="David"/>
          <w:sz w:val="24"/>
          <w:szCs w:val="24"/>
          <w:rtl/>
        </w:rPr>
      </w:pPr>
      <w:r>
        <w:rPr>
          <w:rFonts w:ascii="David" w:hAnsi="David" w:cs="David" w:hint="cs"/>
          <w:sz w:val="24"/>
          <w:szCs w:val="24"/>
          <w:rtl/>
        </w:rPr>
        <w:t xml:space="preserve">תשובת הנאשם לכתב האישום תהה לפי סעיף 152(א) לחוק סדר הדין הפלילי. </w:t>
      </w:r>
      <w:r w:rsidR="00F30AD4">
        <w:rPr>
          <w:rFonts w:ascii="David" w:hAnsi="David" w:cs="David" w:hint="cs"/>
          <w:sz w:val="24"/>
          <w:szCs w:val="24"/>
          <w:rtl/>
        </w:rPr>
        <w:t xml:space="preserve">ובמידה והנאשם נמנע מלהשיב לאישום או לשאלות בית המשפט, העניין עשוי לשמש כחיזוק למשקל הראיות של התביעה. על בית המשפט להסביר לנאשם את תוצאות הימנעותו. </w:t>
      </w:r>
    </w:p>
    <w:p w14:paraId="0298AB4C" w14:textId="133F84E0" w:rsidR="00F30AD4" w:rsidRDefault="00C70153" w:rsidP="00722BD7">
      <w:pPr>
        <w:spacing w:line="360" w:lineRule="auto"/>
        <w:jc w:val="both"/>
        <w:rPr>
          <w:rFonts w:ascii="David" w:hAnsi="David" w:cs="David"/>
          <w:sz w:val="24"/>
          <w:szCs w:val="24"/>
          <w:rtl/>
        </w:rPr>
      </w:pPr>
      <w:r>
        <w:rPr>
          <w:rFonts w:ascii="David" w:hAnsi="David" w:cs="David" w:hint="cs"/>
          <w:b/>
          <w:bCs/>
          <w:sz w:val="24"/>
          <w:szCs w:val="24"/>
          <w:rtl/>
        </w:rPr>
        <w:t>ראיונות עדים:</w:t>
      </w:r>
      <w:r>
        <w:rPr>
          <w:rFonts w:ascii="David" w:hAnsi="David" w:cs="David" w:hint="cs"/>
          <w:sz w:val="24"/>
          <w:szCs w:val="24"/>
          <w:rtl/>
        </w:rPr>
        <w:t xml:space="preserve"> ראיון עדים לקראת עדותם בבית המשפט, עניין המהווה מרכיב חיוני בעבודת הפרקליט. ראיון זה מבטיל כי עדי התביע היוכלו למסור בבית המשפט עדות אמת, מלאה ומפורטת ככל והדברים רלוונטיים ובהתאם לכללים המקובלים. </w:t>
      </w:r>
    </w:p>
    <w:p w14:paraId="1632C6DE" w14:textId="6163C3DE" w:rsidR="00B40936" w:rsidRDefault="00B40936" w:rsidP="00722BD7">
      <w:pPr>
        <w:spacing w:line="360" w:lineRule="auto"/>
        <w:jc w:val="both"/>
        <w:rPr>
          <w:rFonts w:ascii="David" w:hAnsi="David" w:cs="David"/>
          <w:sz w:val="24"/>
          <w:szCs w:val="24"/>
          <w:rtl/>
        </w:rPr>
      </w:pPr>
      <w:r>
        <w:rPr>
          <w:rFonts w:ascii="David" w:hAnsi="David" w:cs="David" w:hint="cs"/>
          <w:b/>
          <w:bCs/>
          <w:sz w:val="24"/>
          <w:szCs w:val="24"/>
          <w:rtl/>
        </w:rPr>
        <w:t>הנחיית פרקליט המדינה:</w:t>
      </w:r>
      <w:r>
        <w:rPr>
          <w:rFonts w:ascii="David" w:hAnsi="David" w:cs="David" w:hint="cs"/>
          <w:sz w:val="24"/>
          <w:szCs w:val="24"/>
          <w:rtl/>
        </w:rPr>
        <w:t xml:space="preserve"> במדינת הצורך בעת ראיון העד</w:t>
      </w:r>
      <w:r w:rsidR="00481E1F">
        <w:rPr>
          <w:rFonts w:ascii="David" w:hAnsi="David" w:cs="David" w:hint="cs"/>
          <w:sz w:val="24"/>
          <w:szCs w:val="24"/>
          <w:rtl/>
        </w:rPr>
        <w:t xml:space="preserve">, תוכן הראיון והצורך בתיעודו משתנים בהתאם לנסיבות התיק, תוכן העדות, אופי העד ומשתנים נוספים בהתאם לשיקול דעתו המקצועית של הפרקליט. </w:t>
      </w:r>
      <w:r w:rsidR="00007BA5">
        <w:rPr>
          <w:rFonts w:ascii="David" w:hAnsi="David" w:cs="David" w:hint="cs"/>
          <w:sz w:val="24"/>
          <w:szCs w:val="24"/>
          <w:rtl/>
        </w:rPr>
        <w:t xml:space="preserve">ככלל תרשומת ראיון של פרקליט עם עד, איינה בגדר חומר חקירה. </w:t>
      </w:r>
      <w:r w:rsidR="00D1134E">
        <w:rPr>
          <w:rFonts w:ascii="David" w:hAnsi="David" w:cs="David" w:hint="cs"/>
          <w:sz w:val="24"/>
          <w:szCs w:val="24"/>
          <w:rtl/>
        </w:rPr>
        <w:t>אך במידה והעד מעלה בראיון פרטים חדשים ומהותיים, שלא עלו בהודעתו במשטרה</w:t>
      </w:r>
      <w:r w:rsidR="00732789">
        <w:rPr>
          <w:rFonts w:ascii="David" w:hAnsi="David" w:cs="David" w:hint="cs"/>
          <w:sz w:val="24"/>
          <w:szCs w:val="24"/>
          <w:rtl/>
        </w:rPr>
        <w:t xml:space="preserve">, </w:t>
      </w:r>
      <w:r w:rsidR="00D82A27">
        <w:rPr>
          <w:rFonts w:ascii="David" w:hAnsi="David" w:cs="David" w:hint="cs"/>
          <w:sz w:val="24"/>
          <w:szCs w:val="24"/>
          <w:rtl/>
        </w:rPr>
        <w:t xml:space="preserve">עולה החובה להעביר את מידע זה לידי ההגנה. </w:t>
      </w:r>
    </w:p>
    <w:p w14:paraId="738D754E" w14:textId="7705A38C" w:rsidR="00D82A27" w:rsidRDefault="00D82A27" w:rsidP="005566FF">
      <w:pPr>
        <w:spacing w:line="360" w:lineRule="auto"/>
        <w:jc w:val="both"/>
        <w:rPr>
          <w:rFonts w:ascii="David" w:hAnsi="David" w:cs="David"/>
          <w:sz w:val="24"/>
          <w:szCs w:val="24"/>
          <w:rtl/>
        </w:rPr>
      </w:pPr>
      <w:r>
        <w:rPr>
          <w:rFonts w:ascii="David" w:hAnsi="David" w:cs="David" w:hint="cs"/>
          <w:b/>
          <w:bCs/>
          <w:sz w:val="24"/>
          <w:szCs w:val="24"/>
          <w:rtl/>
        </w:rPr>
        <w:t xml:space="preserve">פרשת התביעה </w:t>
      </w:r>
      <w:r>
        <w:rPr>
          <w:rFonts w:ascii="David" w:hAnsi="David" w:cs="David"/>
          <w:b/>
          <w:bCs/>
          <w:sz w:val="24"/>
          <w:szCs w:val="24"/>
          <w:rtl/>
        </w:rPr>
        <w:t>–</w:t>
      </w:r>
      <w:r>
        <w:rPr>
          <w:rFonts w:ascii="David" w:hAnsi="David" w:cs="David" w:hint="cs"/>
          <w:b/>
          <w:bCs/>
          <w:sz w:val="24"/>
          <w:szCs w:val="24"/>
          <w:rtl/>
        </w:rPr>
        <w:t xml:space="preserve"> שלב בירור האשמה -</w:t>
      </w:r>
      <w:r w:rsidRPr="00D82A27">
        <w:rPr>
          <w:rFonts w:ascii="David" w:hAnsi="David" w:cs="David" w:hint="cs"/>
          <w:b/>
          <w:bCs/>
          <w:sz w:val="24"/>
          <w:szCs w:val="24"/>
          <w:rtl/>
        </w:rPr>
        <w:t xml:space="preserve"> סעיף 156 לחוק סדר הדין הפלילי: </w:t>
      </w:r>
      <w:r>
        <w:rPr>
          <w:rFonts w:ascii="David" w:hAnsi="David" w:cs="David" w:hint="cs"/>
          <w:sz w:val="24"/>
          <w:szCs w:val="24"/>
          <w:rtl/>
        </w:rPr>
        <w:t>"</w:t>
      </w:r>
      <w:r w:rsidR="005566FF" w:rsidRPr="005566FF">
        <w:rPr>
          <w:rFonts w:ascii="Miriam" w:hAnsi="Miriam" w:cs="Miriam"/>
          <w:color w:val="000000"/>
          <w:sz w:val="32"/>
          <w:szCs w:val="32"/>
        </w:rPr>
        <w:t xml:space="preserve"> </w:t>
      </w:r>
      <w:r w:rsidR="005566FF" w:rsidRPr="005566FF">
        <w:rPr>
          <w:rFonts w:ascii="David" w:hAnsi="David" w:cs="David"/>
          <w:sz w:val="24"/>
          <w:szCs w:val="24"/>
        </w:rPr>
        <w:t> </w:t>
      </w:r>
      <w:r w:rsidR="005566FF" w:rsidRPr="005566FF">
        <w:rPr>
          <w:rFonts w:ascii="David" w:hAnsi="David" w:cs="David"/>
          <w:sz w:val="24"/>
          <w:szCs w:val="24"/>
          <w:rtl/>
        </w:rPr>
        <w:t>לא הודה הנאשם בעובדות שיש בהן כדי להרשיעו באישום או באחד האישומים שבכתב האישום, או שהודה ובית המשפט לא קיבל את הודייתו, תביא התביעה לפני בית המשפט את ראיותיה לעובדות שלא נתקבלה עליהן הודיה, ורשאית היא להקדים להן דברי פתיחה</w:t>
      </w:r>
      <w:r w:rsidR="005566FF" w:rsidRPr="005566FF">
        <w:rPr>
          <w:rFonts w:ascii="David" w:hAnsi="David" w:cs="David"/>
          <w:sz w:val="24"/>
          <w:szCs w:val="24"/>
        </w:rPr>
        <w:t>.</w:t>
      </w:r>
      <w:r w:rsidR="005566FF">
        <w:rPr>
          <w:rFonts w:ascii="David" w:hAnsi="David" w:cs="David"/>
          <w:sz w:val="24"/>
          <w:szCs w:val="24"/>
        </w:rPr>
        <w:t>"</w:t>
      </w:r>
    </w:p>
    <w:p w14:paraId="557688FB" w14:textId="3C6E071C" w:rsidR="00B629FC" w:rsidRDefault="00B629FC" w:rsidP="005566FF">
      <w:pPr>
        <w:spacing w:line="360" w:lineRule="auto"/>
        <w:jc w:val="both"/>
        <w:rPr>
          <w:rFonts w:ascii="David" w:hAnsi="David" w:cs="David"/>
          <w:b/>
          <w:bCs/>
          <w:sz w:val="24"/>
          <w:szCs w:val="24"/>
          <w:rtl/>
        </w:rPr>
      </w:pPr>
      <w:r>
        <w:rPr>
          <w:rFonts w:ascii="David" w:hAnsi="David" w:cs="David" w:hint="cs"/>
          <w:b/>
          <w:bCs/>
          <w:sz w:val="24"/>
          <w:szCs w:val="24"/>
          <w:rtl/>
        </w:rPr>
        <w:t xml:space="preserve">שלב ההוכחות </w:t>
      </w:r>
      <w:r>
        <w:rPr>
          <w:rFonts w:ascii="David" w:hAnsi="David" w:cs="David"/>
          <w:b/>
          <w:bCs/>
          <w:sz w:val="24"/>
          <w:szCs w:val="24"/>
          <w:rtl/>
        </w:rPr>
        <w:t>–</w:t>
      </w:r>
      <w:r>
        <w:rPr>
          <w:rFonts w:ascii="David" w:hAnsi="David" w:cs="David" w:hint="cs"/>
          <w:b/>
          <w:bCs/>
          <w:sz w:val="24"/>
          <w:szCs w:val="24"/>
          <w:rtl/>
        </w:rPr>
        <w:t xml:space="preserve"> סדר חקירת העדים בבית המשפט:</w:t>
      </w:r>
    </w:p>
    <w:p w14:paraId="5E3C03C5" w14:textId="22745260" w:rsidR="00B629FC" w:rsidRDefault="00B629FC" w:rsidP="005566FF">
      <w:pPr>
        <w:spacing w:line="360" w:lineRule="auto"/>
        <w:jc w:val="both"/>
        <w:rPr>
          <w:rFonts w:ascii="David" w:hAnsi="David" w:cs="David"/>
          <w:sz w:val="24"/>
          <w:szCs w:val="24"/>
          <w:rtl/>
        </w:rPr>
      </w:pPr>
      <w:r>
        <w:rPr>
          <w:rFonts w:ascii="David" w:hAnsi="David" w:cs="David" w:hint="cs"/>
          <w:sz w:val="24"/>
          <w:szCs w:val="24"/>
          <w:u w:val="single"/>
          <w:rtl/>
        </w:rPr>
        <w:t>חקירה ראשית:</w:t>
      </w:r>
      <w:r>
        <w:rPr>
          <w:rFonts w:ascii="David" w:hAnsi="David" w:cs="David" w:hint="cs"/>
          <w:sz w:val="24"/>
          <w:szCs w:val="24"/>
          <w:rtl/>
        </w:rPr>
        <w:t xml:space="preserve"> העד נחקר תחילה על ידי התביעה שהזמינה אותו לעדות, כאשר תכלית החקירה היא הצגת המידע הרלוונטי שברשות העד </w:t>
      </w:r>
      <w:r>
        <w:rPr>
          <w:rFonts w:ascii="David" w:hAnsi="David" w:cs="David"/>
          <w:sz w:val="24"/>
          <w:szCs w:val="24"/>
          <w:rtl/>
        </w:rPr>
        <w:t>–</w:t>
      </w:r>
      <w:r>
        <w:rPr>
          <w:rFonts w:ascii="David" w:hAnsi="David" w:cs="David" w:hint="cs"/>
          <w:sz w:val="24"/>
          <w:szCs w:val="24"/>
          <w:rtl/>
        </w:rPr>
        <w:t xml:space="preserve"> שאלות פתוחות. </w:t>
      </w:r>
    </w:p>
    <w:p w14:paraId="19271F6D" w14:textId="2A1314CE" w:rsidR="00B629FC" w:rsidRDefault="00B629FC" w:rsidP="005566FF">
      <w:pPr>
        <w:spacing w:line="360" w:lineRule="auto"/>
        <w:jc w:val="both"/>
        <w:rPr>
          <w:rFonts w:ascii="David" w:hAnsi="David" w:cs="David"/>
          <w:sz w:val="24"/>
          <w:szCs w:val="24"/>
          <w:rtl/>
        </w:rPr>
      </w:pPr>
      <w:r>
        <w:rPr>
          <w:rFonts w:ascii="David" w:hAnsi="David" w:cs="David" w:hint="cs"/>
          <w:sz w:val="24"/>
          <w:szCs w:val="24"/>
          <w:u w:val="single"/>
          <w:rtl/>
        </w:rPr>
        <w:t>חקירה נגדית:</w:t>
      </w:r>
      <w:r>
        <w:rPr>
          <w:rFonts w:ascii="David" w:hAnsi="David" w:cs="David" w:hint="cs"/>
          <w:sz w:val="24"/>
          <w:szCs w:val="24"/>
          <w:rtl/>
        </w:rPr>
        <w:t xml:space="preserve"> המטרה היא לבלבל את העד, מכך השאלות יהיו סגורות </w:t>
      </w:r>
      <w:r>
        <w:rPr>
          <w:rFonts w:ascii="David" w:hAnsi="David" w:cs="David"/>
          <w:sz w:val="24"/>
          <w:szCs w:val="24"/>
          <w:rtl/>
        </w:rPr>
        <w:t>–</w:t>
      </w:r>
      <w:r>
        <w:rPr>
          <w:rFonts w:ascii="David" w:hAnsi="David" w:cs="David" w:hint="cs"/>
          <w:sz w:val="24"/>
          <w:szCs w:val="24"/>
          <w:rtl/>
        </w:rPr>
        <w:t xml:space="preserve"> כן/לא ולא יתאפשר להסביר מעבר לכך. עניין זה מגיע לאחר תום החקירה הראשית וייחקר העד על ידי בעל הדין שכנגד </w:t>
      </w:r>
      <w:r>
        <w:rPr>
          <w:rFonts w:ascii="David" w:hAnsi="David" w:cs="David"/>
          <w:sz w:val="24"/>
          <w:szCs w:val="24"/>
          <w:rtl/>
        </w:rPr>
        <w:t>–</w:t>
      </w:r>
      <w:r>
        <w:rPr>
          <w:rFonts w:ascii="David" w:hAnsi="David" w:cs="David" w:hint="cs"/>
          <w:sz w:val="24"/>
          <w:szCs w:val="24"/>
          <w:rtl/>
        </w:rPr>
        <w:t xml:space="preserve"> הסנגור </w:t>
      </w:r>
      <w:r>
        <w:rPr>
          <w:rFonts w:ascii="David" w:hAnsi="David" w:cs="David"/>
          <w:sz w:val="24"/>
          <w:szCs w:val="24"/>
          <w:rtl/>
        </w:rPr>
        <w:t>–</w:t>
      </w:r>
      <w:r>
        <w:rPr>
          <w:rFonts w:ascii="David" w:hAnsi="David" w:cs="David" w:hint="cs"/>
          <w:sz w:val="24"/>
          <w:szCs w:val="24"/>
          <w:rtl/>
        </w:rPr>
        <w:t xml:space="preserve"> בחקירה מותר להציג שאלות מנחות. </w:t>
      </w:r>
    </w:p>
    <w:p w14:paraId="7D855F27" w14:textId="60E19A69" w:rsidR="00B629FC" w:rsidRDefault="00B629FC" w:rsidP="005566FF">
      <w:pPr>
        <w:spacing w:line="360" w:lineRule="auto"/>
        <w:jc w:val="both"/>
        <w:rPr>
          <w:rFonts w:ascii="David" w:hAnsi="David" w:cs="David"/>
          <w:sz w:val="24"/>
          <w:szCs w:val="24"/>
          <w:rtl/>
        </w:rPr>
      </w:pPr>
      <w:r>
        <w:rPr>
          <w:rFonts w:ascii="David" w:hAnsi="David" w:cs="David" w:hint="cs"/>
          <w:sz w:val="24"/>
          <w:szCs w:val="24"/>
          <w:u w:val="single"/>
          <w:rtl/>
        </w:rPr>
        <w:t>חקירה חוזרת:</w:t>
      </w:r>
      <w:r>
        <w:rPr>
          <w:rFonts w:ascii="David" w:hAnsi="David" w:cs="David" w:hint="cs"/>
          <w:sz w:val="24"/>
          <w:szCs w:val="24"/>
          <w:rtl/>
        </w:rPr>
        <w:t xml:space="preserve"> לאחר החקירה הנגדית, רשאי בעל הדין שהזמין את העד לחקור אותו בשנית בעניין שאלות הנוסעות מהחקירה הנגדית. שלב זה אינו מתקיים תמיד, אלא רק כאשר נדרשות הבהרות נוספות בעקבות דברים שעלו בחקירה הנגדית. </w:t>
      </w:r>
    </w:p>
    <w:p w14:paraId="3DC223F4" w14:textId="0D4510BF" w:rsidR="00B629FC" w:rsidRDefault="00BC2A92" w:rsidP="005566FF">
      <w:pPr>
        <w:spacing w:line="360" w:lineRule="auto"/>
        <w:jc w:val="both"/>
        <w:rPr>
          <w:rFonts w:ascii="David" w:hAnsi="David" w:cs="David"/>
          <w:sz w:val="24"/>
          <w:szCs w:val="24"/>
          <w:rtl/>
        </w:rPr>
      </w:pPr>
      <w:r>
        <w:rPr>
          <w:rFonts w:ascii="David" w:hAnsi="David" w:cs="David" w:hint="cs"/>
          <w:b/>
          <w:bCs/>
          <w:sz w:val="24"/>
          <w:szCs w:val="24"/>
          <w:rtl/>
        </w:rPr>
        <w:t>עדות סעיפי חוק סדר הדין הפלילי:</w:t>
      </w:r>
      <w:r>
        <w:rPr>
          <w:rFonts w:ascii="David" w:hAnsi="David" w:cs="David" w:hint="cs"/>
          <w:sz w:val="24"/>
          <w:szCs w:val="24"/>
          <w:rtl/>
        </w:rPr>
        <w:t xml:space="preserve"> </w:t>
      </w:r>
    </w:p>
    <w:p w14:paraId="7A89B80F" w14:textId="075AC6A1" w:rsidR="00CA5412" w:rsidRDefault="00CA5412" w:rsidP="00CA5412">
      <w:pPr>
        <w:spacing w:line="360" w:lineRule="auto"/>
        <w:jc w:val="both"/>
        <w:rPr>
          <w:rFonts w:ascii="David" w:hAnsi="David" w:cs="David"/>
          <w:sz w:val="24"/>
          <w:szCs w:val="24"/>
          <w:rtl/>
        </w:rPr>
      </w:pPr>
      <w:r>
        <w:rPr>
          <w:rFonts w:ascii="David" w:hAnsi="David" w:cs="David" w:hint="cs"/>
          <w:sz w:val="24"/>
          <w:szCs w:val="24"/>
          <w:rtl/>
        </w:rPr>
        <w:t>סעיף 172: "עד שטרם העיד פרט לנאשם</w:t>
      </w:r>
      <w:r w:rsidR="0002148D">
        <w:rPr>
          <w:rFonts w:ascii="David" w:hAnsi="David" w:cs="David" w:hint="cs"/>
          <w:sz w:val="24"/>
          <w:szCs w:val="24"/>
          <w:rtl/>
        </w:rPr>
        <w:t>,</w:t>
      </w:r>
      <w:r>
        <w:rPr>
          <w:rFonts w:ascii="David" w:hAnsi="David" w:cs="David" w:hint="cs"/>
          <w:sz w:val="24"/>
          <w:szCs w:val="24"/>
          <w:rtl/>
        </w:rPr>
        <w:t xml:space="preserve"> לא יהיה נוכח בגביית עדותו של עד אחר, אולם עד ששמע עדותו של עד אחר, אינו נפסל לעדות בשל כך בלבד". </w:t>
      </w:r>
    </w:p>
    <w:p w14:paraId="10670F43" w14:textId="4BFFA24F" w:rsidR="00CA5412" w:rsidRDefault="00CA5412" w:rsidP="00CA5412">
      <w:pPr>
        <w:spacing w:line="360" w:lineRule="auto"/>
        <w:jc w:val="both"/>
        <w:rPr>
          <w:rFonts w:ascii="David" w:hAnsi="David" w:cs="David"/>
          <w:sz w:val="24"/>
          <w:szCs w:val="24"/>
          <w:rtl/>
        </w:rPr>
      </w:pPr>
      <w:r>
        <w:rPr>
          <w:rFonts w:ascii="David" w:hAnsi="David" w:cs="David" w:hint="cs"/>
          <w:sz w:val="24"/>
          <w:szCs w:val="24"/>
          <w:rtl/>
        </w:rPr>
        <w:t xml:space="preserve">סעיף 173: "בית המשפט יזהיר את העד לפני גביית עדותו וסעיפים 4 ו- 5 לחוק לתיקון דיני הראיות (אזהרת עדים וביטול שבועה) יחולו". </w:t>
      </w:r>
    </w:p>
    <w:p w14:paraId="5CC141E6" w14:textId="2D56C310" w:rsidR="00CA5412" w:rsidRDefault="00CA5412" w:rsidP="00CA5412">
      <w:pPr>
        <w:spacing w:line="360" w:lineRule="auto"/>
        <w:jc w:val="both"/>
        <w:rPr>
          <w:rFonts w:ascii="David" w:hAnsi="David" w:cs="David"/>
          <w:sz w:val="24"/>
          <w:szCs w:val="24"/>
          <w:rtl/>
        </w:rPr>
      </w:pPr>
      <w:r>
        <w:rPr>
          <w:rFonts w:ascii="David" w:hAnsi="David" w:cs="David" w:hint="cs"/>
          <w:sz w:val="24"/>
          <w:szCs w:val="24"/>
          <w:rtl/>
        </w:rPr>
        <w:t>סעיף 174: "עד נחקר תחילה בידי בעל הדין שביקש את שמיעת עדותו; אחריו רשאי בעל הד</w:t>
      </w:r>
      <w:r w:rsidR="0002148D">
        <w:rPr>
          <w:rFonts w:ascii="David" w:hAnsi="David" w:cs="David" w:hint="cs"/>
          <w:sz w:val="24"/>
          <w:szCs w:val="24"/>
          <w:rtl/>
        </w:rPr>
        <w:t>י</w:t>
      </w:r>
      <w:r>
        <w:rPr>
          <w:rFonts w:ascii="David" w:hAnsi="David" w:cs="David" w:hint="cs"/>
          <w:sz w:val="24"/>
          <w:szCs w:val="24"/>
          <w:rtl/>
        </w:rPr>
        <w:t>ן שכנגד לחקור את העד חקירה שכנגד ואחריו רשאי בעל הדין שביקש את שמי</w:t>
      </w:r>
      <w:r w:rsidR="003E16ED">
        <w:rPr>
          <w:rFonts w:ascii="David" w:hAnsi="David" w:cs="David" w:hint="cs"/>
          <w:sz w:val="24"/>
          <w:szCs w:val="24"/>
          <w:rtl/>
        </w:rPr>
        <w:t>ע</w:t>
      </w:r>
      <w:r>
        <w:rPr>
          <w:rFonts w:ascii="David" w:hAnsi="David" w:cs="David" w:hint="cs"/>
          <w:sz w:val="24"/>
          <w:szCs w:val="24"/>
          <w:rtl/>
        </w:rPr>
        <w:t>ת העד לחזו</w:t>
      </w:r>
      <w:r w:rsidR="003E16ED">
        <w:rPr>
          <w:rFonts w:ascii="David" w:hAnsi="David" w:cs="David" w:hint="cs"/>
          <w:sz w:val="24"/>
          <w:szCs w:val="24"/>
          <w:rtl/>
        </w:rPr>
        <w:t>ר</w:t>
      </w:r>
      <w:r>
        <w:rPr>
          <w:rFonts w:ascii="David" w:hAnsi="David" w:cs="David" w:hint="cs"/>
          <w:sz w:val="24"/>
          <w:szCs w:val="24"/>
          <w:rtl/>
        </w:rPr>
        <w:t xml:space="preserve"> ולחקרו חקירה חוזרת; בית המשפט רשאי להרשות לבעל הדין להציג לעד שאלה נוספת גם בסיום חקירתו כאמור". </w:t>
      </w:r>
    </w:p>
    <w:p w14:paraId="6CC91DD0" w14:textId="4099C943" w:rsidR="00CA5412" w:rsidRDefault="00CA5412" w:rsidP="00CA5412">
      <w:pPr>
        <w:spacing w:line="360" w:lineRule="auto"/>
        <w:jc w:val="both"/>
        <w:rPr>
          <w:rFonts w:ascii="David" w:hAnsi="David" w:cs="David"/>
          <w:sz w:val="24"/>
          <w:szCs w:val="24"/>
          <w:rtl/>
        </w:rPr>
      </w:pPr>
      <w:r>
        <w:rPr>
          <w:rFonts w:ascii="David" w:hAnsi="David" w:cs="David" w:hint="cs"/>
          <w:sz w:val="24"/>
          <w:szCs w:val="24"/>
          <w:rtl/>
        </w:rPr>
        <w:t>סעיף 175 חקירה בידי בית המשפט: "סיימו בעלי הדין את חקירתם, רשאי בית המשפט לחקור את העד; ורשאי הוא לשאול עוד שאלה גם במהלך חקירתו בידי בעלי הדין להבהרת עניין שנתעורר בה".</w:t>
      </w:r>
    </w:p>
    <w:p w14:paraId="504DDDEF" w14:textId="21AF13DC" w:rsidR="007C34BD" w:rsidRDefault="007C34BD" w:rsidP="007C34BD">
      <w:pPr>
        <w:spacing w:line="360" w:lineRule="auto"/>
        <w:jc w:val="both"/>
        <w:rPr>
          <w:rFonts w:ascii="David" w:hAnsi="David" w:cs="David"/>
          <w:sz w:val="24"/>
          <w:szCs w:val="24"/>
          <w:rtl/>
        </w:rPr>
      </w:pPr>
      <w:r w:rsidRPr="007C34BD">
        <w:rPr>
          <w:rFonts w:ascii="David" w:hAnsi="David" w:cs="David"/>
          <w:b/>
          <w:bCs/>
          <w:sz w:val="24"/>
          <w:szCs w:val="24"/>
          <w:rtl/>
        </w:rPr>
        <w:t>ע"פ 3250/10 מדינת ישראל נ' פלוני</w:t>
      </w:r>
      <w:r>
        <w:rPr>
          <w:rFonts w:ascii="David" w:hAnsi="David" w:cs="David" w:hint="cs"/>
          <w:b/>
          <w:bCs/>
          <w:sz w:val="24"/>
          <w:szCs w:val="24"/>
          <w:rtl/>
        </w:rPr>
        <w:t>:</w:t>
      </w:r>
      <w:r>
        <w:rPr>
          <w:rFonts w:ascii="David" w:hAnsi="David" w:cs="David" w:hint="cs"/>
          <w:sz w:val="24"/>
          <w:szCs w:val="24"/>
          <w:rtl/>
        </w:rPr>
        <w:t xml:space="preserve"> </w:t>
      </w:r>
      <w:r w:rsidR="001A3979">
        <w:rPr>
          <w:rFonts w:ascii="David" w:hAnsi="David" w:cs="David" w:hint="cs"/>
          <w:sz w:val="24"/>
          <w:szCs w:val="24"/>
          <w:rtl/>
        </w:rPr>
        <w:t>מדובר בשני ערעורים על פסק דינו של המחוזי, אשר הרשיע את המערער במספר רב של עבירות אינוס, אינוס בנסיבות מחמירות ובמספר עבירות של הדחה בחקירה ואיומים</w:t>
      </w:r>
      <w:r w:rsidR="007A62D6">
        <w:rPr>
          <w:rFonts w:ascii="David" w:hAnsi="David" w:cs="David" w:hint="cs"/>
          <w:sz w:val="24"/>
          <w:szCs w:val="24"/>
          <w:rtl/>
        </w:rPr>
        <w:t xml:space="preserve"> והשית עליו 8 שנות מאסר בפועל, מאסר על תנאי ופיצוי כספי למתלוננת. המתלוננת היא גיסתו של המערער</w:t>
      </w:r>
      <w:r w:rsidR="00D55EB1">
        <w:rPr>
          <w:rFonts w:ascii="David" w:hAnsi="David" w:cs="David" w:hint="cs"/>
          <w:sz w:val="24"/>
          <w:szCs w:val="24"/>
          <w:rtl/>
        </w:rPr>
        <w:t xml:space="preserve">. התשתית הראייתית כללה בעיקרה שתי עדויות סותרות. מחד, הכחיש המערער כי ביצע את המעשים שיוחסו לו ומנגד, גרסת המתלוננת הייתה כי המערער אנס אותה. </w:t>
      </w:r>
      <w:r w:rsidR="007B07E6">
        <w:rPr>
          <w:rFonts w:ascii="David" w:hAnsi="David" w:cs="David" w:hint="cs"/>
          <w:sz w:val="24"/>
          <w:szCs w:val="24"/>
          <w:rtl/>
        </w:rPr>
        <w:t xml:space="preserve">היות בשל קשיי התבטאות בשפה האמהרית וקשיי תרגום, התיר בית המשפט לחקור אותה בחקירה ראשית בדרך של שאלות מדריכות. </w:t>
      </w:r>
      <w:r w:rsidR="00800B35">
        <w:rPr>
          <w:rFonts w:ascii="David" w:hAnsi="David" w:cs="David" w:hint="cs"/>
          <w:sz w:val="24"/>
          <w:szCs w:val="24"/>
          <w:rtl/>
        </w:rPr>
        <w:t xml:space="preserve">בית המשפט העליון קיבל את הערעור וזיכה אותו מחמת הספק נוכח קשיים ראייתיים שונים בחוק. </w:t>
      </w:r>
      <w:r w:rsidR="00800B35">
        <w:rPr>
          <w:rFonts w:ascii="David" w:hAnsi="David" w:cs="David" w:hint="cs"/>
          <w:b/>
          <w:bCs/>
          <w:sz w:val="24"/>
          <w:szCs w:val="24"/>
          <w:rtl/>
        </w:rPr>
        <w:t>השופט גרוניס</w:t>
      </w:r>
      <w:r w:rsidR="00800B35">
        <w:rPr>
          <w:rFonts w:ascii="David" w:hAnsi="David" w:cs="David" w:hint="cs"/>
          <w:sz w:val="24"/>
          <w:szCs w:val="24"/>
          <w:rtl/>
        </w:rPr>
        <w:t xml:space="preserve"> סבר כי כאשר מוצגות שאלות מדריכות בחקירה ראשית ושאלות אלו עוסקות בסוגיה שנויה במחלוקת, יש לדרוש, כתנאי להרשעה, ראיות במשקל כולל הגבוה מן המקרה הרגיל ובמקרה זה המשיבה לא עמדה בנטל זה. </w:t>
      </w:r>
    </w:p>
    <w:p w14:paraId="26243B9A" w14:textId="281290B5" w:rsidR="00B93127" w:rsidRDefault="00B93127" w:rsidP="007C34BD">
      <w:pPr>
        <w:spacing w:line="360" w:lineRule="auto"/>
        <w:jc w:val="both"/>
        <w:rPr>
          <w:rFonts w:ascii="David" w:hAnsi="David" w:cs="David"/>
          <w:sz w:val="24"/>
          <w:szCs w:val="24"/>
          <w:rtl/>
        </w:rPr>
      </w:pPr>
      <w:r>
        <w:rPr>
          <w:rFonts w:ascii="David" w:hAnsi="David" w:cs="David" w:hint="cs"/>
          <w:b/>
          <w:bCs/>
          <w:sz w:val="24"/>
          <w:szCs w:val="24"/>
          <w:rtl/>
        </w:rPr>
        <w:t xml:space="preserve">סיום פרשת התביעה עולה מכוח סעיף 157 לחוק סדר הדין הפלילי - </w:t>
      </w:r>
      <w:r>
        <w:rPr>
          <w:rFonts w:ascii="David" w:hAnsi="David" w:cs="David" w:hint="cs"/>
          <w:sz w:val="24"/>
          <w:szCs w:val="24"/>
          <w:rtl/>
        </w:rPr>
        <w:t xml:space="preserve"> "בגמר ראיותיו יודיעו התובע שפרק התביעה הסתיימה".</w:t>
      </w:r>
    </w:p>
    <w:p w14:paraId="72C39AB0" w14:textId="3C8F2C83" w:rsidR="000E2E65" w:rsidRDefault="000E2E65" w:rsidP="007C34BD">
      <w:pPr>
        <w:spacing w:line="360" w:lineRule="auto"/>
        <w:jc w:val="both"/>
        <w:rPr>
          <w:rFonts w:ascii="David" w:hAnsi="David" w:cs="David"/>
          <w:sz w:val="24"/>
          <w:szCs w:val="24"/>
          <w:rtl/>
        </w:rPr>
      </w:pPr>
      <w:r>
        <w:rPr>
          <w:rFonts w:ascii="David" w:hAnsi="David" w:cs="David" w:hint="cs"/>
          <w:b/>
          <w:bCs/>
          <w:sz w:val="24"/>
          <w:szCs w:val="24"/>
          <w:rtl/>
        </w:rPr>
        <w:t xml:space="preserve">זיכוי בשל היעדר הוכחה לכאורה, סעיף 158 לחוק סדר הדין הפלילי </w:t>
      </w:r>
      <w:r>
        <w:rPr>
          <w:rFonts w:ascii="David" w:hAnsi="David" w:cs="David"/>
          <w:b/>
          <w:bCs/>
          <w:sz w:val="24"/>
          <w:szCs w:val="24"/>
          <w:rtl/>
        </w:rPr>
        <w:t>–</w:t>
      </w:r>
      <w:r>
        <w:rPr>
          <w:rFonts w:ascii="David" w:hAnsi="David" w:cs="David" w:hint="cs"/>
          <w:sz w:val="24"/>
          <w:szCs w:val="24"/>
          <w:rtl/>
        </w:rPr>
        <w:t xml:space="preserve"> "נסתיימה פרשת התביעה ולא הוכחה האשמה אף לכאורה, יזכה בית המשפט את הנאשם </w:t>
      </w:r>
      <w:r>
        <w:rPr>
          <w:rFonts w:ascii="David" w:hAnsi="David" w:cs="David"/>
          <w:sz w:val="24"/>
          <w:szCs w:val="24"/>
          <w:rtl/>
        </w:rPr>
        <w:t>–</w:t>
      </w:r>
      <w:r>
        <w:rPr>
          <w:rFonts w:ascii="David" w:hAnsi="David" w:cs="David" w:hint="cs"/>
          <w:sz w:val="24"/>
          <w:szCs w:val="24"/>
          <w:rtl/>
        </w:rPr>
        <w:t xml:space="preserve"> בין על פי טענת הנאשם ובין מיוזמתו- לאחר שנתן לתובע להשמיע את דברו בעניין". </w:t>
      </w:r>
    </w:p>
    <w:p w14:paraId="5BCF6B9B" w14:textId="206A98D0" w:rsidR="000E2E65" w:rsidRPr="00D4453C" w:rsidRDefault="000E2E65" w:rsidP="007C34BD">
      <w:pPr>
        <w:spacing w:line="360" w:lineRule="auto"/>
        <w:jc w:val="both"/>
        <w:rPr>
          <w:rFonts w:ascii="David" w:hAnsi="David" w:cs="David"/>
          <w:sz w:val="24"/>
          <w:szCs w:val="24"/>
          <w:rtl/>
        </w:rPr>
      </w:pPr>
      <w:r>
        <w:rPr>
          <w:rFonts w:ascii="David" w:hAnsi="David" w:cs="David" w:hint="cs"/>
          <w:b/>
          <w:bCs/>
          <w:sz w:val="24"/>
          <w:szCs w:val="24"/>
          <w:rtl/>
        </w:rPr>
        <w:t xml:space="preserve">אין להשיב לאשמה: </w:t>
      </w:r>
      <w:r w:rsidR="00D4453C">
        <w:rPr>
          <w:rFonts w:ascii="David" w:hAnsi="David" w:cs="David" w:hint="cs"/>
          <w:sz w:val="24"/>
          <w:szCs w:val="24"/>
          <w:rtl/>
        </w:rPr>
        <w:t xml:space="preserve">עולה החובה על המשיב להשיב לטענות שעלו נגדו, גם אם הובאו  ראיות בסיסיות ודלות </w:t>
      </w:r>
      <w:r w:rsidR="00662ADB">
        <w:rPr>
          <w:rFonts w:ascii="David" w:hAnsi="David" w:cs="David" w:hint="cs"/>
          <w:sz w:val="24"/>
          <w:szCs w:val="24"/>
          <w:rtl/>
        </w:rPr>
        <w:t xml:space="preserve">היוצרות מערכת הוכחות ראשונית אשר מעבירה את נטל הבראת הראיות מהתביעה לנאשם. </w:t>
      </w:r>
    </w:p>
    <w:p w14:paraId="71D820EA" w14:textId="22302439" w:rsidR="00F22ACB" w:rsidRDefault="00F22ACB" w:rsidP="00F22ACB">
      <w:pPr>
        <w:spacing w:line="360" w:lineRule="auto"/>
        <w:jc w:val="both"/>
        <w:rPr>
          <w:rFonts w:ascii="David" w:hAnsi="David" w:cs="David"/>
          <w:sz w:val="24"/>
          <w:szCs w:val="24"/>
          <w:rtl/>
        </w:rPr>
      </w:pPr>
      <w:r w:rsidRPr="00F22ACB">
        <w:rPr>
          <w:rFonts w:ascii="David" w:hAnsi="David" w:cs="David"/>
          <w:b/>
          <w:bCs/>
          <w:sz w:val="24"/>
          <w:szCs w:val="24"/>
          <w:rtl/>
        </w:rPr>
        <w:t>ע"פ 405/80 מדינת ישראל נ' זבולון בן אברהם שדמ</w:t>
      </w:r>
      <w:r>
        <w:rPr>
          <w:rFonts w:ascii="David" w:hAnsi="David" w:cs="David" w:hint="cs"/>
          <w:b/>
          <w:bCs/>
          <w:sz w:val="24"/>
          <w:szCs w:val="24"/>
          <w:rtl/>
        </w:rPr>
        <w:t>י:</w:t>
      </w:r>
      <w:r>
        <w:rPr>
          <w:rFonts w:ascii="David" w:hAnsi="David" w:cs="David" w:hint="cs"/>
          <w:sz w:val="24"/>
          <w:szCs w:val="24"/>
          <w:rtl/>
        </w:rPr>
        <w:t xml:space="preserve"> </w:t>
      </w:r>
      <w:r w:rsidR="007C331B">
        <w:rPr>
          <w:rFonts w:ascii="David" w:hAnsi="David" w:cs="David" w:hint="cs"/>
          <w:sz w:val="24"/>
          <w:szCs w:val="24"/>
          <w:rtl/>
        </w:rPr>
        <w:t xml:space="preserve">המשיב הועמד לדין לפני המחוזי בכתב אישום בו יוחסו לו עבירות שונות בתשעה אישומים. האישום השני נמחק בשלב מוקדם של הדיון ובסיום ראיות התביעה, נותרו שמונה אישומים. </w:t>
      </w:r>
      <w:r w:rsidR="0044064C">
        <w:rPr>
          <w:rFonts w:ascii="David" w:hAnsi="David" w:cs="David" w:hint="cs"/>
          <w:sz w:val="24"/>
          <w:szCs w:val="24"/>
          <w:rtl/>
        </w:rPr>
        <w:t xml:space="preserve">עם סיום ראיות התביע הטען סנגור המשיב כי הוא לא משיב להאשמות שיוחסו </w:t>
      </w:r>
      <w:r w:rsidR="005D4C79">
        <w:rPr>
          <w:rFonts w:ascii="David" w:hAnsi="David" w:cs="David" w:hint="cs"/>
          <w:sz w:val="24"/>
          <w:szCs w:val="24"/>
          <w:rtl/>
        </w:rPr>
        <w:t>לו. בית המשפט קיבל את טענה זו מפני שאלה לא הוכחו ואף לא לכאורה לפי סעיף 142 לחוק סדר הדין הפלילי. בערעור זה קבע בית המשפט העליון כי בית המשפט לא יטה אוזן קשבת לטענה שאין להשיב לאשמה, אם הובאו ראיות בסיסיות</w:t>
      </w:r>
      <w:r w:rsidR="009731C6">
        <w:rPr>
          <w:rFonts w:ascii="David" w:hAnsi="David" w:cs="David" w:hint="cs"/>
          <w:sz w:val="24"/>
          <w:szCs w:val="24"/>
          <w:rtl/>
        </w:rPr>
        <w:t xml:space="preserve">, אם כי דלות, להוכחת יסודותיה של העבירה שפרטיה הובאו בכתב האישום. ראיות בסיסיות לעניין זה אין משמען ראיות, שמשקלן והיקפן מאפשר הרשעה על אתר, אלא ראיות במידה היוצרת מערכת הוכחות ראשונית, המעבירה את נטל הבאת הראיות מהתביעה לנאשם. ניתן לבחון בשלב זה את אמינותן של ראיות התביעה ולשקול את משקלן רק בנסיבות חריגות, כאשר מסתבר בעליל, על פני הדברים, כי כל הראיות שהובאו על ידי התביעה הן בלתי אמינות שאף ערכאה שיפוטית לא הייתה מסתמכת עליהן. </w:t>
      </w:r>
      <w:r w:rsidR="00D4453C">
        <w:rPr>
          <w:rFonts w:ascii="David" w:hAnsi="David" w:cs="David" w:hint="cs"/>
          <w:sz w:val="24"/>
          <w:szCs w:val="24"/>
          <w:rtl/>
        </w:rPr>
        <w:t xml:space="preserve">מכך התקבל הערעור והכרעת הדין של המחוזי בוטלה. </w:t>
      </w:r>
    </w:p>
    <w:p w14:paraId="38D1AA24" w14:textId="74BF402E" w:rsidR="00337221" w:rsidRDefault="00337221" w:rsidP="00F22ACB">
      <w:pPr>
        <w:spacing w:line="360" w:lineRule="auto"/>
        <w:jc w:val="both"/>
        <w:rPr>
          <w:rFonts w:ascii="David" w:hAnsi="David" w:cs="David"/>
          <w:sz w:val="24"/>
          <w:szCs w:val="24"/>
          <w:rtl/>
        </w:rPr>
      </w:pPr>
      <w:r>
        <w:rPr>
          <w:rFonts w:ascii="David" w:hAnsi="David" w:cs="David" w:hint="cs"/>
          <w:b/>
          <w:bCs/>
          <w:sz w:val="24"/>
          <w:szCs w:val="24"/>
          <w:rtl/>
        </w:rPr>
        <w:t xml:space="preserve">דבר הנאשם סעיף 161(א) </w:t>
      </w:r>
      <w:r w:rsidR="007D0B9F">
        <w:rPr>
          <w:rFonts w:ascii="David" w:hAnsi="David" w:cs="David" w:hint="cs"/>
          <w:b/>
          <w:bCs/>
          <w:sz w:val="24"/>
          <w:szCs w:val="24"/>
          <w:rtl/>
        </w:rPr>
        <w:t>הנאשם רשאי לנהוג באחד מאלה:</w:t>
      </w:r>
      <w:r w:rsidR="007D0B9F">
        <w:rPr>
          <w:rFonts w:ascii="David" w:hAnsi="David" w:cs="David" w:hint="cs"/>
          <w:sz w:val="24"/>
          <w:szCs w:val="24"/>
          <w:rtl/>
        </w:rPr>
        <w:t xml:space="preserve"> להעיד כעד הגנה ומכך ניתן לחקור אותו נגדית, להימנע מלהעיד</w:t>
      </w:r>
      <w:r w:rsidR="000224C9">
        <w:rPr>
          <w:rFonts w:ascii="David" w:hAnsi="David" w:cs="David" w:hint="cs"/>
          <w:sz w:val="24"/>
          <w:szCs w:val="24"/>
          <w:rtl/>
        </w:rPr>
        <w:t>. נאשם אשר בחר להעיד יעיד בתחילת ראיות</w:t>
      </w:r>
      <w:r w:rsidR="00A15314">
        <w:rPr>
          <w:rFonts w:ascii="David" w:hAnsi="David" w:cs="David" w:hint="cs"/>
          <w:sz w:val="24"/>
          <w:szCs w:val="24"/>
          <w:rtl/>
        </w:rPr>
        <w:t xml:space="preserve">יה של ההגנה, אך בית המשפט רשאי לבקשתו לאשר לו להעיד בשלב אחד של פרשת ההגנה. </w:t>
      </w:r>
    </w:p>
    <w:p w14:paraId="7DAE8496" w14:textId="4FDC33F9" w:rsidR="00A15314" w:rsidRDefault="00A15314" w:rsidP="00F22ACB">
      <w:pPr>
        <w:spacing w:line="360" w:lineRule="auto"/>
        <w:jc w:val="both"/>
        <w:rPr>
          <w:rFonts w:ascii="David" w:hAnsi="David" w:cs="David"/>
          <w:sz w:val="24"/>
          <w:szCs w:val="24"/>
          <w:rtl/>
        </w:rPr>
      </w:pPr>
      <w:r>
        <w:rPr>
          <w:rFonts w:ascii="David" w:hAnsi="David" w:cs="David" w:hint="cs"/>
          <w:b/>
          <w:bCs/>
          <w:sz w:val="24"/>
          <w:szCs w:val="24"/>
          <w:rtl/>
        </w:rPr>
        <w:t>שתיקת הנאשם סעיף 162(א):</w:t>
      </w:r>
      <w:r>
        <w:rPr>
          <w:rFonts w:ascii="David" w:hAnsi="David" w:cs="David" w:hint="cs"/>
          <w:sz w:val="24"/>
          <w:szCs w:val="24"/>
          <w:rtl/>
        </w:rPr>
        <w:t xml:space="preserve"> הימנעות הנאשם מלהעיד עשויה לשמש כחיזוק למשקל הראיות של התביעה וכסיוע לראיות התביעה במקום בו דרוש כזה. אך לא תשמש כסיוע לצורך סעיף 11 לחוק לתיקון הראיות (הגנת ילדים), או לצורך סעיף 20(ד) לחוק הליכי חקירה והעדה של אנשים בעלי מוגבלות. </w:t>
      </w:r>
      <w:r w:rsidR="00E52A1C">
        <w:rPr>
          <w:rFonts w:ascii="David" w:hAnsi="David" w:cs="David" w:hint="cs"/>
          <w:sz w:val="24"/>
          <w:szCs w:val="24"/>
          <w:rtl/>
        </w:rPr>
        <w:t>במידה ו</w:t>
      </w:r>
      <w:r w:rsidR="00CF0544">
        <w:rPr>
          <w:rFonts w:ascii="David" w:hAnsi="David" w:cs="David" w:hint="cs"/>
          <w:sz w:val="24"/>
          <w:szCs w:val="24"/>
          <w:rtl/>
        </w:rPr>
        <w:t xml:space="preserve">התקבלה חוות דעת מומחה הקובעת כי הנאשם הוא אדם בעל מוגבלות שכלית או נפשית (לפי ההגדרה בחוק) </w:t>
      </w:r>
      <w:r w:rsidR="008054F0">
        <w:rPr>
          <w:rFonts w:ascii="David" w:hAnsi="David" w:cs="David" w:hint="cs"/>
          <w:sz w:val="24"/>
          <w:szCs w:val="24"/>
          <w:rtl/>
        </w:rPr>
        <w:t xml:space="preserve">אשר בשל מוגבלותו הוא נמנע מלהעיד. </w:t>
      </w:r>
    </w:p>
    <w:p w14:paraId="40692A2C" w14:textId="4243363B" w:rsidR="008054F0" w:rsidRDefault="008054F0" w:rsidP="00F22ACB">
      <w:pPr>
        <w:spacing w:line="360" w:lineRule="auto"/>
        <w:jc w:val="both"/>
        <w:rPr>
          <w:rFonts w:ascii="David" w:hAnsi="David" w:cs="David"/>
          <w:sz w:val="24"/>
          <w:szCs w:val="24"/>
          <w:rtl/>
        </w:rPr>
      </w:pPr>
      <w:r>
        <w:rPr>
          <w:rFonts w:ascii="David" w:hAnsi="David" w:cs="David" w:hint="cs"/>
          <w:b/>
          <w:bCs/>
          <w:sz w:val="24"/>
          <w:szCs w:val="24"/>
          <w:rtl/>
        </w:rPr>
        <w:t>סייג לחקירת הנאשם סעיף 163:</w:t>
      </w:r>
      <w:r>
        <w:rPr>
          <w:rFonts w:ascii="David" w:hAnsi="David" w:cs="David" w:hint="cs"/>
          <w:sz w:val="24"/>
          <w:szCs w:val="24"/>
          <w:rtl/>
        </w:rPr>
        <w:t xml:space="preserve"> נאשם אשר בחר להעיד, לא יישאל בחקירה שכנגד שאלות בעניין הנוגע להרשעות קודמות, אלא אם העיד על האופי הטוב או הביא </w:t>
      </w:r>
      <w:r w:rsidR="00B91986">
        <w:rPr>
          <w:rFonts w:ascii="David" w:hAnsi="David" w:cs="David" w:hint="cs"/>
          <w:sz w:val="24"/>
          <w:szCs w:val="24"/>
          <w:rtl/>
        </w:rPr>
        <w:t xml:space="preserve">ראיה אחרת לכך, בין אם בראיותיו או בין בחקירה שכנגד של עדי התביעה. </w:t>
      </w:r>
    </w:p>
    <w:p w14:paraId="1946C916" w14:textId="55E15FB0" w:rsidR="00B91986" w:rsidRDefault="00B91986" w:rsidP="00F22ACB">
      <w:pPr>
        <w:spacing w:line="360" w:lineRule="auto"/>
        <w:jc w:val="both"/>
        <w:rPr>
          <w:rFonts w:ascii="David" w:hAnsi="David" w:cs="David"/>
          <w:sz w:val="24"/>
          <w:szCs w:val="24"/>
          <w:rtl/>
        </w:rPr>
      </w:pPr>
      <w:r>
        <w:rPr>
          <w:rFonts w:ascii="David" w:hAnsi="David" w:cs="David" w:hint="cs"/>
          <w:b/>
          <w:bCs/>
          <w:sz w:val="24"/>
          <w:szCs w:val="24"/>
          <w:rtl/>
        </w:rPr>
        <w:t>סיום פרשת ההגנה סעיף 164:</w:t>
      </w:r>
      <w:r>
        <w:rPr>
          <w:rFonts w:ascii="David" w:hAnsi="David" w:cs="David" w:hint="cs"/>
          <w:sz w:val="24"/>
          <w:szCs w:val="24"/>
          <w:rtl/>
        </w:rPr>
        <w:t xml:space="preserve"> בגמר הבאת הראיות, יודיע הנאשם שפרשת ההגנה הסתיימה. </w:t>
      </w:r>
    </w:p>
    <w:p w14:paraId="7F35D619" w14:textId="042C18E5" w:rsidR="00B91986" w:rsidRDefault="00B91986" w:rsidP="00F22ACB">
      <w:pPr>
        <w:spacing w:line="360" w:lineRule="auto"/>
        <w:jc w:val="both"/>
        <w:rPr>
          <w:rFonts w:ascii="David" w:hAnsi="David" w:cs="David"/>
          <w:sz w:val="24"/>
          <w:szCs w:val="24"/>
          <w:rtl/>
        </w:rPr>
      </w:pPr>
      <w:r>
        <w:rPr>
          <w:rFonts w:ascii="David" w:hAnsi="David" w:cs="David" w:hint="cs"/>
          <w:b/>
          <w:bCs/>
          <w:sz w:val="24"/>
          <w:szCs w:val="24"/>
          <w:rtl/>
        </w:rPr>
        <w:t>ראיות נוספות מטעם התובע סעיף 165:</w:t>
      </w:r>
      <w:r>
        <w:rPr>
          <w:rFonts w:ascii="David" w:hAnsi="David" w:cs="David" w:hint="cs"/>
          <w:sz w:val="24"/>
          <w:szCs w:val="24"/>
          <w:rtl/>
        </w:rPr>
        <w:t xml:space="preserve"> בית המשפט רשאי להרשות לתובע להביא ראיות אשר נועדו לסתור טענות אשר עלו מראיות ההגנה ואשר התובע לא יכל היה לצפות אותן מראש, או להוכיח עובדות שהנאשם חזר בו מהודייתו בהן לאחר סיום פרשת התביעה. </w:t>
      </w:r>
    </w:p>
    <w:p w14:paraId="32BC5733" w14:textId="1CC1FAC5" w:rsidR="00B91986" w:rsidRDefault="00B91986" w:rsidP="00F22ACB">
      <w:pPr>
        <w:spacing w:line="360" w:lineRule="auto"/>
        <w:jc w:val="both"/>
        <w:rPr>
          <w:rFonts w:ascii="David" w:hAnsi="David" w:cs="David"/>
          <w:sz w:val="24"/>
          <w:szCs w:val="24"/>
          <w:rtl/>
        </w:rPr>
      </w:pPr>
      <w:r>
        <w:rPr>
          <w:rFonts w:ascii="David" w:hAnsi="David" w:cs="David" w:hint="cs"/>
          <w:b/>
          <w:bCs/>
          <w:sz w:val="24"/>
          <w:szCs w:val="24"/>
          <w:rtl/>
        </w:rPr>
        <w:t>סתירת ראיות נוספות סעיף 166:</w:t>
      </w:r>
      <w:r>
        <w:rPr>
          <w:rFonts w:ascii="David" w:hAnsi="David" w:cs="David" w:hint="cs"/>
          <w:sz w:val="24"/>
          <w:szCs w:val="24"/>
          <w:rtl/>
        </w:rPr>
        <w:t xml:space="preserve"> הביא התובע ראיות נוספות, רשאי הנאשם להביא ראיות לסתור אותן. </w:t>
      </w:r>
    </w:p>
    <w:p w14:paraId="11ED864E" w14:textId="4C8B287F" w:rsidR="00B91986" w:rsidRDefault="00B91986" w:rsidP="00F22ACB">
      <w:pPr>
        <w:spacing w:line="360" w:lineRule="auto"/>
        <w:jc w:val="both"/>
        <w:rPr>
          <w:rFonts w:ascii="David" w:hAnsi="David" w:cs="David"/>
          <w:sz w:val="24"/>
          <w:szCs w:val="24"/>
          <w:rtl/>
        </w:rPr>
      </w:pPr>
      <w:r>
        <w:rPr>
          <w:rFonts w:ascii="David" w:hAnsi="David" w:cs="David" w:hint="cs"/>
          <w:b/>
          <w:bCs/>
          <w:sz w:val="24"/>
          <w:szCs w:val="24"/>
          <w:rtl/>
        </w:rPr>
        <w:t>ראיות מטעם בית המשפט סעיף 167:</w:t>
      </w:r>
      <w:r>
        <w:rPr>
          <w:rFonts w:ascii="David" w:hAnsi="David" w:cs="David" w:hint="cs"/>
          <w:sz w:val="24"/>
          <w:szCs w:val="24"/>
          <w:rtl/>
        </w:rPr>
        <w:t xml:space="preserve"> סיימו בעלי הדין את הבאת הראיות, בית המשפט רשאי במידת הצורך להורות על הזמנת עד, גם אם כבר נשמעה עדותו בבית המשפט</w:t>
      </w:r>
      <w:r w:rsidR="00AA35E3">
        <w:rPr>
          <w:rFonts w:ascii="David" w:hAnsi="David" w:cs="David" w:hint="cs"/>
          <w:sz w:val="24"/>
          <w:szCs w:val="24"/>
          <w:rtl/>
        </w:rPr>
        <w:t xml:space="preserve">. עוד רשאי להורות על הבאת ראיות אחרות אם לבקשת בעלי הדין אול מיוזמתו. </w:t>
      </w:r>
    </w:p>
    <w:p w14:paraId="00A9CE6B" w14:textId="64D8133A" w:rsidR="00134739" w:rsidRDefault="00134739" w:rsidP="00F22ACB">
      <w:pPr>
        <w:spacing w:line="360" w:lineRule="auto"/>
        <w:jc w:val="both"/>
        <w:rPr>
          <w:rFonts w:ascii="David" w:hAnsi="David" w:cs="David"/>
          <w:sz w:val="24"/>
          <w:szCs w:val="24"/>
          <w:rtl/>
        </w:rPr>
      </w:pPr>
      <w:r>
        <w:rPr>
          <w:rFonts w:ascii="David" w:hAnsi="David" w:cs="David" w:hint="cs"/>
          <w:b/>
          <w:bCs/>
          <w:sz w:val="24"/>
          <w:szCs w:val="24"/>
          <w:rtl/>
        </w:rPr>
        <w:t>סתירת ראיות מטעם בית המשפט סעיף 168:</w:t>
      </w:r>
      <w:r>
        <w:rPr>
          <w:rFonts w:ascii="David" w:hAnsi="David" w:cs="David" w:hint="cs"/>
          <w:sz w:val="24"/>
          <w:szCs w:val="24"/>
          <w:rtl/>
        </w:rPr>
        <w:t xml:space="preserve"> הובאו ראיות לפי סעיף 167, רשאים בעלי הדין ברשות בית המשפט להביא ראיות לסתור אותן. </w:t>
      </w:r>
    </w:p>
    <w:p w14:paraId="0874238F" w14:textId="384A4FF3" w:rsidR="00134739" w:rsidRDefault="00134739" w:rsidP="00F22ACB">
      <w:pPr>
        <w:spacing w:line="360" w:lineRule="auto"/>
        <w:jc w:val="both"/>
        <w:rPr>
          <w:rFonts w:ascii="David" w:hAnsi="David" w:cs="David"/>
          <w:sz w:val="24"/>
          <w:szCs w:val="24"/>
          <w:rtl/>
        </w:rPr>
      </w:pPr>
      <w:r>
        <w:rPr>
          <w:rFonts w:ascii="David" w:hAnsi="David" w:cs="David" w:hint="cs"/>
          <w:b/>
          <w:bCs/>
          <w:sz w:val="24"/>
          <w:szCs w:val="24"/>
          <w:rtl/>
        </w:rPr>
        <w:t>סיכומים לעניין האשמה סעיף 169:</w:t>
      </w:r>
      <w:r>
        <w:rPr>
          <w:rFonts w:ascii="David" w:hAnsi="David" w:cs="David" w:hint="cs"/>
          <w:sz w:val="24"/>
          <w:szCs w:val="24"/>
          <w:rtl/>
        </w:rPr>
        <w:t xml:space="preserve"> בתום הבאת הראיות, או </w:t>
      </w:r>
      <w:r w:rsidR="001C27FC">
        <w:rPr>
          <w:rFonts w:ascii="David" w:hAnsi="David" w:cs="David" w:hint="cs"/>
          <w:sz w:val="24"/>
          <w:szCs w:val="24"/>
          <w:rtl/>
        </w:rPr>
        <w:t xml:space="preserve">כאשר התקבלה הודיה בעובדות ולא הובאו ראיות, רשאים התובע ואחריו הנאשם להשמיע את סיכומיהם לעניין האשמה. </w:t>
      </w:r>
    </w:p>
    <w:p w14:paraId="5164071D" w14:textId="500606A8" w:rsidR="004C754E" w:rsidRDefault="004C754E" w:rsidP="004C754E">
      <w:pPr>
        <w:spacing w:line="360" w:lineRule="auto"/>
        <w:jc w:val="both"/>
        <w:rPr>
          <w:rFonts w:ascii="David" w:hAnsi="David" w:cs="David"/>
          <w:sz w:val="24"/>
          <w:szCs w:val="24"/>
          <w:rtl/>
        </w:rPr>
      </w:pPr>
      <w:r w:rsidRPr="004C754E">
        <w:rPr>
          <w:rFonts w:ascii="David" w:hAnsi="David" w:cs="David"/>
          <w:b/>
          <w:bCs/>
          <w:sz w:val="24"/>
          <w:szCs w:val="24"/>
          <w:rtl/>
        </w:rPr>
        <w:t>ע"פ 951/80 יצחק קניר נ' מדינת ישראל</w:t>
      </w:r>
      <w:r w:rsidRPr="004C754E">
        <w:rPr>
          <w:rFonts w:ascii="David" w:hAnsi="David" w:cs="David" w:hint="cs"/>
          <w:b/>
          <w:bCs/>
          <w:sz w:val="24"/>
          <w:szCs w:val="24"/>
          <w:rtl/>
        </w:rPr>
        <w:t>:</w:t>
      </w:r>
      <w:r>
        <w:rPr>
          <w:rFonts w:ascii="David" w:hAnsi="David" w:cs="David" w:hint="cs"/>
          <w:sz w:val="24"/>
          <w:szCs w:val="24"/>
          <w:rtl/>
        </w:rPr>
        <w:t xml:space="preserve"> </w:t>
      </w:r>
      <w:r w:rsidR="00CC794C">
        <w:rPr>
          <w:rFonts w:ascii="David" w:hAnsi="David" w:cs="David" w:hint="cs"/>
          <w:sz w:val="24"/>
          <w:szCs w:val="24"/>
          <w:rtl/>
        </w:rPr>
        <w:t>המערער הורשע בבית המשפט השלום בעבירות מכוח חוק הפיקוח על ה</w:t>
      </w:r>
      <w:r w:rsidR="00BF75C9">
        <w:rPr>
          <w:rFonts w:ascii="David" w:hAnsi="David" w:cs="David" w:hint="cs"/>
          <w:sz w:val="24"/>
          <w:szCs w:val="24"/>
          <w:rtl/>
        </w:rPr>
        <w:t xml:space="preserve">מטבע, לאחר שהשופט התיר למשיבה להגיש ראיה נוספת בתום סיכומי הצדדים. הראיה הייתה תעודת עובד ציבור המלמדת כי המערער הינו תושב </w:t>
      </w:r>
      <w:r w:rsidR="009F6CF3">
        <w:rPr>
          <w:rFonts w:ascii="David" w:hAnsi="David" w:cs="David" w:hint="cs"/>
          <w:sz w:val="24"/>
          <w:szCs w:val="24"/>
          <w:rtl/>
        </w:rPr>
        <w:t xml:space="preserve">ישראל. ערעור המערער למחוזי נדחה ומכך ערער לעליון בשאלה האם מותר לשופט מכוח סעיף 150 לחוק סדר הדין הפלילי, להרשות לצד להביא ראיות נוספות לאחר גמור הסיכומים. בית המשפט העליון פסק כי אין בסעיף 150 לחוק כל דבר האוסר הבאת ראיות נוספות במהלך הסיכומים או אפילו אחרי הסיכומים, כל עוד לא גמר בית המשפט את מלאכתו ולא נתן פסק דין. המגמה הברורה בפסקי הדין של העליון היא למנוע עיוות של הדין </w:t>
      </w:r>
      <w:r w:rsidR="0005419D">
        <w:rPr>
          <w:rFonts w:ascii="David" w:hAnsi="David" w:cs="David" w:hint="cs"/>
          <w:sz w:val="24"/>
          <w:szCs w:val="24"/>
          <w:rtl/>
        </w:rPr>
        <w:t xml:space="preserve">ומכך לא לחסום לחלוטין את הדרך להבאת ראיות נוספות. </w:t>
      </w:r>
    </w:p>
    <w:p w14:paraId="55250A36" w14:textId="467F550B" w:rsidR="00E34062" w:rsidRDefault="0005419D" w:rsidP="00E34062">
      <w:pPr>
        <w:spacing w:line="360" w:lineRule="auto"/>
        <w:jc w:val="both"/>
        <w:rPr>
          <w:rFonts w:ascii="David" w:hAnsi="David" w:cs="David"/>
          <w:sz w:val="24"/>
          <w:szCs w:val="24"/>
          <w:rtl/>
        </w:rPr>
      </w:pPr>
      <w:r>
        <w:rPr>
          <w:rFonts w:ascii="David" w:hAnsi="David" w:cs="David" w:hint="cs"/>
          <w:b/>
          <w:bCs/>
          <w:sz w:val="24"/>
          <w:szCs w:val="24"/>
          <w:rtl/>
        </w:rPr>
        <w:t>סעיף 184 לחוק סדר הדין הפלילי:</w:t>
      </w:r>
      <w:r>
        <w:rPr>
          <w:rFonts w:ascii="David" w:hAnsi="David" w:cs="David" w:hint="cs"/>
          <w:sz w:val="24"/>
          <w:szCs w:val="24"/>
          <w:rtl/>
        </w:rPr>
        <w:t xml:space="preserve"> בית המשפט רשאי להרשיע נאשם בעבירה </w:t>
      </w:r>
      <w:r w:rsidR="000A531C">
        <w:rPr>
          <w:rFonts w:ascii="David" w:hAnsi="David" w:cs="David" w:hint="cs"/>
          <w:sz w:val="24"/>
          <w:szCs w:val="24"/>
          <w:rtl/>
        </w:rPr>
        <w:t xml:space="preserve">שאשמתו נגלתה מן העובדות שהוכחו לפניו, אך אם עובדות אלה לא נטענו בכתב האישום ובלבד שניתנה לנאשם הזדמנות סבירה להתגונן. אולם, לא יוטל עליו </w:t>
      </w:r>
      <w:r w:rsidR="00E34062">
        <w:rPr>
          <w:rFonts w:ascii="David" w:hAnsi="David" w:cs="David" w:hint="cs"/>
          <w:sz w:val="24"/>
          <w:szCs w:val="24"/>
          <w:rtl/>
        </w:rPr>
        <w:t xml:space="preserve">בשל כך עונש חמור מזה שאפשר היה לטיל עליו, אילו הוכחו העובדות כפי שנטענו בכתב האישום. </w:t>
      </w:r>
    </w:p>
    <w:p w14:paraId="32696A38" w14:textId="6E135D7D" w:rsidR="00F872B9" w:rsidRDefault="00E34062" w:rsidP="003A5458">
      <w:pPr>
        <w:spacing w:line="360" w:lineRule="auto"/>
        <w:jc w:val="both"/>
        <w:rPr>
          <w:rFonts w:ascii="David" w:hAnsi="David" w:cs="David"/>
          <w:sz w:val="24"/>
          <w:szCs w:val="24"/>
          <w:rtl/>
        </w:rPr>
      </w:pPr>
      <w:r>
        <w:rPr>
          <w:rFonts w:ascii="David" w:hAnsi="David" w:cs="David" w:hint="cs"/>
          <w:b/>
          <w:bCs/>
          <w:sz w:val="24"/>
          <w:szCs w:val="24"/>
          <w:rtl/>
        </w:rPr>
        <w:t>סעיף 179 עד עוין:</w:t>
      </w:r>
      <w:r>
        <w:rPr>
          <w:rFonts w:ascii="David" w:hAnsi="David" w:cs="David" w:hint="cs"/>
          <w:sz w:val="24"/>
          <w:szCs w:val="24"/>
          <w:rtl/>
        </w:rPr>
        <w:t xml:space="preserve"> עד אשר שינה את עדותו</w:t>
      </w:r>
      <w:r w:rsidR="00C82597">
        <w:rPr>
          <w:rFonts w:ascii="David" w:hAnsi="David" w:cs="David" w:hint="cs"/>
          <w:sz w:val="24"/>
          <w:szCs w:val="24"/>
          <w:rtl/>
        </w:rPr>
        <w:t>, ניתן לחקור אותו באישור בית המשפט בחקירה הראשית, כאילו ה</w:t>
      </w:r>
      <w:r w:rsidR="003A5458">
        <w:rPr>
          <w:rFonts w:ascii="David" w:hAnsi="David" w:cs="David" w:hint="cs"/>
          <w:sz w:val="24"/>
          <w:szCs w:val="24"/>
          <w:rtl/>
        </w:rPr>
        <w:t xml:space="preserve">ייתה חקירה שכנגד. </w:t>
      </w:r>
    </w:p>
    <w:p w14:paraId="094559C2" w14:textId="421B4AD4" w:rsidR="00F872B9" w:rsidRDefault="00F718DC" w:rsidP="00AA35E3">
      <w:pPr>
        <w:spacing w:line="360" w:lineRule="auto"/>
        <w:jc w:val="center"/>
        <w:rPr>
          <w:rFonts w:ascii="David" w:hAnsi="David" w:cs="David"/>
          <w:sz w:val="24"/>
          <w:szCs w:val="24"/>
          <w:rtl/>
        </w:rPr>
      </w:pPr>
      <w:r>
        <w:rPr>
          <w:rFonts w:ascii="David" w:hAnsi="David" w:cs="David" w:hint="cs"/>
          <w:sz w:val="24"/>
          <w:szCs w:val="24"/>
          <w:u w:val="single"/>
          <w:shd w:val="clear" w:color="auto" w:fill="D0DDFC"/>
          <w:rtl/>
        </w:rPr>
        <w:t>הסדרי טיעון וזכויות נפגעי עבירה</w:t>
      </w:r>
      <w:r w:rsidRPr="00535BBA">
        <w:rPr>
          <w:rFonts w:ascii="David" w:hAnsi="David" w:cs="David" w:hint="cs"/>
          <w:sz w:val="24"/>
          <w:szCs w:val="24"/>
          <w:u w:val="single"/>
          <w:shd w:val="clear" w:color="auto" w:fill="D0DDFC"/>
          <w:rtl/>
        </w:rPr>
        <w:t>:</w:t>
      </w:r>
    </w:p>
    <w:p w14:paraId="66A568A2" w14:textId="4DA7C1B3" w:rsidR="00AA35E3" w:rsidRDefault="00AA35E3" w:rsidP="00AA35E3">
      <w:pPr>
        <w:spacing w:line="360" w:lineRule="auto"/>
        <w:jc w:val="both"/>
        <w:rPr>
          <w:rFonts w:ascii="David" w:hAnsi="David" w:cs="David"/>
          <w:sz w:val="24"/>
          <w:szCs w:val="24"/>
          <w:rtl/>
        </w:rPr>
      </w:pPr>
      <w:r w:rsidRPr="00AA35E3">
        <w:rPr>
          <w:rFonts w:ascii="David" w:hAnsi="David" w:cs="David" w:hint="cs"/>
          <w:b/>
          <w:bCs/>
          <w:sz w:val="24"/>
          <w:szCs w:val="24"/>
          <w:u w:val="single"/>
          <w:rtl/>
        </w:rPr>
        <w:t>הסדרי טיעון:</w:t>
      </w:r>
    </w:p>
    <w:p w14:paraId="3038B9F5" w14:textId="0C53409B" w:rsidR="00AA35E3" w:rsidRDefault="00AA35E3" w:rsidP="00AA35E3">
      <w:pPr>
        <w:spacing w:line="360" w:lineRule="auto"/>
        <w:jc w:val="both"/>
        <w:rPr>
          <w:rFonts w:ascii="David" w:hAnsi="David" w:cs="David"/>
          <w:sz w:val="24"/>
          <w:szCs w:val="24"/>
          <w:rtl/>
        </w:rPr>
      </w:pPr>
      <w:r>
        <w:rPr>
          <w:rFonts w:ascii="David" w:hAnsi="David" w:cs="David" w:hint="cs"/>
          <w:sz w:val="24"/>
          <w:szCs w:val="24"/>
          <w:rtl/>
        </w:rPr>
        <w:t xml:space="preserve">הסדר טיעון/עסקת טיעון, הוא הסכם הנערך במסגרת המשפט הפלילי, בין רשויות התביעה לנאשם. במסגרת ההסדר, הנאשם מודה בחלק מן האישומים המיוחסים לו ובתמורה התביעה מסירה חלק מן האישומים מתוך כתב האישום. לעיתים, ההסדר כולל הסכמה על חומרת העונש שיידרש בגין האישומים בהם הודה הנאשם. הסדר הטיעון מאפשר לתביעה ולנאשם להסכים על תוצאת המשפט הפלילי ובכך הוא "חוסך" את ניהול המשפט ומספק לצדדים וודאות באשר לתוצאותיו. </w:t>
      </w:r>
    </w:p>
    <w:p w14:paraId="2F45923A" w14:textId="2D3B8C8E" w:rsidR="00AA35E3" w:rsidRDefault="00AA35E3" w:rsidP="00AA35E3">
      <w:pPr>
        <w:spacing w:line="360" w:lineRule="auto"/>
        <w:jc w:val="both"/>
        <w:rPr>
          <w:rFonts w:ascii="David" w:hAnsi="David" w:cs="David"/>
          <w:sz w:val="24"/>
          <w:szCs w:val="24"/>
          <w:rtl/>
        </w:rPr>
      </w:pPr>
      <w:r>
        <w:rPr>
          <w:rFonts w:ascii="David" w:hAnsi="David" w:cs="David" w:hint="cs"/>
          <w:sz w:val="24"/>
          <w:szCs w:val="24"/>
          <w:rtl/>
        </w:rPr>
        <w:t xml:space="preserve">בלי הסדרי הטיעון מערכת המשפט תקרוס, מפני שהיא גם ככה נתונה בעומסים רבים. עולים מספר הסדרי טיעון: </w:t>
      </w:r>
    </w:p>
    <w:p w14:paraId="71308230" w14:textId="40CEA56C" w:rsidR="00AA35E3" w:rsidRDefault="00AA35E3" w:rsidP="00AA35E3">
      <w:pPr>
        <w:spacing w:line="360" w:lineRule="auto"/>
        <w:jc w:val="both"/>
        <w:rPr>
          <w:rFonts w:ascii="David" w:hAnsi="David" w:cs="David"/>
          <w:sz w:val="24"/>
          <w:szCs w:val="24"/>
          <w:rtl/>
        </w:rPr>
      </w:pPr>
      <w:r>
        <w:rPr>
          <w:rFonts w:ascii="David" w:hAnsi="David" w:cs="David" w:hint="cs"/>
          <w:sz w:val="24"/>
          <w:szCs w:val="24"/>
          <w:rtl/>
        </w:rPr>
        <w:t xml:space="preserve">(1) הסדר טיעון פתוח: הנאשם עובר על התיק עם עורך דינו ומבין את המשמעויות העולות מכך ולכן מגיע לאחר הידברות עם התביעה להסדר. </w:t>
      </w:r>
    </w:p>
    <w:p w14:paraId="69FE47EB" w14:textId="2B5AD5BB" w:rsidR="00F872B9" w:rsidRDefault="00AA35E3" w:rsidP="00AA35E3">
      <w:pPr>
        <w:spacing w:line="360" w:lineRule="auto"/>
        <w:jc w:val="both"/>
        <w:rPr>
          <w:rFonts w:ascii="David" w:hAnsi="David" w:cs="David"/>
          <w:sz w:val="24"/>
          <w:szCs w:val="24"/>
          <w:rtl/>
        </w:rPr>
      </w:pPr>
      <w:r>
        <w:rPr>
          <w:rFonts w:ascii="David" w:hAnsi="David" w:cs="David" w:hint="cs"/>
          <w:sz w:val="24"/>
          <w:szCs w:val="24"/>
          <w:rtl/>
        </w:rPr>
        <w:t>(2) הסדר טיעון סגור: הסנגור והתביעה מגיעים להסדר על סט של עבירות ואפילו על העונש, הם מגיעים פני שופט לצורך</w:t>
      </w:r>
      <w:r>
        <w:rPr>
          <w:rFonts w:ascii="David" w:hAnsi="David" w:cs="David" w:hint="cs"/>
          <w:sz w:val="24"/>
          <w:szCs w:val="24"/>
        </w:rPr>
        <w:t xml:space="preserve"> </w:t>
      </w:r>
      <w:r>
        <w:rPr>
          <w:rFonts w:ascii="David" w:hAnsi="David" w:cs="David" w:hint="cs"/>
          <w:sz w:val="24"/>
          <w:szCs w:val="24"/>
          <w:rtl/>
        </w:rPr>
        <w:t xml:space="preserve"> "חותמת גומי" המאשרת זאת. </w:t>
      </w:r>
    </w:p>
    <w:p w14:paraId="0A76EE3B" w14:textId="6D91CA5D" w:rsidR="00AA35E3" w:rsidRDefault="00AA35E3" w:rsidP="00AA35E3">
      <w:pPr>
        <w:spacing w:line="360" w:lineRule="auto"/>
        <w:jc w:val="both"/>
        <w:rPr>
          <w:rFonts w:ascii="David" w:hAnsi="David" w:cs="David"/>
          <w:sz w:val="24"/>
          <w:szCs w:val="24"/>
          <w:rtl/>
        </w:rPr>
      </w:pPr>
      <w:r>
        <w:rPr>
          <w:rFonts w:ascii="David" w:hAnsi="David" w:cs="David" w:hint="cs"/>
          <w:sz w:val="24"/>
          <w:szCs w:val="24"/>
          <w:u w:val="single"/>
          <w:rtl/>
        </w:rPr>
        <w:t>האם בית המשפט מחוייב להסדר הטיעון?</w:t>
      </w:r>
      <w:r>
        <w:rPr>
          <w:rFonts w:ascii="David" w:hAnsi="David" w:cs="David" w:hint="cs"/>
          <w:sz w:val="24"/>
          <w:szCs w:val="24"/>
          <w:rtl/>
        </w:rPr>
        <w:t xml:space="preserve"> לא, מפני שהוא לא מהווה צד לעניין ולכן לא מחוייב לקבל אותו. במצב כזה, השופט </w:t>
      </w:r>
      <w:r>
        <w:rPr>
          <w:rFonts w:ascii="David" w:hAnsi="David" w:cs="David" w:hint="cs"/>
          <w:b/>
          <w:bCs/>
          <w:sz w:val="24"/>
          <w:szCs w:val="24"/>
          <w:rtl/>
        </w:rPr>
        <w:t>אמור</w:t>
      </w:r>
      <w:r>
        <w:rPr>
          <w:rFonts w:ascii="David" w:hAnsi="David" w:cs="David" w:hint="cs"/>
          <w:sz w:val="24"/>
          <w:szCs w:val="24"/>
          <w:rtl/>
        </w:rPr>
        <w:t xml:space="preserve"> להגיד זאת לנתבע, בכדי שבמידה והוא חושש שמא השופט לא יכבד והעונש יהיה חמור יותר, הוא לא יודה באשמתו. במצבים בהם בית המשפט לא מכבר את הסדר הטיעון, לרוב יעלה ערעור והעניין יתהפך חזרה אל הסדר הטיעון בערכאת הערעור. </w:t>
      </w:r>
    </w:p>
    <w:p w14:paraId="36566AED" w14:textId="228F9D72" w:rsidR="00C24F1F" w:rsidRDefault="00D16EDA" w:rsidP="00C24F1F">
      <w:pPr>
        <w:spacing w:line="360" w:lineRule="auto"/>
        <w:jc w:val="both"/>
        <w:rPr>
          <w:rFonts w:ascii="David" w:hAnsi="David" w:cs="David"/>
          <w:sz w:val="24"/>
          <w:szCs w:val="24"/>
          <w:rtl/>
        </w:rPr>
      </w:pPr>
      <w:r>
        <w:rPr>
          <w:rFonts w:ascii="David" w:hAnsi="David" w:cs="David" w:hint="cs"/>
          <w:sz w:val="24"/>
          <w:szCs w:val="24"/>
          <w:u w:val="single"/>
          <w:rtl/>
        </w:rPr>
        <w:t>האם למתלונן יש זכות הבעת עמדה בכל הנוגע להסדר הטיעון?</w:t>
      </w:r>
      <w:r>
        <w:rPr>
          <w:rFonts w:ascii="David" w:hAnsi="David" w:cs="David" w:hint="cs"/>
          <w:sz w:val="24"/>
          <w:szCs w:val="24"/>
          <w:rtl/>
        </w:rPr>
        <w:t xml:space="preserve"> כן, סעיף 17 לחוק זכויות נפגעי העבירה קובע כי בכל הנוגע לעבירות מין ועבירות חמורות, עולה החובה לשמוע את עמדת הקורבן לפני ההגעה להסדר הטיעון. אך עמדת הקורבן אינה מחייבת, מפני שהיא עלולה להעלות התנגדות כוללת לכל הסדר טיעון. </w:t>
      </w:r>
    </w:p>
    <w:p w14:paraId="2CA16EB1" w14:textId="77777777" w:rsidR="0063743C" w:rsidRPr="0063743C" w:rsidRDefault="0063743C" w:rsidP="0063743C">
      <w:pPr>
        <w:spacing w:line="360" w:lineRule="auto"/>
        <w:jc w:val="both"/>
        <w:rPr>
          <w:rFonts w:ascii="David" w:hAnsi="David" w:cs="David"/>
          <w:b/>
          <w:bCs/>
          <w:sz w:val="24"/>
          <w:szCs w:val="24"/>
          <w:rtl/>
        </w:rPr>
      </w:pPr>
      <w:r>
        <w:rPr>
          <w:rFonts w:ascii="David" w:hAnsi="David" w:cs="David" w:hint="cs"/>
          <w:b/>
          <w:bCs/>
          <w:sz w:val="24"/>
          <w:szCs w:val="24"/>
          <w:rtl/>
        </w:rPr>
        <w:t>משמעות הסדר הטיעון:</w:t>
      </w:r>
    </w:p>
    <w:p w14:paraId="2A4B7A59" w14:textId="1D19255B" w:rsidR="0063743C" w:rsidRPr="0063743C" w:rsidRDefault="0063743C" w:rsidP="00C24F1F">
      <w:pPr>
        <w:spacing w:line="360" w:lineRule="auto"/>
        <w:jc w:val="both"/>
        <w:rPr>
          <w:rFonts w:ascii="David" w:hAnsi="David" w:cs="David"/>
          <w:sz w:val="24"/>
          <w:szCs w:val="24"/>
          <w:rtl/>
        </w:rPr>
      </w:pPr>
      <w:r>
        <w:rPr>
          <w:rFonts w:ascii="David" w:hAnsi="David" w:cs="David" w:hint="cs"/>
          <w:sz w:val="24"/>
          <w:szCs w:val="24"/>
          <w:rtl/>
        </w:rPr>
        <w:t xml:space="preserve">הסדר הטיעון בעל משמעויות רבות לנפגע העבירה, במצבים מסויימים העניין עשוי לבוא "לטובתו" </w:t>
      </w:r>
      <w:r>
        <w:rPr>
          <w:rFonts w:ascii="David" w:hAnsi="David" w:cs="David"/>
          <w:sz w:val="24"/>
          <w:szCs w:val="24"/>
          <w:rtl/>
        </w:rPr>
        <w:t>–</w:t>
      </w:r>
      <w:r>
        <w:rPr>
          <w:rFonts w:ascii="David" w:hAnsi="David" w:cs="David" w:hint="cs"/>
          <w:sz w:val="24"/>
          <w:szCs w:val="24"/>
          <w:rtl/>
        </w:rPr>
        <w:t xml:space="preserve"> או לכל הפחות למה שהוא רואה כטובתו (נניח </w:t>
      </w:r>
      <w:r w:rsidRPr="003E1AD0">
        <w:rPr>
          <w:rFonts w:ascii="David" w:hAnsi="David" w:cs="David" w:hint="cs"/>
          <w:b/>
          <w:bCs/>
          <w:sz w:val="24"/>
          <w:szCs w:val="24"/>
          <w:rtl/>
        </w:rPr>
        <w:t>במקרי גניבה</w:t>
      </w:r>
      <w:r>
        <w:rPr>
          <w:rFonts w:ascii="David" w:hAnsi="David" w:cs="David" w:hint="cs"/>
          <w:sz w:val="24"/>
          <w:szCs w:val="24"/>
          <w:rtl/>
        </w:rPr>
        <w:t xml:space="preserve"> והחזרה חלקית של הנכסים). אך במצבים אחרים, ההסדר עשוי לבוא בניגוד לרצון </w:t>
      </w:r>
      <w:r w:rsidR="00144E54">
        <w:rPr>
          <w:rFonts w:ascii="David" w:hAnsi="David" w:cs="David" w:hint="cs"/>
          <w:sz w:val="24"/>
          <w:szCs w:val="24"/>
          <w:rtl/>
        </w:rPr>
        <w:t xml:space="preserve">נפגע העבירה או משפחתו, מפני שהנאשם "יוצא" עם עונש קל יותר (מקרים של תאונות דרכים כמו המקרה של </w:t>
      </w:r>
      <w:r w:rsidR="00144E54" w:rsidRPr="003E1AD0">
        <w:rPr>
          <w:rFonts w:ascii="David" w:hAnsi="David" w:cs="David" w:hint="cs"/>
          <w:b/>
          <w:bCs/>
          <w:sz w:val="24"/>
          <w:szCs w:val="24"/>
          <w:rtl/>
        </w:rPr>
        <w:t>שחר גרינשפן</w:t>
      </w:r>
      <w:r w:rsidR="00144E54">
        <w:rPr>
          <w:rFonts w:ascii="David" w:hAnsi="David" w:cs="David" w:hint="cs"/>
          <w:sz w:val="24"/>
          <w:szCs w:val="24"/>
          <w:rtl/>
        </w:rPr>
        <w:t>)</w:t>
      </w:r>
      <w:r w:rsidR="00A75DC9">
        <w:rPr>
          <w:rFonts w:ascii="David" w:hAnsi="David" w:cs="David" w:hint="cs"/>
          <w:sz w:val="24"/>
          <w:szCs w:val="24"/>
          <w:rtl/>
        </w:rPr>
        <w:t xml:space="preserve">. אך חשוב לזכור, כי הסדרים אלו עשויים לעזור בהרשעת "העבריין הראשי". כלומר, במצבים כמו המקרה </w:t>
      </w:r>
      <w:r w:rsidR="00DA0991">
        <w:rPr>
          <w:rFonts w:ascii="David" w:hAnsi="David" w:cs="David" w:hint="cs"/>
          <w:sz w:val="24"/>
          <w:szCs w:val="24"/>
          <w:rtl/>
        </w:rPr>
        <w:t xml:space="preserve">של </w:t>
      </w:r>
      <w:r w:rsidR="00DA0991" w:rsidRPr="003E1AD0">
        <w:rPr>
          <w:rFonts w:ascii="David" w:hAnsi="David" w:cs="David" w:hint="cs"/>
          <w:b/>
          <w:bCs/>
          <w:sz w:val="24"/>
          <w:szCs w:val="24"/>
          <w:rtl/>
        </w:rPr>
        <w:t>אליאור חן</w:t>
      </w:r>
      <w:r w:rsidR="00DA0991">
        <w:rPr>
          <w:rFonts w:ascii="David" w:hAnsi="David" w:cs="David" w:hint="cs"/>
          <w:sz w:val="24"/>
          <w:szCs w:val="24"/>
          <w:rtl/>
        </w:rPr>
        <w:t xml:space="preserve"> (חסידות/כת אשר מנהיגה נהג באלימות קשה מול ילדים)</w:t>
      </w:r>
      <w:r w:rsidR="007C7093">
        <w:rPr>
          <w:rFonts w:ascii="David" w:hAnsi="David" w:cs="David" w:hint="cs"/>
          <w:sz w:val="24"/>
          <w:szCs w:val="24"/>
          <w:rtl/>
        </w:rPr>
        <w:t>, הסדר הטיעון עם אחד המבצעים, אך לא המבצע "המשמעותי" (אליאור חן בעצמו במקרה זה), עשוי לעזור ולהוביל לעדויות אשר יעזרו בהרשעת אותו אדם אשר אנו מעוניינים בהרשעתו. במקרה של אליאור חן, הסדר הטיעון היה עם האם ה</w:t>
      </w:r>
      <w:r w:rsidR="00F64E8E">
        <w:rPr>
          <w:rFonts w:ascii="David" w:hAnsi="David" w:cs="David" w:hint="cs"/>
          <w:sz w:val="24"/>
          <w:szCs w:val="24"/>
          <w:rtl/>
        </w:rPr>
        <w:t xml:space="preserve">אלימה, מתוך המטרה שתעיד נגדו והוא יורשע. </w:t>
      </w:r>
    </w:p>
    <w:p w14:paraId="766E190E" w14:textId="7EDAC884" w:rsidR="00AA35E3" w:rsidRDefault="00C24F1F" w:rsidP="00C24F1F">
      <w:pPr>
        <w:spacing w:line="360" w:lineRule="auto"/>
        <w:jc w:val="both"/>
        <w:rPr>
          <w:rFonts w:ascii="David" w:hAnsi="David" w:cs="David"/>
          <w:sz w:val="24"/>
          <w:szCs w:val="24"/>
          <w:rtl/>
        </w:rPr>
      </w:pPr>
      <w:r>
        <w:rPr>
          <w:rFonts w:ascii="David" w:hAnsi="David" w:cs="David" w:hint="cs"/>
          <w:sz w:val="24"/>
          <w:szCs w:val="24"/>
          <w:u w:val="single"/>
          <w:rtl/>
        </w:rPr>
        <w:t>חנינה: סעיף 20 לחוק זכויות נפגעי עבירה:</w:t>
      </w:r>
      <w:r>
        <w:rPr>
          <w:rFonts w:ascii="David" w:hAnsi="David" w:cs="David" w:hint="cs"/>
          <w:sz w:val="24"/>
          <w:szCs w:val="24"/>
          <w:rtl/>
        </w:rPr>
        <w:t xml:space="preserve"> בכל הנוגע לחנינה, יש לשמוע את עמדת הקורבן לפני קבלת ההחלטה. </w:t>
      </w:r>
    </w:p>
    <w:p w14:paraId="55EFEEF7" w14:textId="1B1F1509" w:rsidR="00AA506B" w:rsidRDefault="00AA506B" w:rsidP="005B0653">
      <w:pPr>
        <w:spacing w:line="360" w:lineRule="auto"/>
        <w:jc w:val="center"/>
        <w:rPr>
          <w:rFonts w:ascii="David" w:hAnsi="David" w:cs="David"/>
          <w:sz w:val="24"/>
          <w:szCs w:val="24"/>
          <w:rtl/>
        </w:rPr>
      </w:pPr>
      <w:r>
        <w:rPr>
          <w:rFonts w:ascii="David" w:hAnsi="David" w:cs="David" w:hint="cs"/>
          <w:sz w:val="24"/>
          <w:szCs w:val="24"/>
          <w:u w:val="single"/>
          <w:shd w:val="clear" w:color="auto" w:fill="D0DDFC"/>
          <w:rtl/>
        </w:rPr>
        <w:t>ענישה</w:t>
      </w:r>
      <w:r>
        <w:rPr>
          <w:rFonts w:ascii="David" w:hAnsi="David" w:cs="David" w:hint="cs"/>
          <w:sz w:val="24"/>
          <w:szCs w:val="24"/>
          <w:u w:val="single"/>
          <w:shd w:val="clear" w:color="auto" w:fill="D0DDFC"/>
          <w:rtl/>
        </w:rPr>
        <w:t>:</w:t>
      </w:r>
    </w:p>
    <w:p w14:paraId="6D113446" w14:textId="5296B81E" w:rsidR="005B0653" w:rsidRDefault="005B0653" w:rsidP="005B0653">
      <w:pPr>
        <w:spacing w:line="360" w:lineRule="auto"/>
        <w:jc w:val="both"/>
        <w:rPr>
          <w:rFonts w:ascii="David" w:hAnsi="David" w:cs="David"/>
          <w:sz w:val="24"/>
          <w:szCs w:val="24"/>
          <w:rtl/>
        </w:rPr>
      </w:pPr>
      <w:r>
        <w:rPr>
          <w:rFonts w:ascii="David" w:hAnsi="David" w:cs="David" w:hint="cs"/>
          <w:sz w:val="24"/>
          <w:szCs w:val="24"/>
          <w:rtl/>
        </w:rPr>
        <w:t>הענישה יכולה לכלול מאסר בפועל, מאסר על תנאי</w:t>
      </w:r>
      <w:r w:rsidR="005401E9">
        <w:rPr>
          <w:rFonts w:ascii="David" w:hAnsi="David" w:cs="David" w:hint="cs"/>
          <w:sz w:val="24"/>
          <w:szCs w:val="24"/>
          <w:rtl/>
        </w:rPr>
        <w:t xml:space="preserve"> ו</w:t>
      </w:r>
      <w:r>
        <w:rPr>
          <w:rFonts w:ascii="David" w:hAnsi="David" w:cs="David" w:hint="cs"/>
          <w:sz w:val="24"/>
          <w:szCs w:val="24"/>
          <w:rtl/>
        </w:rPr>
        <w:t>עבודות שירות עד 9 חודשים</w:t>
      </w:r>
      <w:r w:rsidR="005401E9">
        <w:rPr>
          <w:rFonts w:ascii="David" w:hAnsi="David" w:cs="David" w:hint="cs"/>
          <w:sz w:val="24"/>
          <w:szCs w:val="24"/>
          <w:rtl/>
        </w:rPr>
        <w:t xml:space="preserve">. השופט פלאח בפסק דין תמר </w:t>
      </w:r>
      <w:r w:rsidR="004D2560">
        <w:rPr>
          <w:rFonts w:ascii="David" w:hAnsi="David" w:cs="David" w:hint="cs"/>
          <w:sz w:val="24"/>
          <w:szCs w:val="24"/>
          <w:rtl/>
        </w:rPr>
        <w:t>ייצר "ענישה חדשה" אשר נידונה בעליון (פעמיים) ולבסוף התקבלה. הלכה זו קובעת כי ניתן לקבוע אשמה גם ללא הרשעה וכך לקבוע מה יהיה "הפיצוי" וזאת על ידי 2 תנאים: (1) סוג העבירה מאפשר וויתור על ההרשעה</w:t>
      </w:r>
      <w:r w:rsidR="00381A75">
        <w:rPr>
          <w:rFonts w:ascii="David" w:hAnsi="David" w:cs="David" w:hint="cs"/>
          <w:sz w:val="24"/>
          <w:szCs w:val="24"/>
          <w:rtl/>
        </w:rPr>
        <w:t xml:space="preserve">, (2) עצם ההרשעה תפגע בשיקום האדם. עניין זה הוא חידוש המסתמך על הליך דומה אשר קיים בהסתכלות על </w:t>
      </w:r>
      <w:r w:rsidR="006F1A7D">
        <w:rPr>
          <w:rFonts w:ascii="David" w:hAnsi="David" w:cs="David" w:hint="cs"/>
          <w:sz w:val="24"/>
          <w:szCs w:val="24"/>
          <w:rtl/>
        </w:rPr>
        <w:t xml:space="preserve">תאגידים בינלאומיים, אשר עולה חשש לשמם הטוב. </w:t>
      </w:r>
    </w:p>
    <w:p w14:paraId="6A80AB26" w14:textId="77777777" w:rsidR="006F1A7D" w:rsidRDefault="006F1A7D" w:rsidP="005B0653">
      <w:pPr>
        <w:spacing w:line="360" w:lineRule="auto"/>
        <w:jc w:val="both"/>
        <w:rPr>
          <w:rFonts w:ascii="David" w:hAnsi="David" w:cs="David"/>
          <w:sz w:val="24"/>
          <w:szCs w:val="24"/>
          <w:rtl/>
        </w:rPr>
      </w:pPr>
    </w:p>
    <w:p w14:paraId="0FB954E3" w14:textId="23BD710D" w:rsidR="00F872B9" w:rsidRDefault="0059423F" w:rsidP="0059423F">
      <w:pPr>
        <w:spacing w:line="360" w:lineRule="auto"/>
        <w:jc w:val="center"/>
        <w:rPr>
          <w:rFonts w:ascii="David" w:hAnsi="David" w:cs="David"/>
          <w:sz w:val="24"/>
          <w:szCs w:val="24"/>
          <w:rtl/>
        </w:rPr>
      </w:pPr>
      <w:r>
        <w:rPr>
          <w:rFonts w:ascii="David" w:hAnsi="David" w:cs="David" w:hint="cs"/>
          <w:sz w:val="24"/>
          <w:szCs w:val="24"/>
          <w:u w:val="single"/>
          <w:shd w:val="clear" w:color="auto" w:fill="D0DDFC"/>
          <w:rtl/>
        </w:rPr>
        <w:t>תיקי תעבורה:</w:t>
      </w:r>
    </w:p>
    <w:p w14:paraId="579CF88B" w14:textId="04E73C4F" w:rsidR="0059423F" w:rsidRDefault="0059423F" w:rsidP="0059423F">
      <w:pPr>
        <w:spacing w:line="360" w:lineRule="auto"/>
        <w:jc w:val="both"/>
        <w:rPr>
          <w:rFonts w:ascii="David" w:hAnsi="David" w:cs="David"/>
          <w:sz w:val="24"/>
          <w:szCs w:val="24"/>
          <w:rtl/>
        </w:rPr>
      </w:pPr>
      <w:r>
        <w:rPr>
          <w:rFonts w:ascii="David" w:hAnsi="David" w:cs="David" w:hint="cs"/>
          <w:b/>
          <w:bCs/>
          <w:sz w:val="24"/>
          <w:szCs w:val="24"/>
          <w:u w:val="single"/>
          <w:rtl/>
        </w:rPr>
        <w:t>מערך תביעות תעבורה:</w:t>
      </w:r>
      <w:r w:rsidR="004E7696">
        <w:rPr>
          <w:rFonts w:ascii="David" w:hAnsi="David" w:cs="David" w:hint="cs"/>
          <w:sz w:val="24"/>
          <w:szCs w:val="24"/>
          <w:rtl/>
        </w:rPr>
        <w:t xml:space="preserve"> </w:t>
      </w:r>
    </w:p>
    <w:p w14:paraId="69BBCBE4" w14:textId="06F58977" w:rsidR="004E7696" w:rsidRDefault="004E7696" w:rsidP="0059423F">
      <w:pPr>
        <w:spacing w:line="360" w:lineRule="auto"/>
        <w:jc w:val="both"/>
        <w:rPr>
          <w:rFonts w:ascii="David" w:hAnsi="David" w:cs="David"/>
          <w:sz w:val="24"/>
          <w:szCs w:val="24"/>
          <w:rtl/>
        </w:rPr>
      </w:pPr>
      <w:r>
        <w:rPr>
          <w:rFonts w:ascii="David" w:hAnsi="David" w:cs="David" w:hint="cs"/>
          <w:sz w:val="24"/>
          <w:szCs w:val="24"/>
          <w:rtl/>
        </w:rPr>
        <w:t xml:space="preserve">נפגע העבירה בתעבודה הוא הציבור. </w:t>
      </w:r>
    </w:p>
    <w:p w14:paraId="1BC9AEB5" w14:textId="656CB717" w:rsidR="004E7696" w:rsidRDefault="004E7696" w:rsidP="004E7696">
      <w:pPr>
        <w:spacing w:line="360" w:lineRule="auto"/>
        <w:jc w:val="both"/>
        <w:rPr>
          <w:rFonts w:ascii="David" w:hAnsi="David" w:cs="David"/>
          <w:sz w:val="24"/>
          <w:szCs w:val="24"/>
          <w:rtl/>
        </w:rPr>
      </w:pPr>
      <w:r>
        <w:rPr>
          <w:rFonts w:ascii="David" w:hAnsi="David" w:cs="David" w:hint="cs"/>
          <w:sz w:val="24"/>
          <w:szCs w:val="24"/>
          <w:rtl/>
        </w:rPr>
        <w:t xml:space="preserve">חטיבת זו מונה כ 120 תובעים ו50 מש"קים בפריסה ארצית מצפת ועד אילת. </w:t>
      </w:r>
    </w:p>
    <w:p w14:paraId="004E934B" w14:textId="18CADD68" w:rsidR="00DB13E8" w:rsidRDefault="00DB13E8" w:rsidP="004E7696">
      <w:pPr>
        <w:spacing w:line="360" w:lineRule="auto"/>
        <w:jc w:val="both"/>
        <w:rPr>
          <w:rFonts w:ascii="David" w:hAnsi="David" w:cs="David"/>
          <w:sz w:val="24"/>
          <w:szCs w:val="24"/>
          <w:rtl/>
        </w:rPr>
      </w:pPr>
      <w:r>
        <w:rPr>
          <w:rFonts w:ascii="David" w:hAnsi="David" w:cs="David" w:hint="cs"/>
          <w:sz w:val="24"/>
          <w:szCs w:val="24"/>
          <w:u w:val="single"/>
          <w:rtl/>
        </w:rPr>
        <w:t>4 עבירות בהן חטיבה זו לא מטפלת:</w:t>
      </w:r>
      <w:r>
        <w:rPr>
          <w:rFonts w:ascii="David" w:hAnsi="David" w:cs="David" w:hint="cs"/>
          <w:sz w:val="24"/>
          <w:szCs w:val="24"/>
          <w:rtl/>
        </w:rPr>
        <w:t xml:space="preserve"> </w:t>
      </w:r>
    </w:p>
    <w:p w14:paraId="757EFD4E" w14:textId="32AD901A" w:rsidR="00DB13E8" w:rsidRDefault="00DB13E8" w:rsidP="00DB13E8">
      <w:pPr>
        <w:spacing w:line="360" w:lineRule="auto"/>
        <w:jc w:val="both"/>
        <w:rPr>
          <w:rFonts w:ascii="David" w:hAnsi="David" w:cs="David"/>
          <w:sz w:val="24"/>
          <w:szCs w:val="24"/>
          <w:rtl/>
        </w:rPr>
      </w:pPr>
      <w:r>
        <w:rPr>
          <w:rFonts w:ascii="David" w:hAnsi="David" w:cs="David" w:hint="cs"/>
          <w:sz w:val="24"/>
          <w:szCs w:val="24"/>
          <w:rtl/>
        </w:rPr>
        <w:t xml:space="preserve">(1) פגע וברח, (2) תאונות קטלניות, (3) סיכון חיי אדם בנתיב תחבורה, (4) הפקרה. </w:t>
      </w:r>
    </w:p>
    <w:p w14:paraId="46F57988" w14:textId="7A444A80" w:rsidR="00DB13E8" w:rsidRDefault="00DB13E8" w:rsidP="00DB13E8">
      <w:pPr>
        <w:spacing w:line="360" w:lineRule="auto"/>
        <w:jc w:val="both"/>
        <w:rPr>
          <w:rFonts w:ascii="David" w:hAnsi="David" w:cs="David"/>
          <w:sz w:val="24"/>
          <w:szCs w:val="24"/>
          <w:rtl/>
        </w:rPr>
      </w:pPr>
      <w:r>
        <w:rPr>
          <w:rFonts w:ascii="David" w:hAnsi="David" w:cs="David" w:hint="cs"/>
          <w:sz w:val="24"/>
          <w:szCs w:val="24"/>
          <w:rtl/>
        </w:rPr>
        <w:t>שאר ה</w:t>
      </w:r>
      <w:r w:rsidR="001F2185">
        <w:rPr>
          <w:rFonts w:ascii="David" w:hAnsi="David" w:cs="David" w:hint="cs"/>
          <w:sz w:val="24"/>
          <w:szCs w:val="24"/>
          <w:rtl/>
        </w:rPr>
        <w:t xml:space="preserve">עבירות יטופלו על ידי המשטרה: סמים, נהיגה בשכרות וסכנה. </w:t>
      </w:r>
    </w:p>
    <w:p w14:paraId="595A8443" w14:textId="785C0ACB" w:rsidR="001F2185" w:rsidRDefault="001F2185" w:rsidP="00DB13E8">
      <w:pPr>
        <w:spacing w:line="360" w:lineRule="auto"/>
        <w:jc w:val="both"/>
        <w:rPr>
          <w:rFonts w:ascii="David" w:hAnsi="David" w:cs="David"/>
          <w:sz w:val="24"/>
          <w:szCs w:val="24"/>
          <w:rtl/>
        </w:rPr>
      </w:pPr>
      <w:r>
        <w:rPr>
          <w:rFonts w:ascii="David" w:hAnsi="David" w:cs="David" w:hint="cs"/>
          <w:sz w:val="24"/>
          <w:szCs w:val="24"/>
          <w:u w:val="single"/>
          <w:rtl/>
        </w:rPr>
        <w:t>הבסיס הנורמטיבי:</w:t>
      </w:r>
      <w:r>
        <w:rPr>
          <w:rFonts w:ascii="David" w:hAnsi="David" w:cs="David" w:hint="cs"/>
          <w:sz w:val="24"/>
          <w:szCs w:val="24"/>
          <w:rtl/>
        </w:rPr>
        <w:t xml:space="preserve"> פקודת התעבורה, תקנות התעבורה ודיני התעבורה הכפופים לחוק העונשין. </w:t>
      </w:r>
    </w:p>
    <w:p w14:paraId="51CA5FB3" w14:textId="72116ED1" w:rsidR="001F2185" w:rsidRDefault="00604BCF" w:rsidP="00DB13E8">
      <w:pPr>
        <w:spacing w:line="360" w:lineRule="auto"/>
        <w:jc w:val="both"/>
        <w:rPr>
          <w:rFonts w:ascii="David" w:hAnsi="David" w:cs="David"/>
          <w:sz w:val="24"/>
          <w:szCs w:val="24"/>
          <w:rtl/>
        </w:rPr>
      </w:pPr>
      <w:r>
        <w:rPr>
          <w:rFonts w:ascii="David" w:hAnsi="David" w:cs="David" w:hint="cs"/>
          <w:sz w:val="24"/>
          <w:szCs w:val="24"/>
          <w:u w:val="single"/>
          <w:rtl/>
        </w:rPr>
        <w:t>רישום תעבורתי:</w:t>
      </w:r>
      <w:r>
        <w:rPr>
          <w:rFonts w:ascii="David" w:hAnsi="David" w:cs="David" w:hint="cs"/>
          <w:sz w:val="24"/>
          <w:szCs w:val="24"/>
          <w:rtl/>
        </w:rPr>
        <w:t xml:space="preserve"> רישום המתעד את כל עבירות התעבורה ועבירות בעלות זיקה לדין הפלילי (בנוסף לרישום הפלילי). הסיבה לקיום רישום נפרד זה עולב במצבים בהם עולות 2 עבירות </w:t>
      </w:r>
      <w:r>
        <w:rPr>
          <w:rFonts w:ascii="David" w:hAnsi="David" w:cs="David"/>
          <w:sz w:val="24"/>
          <w:szCs w:val="24"/>
          <w:rtl/>
        </w:rPr>
        <w:t>–</w:t>
      </w:r>
      <w:r>
        <w:rPr>
          <w:rFonts w:ascii="David" w:hAnsi="David" w:cs="David" w:hint="cs"/>
          <w:sz w:val="24"/>
          <w:szCs w:val="24"/>
          <w:rtl/>
        </w:rPr>
        <w:t xml:space="preserve"> האחת תעבורה והשנייה "רגילה" </w:t>
      </w:r>
      <w:r>
        <w:rPr>
          <w:rFonts w:ascii="David" w:hAnsi="David" w:cs="David" w:hint="cs"/>
          <w:b/>
          <w:bCs/>
          <w:sz w:val="24"/>
          <w:szCs w:val="24"/>
          <w:rtl/>
        </w:rPr>
        <w:t xml:space="preserve">לדוגמה, אדם </w:t>
      </w:r>
      <w:r w:rsidR="00CD4D34">
        <w:rPr>
          <w:rFonts w:ascii="David" w:hAnsi="David" w:cs="David" w:hint="cs"/>
          <w:b/>
          <w:bCs/>
          <w:sz w:val="24"/>
          <w:szCs w:val="24"/>
          <w:rtl/>
        </w:rPr>
        <w:t xml:space="preserve">הנוהג תחת השפעת סמים וגם מחזיק בסמים </w:t>
      </w:r>
      <w:r w:rsidR="00CD4D34">
        <w:rPr>
          <w:rFonts w:ascii="David" w:hAnsi="David" w:cs="David"/>
          <w:b/>
          <w:bCs/>
          <w:sz w:val="24"/>
          <w:szCs w:val="24"/>
          <w:rtl/>
        </w:rPr>
        <w:t>–</w:t>
      </w:r>
      <w:r w:rsidR="00CD4D34">
        <w:rPr>
          <w:rFonts w:ascii="David" w:hAnsi="David" w:cs="David" w:hint="cs"/>
          <w:b/>
          <w:bCs/>
          <w:sz w:val="24"/>
          <w:szCs w:val="24"/>
          <w:rtl/>
        </w:rPr>
        <w:t xml:space="preserve"> </w:t>
      </w:r>
      <w:r w:rsidR="00CD4D34">
        <w:rPr>
          <w:rFonts w:ascii="David" w:hAnsi="David" w:cs="David" w:hint="cs"/>
          <w:sz w:val="24"/>
          <w:szCs w:val="24"/>
          <w:rtl/>
        </w:rPr>
        <w:t xml:space="preserve">הרישום יהיה כפול, גם פלילי וגם תעבורתי. </w:t>
      </w:r>
    </w:p>
    <w:p w14:paraId="0DCCD0B5" w14:textId="685A348F" w:rsidR="00CD4D34" w:rsidRDefault="00CD4D34" w:rsidP="00DB13E8">
      <w:pPr>
        <w:spacing w:line="360" w:lineRule="auto"/>
        <w:jc w:val="both"/>
        <w:rPr>
          <w:rFonts w:ascii="David" w:hAnsi="David" w:cs="David"/>
          <w:sz w:val="24"/>
          <w:szCs w:val="24"/>
          <w:rtl/>
        </w:rPr>
      </w:pPr>
      <w:r>
        <w:rPr>
          <w:rFonts w:ascii="David" w:hAnsi="David" w:cs="David" w:hint="cs"/>
          <w:b/>
          <w:bCs/>
          <w:sz w:val="24"/>
          <w:szCs w:val="24"/>
          <w:rtl/>
        </w:rPr>
        <w:t>עבירת אחריות קפידה:</w:t>
      </w:r>
      <w:r>
        <w:rPr>
          <w:rFonts w:ascii="David" w:hAnsi="David" w:cs="David" w:hint="cs"/>
          <w:sz w:val="24"/>
          <w:szCs w:val="24"/>
          <w:rtl/>
        </w:rPr>
        <w:t xml:space="preserve"> עבירות בהן המחוקק מעוניין לשמור על הסדר הציבורי ומכך אין צורך להוכיח מחשבה פלילית או רשלנות בדיון בהן. מספיק להוכיח את היסוד העובדתי על מנת להביא להרשעת הנאשם. </w:t>
      </w:r>
      <w:r w:rsidR="00E50E5F">
        <w:rPr>
          <w:rFonts w:ascii="David" w:hAnsi="David" w:cs="David" w:hint="cs"/>
          <w:sz w:val="24"/>
          <w:szCs w:val="24"/>
          <w:rtl/>
        </w:rPr>
        <w:t xml:space="preserve">ניתן לעתור למאסר בתביעות אלו, אך יש לשים לב כי במידה ונרצה, עלינו להוכיח את המחשבה הפלילית או את הרשלנות. </w:t>
      </w:r>
    </w:p>
    <w:p w14:paraId="41129A24" w14:textId="66F48D36" w:rsidR="00E50E5F" w:rsidRDefault="00E50E5F" w:rsidP="00DB13E8">
      <w:pPr>
        <w:spacing w:line="360" w:lineRule="auto"/>
        <w:jc w:val="both"/>
        <w:rPr>
          <w:rFonts w:ascii="David" w:hAnsi="David" w:cs="David"/>
          <w:sz w:val="24"/>
          <w:szCs w:val="24"/>
          <w:rtl/>
        </w:rPr>
      </w:pPr>
      <w:r>
        <w:rPr>
          <w:rFonts w:ascii="David" w:hAnsi="David" w:cs="David" w:hint="cs"/>
          <w:b/>
          <w:bCs/>
          <w:sz w:val="24"/>
          <w:szCs w:val="24"/>
          <w:rtl/>
        </w:rPr>
        <w:t>סוגי התיקים:</w:t>
      </w:r>
      <w:r>
        <w:rPr>
          <w:rFonts w:ascii="David" w:hAnsi="David" w:cs="David" w:hint="cs"/>
          <w:sz w:val="24"/>
          <w:szCs w:val="24"/>
          <w:rtl/>
        </w:rPr>
        <w:t xml:space="preserve"> </w:t>
      </w:r>
    </w:p>
    <w:p w14:paraId="2655F13E" w14:textId="460E9973" w:rsidR="00E50E5F" w:rsidRDefault="00E50E5F" w:rsidP="00DB13E8">
      <w:pPr>
        <w:spacing w:line="360" w:lineRule="auto"/>
        <w:jc w:val="both"/>
        <w:rPr>
          <w:rFonts w:ascii="David" w:hAnsi="David" w:cs="David"/>
          <w:sz w:val="24"/>
          <w:szCs w:val="24"/>
          <w:rtl/>
        </w:rPr>
      </w:pPr>
      <w:r>
        <w:rPr>
          <w:rFonts w:ascii="David" w:hAnsi="David" w:cs="David" w:hint="cs"/>
          <w:sz w:val="24"/>
          <w:szCs w:val="24"/>
          <w:rtl/>
        </w:rPr>
        <w:t xml:space="preserve">(1) ברירת משפט: הבחירה האם לשלם קנס או להישפט: פלאפון, חגורת בטיחות, פקיעת רישיון נהיגה ועוד. בעבירה זו אין חובה לחקור תחת אזהרה. </w:t>
      </w:r>
    </w:p>
    <w:p w14:paraId="5CD492F9" w14:textId="0D915973" w:rsidR="00E50E5F" w:rsidRDefault="00E50E5F" w:rsidP="00DB13E8">
      <w:pPr>
        <w:spacing w:line="360" w:lineRule="auto"/>
        <w:jc w:val="both"/>
        <w:rPr>
          <w:rFonts w:ascii="David" w:hAnsi="David" w:cs="David"/>
          <w:sz w:val="24"/>
          <w:szCs w:val="24"/>
          <w:rtl/>
        </w:rPr>
      </w:pPr>
      <w:r>
        <w:rPr>
          <w:rFonts w:ascii="David" w:hAnsi="David" w:cs="David" w:hint="cs"/>
          <w:sz w:val="24"/>
          <w:szCs w:val="24"/>
          <w:rtl/>
        </w:rPr>
        <w:t xml:space="preserve">(2) הזמנה לדין: יש חובה להגיע להישפט: פקיעת רישיון נהיגה (מעל משנתיים), שכרות בכמות נמוכה </w:t>
      </w:r>
      <w:r w:rsidR="001C18F2">
        <w:rPr>
          <w:rFonts w:ascii="David" w:hAnsi="David" w:cs="David" w:hint="cs"/>
          <w:sz w:val="24"/>
          <w:szCs w:val="24"/>
          <w:rtl/>
        </w:rPr>
        <w:t xml:space="preserve">ונהיגה בזמן שלילה. בעבירה זו אין חובה לחקור תחת אזהרה. </w:t>
      </w:r>
    </w:p>
    <w:p w14:paraId="441EB975" w14:textId="7EC35005" w:rsidR="001C18F2" w:rsidRDefault="001C18F2" w:rsidP="00DB13E8">
      <w:pPr>
        <w:spacing w:line="360" w:lineRule="auto"/>
        <w:jc w:val="both"/>
        <w:rPr>
          <w:rFonts w:ascii="David" w:hAnsi="David" w:cs="David"/>
          <w:sz w:val="24"/>
          <w:szCs w:val="24"/>
          <w:rtl/>
        </w:rPr>
      </w:pPr>
      <w:r>
        <w:rPr>
          <w:rFonts w:ascii="David" w:hAnsi="David" w:cs="David" w:hint="cs"/>
          <w:sz w:val="24"/>
          <w:szCs w:val="24"/>
          <w:rtl/>
        </w:rPr>
        <w:t xml:space="preserve">(3) תיקי תאונות נ"ב: תיקי תאונות דרכים עם נזק לרכוש בלבד. </w:t>
      </w:r>
      <w:r w:rsidR="00955D58">
        <w:rPr>
          <w:rFonts w:ascii="David" w:hAnsi="David" w:cs="David" w:hint="cs"/>
          <w:sz w:val="24"/>
          <w:szCs w:val="24"/>
          <w:rtl/>
        </w:rPr>
        <w:t xml:space="preserve">תוגש התביעה במצבים בהם יש עבירה נלווה כמו שכרות - היות ופוטנציאל השכרות התממש, התיק יוגש. </w:t>
      </w:r>
    </w:p>
    <w:p w14:paraId="613B757A" w14:textId="082A063F" w:rsidR="00955D58" w:rsidRDefault="00955D58" w:rsidP="00DB13E8">
      <w:pPr>
        <w:spacing w:line="360" w:lineRule="auto"/>
        <w:jc w:val="both"/>
        <w:rPr>
          <w:rFonts w:ascii="David" w:hAnsi="David" w:cs="David"/>
          <w:sz w:val="24"/>
          <w:szCs w:val="24"/>
          <w:rtl/>
        </w:rPr>
      </w:pPr>
      <w:r>
        <w:rPr>
          <w:rFonts w:ascii="David" w:hAnsi="David" w:cs="David" w:hint="cs"/>
          <w:sz w:val="24"/>
          <w:szCs w:val="24"/>
          <w:rtl/>
        </w:rPr>
        <w:t xml:space="preserve">(4) תיקי תאונות דרכים בעלי נפגעי גוף כתיק צהוב: נפגע העבירה יהיה האדם הספציפי. ומכך, נפגע העבירה ומידת הנזק נלקחים בחשבון בהגשת התיק. </w:t>
      </w:r>
      <w:r w:rsidR="00644FE0">
        <w:rPr>
          <w:rFonts w:ascii="David" w:hAnsi="David" w:cs="David" w:hint="cs"/>
          <w:sz w:val="24"/>
          <w:szCs w:val="24"/>
          <w:rtl/>
        </w:rPr>
        <w:t xml:space="preserve">במקרים מסוג זה נדרשת חוות דעת של בוחן תאונות דרכים אשר מהווה עד מומחה בדיון. </w:t>
      </w:r>
      <w:r w:rsidR="005013B5">
        <w:rPr>
          <w:rFonts w:ascii="David" w:hAnsi="David" w:cs="David" w:hint="cs"/>
          <w:sz w:val="24"/>
          <w:szCs w:val="24"/>
          <w:rtl/>
        </w:rPr>
        <w:t xml:space="preserve">במצב בו עבירה זו מתווספת לעבירה הנ"ל נראה בכך כסיבה להחמרת העונש. </w:t>
      </w:r>
    </w:p>
    <w:p w14:paraId="24944F57" w14:textId="2A5A2AE0" w:rsidR="005013B5" w:rsidRDefault="005013B5" w:rsidP="00DB13E8">
      <w:pPr>
        <w:spacing w:line="360" w:lineRule="auto"/>
        <w:jc w:val="both"/>
        <w:rPr>
          <w:rFonts w:ascii="David" w:hAnsi="David" w:cs="David"/>
          <w:sz w:val="24"/>
          <w:szCs w:val="24"/>
          <w:rtl/>
        </w:rPr>
      </w:pPr>
      <w:r>
        <w:rPr>
          <w:rFonts w:ascii="David" w:hAnsi="David" w:cs="David" w:hint="cs"/>
          <w:sz w:val="24"/>
          <w:szCs w:val="24"/>
          <w:rtl/>
        </w:rPr>
        <w:t xml:space="preserve">(5) </w:t>
      </w:r>
      <w:r w:rsidR="005E298A">
        <w:rPr>
          <w:rFonts w:ascii="David" w:hAnsi="David" w:cs="David" w:hint="cs"/>
          <w:sz w:val="24"/>
          <w:szCs w:val="24"/>
          <w:rtl/>
        </w:rPr>
        <w:t xml:space="preserve">תיקי פ"ל: תיקי עבירות חמורות (תיק לבן) </w:t>
      </w:r>
      <w:r w:rsidR="007C2496">
        <w:rPr>
          <w:rFonts w:ascii="David" w:hAnsi="David" w:cs="David"/>
          <w:sz w:val="24"/>
          <w:szCs w:val="24"/>
          <w:rtl/>
        </w:rPr>
        <w:t>–</w:t>
      </w:r>
      <w:r w:rsidR="005E298A">
        <w:rPr>
          <w:rFonts w:ascii="David" w:hAnsi="David" w:cs="David" w:hint="cs"/>
          <w:sz w:val="24"/>
          <w:szCs w:val="24"/>
          <w:rtl/>
        </w:rPr>
        <w:t xml:space="preserve"> </w:t>
      </w:r>
      <w:r w:rsidR="007C2496">
        <w:rPr>
          <w:rFonts w:ascii="David" w:hAnsi="David" w:cs="David" w:hint="cs"/>
          <w:b/>
          <w:bCs/>
          <w:sz w:val="24"/>
          <w:szCs w:val="24"/>
          <w:rtl/>
        </w:rPr>
        <w:t>לדוגמה,</w:t>
      </w:r>
      <w:r w:rsidR="007C2496">
        <w:rPr>
          <w:rFonts w:ascii="David" w:hAnsi="David" w:cs="David" w:hint="cs"/>
          <w:sz w:val="24"/>
          <w:szCs w:val="24"/>
          <w:rtl/>
        </w:rPr>
        <w:t xml:space="preserve"> עבירה חוזרת (</w:t>
      </w:r>
      <w:r w:rsidR="00043883">
        <w:rPr>
          <w:rFonts w:ascii="David" w:hAnsi="David" w:cs="David" w:hint="cs"/>
          <w:sz w:val="24"/>
          <w:szCs w:val="24"/>
          <w:rtl/>
        </w:rPr>
        <w:t xml:space="preserve">3 או יותר פעמים) במקרה זה, התיק יעבור אל תיקי פ"ל </w:t>
      </w:r>
      <w:r w:rsidR="00043883">
        <w:rPr>
          <w:rFonts w:ascii="David" w:hAnsi="David" w:cs="David"/>
          <w:sz w:val="24"/>
          <w:szCs w:val="24"/>
          <w:rtl/>
        </w:rPr>
        <w:t>–</w:t>
      </w:r>
      <w:r w:rsidR="00043883">
        <w:rPr>
          <w:rFonts w:ascii="David" w:hAnsi="David" w:cs="David" w:hint="cs"/>
          <w:sz w:val="24"/>
          <w:szCs w:val="24"/>
          <w:rtl/>
        </w:rPr>
        <w:t xml:space="preserve"> במקרים אלו החקירה תהה מגובשת ומכך עולה החובה לחקור תחת אזהרה. </w:t>
      </w:r>
    </w:p>
    <w:p w14:paraId="1693C48B" w14:textId="66B33CB1" w:rsidR="00E005BC" w:rsidRDefault="00E005BC" w:rsidP="00DB13E8">
      <w:pPr>
        <w:spacing w:line="360" w:lineRule="auto"/>
        <w:jc w:val="both"/>
        <w:rPr>
          <w:rFonts w:ascii="David" w:hAnsi="David" w:cs="David"/>
          <w:sz w:val="24"/>
          <w:szCs w:val="24"/>
          <w:rtl/>
        </w:rPr>
      </w:pPr>
      <w:r>
        <w:rPr>
          <w:rFonts w:ascii="David" w:hAnsi="David" w:cs="David" w:hint="cs"/>
          <w:sz w:val="24"/>
          <w:szCs w:val="24"/>
          <w:rtl/>
        </w:rPr>
        <w:t xml:space="preserve">(6) תיקי תלת"ן: תביעות לחומרה בעבירות תנועה </w:t>
      </w:r>
      <w:r>
        <w:rPr>
          <w:rFonts w:ascii="David" w:hAnsi="David" w:cs="David"/>
          <w:sz w:val="24"/>
          <w:szCs w:val="24"/>
          <w:rtl/>
        </w:rPr>
        <w:t>–</w:t>
      </w:r>
      <w:r>
        <w:rPr>
          <w:rFonts w:ascii="David" w:hAnsi="David" w:cs="David" w:hint="cs"/>
          <w:sz w:val="24"/>
          <w:szCs w:val="24"/>
          <w:rtl/>
        </w:rPr>
        <w:t xml:space="preserve"> עבירות שהמשטרה רואה בהן כחמורות במיוחד</w:t>
      </w:r>
      <w:r w:rsidR="00283A80">
        <w:rPr>
          <w:rFonts w:ascii="David" w:hAnsi="David" w:cs="David" w:hint="cs"/>
          <w:sz w:val="24"/>
          <w:szCs w:val="24"/>
          <w:rtl/>
        </w:rPr>
        <w:t xml:space="preserve"> וקיים להן נוהל שונה. נוהל זה קובע כי בעבירות מסוג זה הדיון יהיה עד 30 ימים מיום ביצוע העבירה, כאשר המטרה היא ל</w:t>
      </w:r>
      <w:r w:rsidR="00056972">
        <w:rPr>
          <w:rFonts w:ascii="David" w:hAnsi="David" w:cs="David" w:hint="cs"/>
          <w:sz w:val="24"/>
          <w:szCs w:val="24"/>
          <w:rtl/>
        </w:rPr>
        <w:t xml:space="preserve">קצר את הטיפול בתיק ולהביא לאכיפה אפקטיבית. </w:t>
      </w:r>
    </w:p>
    <w:p w14:paraId="2D36BA03" w14:textId="4FC49CCC" w:rsidR="00CE26EB" w:rsidRDefault="00CE26EB" w:rsidP="00DB13E8">
      <w:pPr>
        <w:spacing w:line="360" w:lineRule="auto"/>
        <w:jc w:val="both"/>
        <w:rPr>
          <w:rFonts w:ascii="David" w:hAnsi="David" w:cs="David"/>
          <w:sz w:val="24"/>
          <w:szCs w:val="24"/>
          <w:rtl/>
        </w:rPr>
      </w:pPr>
      <w:r>
        <w:rPr>
          <w:rFonts w:ascii="David" w:hAnsi="David" w:cs="David" w:hint="cs"/>
          <w:b/>
          <w:bCs/>
          <w:sz w:val="24"/>
          <w:szCs w:val="24"/>
          <w:u w:val="single"/>
          <w:rtl/>
        </w:rPr>
        <w:t>חשוב לזכור:</w:t>
      </w:r>
      <w:r>
        <w:rPr>
          <w:rFonts w:ascii="David" w:hAnsi="David" w:cs="David" w:hint="cs"/>
          <w:sz w:val="24"/>
          <w:szCs w:val="24"/>
          <w:rtl/>
        </w:rPr>
        <w:t xml:space="preserve"> </w:t>
      </w:r>
    </w:p>
    <w:p w14:paraId="1B8E327B" w14:textId="3C79AB99" w:rsidR="00CE26EB" w:rsidRDefault="00766087" w:rsidP="00CE26EB">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סעיף 67 לתקנות התעבורה מחייב את הנהג להאט בהגיעו אל מעבר חציה, במידה ולא יאט מדובר בהרשעה. </w:t>
      </w:r>
    </w:p>
    <w:p w14:paraId="2786F046" w14:textId="7DEB78E1" w:rsidR="00766087" w:rsidRPr="00CE26EB" w:rsidRDefault="00766087" w:rsidP="00CE26EB">
      <w:pPr>
        <w:pStyle w:val="a7"/>
        <w:numPr>
          <w:ilvl w:val="0"/>
          <w:numId w:val="2"/>
        </w:numPr>
        <w:spacing w:line="360" w:lineRule="auto"/>
        <w:jc w:val="both"/>
        <w:rPr>
          <w:rFonts w:ascii="David" w:hAnsi="David" w:cs="David"/>
          <w:sz w:val="24"/>
          <w:szCs w:val="24"/>
          <w:rtl/>
        </w:rPr>
      </w:pPr>
      <w:r>
        <w:rPr>
          <w:rFonts w:ascii="David" w:hAnsi="David" w:cs="David" w:hint="cs"/>
          <w:sz w:val="24"/>
          <w:szCs w:val="24"/>
          <w:rtl/>
        </w:rPr>
        <w:t xml:space="preserve">ניתן לשבת במושב ליד הנהג בכל גיל, אך נדרש מושב ייעודי לילד שיושב, אשר מונע מהחגורה לחנוק. </w:t>
      </w:r>
    </w:p>
    <w:p w14:paraId="2B994AFF" w14:textId="1445F173" w:rsidR="00056972" w:rsidRDefault="00056972" w:rsidP="00056972">
      <w:pPr>
        <w:spacing w:line="360" w:lineRule="auto"/>
        <w:jc w:val="both"/>
        <w:rPr>
          <w:rFonts w:ascii="David" w:hAnsi="David" w:cs="David"/>
          <w:sz w:val="24"/>
          <w:szCs w:val="24"/>
          <w:rtl/>
        </w:rPr>
      </w:pPr>
      <w:r>
        <w:rPr>
          <w:rFonts w:ascii="David" w:hAnsi="David" w:cs="David" w:hint="cs"/>
          <w:b/>
          <w:bCs/>
          <w:sz w:val="24"/>
          <w:szCs w:val="24"/>
          <w:u w:val="single"/>
          <w:rtl/>
        </w:rPr>
        <w:t xml:space="preserve">נהיגה בשכרות </w:t>
      </w:r>
      <w:r>
        <w:rPr>
          <w:rFonts w:ascii="David" w:hAnsi="David" w:cs="David"/>
          <w:b/>
          <w:bCs/>
          <w:sz w:val="24"/>
          <w:szCs w:val="24"/>
          <w:u w:val="single"/>
          <w:rtl/>
        </w:rPr>
        <w:t>–</w:t>
      </w:r>
      <w:r>
        <w:rPr>
          <w:rFonts w:ascii="David" w:hAnsi="David" w:cs="David" w:hint="cs"/>
          <w:b/>
          <w:bCs/>
          <w:sz w:val="24"/>
          <w:szCs w:val="24"/>
          <w:u w:val="single"/>
          <w:rtl/>
        </w:rPr>
        <w:t xml:space="preserve"> סעיף 64ב לפקודת התעבורה:</w:t>
      </w:r>
    </w:p>
    <w:p w14:paraId="445E4B1F" w14:textId="0A3F8492" w:rsidR="00266A72" w:rsidRDefault="00056972" w:rsidP="00266A72">
      <w:pPr>
        <w:spacing w:line="360" w:lineRule="auto"/>
        <w:jc w:val="both"/>
        <w:rPr>
          <w:rFonts w:ascii="David" w:hAnsi="David" w:cs="David"/>
          <w:sz w:val="24"/>
          <w:szCs w:val="24"/>
          <w:rtl/>
        </w:rPr>
      </w:pPr>
      <w:r>
        <w:rPr>
          <w:rFonts w:ascii="David" w:hAnsi="David" w:cs="David" w:hint="cs"/>
          <w:sz w:val="24"/>
          <w:szCs w:val="24"/>
          <w:rtl/>
        </w:rPr>
        <w:t xml:space="preserve">שיכור הוא מי שמצוי תחת השפעה של משקה משכר או מצוי בגופו סם מסוכן או תוצרי חילוף חמורים של סם מסוכן, בעת נהיגה. </w:t>
      </w:r>
      <w:r w:rsidR="00704753">
        <w:rPr>
          <w:rFonts w:ascii="David" w:hAnsi="David" w:cs="David" w:hint="cs"/>
          <w:sz w:val="24"/>
          <w:szCs w:val="24"/>
          <w:rtl/>
        </w:rPr>
        <w:t>הכמות אשר נחשבת כתחת השפעה</w:t>
      </w:r>
      <w:r w:rsidR="002A5C02">
        <w:rPr>
          <w:rFonts w:ascii="David" w:hAnsi="David" w:cs="David" w:hint="cs"/>
          <w:sz w:val="24"/>
          <w:szCs w:val="24"/>
          <w:rtl/>
        </w:rPr>
        <w:t xml:space="preserve"> נקבעה על ידי השר בהתייעצות עם שר הבריאות וועדת הכלכלה של הכנסת. וחזקה שריכוז זה היה בגופו בשלוש השעות שקדמו לנטילת דגימת הנשיפה, השתן או הדם</w:t>
      </w:r>
      <w:r w:rsidR="00843A43">
        <w:rPr>
          <w:rFonts w:ascii="David" w:hAnsi="David" w:cs="David" w:hint="cs"/>
          <w:sz w:val="24"/>
          <w:szCs w:val="24"/>
          <w:rtl/>
        </w:rPr>
        <w:t xml:space="preserve">. </w:t>
      </w:r>
    </w:p>
    <w:p w14:paraId="75C8E640" w14:textId="43379773" w:rsidR="00BF35EC" w:rsidRPr="00BF35EC" w:rsidRDefault="00BF35EC" w:rsidP="00266A72">
      <w:pPr>
        <w:spacing w:line="360" w:lineRule="auto"/>
        <w:jc w:val="both"/>
        <w:rPr>
          <w:rFonts w:ascii="David" w:hAnsi="David" w:cs="David"/>
          <w:sz w:val="24"/>
          <w:szCs w:val="24"/>
          <w:rtl/>
        </w:rPr>
      </w:pPr>
      <w:r>
        <w:rPr>
          <w:rFonts w:ascii="David" w:hAnsi="David" w:cs="David" w:hint="cs"/>
          <w:sz w:val="24"/>
          <w:szCs w:val="24"/>
          <w:u w:val="single"/>
          <w:rtl/>
        </w:rPr>
        <w:t>הכמות המותרת:</w:t>
      </w:r>
      <w:r>
        <w:rPr>
          <w:rFonts w:ascii="David" w:hAnsi="David" w:cs="David" w:hint="cs"/>
          <w:sz w:val="24"/>
          <w:szCs w:val="24"/>
          <w:rtl/>
        </w:rPr>
        <w:t xml:space="preserve"> הכמות המותרת הינה עד 240 מיקרוגרם לליטר אוויר. בבדי</w:t>
      </w:r>
      <w:r w:rsidR="00B44C4F">
        <w:rPr>
          <w:rFonts w:ascii="David" w:hAnsi="David" w:cs="David" w:hint="cs"/>
          <w:sz w:val="24"/>
          <w:szCs w:val="24"/>
          <w:rtl/>
        </w:rPr>
        <w:t xml:space="preserve">קת דם הכמות המותרת הינה עד 50 מיליגרם אלכוהול ב 100 מ"ל דם. </w:t>
      </w:r>
      <w:r w:rsidR="00514E6F">
        <w:rPr>
          <w:rFonts w:ascii="David" w:hAnsi="David" w:cs="David" w:hint="cs"/>
          <w:sz w:val="24"/>
          <w:szCs w:val="24"/>
          <w:rtl/>
        </w:rPr>
        <w:t xml:space="preserve">(בדרך כלל לא לוקחים בחשבון "חריגה" של 100 מיקרוגרם). </w:t>
      </w:r>
    </w:p>
    <w:p w14:paraId="51A39692" w14:textId="41D67A05" w:rsidR="00056972" w:rsidRDefault="00843A43" w:rsidP="00266A72">
      <w:pPr>
        <w:spacing w:line="360" w:lineRule="auto"/>
        <w:jc w:val="both"/>
        <w:rPr>
          <w:rFonts w:ascii="David" w:hAnsi="David" w:cs="David"/>
          <w:sz w:val="24"/>
          <w:szCs w:val="24"/>
          <w:rtl/>
        </w:rPr>
      </w:pPr>
      <w:r>
        <w:rPr>
          <w:rFonts w:ascii="David" w:hAnsi="David" w:cs="David" w:hint="cs"/>
          <w:sz w:val="24"/>
          <w:szCs w:val="24"/>
          <w:u w:val="single"/>
          <w:rtl/>
        </w:rPr>
        <w:t>נהגים "חריגים לכלל":</w:t>
      </w:r>
      <w:r>
        <w:rPr>
          <w:rFonts w:hint="cs"/>
          <w:rtl/>
        </w:rPr>
        <w:t xml:space="preserve"> </w:t>
      </w:r>
      <w:r w:rsidR="00266A72" w:rsidRPr="00843A43">
        <w:rPr>
          <w:rFonts w:ascii="David" w:hAnsi="David" w:cs="David" w:hint="cs"/>
          <w:sz w:val="24"/>
          <w:szCs w:val="24"/>
          <w:rtl/>
        </w:rPr>
        <w:t>עולים מספר "סוגי נהגים"</w:t>
      </w:r>
      <w:r w:rsidR="00266A72" w:rsidRPr="00843A43">
        <w:rPr>
          <w:rFonts w:ascii="David" w:hAnsi="David" w:cs="David" w:hint="cs"/>
          <w:sz w:val="24"/>
          <w:szCs w:val="24"/>
        </w:rPr>
        <w:t xml:space="preserve"> </w:t>
      </w:r>
      <w:r w:rsidR="00266A72" w:rsidRPr="00843A43">
        <w:rPr>
          <w:rFonts w:ascii="David" w:hAnsi="David" w:cs="David" w:hint="cs"/>
          <w:sz w:val="24"/>
          <w:szCs w:val="24"/>
          <w:rtl/>
        </w:rPr>
        <w:t>אשר החוק מפריד אותם מהכלל וקובע כי הם ייחשבו כשיכורים במצב בו יימצא בגופם אלכוהול בריכוז העולה על 50 מיקרוגרם (נשיפתי) או 10 מיליגרם ב100 מיליליטר דם</w:t>
      </w:r>
      <w:r w:rsidR="0074399A">
        <w:rPr>
          <w:rFonts w:ascii="David" w:hAnsi="David" w:cs="David" w:hint="cs"/>
          <w:sz w:val="24"/>
          <w:szCs w:val="24"/>
          <w:rtl/>
        </w:rPr>
        <w:t xml:space="preserve">. </w:t>
      </w:r>
      <w:r w:rsidR="0074399A" w:rsidRPr="0074399A">
        <w:rPr>
          <w:rFonts w:ascii="David" w:hAnsi="David" w:cs="David" w:hint="cs"/>
          <w:b/>
          <w:bCs/>
          <w:sz w:val="24"/>
          <w:szCs w:val="24"/>
          <w:rtl/>
        </w:rPr>
        <w:t>נהגים אלו הם:</w:t>
      </w:r>
      <w:r w:rsidR="0074399A">
        <w:rPr>
          <w:rFonts w:ascii="David" w:hAnsi="David" w:cs="David" w:hint="cs"/>
          <w:sz w:val="24"/>
          <w:szCs w:val="24"/>
          <w:rtl/>
        </w:rPr>
        <w:t xml:space="preserve"> </w:t>
      </w:r>
      <w:r w:rsidR="003B2EAA">
        <w:rPr>
          <w:rFonts w:ascii="David" w:hAnsi="David" w:cs="David" w:hint="cs"/>
          <w:sz w:val="24"/>
          <w:szCs w:val="24"/>
          <w:rtl/>
        </w:rPr>
        <w:t xml:space="preserve">נהג חדש, נהג שטרם מלאו לו 24 שנים, נהג בעת נהיגה ברכב מסחרי או ברכב עבודה שמשכלם הכולל עולה על 3,500 קילוגרם, נהג ברכב ציבורי </w:t>
      </w:r>
      <w:r w:rsidR="002D0470">
        <w:rPr>
          <w:rFonts w:ascii="David" w:hAnsi="David" w:cs="David" w:hint="cs"/>
          <w:sz w:val="24"/>
          <w:szCs w:val="24"/>
          <w:rtl/>
        </w:rPr>
        <w:t xml:space="preserve">או מי שנתון תחת השפעת משקה משכר או תחת סם מסוכן </w:t>
      </w:r>
      <w:r w:rsidR="00266A72">
        <w:rPr>
          <w:rFonts w:ascii="David" w:hAnsi="David" w:cs="David" w:hint="cs"/>
          <w:sz w:val="24"/>
          <w:szCs w:val="24"/>
          <w:rtl/>
        </w:rPr>
        <w:t xml:space="preserve">הגבוה מהסף הקבוע בפסקה 3 ו 3(א). </w:t>
      </w:r>
    </w:p>
    <w:p w14:paraId="0EF5F4E9" w14:textId="20F7C717" w:rsidR="00144083" w:rsidRDefault="00144083" w:rsidP="00144083">
      <w:pPr>
        <w:spacing w:line="360" w:lineRule="auto"/>
        <w:jc w:val="both"/>
        <w:rPr>
          <w:rFonts w:ascii="David" w:hAnsi="David" w:cs="David"/>
          <w:sz w:val="24"/>
          <w:szCs w:val="24"/>
          <w:rtl/>
        </w:rPr>
      </w:pPr>
      <w:r w:rsidRPr="00144083">
        <w:rPr>
          <w:rFonts w:ascii="David" w:hAnsi="David" w:cs="David"/>
          <w:b/>
          <w:bCs/>
          <w:sz w:val="24"/>
          <w:szCs w:val="24"/>
          <w:rtl/>
        </w:rPr>
        <w:t>רע"פ 4766/19 מוחמד יחיה נ' מדינת ישראל</w:t>
      </w:r>
      <w:r w:rsidRPr="00144083">
        <w:rPr>
          <w:rFonts w:ascii="David" w:hAnsi="David" w:cs="David" w:hint="cs"/>
          <w:b/>
          <w:bCs/>
          <w:sz w:val="24"/>
          <w:szCs w:val="24"/>
          <w:rtl/>
        </w:rPr>
        <w:t>:</w:t>
      </w:r>
      <w:r>
        <w:rPr>
          <w:rFonts w:ascii="David" w:hAnsi="David" w:cs="David" w:hint="cs"/>
          <w:sz w:val="24"/>
          <w:szCs w:val="24"/>
          <w:rtl/>
        </w:rPr>
        <w:t xml:space="preserve"> </w:t>
      </w:r>
      <w:r w:rsidR="00816069">
        <w:rPr>
          <w:rFonts w:ascii="David" w:hAnsi="David" w:cs="David" w:hint="cs"/>
          <w:sz w:val="24"/>
          <w:szCs w:val="24"/>
          <w:rtl/>
        </w:rPr>
        <w:t>נגד המבקש הוגש כתב אישום המייחס לו שורה ארוכה של עבירות בגין מעורבותו בתאונות דרכים, במהלכן נהג בהיותו בגילופין וללא רישיון נהיגה וביטוח בתוקף. השלום לתעבורה הרגיע אותו בעבירות אלו ונגזרו עליו 8 חודשי מאסר בפועל, מאסר על תנאי, פסילת רישיון הנהיגה ופסילה על תנאי. ערעור המבקש במחוזי נדחה ומכך פנה שוב. העליון דחה את הבקשה</w:t>
      </w:r>
      <w:r w:rsidR="00714790">
        <w:rPr>
          <w:rFonts w:ascii="David" w:hAnsi="David" w:cs="David" w:hint="cs"/>
          <w:sz w:val="24"/>
          <w:szCs w:val="24"/>
          <w:rtl/>
        </w:rPr>
        <w:t xml:space="preserve"> ממספר סיבות: 1. שירות המבחן התרחשם כי המבקש סובל מתלות בחומרים משכרים ובסמים וכי הוא מהווה גורם סיכון לביצוע עבירות מסוג זה בעתיד. 2. נהיגה בשכרות הפכה בשנים האחרות למכת מדינה המעמידה בסיכון את שלום הציבור וביטחונו. מכך על בית המשפט האחריות להרחיק נהגים פורעי חוק מהכביש, להחמיר ולנקוט ביד קשה כלפי אלו המפרים את החוק. </w:t>
      </w:r>
    </w:p>
    <w:p w14:paraId="41F7BB2F" w14:textId="55E5B202" w:rsidR="007533F3" w:rsidRDefault="00514E6F" w:rsidP="00144083">
      <w:pPr>
        <w:spacing w:line="360" w:lineRule="auto"/>
        <w:jc w:val="both"/>
        <w:rPr>
          <w:rFonts w:ascii="David" w:hAnsi="David" w:cs="David"/>
          <w:sz w:val="24"/>
          <w:szCs w:val="24"/>
          <w:rtl/>
        </w:rPr>
      </w:pPr>
      <w:r>
        <w:rPr>
          <w:rFonts w:ascii="David" w:hAnsi="David" w:cs="David" w:hint="cs"/>
          <w:sz w:val="24"/>
          <w:szCs w:val="24"/>
          <w:u w:val="single"/>
          <w:rtl/>
        </w:rPr>
        <w:t>אינדיקציה לשכרות:</w:t>
      </w:r>
      <w:r>
        <w:rPr>
          <w:rFonts w:ascii="David" w:hAnsi="David" w:cs="David" w:hint="cs"/>
          <w:sz w:val="24"/>
          <w:szCs w:val="24"/>
          <w:rtl/>
        </w:rPr>
        <w:t xml:space="preserve"> </w:t>
      </w:r>
      <w:r w:rsidR="007533F3">
        <w:rPr>
          <w:rFonts w:ascii="David" w:hAnsi="David" w:cs="David" w:hint="cs"/>
          <w:sz w:val="24"/>
          <w:szCs w:val="24"/>
          <w:rtl/>
        </w:rPr>
        <w:t>במידה והאדם נראה כשיכור, עולות מספר "בדיקות" שיש לבצע בכדי להגדירו ככזה:</w:t>
      </w:r>
    </w:p>
    <w:p w14:paraId="5A247328" w14:textId="71B67837" w:rsidR="00D13C6F" w:rsidRDefault="007533F3" w:rsidP="00D13C6F">
      <w:pPr>
        <w:spacing w:line="360" w:lineRule="auto"/>
        <w:jc w:val="both"/>
        <w:rPr>
          <w:rFonts w:ascii="David" w:hAnsi="David" w:cs="David"/>
          <w:sz w:val="24"/>
          <w:szCs w:val="24"/>
          <w:rtl/>
        </w:rPr>
      </w:pPr>
      <w:r>
        <w:rPr>
          <w:rFonts w:ascii="David" w:hAnsi="David" w:cs="David" w:hint="cs"/>
          <w:sz w:val="24"/>
          <w:szCs w:val="24"/>
          <w:rtl/>
        </w:rPr>
        <w:t xml:space="preserve">(1) </w:t>
      </w:r>
      <w:r w:rsidR="00D13C6F">
        <w:rPr>
          <w:rFonts w:ascii="David" w:hAnsi="David" w:cs="David" w:hint="cs"/>
          <w:sz w:val="24"/>
          <w:szCs w:val="24"/>
          <w:rtl/>
        </w:rPr>
        <w:t xml:space="preserve">בדיקת נשיפון: בדיקה אינדוקטיבית בלבד, אין לה כוח ראייתי והיא מקנה אינדיקציה לשכרות. </w:t>
      </w:r>
    </w:p>
    <w:p w14:paraId="30DA0157" w14:textId="3761DDB4" w:rsidR="007533F3" w:rsidRDefault="00D13C6F" w:rsidP="007533F3">
      <w:pPr>
        <w:spacing w:line="360" w:lineRule="auto"/>
        <w:jc w:val="both"/>
        <w:rPr>
          <w:rFonts w:ascii="David" w:hAnsi="David" w:cs="David"/>
          <w:sz w:val="24"/>
          <w:szCs w:val="24"/>
          <w:rtl/>
        </w:rPr>
      </w:pPr>
      <w:r>
        <w:rPr>
          <w:rFonts w:ascii="David" w:hAnsi="David" w:cs="David" w:hint="cs"/>
          <w:sz w:val="24"/>
          <w:szCs w:val="24"/>
          <w:rtl/>
        </w:rPr>
        <w:t xml:space="preserve">(2) </w:t>
      </w:r>
      <w:r w:rsidR="00514E6F">
        <w:rPr>
          <w:rFonts w:ascii="David" w:hAnsi="David" w:cs="David" w:hint="cs"/>
          <w:sz w:val="24"/>
          <w:szCs w:val="24"/>
          <w:rtl/>
        </w:rPr>
        <w:t xml:space="preserve">בדיקת מאפיינים בעלת שלושה מבחני ביצוע: 3 צעדים קדימה, 3 צעדים אחורה עקב אחרי אגודל, לעמוד ישר עם הידיים צמודות לרגליים ולשים אצבע על האף בצורה חזרתית (ימין ושמאל) בדיקה זו עומדת לפי הלכת </w:t>
      </w:r>
      <w:r w:rsidR="00514E6F">
        <w:rPr>
          <w:rFonts w:ascii="David" w:hAnsi="David" w:cs="David" w:hint="cs"/>
          <w:b/>
          <w:bCs/>
          <w:sz w:val="24"/>
          <w:szCs w:val="24"/>
          <w:rtl/>
        </w:rPr>
        <w:t>יששכרוב</w:t>
      </w:r>
      <w:r w:rsidR="00514E6F">
        <w:rPr>
          <w:rFonts w:ascii="David" w:hAnsi="David" w:cs="David" w:hint="cs"/>
          <w:sz w:val="24"/>
          <w:szCs w:val="24"/>
          <w:rtl/>
        </w:rPr>
        <w:t xml:space="preserve"> בה נקבע כי אדם יכול להיות מורשע בראיות נסיבתיות. </w:t>
      </w:r>
      <w:r w:rsidR="007533F3">
        <w:rPr>
          <w:rFonts w:ascii="David" w:hAnsi="David" w:cs="David" w:hint="cs"/>
          <w:sz w:val="24"/>
          <w:szCs w:val="24"/>
          <w:rtl/>
        </w:rPr>
        <w:t xml:space="preserve">על בדיקה זו האדם יכול לסרב, הסירוב יהווה ראיה נסיבתית כי האדם היה שיכור. במידה והבדיקה "יוצאת חיובית" עוברים לבדיקה הבאה: </w:t>
      </w:r>
    </w:p>
    <w:p w14:paraId="4FE727F5" w14:textId="50C65B57" w:rsidR="007533F3" w:rsidRDefault="00D13C6F" w:rsidP="007533F3">
      <w:pPr>
        <w:spacing w:line="360" w:lineRule="auto"/>
        <w:jc w:val="both"/>
        <w:rPr>
          <w:rFonts w:ascii="David" w:hAnsi="David" w:cs="David"/>
          <w:sz w:val="24"/>
          <w:szCs w:val="24"/>
          <w:rtl/>
        </w:rPr>
      </w:pPr>
      <w:r>
        <w:rPr>
          <w:rFonts w:ascii="David" w:hAnsi="David" w:cs="David" w:hint="cs"/>
          <w:sz w:val="24"/>
          <w:szCs w:val="24"/>
          <w:rtl/>
        </w:rPr>
        <w:t>(3)</w:t>
      </w:r>
      <w:r w:rsidR="007533F3">
        <w:rPr>
          <w:rFonts w:ascii="David" w:hAnsi="David" w:cs="David" w:hint="cs"/>
          <w:sz w:val="24"/>
          <w:szCs w:val="24"/>
          <w:rtl/>
        </w:rPr>
        <w:t xml:space="preserve"> בדיקת ינשוף: הבדיקה </w:t>
      </w:r>
      <w:r w:rsidR="007E7B12">
        <w:rPr>
          <w:rFonts w:ascii="David" w:hAnsi="David" w:cs="David" w:hint="cs"/>
          <w:sz w:val="24"/>
          <w:szCs w:val="24"/>
          <w:rtl/>
        </w:rPr>
        <w:t xml:space="preserve">המדעית המקימה חזקה כי האדם היה שיכור. סירוב לבדיקה זו מהווה חזקה קשה לסתירה כי האדם היה שיכור. </w:t>
      </w:r>
      <w:r w:rsidR="003C56AD">
        <w:rPr>
          <w:rFonts w:ascii="David" w:hAnsi="David" w:cs="David" w:hint="cs"/>
          <w:sz w:val="24"/>
          <w:szCs w:val="24"/>
          <w:rtl/>
        </w:rPr>
        <w:t xml:space="preserve">בדיקה זו יקרה וחירות האדם נפגעת מפני שהוא מעוכב ואסור לו לאכול או לשתות. בבדיקה זו אין צורך ליסוד סביר לחשד כי האדם שיכור, היסוד יהיה התנהגות או מידע מודיעיני. במצב בו האדם סירב לבדיקת הינשוף, על השוטר לוודא כי הסירוב נעשה מדעת ולהסביר כי במידה והאדם מסרב, הוא ייחשב כשיכור. </w:t>
      </w:r>
    </w:p>
    <w:p w14:paraId="45C08244" w14:textId="1E6933A3" w:rsidR="00EC1182" w:rsidRDefault="00EC1182" w:rsidP="007533F3">
      <w:pPr>
        <w:spacing w:line="360" w:lineRule="auto"/>
        <w:jc w:val="both"/>
        <w:rPr>
          <w:rFonts w:ascii="David" w:hAnsi="David" w:cs="David"/>
          <w:sz w:val="24"/>
          <w:szCs w:val="24"/>
          <w:rtl/>
        </w:rPr>
      </w:pPr>
      <w:r>
        <w:rPr>
          <w:rFonts w:ascii="David" w:hAnsi="David" w:cs="David" w:hint="cs"/>
          <w:sz w:val="24"/>
          <w:szCs w:val="24"/>
          <w:rtl/>
        </w:rPr>
        <w:t xml:space="preserve">(4) בדיקת דם: ניתן לבקש בדיקת דם, אך בשביל בדיקה זו נדרש יסוד סביר לחשד כי האדם שיכור. אך במידה והאדם היה מעורב בתאונת דרכים, אין צורך ביסוד סביר, שכן החוק קובע כי ניתן במקרים אלו לדרוש בדיקת סמים ואלכוהול. </w:t>
      </w:r>
    </w:p>
    <w:p w14:paraId="161AA416" w14:textId="2BC37A4E" w:rsidR="00D47A32" w:rsidRDefault="00FB4BE6" w:rsidP="00D47A32">
      <w:pPr>
        <w:spacing w:line="360" w:lineRule="auto"/>
        <w:jc w:val="both"/>
        <w:rPr>
          <w:rFonts w:ascii="David" w:hAnsi="David" w:cs="David"/>
          <w:sz w:val="24"/>
          <w:szCs w:val="24"/>
          <w:rtl/>
        </w:rPr>
      </w:pPr>
      <w:r>
        <w:rPr>
          <w:rFonts w:ascii="David" w:hAnsi="David" w:cs="David" w:hint="cs"/>
          <w:b/>
          <w:bCs/>
          <w:sz w:val="24"/>
          <w:szCs w:val="24"/>
          <w:u w:val="single"/>
          <w:rtl/>
        </w:rPr>
        <w:t>נהיגה תחת השפעת סמים:</w:t>
      </w:r>
      <w:r>
        <w:rPr>
          <w:rFonts w:ascii="David" w:hAnsi="David" w:cs="David" w:hint="cs"/>
          <w:sz w:val="24"/>
          <w:szCs w:val="24"/>
          <w:rtl/>
        </w:rPr>
        <w:t xml:space="preserve"> קנביס, הרואין, קוקאין, אופיום </w:t>
      </w:r>
      <w:r>
        <w:rPr>
          <w:rFonts w:ascii="David" w:hAnsi="David" w:cs="David"/>
          <w:sz w:val="24"/>
          <w:szCs w:val="24"/>
          <w:rtl/>
        </w:rPr>
        <w:t>–</w:t>
      </w:r>
      <w:r>
        <w:rPr>
          <w:rFonts w:ascii="David" w:hAnsi="David" w:cs="David" w:hint="cs"/>
          <w:sz w:val="24"/>
          <w:szCs w:val="24"/>
          <w:rtl/>
        </w:rPr>
        <w:t xml:space="preserve"> בהגדרתם בפקודת הסמים המסוכנים. </w:t>
      </w:r>
      <w:r w:rsidR="00D47A32">
        <w:rPr>
          <w:rFonts w:ascii="David" w:hAnsi="David" w:cs="David" w:hint="cs"/>
          <w:sz w:val="24"/>
          <w:szCs w:val="24"/>
          <w:rtl/>
        </w:rPr>
        <w:t xml:space="preserve">המדיניות מול סמים היא של 0 סובלנות, מכך כל כמות הנמצאת בגוף האדם ובין אם זה החומר הפעיל או תוצר חילוף חומרי הסם (שרידים), נראה באדם כשיכור. העניין המשמעותי הוא כי בסמים החומר הפעיל "מתנדף" תוך שלוש שעות, אך תוצר חילוף חומרי הסם נותר למשך 4 שבועות. במשך ארבעת שבועות אלו, האדם נחשב כשיכור. </w:t>
      </w:r>
      <w:r w:rsidR="00295358">
        <w:rPr>
          <w:rFonts w:ascii="David" w:hAnsi="David" w:cs="David" w:hint="cs"/>
          <w:sz w:val="24"/>
          <w:szCs w:val="24"/>
          <w:rtl/>
        </w:rPr>
        <w:t xml:space="preserve">הסיבה לכך היא חוסר במחקרים לעניין. איתור הסף בגוף יהיה בכפוף ליסוד סביר ועל ידי בדיקת דם ובדיקת שתן. </w:t>
      </w:r>
    </w:p>
    <w:p w14:paraId="45F3367A" w14:textId="3B8EEB43" w:rsidR="00295358" w:rsidRDefault="006F28D1" w:rsidP="00D47A32">
      <w:pPr>
        <w:spacing w:line="360" w:lineRule="auto"/>
        <w:jc w:val="both"/>
        <w:rPr>
          <w:rFonts w:ascii="David" w:hAnsi="David" w:cs="David"/>
          <w:sz w:val="24"/>
          <w:szCs w:val="24"/>
          <w:rtl/>
        </w:rPr>
      </w:pPr>
      <w:r>
        <w:rPr>
          <w:rFonts w:ascii="David" w:hAnsi="David" w:cs="David" w:hint="cs"/>
          <w:b/>
          <w:bCs/>
          <w:sz w:val="24"/>
          <w:szCs w:val="24"/>
          <w:u w:val="single"/>
          <w:rtl/>
        </w:rPr>
        <w:t>הסנקציות:</w:t>
      </w:r>
      <w:r>
        <w:rPr>
          <w:rFonts w:ascii="David" w:hAnsi="David" w:cs="David" w:hint="cs"/>
          <w:sz w:val="24"/>
          <w:szCs w:val="24"/>
          <w:rtl/>
        </w:rPr>
        <w:t xml:space="preserve"> </w:t>
      </w:r>
    </w:p>
    <w:p w14:paraId="72AA5C20" w14:textId="487732F3" w:rsidR="006F28D1" w:rsidRDefault="006F28D1" w:rsidP="00D47A32">
      <w:pPr>
        <w:spacing w:line="360" w:lineRule="auto"/>
        <w:jc w:val="both"/>
        <w:rPr>
          <w:rFonts w:ascii="David" w:hAnsi="David" w:cs="David"/>
          <w:sz w:val="24"/>
          <w:szCs w:val="24"/>
          <w:rtl/>
        </w:rPr>
      </w:pPr>
      <w:r>
        <w:rPr>
          <w:rFonts w:ascii="David" w:hAnsi="David" w:cs="David" w:hint="cs"/>
          <w:sz w:val="24"/>
          <w:szCs w:val="24"/>
          <w:rtl/>
        </w:rPr>
        <w:t xml:space="preserve">(1) פסילת הרישיון </w:t>
      </w:r>
      <w:r>
        <w:rPr>
          <w:rFonts w:ascii="David" w:hAnsi="David" w:cs="David"/>
          <w:sz w:val="24"/>
          <w:szCs w:val="24"/>
          <w:rtl/>
        </w:rPr>
        <w:t>–</w:t>
      </w:r>
      <w:r>
        <w:rPr>
          <w:rFonts w:ascii="David" w:hAnsi="David" w:cs="David" w:hint="cs"/>
          <w:sz w:val="24"/>
          <w:szCs w:val="24"/>
          <w:rtl/>
        </w:rPr>
        <w:t xml:space="preserve"> פסילה מידית לשלושים יום על ידי קצין משטרה. </w:t>
      </w:r>
    </w:p>
    <w:p w14:paraId="01BA0D9D" w14:textId="46DDC10A" w:rsidR="006F28D1" w:rsidRDefault="006F28D1" w:rsidP="00D47A32">
      <w:pPr>
        <w:spacing w:line="360" w:lineRule="auto"/>
        <w:jc w:val="both"/>
        <w:rPr>
          <w:rFonts w:ascii="David" w:hAnsi="David" w:cs="David"/>
          <w:sz w:val="24"/>
          <w:szCs w:val="24"/>
          <w:rtl/>
        </w:rPr>
      </w:pPr>
      <w:r>
        <w:rPr>
          <w:rFonts w:ascii="David" w:hAnsi="David" w:cs="David" w:hint="cs"/>
          <w:sz w:val="24"/>
          <w:szCs w:val="24"/>
          <w:rtl/>
        </w:rPr>
        <w:t xml:space="preserve">(2) איסור שימוש ברכב </w:t>
      </w:r>
      <w:r>
        <w:rPr>
          <w:rFonts w:ascii="David" w:hAnsi="David" w:cs="David"/>
          <w:sz w:val="24"/>
          <w:szCs w:val="24"/>
          <w:rtl/>
        </w:rPr>
        <w:t>–</w:t>
      </w:r>
      <w:r>
        <w:rPr>
          <w:rFonts w:ascii="David" w:hAnsi="David" w:cs="David" w:hint="cs"/>
          <w:sz w:val="24"/>
          <w:szCs w:val="24"/>
          <w:rtl/>
        </w:rPr>
        <w:t xml:space="preserve"> השבתת הרכב מידית לשלושים יום על ידי קצין המשטרה. במידה והנהג הוא לא הבעלים של הרכב עולים 2 תנאים לקבלת הרכב חזרה: (1) </w:t>
      </w:r>
      <w:r w:rsidR="00B35C20">
        <w:rPr>
          <w:rFonts w:ascii="David" w:hAnsi="David" w:cs="David" w:hint="cs"/>
          <w:sz w:val="24"/>
          <w:szCs w:val="24"/>
          <w:rtl/>
        </w:rPr>
        <w:t xml:space="preserve">בעל הרכב הוכיח כי ניסה למנוע את העבירה, (2) בעל הרכב לא ידע על לקיחת הרכב. על עלויות האחסון, ישלם הנהג. </w:t>
      </w:r>
    </w:p>
    <w:p w14:paraId="6C8F0155" w14:textId="6242FDF2" w:rsidR="00B35C20" w:rsidRDefault="00B35C20" w:rsidP="00D47A32">
      <w:pPr>
        <w:spacing w:line="360" w:lineRule="auto"/>
        <w:jc w:val="both"/>
        <w:rPr>
          <w:rFonts w:ascii="David" w:hAnsi="David" w:cs="David"/>
          <w:sz w:val="24"/>
          <w:szCs w:val="24"/>
          <w:rtl/>
        </w:rPr>
      </w:pPr>
      <w:r>
        <w:rPr>
          <w:rFonts w:ascii="David" w:hAnsi="David" w:cs="David" w:hint="cs"/>
          <w:sz w:val="24"/>
          <w:szCs w:val="24"/>
          <w:rtl/>
        </w:rPr>
        <w:t xml:space="preserve">(3) פסילה ממושכת </w:t>
      </w:r>
      <w:r>
        <w:rPr>
          <w:rFonts w:ascii="David" w:hAnsi="David" w:cs="David"/>
          <w:sz w:val="24"/>
          <w:szCs w:val="24"/>
          <w:rtl/>
        </w:rPr>
        <w:t>–</w:t>
      </w:r>
      <w:r>
        <w:rPr>
          <w:rFonts w:ascii="David" w:hAnsi="David" w:cs="David" w:hint="cs"/>
          <w:sz w:val="24"/>
          <w:szCs w:val="24"/>
          <w:rtl/>
        </w:rPr>
        <w:t xml:space="preserve"> כחלק מגזר הדין, הפסילה תהה למינימום של 24 חודשים (שנתיים). </w:t>
      </w:r>
    </w:p>
    <w:p w14:paraId="257FE27A" w14:textId="3DBA7EF9" w:rsidR="00B35C20" w:rsidRDefault="00B35C20" w:rsidP="00D47A32">
      <w:pPr>
        <w:spacing w:line="360" w:lineRule="auto"/>
        <w:jc w:val="both"/>
        <w:rPr>
          <w:rFonts w:ascii="David" w:hAnsi="David" w:cs="David"/>
          <w:sz w:val="24"/>
          <w:szCs w:val="24"/>
          <w:rtl/>
        </w:rPr>
      </w:pPr>
      <w:r>
        <w:rPr>
          <w:rFonts w:ascii="David" w:hAnsi="David" w:cs="David" w:hint="cs"/>
          <w:sz w:val="24"/>
          <w:szCs w:val="24"/>
          <w:rtl/>
        </w:rPr>
        <w:t xml:space="preserve">(4) מאסר </w:t>
      </w:r>
      <w:r>
        <w:rPr>
          <w:rFonts w:ascii="David" w:hAnsi="David" w:cs="David"/>
          <w:sz w:val="24"/>
          <w:szCs w:val="24"/>
          <w:rtl/>
        </w:rPr>
        <w:t>–</w:t>
      </w:r>
      <w:r>
        <w:rPr>
          <w:rFonts w:ascii="David" w:hAnsi="David" w:cs="David" w:hint="cs"/>
          <w:sz w:val="24"/>
          <w:szCs w:val="24"/>
          <w:rtl/>
        </w:rPr>
        <w:t xml:space="preserve"> חלק מגזר הדין ותלוי עבירה, יכול לנוע ממאסר על תנאי ועד למאסר בפועל. </w:t>
      </w:r>
    </w:p>
    <w:p w14:paraId="28D58B5D" w14:textId="5D266CA3" w:rsidR="00B35C20" w:rsidRPr="00B35C20" w:rsidRDefault="00B35C20" w:rsidP="00B35C20">
      <w:pPr>
        <w:spacing w:line="360" w:lineRule="auto"/>
        <w:jc w:val="both"/>
        <w:rPr>
          <w:rFonts w:ascii="David" w:hAnsi="David" w:cs="David"/>
          <w:sz w:val="24"/>
          <w:szCs w:val="24"/>
          <w:rtl/>
        </w:rPr>
      </w:pPr>
      <w:r>
        <w:rPr>
          <w:rFonts w:ascii="David" w:hAnsi="David" w:cs="David" w:hint="cs"/>
          <w:b/>
          <w:bCs/>
          <w:sz w:val="24"/>
          <w:szCs w:val="24"/>
          <w:u w:val="single"/>
          <w:rtl/>
        </w:rPr>
        <w:t>אופניים וקורקינט חשמלי:</w:t>
      </w:r>
      <w:r>
        <w:rPr>
          <w:rFonts w:ascii="David" w:hAnsi="David" w:cs="David" w:hint="cs"/>
          <w:sz w:val="24"/>
          <w:szCs w:val="24"/>
          <w:rtl/>
        </w:rPr>
        <w:t xml:space="preserve"> מהווים כלי רכב ומכך כפופים לחוקי התנועה. עולות עבורם תקנות מיו</w:t>
      </w:r>
      <w:r w:rsidR="00F01F31">
        <w:rPr>
          <w:rFonts w:ascii="David" w:hAnsi="David" w:cs="David" w:hint="cs"/>
          <w:sz w:val="24"/>
          <w:szCs w:val="24"/>
          <w:rtl/>
        </w:rPr>
        <w:t xml:space="preserve">חדות </w:t>
      </w:r>
      <w:r w:rsidR="00F01F31">
        <w:rPr>
          <w:rFonts w:ascii="David" w:hAnsi="David" w:cs="David"/>
          <w:sz w:val="24"/>
          <w:szCs w:val="24"/>
          <w:rtl/>
        </w:rPr>
        <w:t>–</w:t>
      </w:r>
      <w:r w:rsidR="00F01F31">
        <w:rPr>
          <w:rFonts w:ascii="David" w:hAnsi="David" w:cs="David" w:hint="cs"/>
          <w:sz w:val="24"/>
          <w:szCs w:val="24"/>
          <w:rtl/>
        </w:rPr>
        <w:t xml:space="preserve"> רכיבה מגיל 16, יש צורך במבחן הכשרה/תאוריה/רישיון נהיגה, עולה החובה לחבוש קסדה וחל איסור לעבור את ה25 קמ"ש. </w:t>
      </w:r>
      <w:r w:rsidR="00E3632A">
        <w:rPr>
          <w:rFonts w:ascii="David" w:hAnsi="David" w:cs="David" w:hint="cs"/>
          <w:sz w:val="24"/>
          <w:szCs w:val="24"/>
          <w:rtl/>
        </w:rPr>
        <w:t xml:space="preserve">הרכיבה תהה על הכביש או על מסלול מיוחד, במידה וחוצים על המדרכה, יש ללכת עם הכלי ליד. </w:t>
      </w:r>
    </w:p>
    <w:p w14:paraId="3EACB37B" w14:textId="77777777" w:rsidR="00FB4BE6" w:rsidRPr="00FB4BE6" w:rsidRDefault="00FB4BE6" w:rsidP="007533F3">
      <w:pPr>
        <w:spacing w:line="360" w:lineRule="auto"/>
        <w:jc w:val="both"/>
        <w:rPr>
          <w:rFonts w:ascii="David" w:hAnsi="David" w:cs="David"/>
          <w:sz w:val="24"/>
          <w:szCs w:val="24"/>
          <w:rtl/>
        </w:rPr>
      </w:pPr>
    </w:p>
    <w:p w14:paraId="0DDB7F34" w14:textId="77777777" w:rsidR="007B4AD7" w:rsidRPr="00EC28D0" w:rsidRDefault="007B4AD7" w:rsidP="006822BB">
      <w:pPr>
        <w:spacing w:line="360" w:lineRule="auto"/>
        <w:jc w:val="both"/>
        <w:rPr>
          <w:rFonts w:ascii="David" w:hAnsi="David" w:cs="David"/>
          <w:b/>
          <w:bCs/>
          <w:sz w:val="24"/>
          <w:szCs w:val="24"/>
          <w:rtl/>
        </w:rPr>
      </w:pPr>
    </w:p>
    <w:p w14:paraId="2B6BA40C" w14:textId="77777777" w:rsidR="007B4AD7" w:rsidRPr="00EC28D0" w:rsidRDefault="007B4AD7" w:rsidP="006822BB">
      <w:pPr>
        <w:spacing w:line="360" w:lineRule="auto"/>
        <w:jc w:val="both"/>
        <w:rPr>
          <w:rFonts w:ascii="David" w:hAnsi="David" w:cs="David"/>
          <w:b/>
          <w:bCs/>
          <w:sz w:val="24"/>
          <w:szCs w:val="24"/>
          <w:rtl/>
        </w:rPr>
      </w:pPr>
    </w:p>
    <w:p w14:paraId="03DCB3A8" w14:textId="77777777" w:rsidR="007B4AD7" w:rsidRPr="00EC28D0" w:rsidRDefault="007B4AD7" w:rsidP="006822BB">
      <w:pPr>
        <w:spacing w:line="360" w:lineRule="auto"/>
        <w:jc w:val="both"/>
        <w:rPr>
          <w:rFonts w:ascii="David" w:hAnsi="David" w:cs="David"/>
          <w:b/>
          <w:bCs/>
          <w:sz w:val="24"/>
          <w:szCs w:val="24"/>
          <w:rtl/>
        </w:rPr>
      </w:pPr>
    </w:p>
    <w:p w14:paraId="7C6E7E0E" w14:textId="77777777" w:rsidR="007B4AD7" w:rsidRPr="006822BB" w:rsidRDefault="007B4AD7" w:rsidP="006822BB">
      <w:pPr>
        <w:spacing w:line="360" w:lineRule="auto"/>
        <w:jc w:val="both"/>
        <w:rPr>
          <w:rFonts w:ascii="David" w:hAnsi="David" w:cs="David"/>
          <w:sz w:val="24"/>
          <w:szCs w:val="24"/>
          <w:rtl/>
        </w:rPr>
      </w:pPr>
    </w:p>
    <w:sectPr w:rsidR="007B4AD7" w:rsidRPr="006822BB" w:rsidSect="0048507F">
      <w:headerReference w:type="default" r:id="rId19"/>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0208" w14:textId="77777777" w:rsidR="00524CF5" w:rsidRDefault="00524CF5" w:rsidP="00524CF5">
      <w:pPr>
        <w:spacing w:after="0" w:line="240" w:lineRule="auto"/>
      </w:pPr>
      <w:r>
        <w:separator/>
      </w:r>
    </w:p>
  </w:endnote>
  <w:endnote w:type="continuationSeparator" w:id="0">
    <w:p w14:paraId="565BB02B" w14:textId="77777777" w:rsidR="00524CF5" w:rsidRDefault="00524CF5" w:rsidP="0052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tl/>
        <w:lang w:val="he-IL"/>
      </w:rPr>
      <w:id w:val="-465970680"/>
      <w:docPartObj>
        <w:docPartGallery w:val="Page Numbers (Bottom of Page)"/>
        <w:docPartUnique/>
      </w:docPartObj>
    </w:sdtPr>
    <w:sdtEndPr>
      <w:rPr>
        <w:lang w:val="en-US"/>
      </w:rPr>
    </w:sdtEndPr>
    <w:sdtContent>
      <w:p w14:paraId="4B031FCD" w14:textId="470A52F5" w:rsidR="00251C93" w:rsidRDefault="00251C93">
        <w:pPr>
          <w:pStyle w:val="a5"/>
          <w:jc w:val="center"/>
          <w:rPr>
            <w:rFonts w:asciiTheme="majorHAnsi" w:eastAsiaTheme="majorEastAsia" w:hAnsiTheme="majorHAnsi" w:cstheme="majorBidi"/>
            <w:sz w:val="28"/>
            <w:szCs w:val="28"/>
          </w:rPr>
        </w:pPr>
        <w:r w:rsidRPr="00251C93">
          <w:rPr>
            <w:rFonts w:ascii="David" w:eastAsiaTheme="majorEastAsia" w:hAnsi="David" w:cs="David"/>
            <w:sz w:val="24"/>
            <w:szCs w:val="24"/>
            <w:rtl/>
            <w:lang w:val="he-IL"/>
          </w:rPr>
          <w:t xml:space="preserve">~ </w:t>
        </w:r>
        <w:r w:rsidRPr="00251C93">
          <w:rPr>
            <w:rFonts w:ascii="David" w:eastAsiaTheme="minorEastAsia" w:hAnsi="David" w:cs="David"/>
            <w:sz w:val="24"/>
            <w:szCs w:val="24"/>
          </w:rPr>
          <w:fldChar w:fldCharType="begin"/>
        </w:r>
        <w:r w:rsidRPr="00251C93">
          <w:rPr>
            <w:rFonts w:ascii="David" w:hAnsi="David" w:cs="David"/>
            <w:sz w:val="24"/>
            <w:szCs w:val="24"/>
          </w:rPr>
          <w:instrText>PAGE    \* MERGEFORMAT</w:instrText>
        </w:r>
        <w:r w:rsidRPr="00251C93">
          <w:rPr>
            <w:rFonts w:ascii="David" w:eastAsiaTheme="minorEastAsia" w:hAnsi="David" w:cs="David"/>
            <w:sz w:val="24"/>
            <w:szCs w:val="24"/>
          </w:rPr>
          <w:fldChar w:fldCharType="separate"/>
        </w:r>
        <w:r w:rsidRPr="00251C93">
          <w:rPr>
            <w:rFonts w:ascii="David" w:eastAsiaTheme="majorEastAsia" w:hAnsi="David" w:cs="David"/>
            <w:sz w:val="24"/>
            <w:szCs w:val="24"/>
            <w:rtl/>
            <w:lang w:val="he-IL"/>
          </w:rPr>
          <w:t>2</w:t>
        </w:r>
        <w:r w:rsidRPr="00251C93">
          <w:rPr>
            <w:rFonts w:ascii="David" w:eastAsiaTheme="majorEastAsia" w:hAnsi="David" w:cs="David"/>
            <w:sz w:val="24"/>
            <w:szCs w:val="24"/>
          </w:rPr>
          <w:fldChar w:fldCharType="end"/>
        </w:r>
        <w:r w:rsidRPr="00251C93">
          <w:rPr>
            <w:rFonts w:ascii="David" w:eastAsiaTheme="majorEastAsia" w:hAnsi="David" w:cs="David"/>
            <w:sz w:val="24"/>
            <w:szCs w:val="24"/>
            <w:rtl/>
            <w:lang w:val="he-IL"/>
          </w:rPr>
          <w:t xml:space="preserve"> ~</w:t>
        </w:r>
      </w:p>
    </w:sdtContent>
  </w:sdt>
  <w:p w14:paraId="51628564" w14:textId="77777777" w:rsidR="00251C93" w:rsidRDefault="00251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CE10" w14:textId="77777777" w:rsidR="00524CF5" w:rsidRDefault="00524CF5" w:rsidP="00524CF5">
      <w:pPr>
        <w:spacing w:after="0" w:line="240" w:lineRule="auto"/>
      </w:pPr>
      <w:r>
        <w:separator/>
      </w:r>
    </w:p>
  </w:footnote>
  <w:footnote w:type="continuationSeparator" w:id="0">
    <w:p w14:paraId="5D44D225" w14:textId="77777777" w:rsidR="00524CF5" w:rsidRDefault="00524CF5" w:rsidP="0052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2448" w14:textId="7412227F" w:rsidR="00524CF5" w:rsidRPr="00BF0BF3" w:rsidRDefault="00524CF5" w:rsidP="00524CF5">
    <w:pPr>
      <w:pStyle w:val="a3"/>
      <w:rPr>
        <w:rFonts w:ascii="David" w:hAnsi="David" w:cs="David"/>
        <w:sz w:val="24"/>
        <w:szCs w:val="24"/>
      </w:rPr>
    </w:pPr>
    <w:r>
      <w:rPr>
        <w:rFonts w:ascii="David" w:hAnsi="David" w:cs="David" w:hint="cs"/>
        <w:sz w:val="24"/>
        <w:szCs w:val="24"/>
        <w:rtl/>
      </w:rPr>
      <w:t>עו"ד איציק אמיר</w:t>
    </w:r>
    <w:r w:rsidR="0021628D">
      <w:rPr>
        <w:rFonts w:ascii="David" w:hAnsi="David" w:cs="David" w:hint="cs"/>
        <w:sz w:val="24"/>
        <w:szCs w:val="24"/>
        <w:rtl/>
      </w:rPr>
      <w:t>, עו"ד טל אייזיק</w:t>
    </w:r>
    <w:r w:rsidRPr="00BF0BF3">
      <w:rPr>
        <w:rFonts w:ascii="David" w:hAnsi="David" w:cs="David"/>
        <w:sz w:val="24"/>
        <w:szCs w:val="24"/>
        <w:rtl/>
      </w:rPr>
      <w:ptab w:relativeTo="margin" w:alignment="center" w:leader="none"/>
    </w:r>
    <w:r w:rsidRPr="00BF0BF3">
      <w:rPr>
        <w:rFonts w:ascii="David" w:hAnsi="David" w:cs="David"/>
        <w:sz w:val="24"/>
        <w:szCs w:val="24"/>
        <w:rtl/>
      </w:rPr>
      <w:ptab w:relativeTo="margin" w:alignment="right" w:leader="none"/>
    </w:r>
    <w:r w:rsidRPr="00BF0BF3">
      <w:rPr>
        <w:rFonts w:ascii="David" w:hAnsi="David" w:cs="David"/>
        <w:sz w:val="24"/>
        <w:szCs w:val="24"/>
        <w:rtl/>
      </w:rPr>
      <w:t>נויה ביטון, 01</w:t>
    </w:r>
    <w:r>
      <w:rPr>
        <w:rFonts w:ascii="David" w:hAnsi="David" w:cs="David" w:hint="cs"/>
        <w:sz w:val="24"/>
        <w:szCs w:val="24"/>
        <w:rtl/>
      </w:rPr>
      <w:t>, 2023</w:t>
    </w:r>
  </w:p>
  <w:p w14:paraId="68F0099F" w14:textId="77777777" w:rsidR="00524CF5" w:rsidRPr="00524CF5" w:rsidRDefault="00524C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CB0"/>
    <w:multiLevelType w:val="hybridMultilevel"/>
    <w:tmpl w:val="6D1AF236"/>
    <w:lvl w:ilvl="0" w:tplc="EC1C9BCC">
      <w:start w:val="10"/>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95764"/>
    <w:multiLevelType w:val="hybridMultilevel"/>
    <w:tmpl w:val="D4BA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2100925">
    <w:abstractNumId w:val="1"/>
  </w:num>
  <w:num w:numId="2" w16cid:durableId="203418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A"/>
    <w:rsid w:val="00003CAE"/>
    <w:rsid w:val="00007BA5"/>
    <w:rsid w:val="000117CE"/>
    <w:rsid w:val="000121FD"/>
    <w:rsid w:val="00016AE6"/>
    <w:rsid w:val="0002148D"/>
    <w:rsid w:val="000224C9"/>
    <w:rsid w:val="00043883"/>
    <w:rsid w:val="000533EA"/>
    <w:rsid w:val="0005419D"/>
    <w:rsid w:val="00056972"/>
    <w:rsid w:val="00077955"/>
    <w:rsid w:val="00080B31"/>
    <w:rsid w:val="00082BC8"/>
    <w:rsid w:val="00090A19"/>
    <w:rsid w:val="00090E02"/>
    <w:rsid w:val="000A0B08"/>
    <w:rsid w:val="000A531C"/>
    <w:rsid w:val="000C153C"/>
    <w:rsid w:val="000C20FE"/>
    <w:rsid w:val="000C6364"/>
    <w:rsid w:val="000C7D94"/>
    <w:rsid w:val="000E2E65"/>
    <w:rsid w:val="000E6B79"/>
    <w:rsid w:val="00110819"/>
    <w:rsid w:val="00131980"/>
    <w:rsid w:val="00134739"/>
    <w:rsid w:val="00135931"/>
    <w:rsid w:val="00135B4E"/>
    <w:rsid w:val="001402A2"/>
    <w:rsid w:val="00144083"/>
    <w:rsid w:val="00144E54"/>
    <w:rsid w:val="00144F53"/>
    <w:rsid w:val="00161A40"/>
    <w:rsid w:val="00163E59"/>
    <w:rsid w:val="0016487D"/>
    <w:rsid w:val="0017084B"/>
    <w:rsid w:val="001761E6"/>
    <w:rsid w:val="001A13EA"/>
    <w:rsid w:val="001A3979"/>
    <w:rsid w:val="001A6085"/>
    <w:rsid w:val="001B0C24"/>
    <w:rsid w:val="001B34D5"/>
    <w:rsid w:val="001B4976"/>
    <w:rsid w:val="001C18F2"/>
    <w:rsid w:val="001C27FC"/>
    <w:rsid w:val="001C5F7A"/>
    <w:rsid w:val="001D36C2"/>
    <w:rsid w:val="001E6E38"/>
    <w:rsid w:val="001F12EF"/>
    <w:rsid w:val="001F2185"/>
    <w:rsid w:val="001F505E"/>
    <w:rsid w:val="002161E0"/>
    <w:rsid w:val="0021628D"/>
    <w:rsid w:val="00222CA6"/>
    <w:rsid w:val="002253C0"/>
    <w:rsid w:val="0023305D"/>
    <w:rsid w:val="00243777"/>
    <w:rsid w:val="002437B3"/>
    <w:rsid w:val="0024429A"/>
    <w:rsid w:val="00247665"/>
    <w:rsid w:val="00247CE1"/>
    <w:rsid w:val="00250C30"/>
    <w:rsid w:val="00251C93"/>
    <w:rsid w:val="00263FDB"/>
    <w:rsid w:val="00265C4B"/>
    <w:rsid w:val="00266A72"/>
    <w:rsid w:val="002706ED"/>
    <w:rsid w:val="0027149F"/>
    <w:rsid w:val="00283A80"/>
    <w:rsid w:val="00290049"/>
    <w:rsid w:val="00295358"/>
    <w:rsid w:val="002A5C02"/>
    <w:rsid w:val="002D0470"/>
    <w:rsid w:val="002D05E7"/>
    <w:rsid w:val="002E6F85"/>
    <w:rsid w:val="002F0211"/>
    <w:rsid w:val="002F6571"/>
    <w:rsid w:val="00304D1D"/>
    <w:rsid w:val="00305C94"/>
    <w:rsid w:val="00311F33"/>
    <w:rsid w:val="00312B75"/>
    <w:rsid w:val="00313386"/>
    <w:rsid w:val="00316EE2"/>
    <w:rsid w:val="00334823"/>
    <w:rsid w:val="00334B27"/>
    <w:rsid w:val="003350BD"/>
    <w:rsid w:val="00337221"/>
    <w:rsid w:val="00345079"/>
    <w:rsid w:val="0036104F"/>
    <w:rsid w:val="00367FCE"/>
    <w:rsid w:val="00370B27"/>
    <w:rsid w:val="00381A75"/>
    <w:rsid w:val="00382726"/>
    <w:rsid w:val="003866D3"/>
    <w:rsid w:val="003951A4"/>
    <w:rsid w:val="00396E08"/>
    <w:rsid w:val="003A5458"/>
    <w:rsid w:val="003B0401"/>
    <w:rsid w:val="003B0F45"/>
    <w:rsid w:val="003B2EAA"/>
    <w:rsid w:val="003C56AD"/>
    <w:rsid w:val="003D4660"/>
    <w:rsid w:val="003E16ED"/>
    <w:rsid w:val="003E184A"/>
    <w:rsid w:val="003E1AD0"/>
    <w:rsid w:val="003E5982"/>
    <w:rsid w:val="003E7C9C"/>
    <w:rsid w:val="003F622B"/>
    <w:rsid w:val="00400E01"/>
    <w:rsid w:val="00403DCF"/>
    <w:rsid w:val="00404785"/>
    <w:rsid w:val="004146F8"/>
    <w:rsid w:val="00417707"/>
    <w:rsid w:val="00425E37"/>
    <w:rsid w:val="00433201"/>
    <w:rsid w:val="0043633C"/>
    <w:rsid w:val="0044064C"/>
    <w:rsid w:val="00451811"/>
    <w:rsid w:val="00463142"/>
    <w:rsid w:val="00480840"/>
    <w:rsid w:val="00481352"/>
    <w:rsid w:val="00481E1F"/>
    <w:rsid w:val="00482279"/>
    <w:rsid w:val="0048507F"/>
    <w:rsid w:val="00485EAC"/>
    <w:rsid w:val="004909B2"/>
    <w:rsid w:val="00490BD5"/>
    <w:rsid w:val="004A3096"/>
    <w:rsid w:val="004A38C6"/>
    <w:rsid w:val="004A4395"/>
    <w:rsid w:val="004A5538"/>
    <w:rsid w:val="004B752C"/>
    <w:rsid w:val="004C5C37"/>
    <w:rsid w:val="004C6A88"/>
    <w:rsid w:val="004C754E"/>
    <w:rsid w:val="004D2560"/>
    <w:rsid w:val="004D277B"/>
    <w:rsid w:val="004D53CF"/>
    <w:rsid w:val="004D7B36"/>
    <w:rsid w:val="004E1DBC"/>
    <w:rsid w:val="004E3D48"/>
    <w:rsid w:val="004E7696"/>
    <w:rsid w:val="004F02B7"/>
    <w:rsid w:val="005013B5"/>
    <w:rsid w:val="00503B59"/>
    <w:rsid w:val="00514E6F"/>
    <w:rsid w:val="0052007D"/>
    <w:rsid w:val="00524CF5"/>
    <w:rsid w:val="0053218C"/>
    <w:rsid w:val="00533572"/>
    <w:rsid w:val="00533E77"/>
    <w:rsid w:val="0053433C"/>
    <w:rsid w:val="005372FF"/>
    <w:rsid w:val="005377BC"/>
    <w:rsid w:val="005379BD"/>
    <w:rsid w:val="005401E9"/>
    <w:rsid w:val="0054056F"/>
    <w:rsid w:val="00546DD6"/>
    <w:rsid w:val="0054721D"/>
    <w:rsid w:val="005566FF"/>
    <w:rsid w:val="00556FEC"/>
    <w:rsid w:val="00557B09"/>
    <w:rsid w:val="00562668"/>
    <w:rsid w:val="00571AFB"/>
    <w:rsid w:val="0059423F"/>
    <w:rsid w:val="00595599"/>
    <w:rsid w:val="005B0653"/>
    <w:rsid w:val="005B3450"/>
    <w:rsid w:val="005C238C"/>
    <w:rsid w:val="005C426B"/>
    <w:rsid w:val="005C4FF5"/>
    <w:rsid w:val="005C7A6E"/>
    <w:rsid w:val="005D00E7"/>
    <w:rsid w:val="005D4C79"/>
    <w:rsid w:val="005D52C6"/>
    <w:rsid w:val="005D65ED"/>
    <w:rsid w:val="005E298A"/>
    <w:rsid w:val="0060175A"/>
    <w:rsid w:val="00604BCF"/>
    <w:rsid w:val="00610006"/>
    <w:rsid w:val="006105E6"/>
    <w:rsid w:val="0061390D"/>
    <w:rsid w:val="0062731D"/>
    <w:rsid w:val="006324DF"/>
    <w:rsid w:val="00633E44"/>
    <w:rsid w:val="0063743C"/>
    <w:rsid w:val="00641C9F"/>
    <w:rsid w:val="00644FE0"/>
    <w:rsid w:val="00645185"/>
    <w:rsid w:val="0064789C"/>
    <w:rsid w:val="00662ADB"/>
    <w:rsid w:val="006822BB"/>
    <w:rsid w:val="00686357"/>
    <w:rsid w:val="00687F7A"/>
    <w:rsid w:val="006907A1"/>
    <w:rsid w:val="00696264"/>
    <w:rsid w:val="006A710B"/>
    <w:rsid w:val="006B0268"/>
    <w:rsid w:val="006B2BEB"/>
    <w:rsid w:val="006B7BB0"/>
    <w:rsid w:val="006C6A3F"/>
    <w:rsid w:val="006D6C2D"/>
    <w:rsid w:val="006F1A7D"/>
    <w:rsid w:val="006F28D1"/>
    <w:rsid w:val="006F6B4D"/>
    <w:rsid w:val="00704753"/>
    <w:rsid w:val="00706E0B"/>
    <w:rsid w:val="00714790"/>
    <w:rsid w:val="00722677"/>
    <w:rsid w:val="00722BD7"/>
    <w:rsid w:val="00730F80"/>
    <w:rsid w:val="00731869"/>
    <w:rsid w:val="00732789"/>
    <w:rsid w:val="00736B9F"/>
    <w:rsid w:val="0074399A"/>
    <w:rsid w:val="007533F3"/>
    <w:rsid w:val="0075413F"/>
    <w:rsid w:val="0076267A"/>
    <w:rsid w:val="00766087"/>
    <w:rsid w:val="0077691F"/>
    <w:rsid w:val="007822B4"/>
    <w:rsid w:val="00787C1F"/>
    <w:rsid w:val="007A14E1"/>
    <w:rsid w:val="007A2C4D"/>
    <w:rsid w:val="007A62D6"/>
    <w:rsid w:val="007A64A0"/>
    <w:rsid w:val="007B07E6"/>
    <w:rsid w:val="007B19EE"/>
    <w:rsid w:val="007B4AD7"/>
    <w:rsid w:val="007C2496"/>
    <w:rsid w:val="007C331B"/>
    <w:rsid w:val="007C34BD"/>
    <w:rsid w:val="007C7093"/>
    <w:rsid w:val="007D0B9F"/>
    <w:rsid w:val="007D4284"/>
    <w:rsid w:val="007D444D"/>
    <w:rsid w:val="007D4705"/>
    <w:rsid w:val="007E2DE2"/>
    <w:rsid w:val="007E7323"/>
    <w:rsid w:val="007E7B12"/>
    <w:rsid w:val="007F1053"/>
    <w:rsid w:val="00800B35"/>
    <w:rsid w:val="008054F0"/>
    <w:rsid w:val="008135D7"/>
    <w:rsid w:val="00816069"/>
    <w:rsid w:val="008179C8"/>
    <w:rsid w:val="00824D2D"/>
    <w:rsid w:val="00826151"/>
    <w:rsid w:val="008266C1"/>
    <w:rsid w:val="00842418"/>
    <w:rsid w:val="00843A43"/>
    <w:rsid w:val="008478F4"/>
    <w:rsid w:val="00852D18"/>
    <w:rsid w:val="00860494"/>
    <w:rsid w:val="00867BF8"/>
    <w:rsid w:val="00876EB0"/>
    <w:rsid w:val="00883478"/>
    <w:rsid w:val="008859FE"/>
    <w:rsid w:val="0088731E"/>
    <w:rsid w:val="00891205"/>
    <w:rsid w:val="00893042"/>
    <w:rsid w:val="008A10A5"/>
    <w:rsid w:val="008A2AFF"/>
    <w:rsid w:val="008A35D0"/>
    <w:rsid w:val="008B32C4"/>
    <w:rsid w:val="008B749C"/>
    <w:rsid w:val="008C3F90"/>
    <w:rsid w:val="008D3BB0"/>
    <w:rsid w:val="008D6283"/>
    <w:rsid w:val="008F42A2"/>
    <w:rsid w:val="008F6CF8"/>
    <w:rsid w:val="00901BA9"/>
    <w:rsid w:val="00906345"/>
    <w:rsid w:val="0091019F"/>
    <w:rsid w:val="009113B3"/>
    <w:rsid w:val="009129E8"/>
    <w:rsid w:val="0091639B"/>
    <w:rsid w:val="0091659C"/>
    <w:rsid w:val="00934E46"/>
    <w:rsid w:val="00937E74"/>
    <w:rsid w:val="009437DE"/>
    <w:rsid w:val="00943AC1"/>
    <w:rsid w:val="00951AC9"/>
    <w:rsid w:val="00955D58"/>
    <w:rsid w:val="009573C4"/>
    <w:rsid w:val="009630A3"/>
    <w:rsid w:val="009731C6"/>
    <w:rsid w:val="009741CA"/>
    <w:rsid w:val="009842F5"/>
    <w:rsid w:val="009845D1"/>
    <w:rsid w:val="009847CA"/>
    <w:rsid w:val="009867DA"/>
    <w:rsid w:val="00996A0C"/>
    <w:rsid w:val="009977B0"/>
    <w:rsid w:val="009A650D"/>
    <w:rsid w:val="009B23B2"/>
    <w:rsid w:val="009B60C6"/>
    <w:rsid w:val="009C540D"/>
    <w:rsid w:val="009C5A0A"/>
    <w:rsid w:val="009D1794"/>
    <w:rsid w:val="009E268C"/>
    <w:rsid w:val="009F4CC2"/>
    <w:rsid w:val="009F5C09"/>
    <w:rsid w:val="009F6CF3"/>
    <w:rsid w:val="00A0342C"/>
    <w:rsid w:val="00A04715"/>
    <w:rsid w:val="00A122B7"/>
    <w:rsid w:val="00A15152"/>
    <w:rsid w:val="00A15314"/>
    <w:rsid w:val="00A2155E"/>
    <w:rsid w:val="00A27150"/>
    <w:rsid w:val="00A34087"/>
    <w:rsid w:val="00A373D8"/>
    <w:rsid w:val="00A40EE1"/>
    <w:rsid w:val="00A46399"/>
    <w:rsid w:val="00A4688A"/>
    <w:rsid w:val="00A47A25"/>
    <w:rsid w:val="00A61579"/>
    <w:rsid w:val="00A665E8"/>
    <w:rsid w:val="00A73081"/>
    <w:rsid w:val="00A75DC9"/>
    <w:rsid w:val="00AA28A3"/>
    <w:rsid w:val="00AA35E3"/>
    <w:rsid w:val="00AA506B"/>
    <w:rsid w:val="00AA6987"/>
    <w:rsid w:val="00AB531E"/>
    <w:rsid w:val="00AB7126"/>
    <w:rsid w:val="00AC00B5"/>
    <w:rsid w:val="00AE3B2F"/>
    <w:rsid w:val="00AF1EEB"/>
    <w:rsid w:val="00AF365E"/>
    <w:rsid w:val="00AF617D"/>
    <w:rsid w:val="00B0053A"/>
    <w:rsid w:val="00B071D9"/>
    <w:rsid w:val="00B164B3"/>
    <w:rsid w:val="00B20A94"/>
    <w:rsid w:val="00B21546"/>
    <w:rsid w:val="00B340F3"/>
    <w:rsid w:val="00B35C20"/>
    <w:rsid w:val="00B40936"/>
    <w:rsid w:val="00B421C6"/>
    <w:rsid w:val="00B4285A"/>
    <w:rsid w:val="00B44C4F"/>
    <w:rsid w:val="00B470B4"/>
    <w:rsid w:val="00B625A9"/>
    <w:rsid w:val="00B629FC"/>
    <w:rsid w:val="00B6568B"/>
    <w:rsid w:val="00B738D6"/>
    <w:rsid w:val="00B810B3"/>
    <w:rsid w:val="00B86F32"/>
    <w:rsid w:val="00B90D08"/>
    <w:rsid w:val="00B91986"/>
    <w:rsid w:val="00B93127"/>
    <w:rsid w:val="00BA6AFA"/>
    <w:rsid w:val="00BB36F3"/>
    <w:rsid w:val="00BB6F9C"/>
    <w:rsid w:val="00BC2137"/>
    <w:rsid w:val="00BC2A92"/>
    <w:rsid w:val="00BC3546"/>
    <w:rsid w:val="00BC5864"/>
    <w:rsid w:val="00BC5F72"/>
    <w:rsid w:val="00BD0A4C"/>
    <w:rsid w:val="00BE0E41"/>
    <w:rsid w:val="00BF35EC"/>
    <w:rsid w:val="00BF75C9"/>
    <w:rsid w:val="00C13760"/>
    <w:rsid w:val="00C153D8"/>
    <w:rsid w:val="00C15A3A"/>
    <w:rsid w:val="00C24F1F"/>
    <w:rsid w:val="00C255E6"/>
    <w:rsid w:val="00C34948"/>
    <w:rsid w:val="00C46B25"/>
    <w:rsid w:val="00C46F4C"/>
    <w:rsid w:val="00C6017F"/>
    <w:rsid w:val="00C62E8C"/>
    <w:rsid w:val="00C70153"/>
    <w:rsid w:val="00C70EB8"/>
    <w:rsid w:val="00C81507"/>
    <w:rsid w:val="00C82597"/>
    <w:rsid w:val="00C83EC2"/>
    <w:rsid w:val="00C877C3"/>
    <w:rsid w:val="00CA5412"/>
    <w:rsid w:val="00CB06E4"/>
    <w:rsid w:val="00CB24DA"/>
    <w:rsid w:val="00CB2F9F"/>
    <w:rsid w:val="00CC1A5C"/>
    <w:rsid w:val="00CC504D"/>
    <w:rsid w:val="00CC794C"/>
    <w:rsid w:val="00CD4D34"/>
    <w:rsid w:val="00CD5091"/>
    <w:rsid w:val="00CE0CF5"/>
    <w:rsid w:val="00CE26EB"/>
    <w:rsid w:val="00CE5ADA"/>
    <w:rsid w:val="00CF0544"/>
    <w:rsid w:val="00CF6EE2"/>
    <w:rsid w:val="00D023D4"/>
    <w:rsid w:val="00D1134E"/>
    <w:rsid w:val="00D13C6F"/>
    <w:rsid w:val="00D16EDA"/>
    <w:rsid w:val="00D204FC"/>
    <w:rsid w:val="00D22052"/>
    <w:rsid w:val="00D235CF"/>
    <w:rsid w:val="00D241E0"/>
    <w:rsid w:val="00D24D9B"/>
    <w:rsid w:val="00D2518D"/>
    <w:rsid w:val="00D31377"/>
    <w:rsid w:val="00D4453C"/>
    <w:rsid w:val="00D467E2"/>
    <w:rsid w:val="00D47A32"/>
    <w:rsid w:val="00D55EB1"/>
    <w:rsid w:val="00D560B3"/>
    <w:rsid w:val="00D577EE"/>
    <w:rsid w:val="00D60DB5"/>
    <w:rsid w:val="00D610BE"/>
    <w:rsid w:val="00D82A27"/>
    <w:rsid w:val="00D93916"/>
    <w:rsid w:val="00D96A78"/>
    <w:rsid w:val="00D9702D"/>
    <w:rsid w:val="00DA0991"/>
    <w:rsid w:val="00DA7AAA"/>
    <w:rsid w:val="00DB13E8"/>
    <w:rsid w:val="00DB1835"/>
    <w:rsid w:val="00DD13C0"/>
    <w:rsid w:val="00DD19BA"/>
    <w:rsid w:val="00DF27F1"/>
    <w:rsid w:val="00DF513A"/>
    <w:rsid w:val="00E005BC"/>
    <w:rsid w:val="00E02BA4"/>
    <w:rsid w:val="00E05E4A"/>
    <w:rsid w:val="00E1689C"/>
    <w:rsid w:val="00E20FF0"/>
    <w:rsid w:val="00E21B1A"/>
    <w:rsid w:val="00E30B41"/>
    <w:rsid w:val="00E34062"/>
    <w:rsid w:val="00E3632A"/>
    <w:rsid w:val="00E46665"/>
    <w:rsid w:val="00E50E5F"/>
    <w:rsid w:val="00E52A1C"/>
    <w:rsid w:val="00E53B4E"/>
    <w:rsid w:val="00E67043"/>
    <w:rsid w:val="00E714BF"/>
    <w:rsid w:val="00E77FC1"/>
    <w:rsid w:val="00E96F28"/>
    <w:rsid w:val="00EA06CD"/>
    <w:rsid w:val="00EA57D2"/>
    <w:rsid w:val="00EA5B50"/>
    <w:rsid w:val="00EB45CD"/>
    <w:rsid w:val="00EC1182"/>
    <w:rsid w:val="00EC1D58"/>
    <w:rsid w:val="00EC28D0"/>
    <w:rsid w:val="00EC641E"/>
    <w:rsid w:val="00EC64D4"/>
    <w:rsid w:val="00ED064C"/>
    <w:rsid w:val="00ED1DAD"/>
    <w:rsid w:val="00ED264A"/>
    <w:rsid w:val="00ED5EC1"/>
    <w:rsid w:val="00ED6F13"/>
    <w:rsid w:val="00EE0EC3"/>
    <w:rsid w:val="00EE39A9"/>
    <w:rsid w:val="00EF0464"/>
    <w:rsid w:val="00EF05B2"/>
    <w:rsid w:val="00F01F31"/>
    <w:rsid w:val="00F029BA"/>
    <w:rsid w:val="00F03F72"/>
    <w:rsid w:val="00F12417"/>
    <w:rsid w:val="00F14974"/>
    <w:rsid w:val="00F22ACB"/>
    <w:rsid w:val="00F273AB"/>
    <w:rsid w:val="00F30AD4"/>
    <w:rsid w:val="00F323CC"/>
    <w:rsid w:val="00F32E2A"/>
    <w:rsid w:val="00F34EEE"/>
    <w:rsid w:val="00F4204A"/>
    <w:rsid w:val="00F43617"/>
    <w:rsid w:val="00F46DBD"/>
    <w:rsid w:val="00F507DD"/>
    <w:rsid w:val="00F524EE"/>
    <w:rsid w:val="00F572A0"/>
    <w:rsid w:val="00F62C17"/>
    <w:rsid w:val="00F64E8E"/>
    <w:rsid w:val="00F6577B"/>
    <w:rsid w:val="00F718DC"/>
    <w:rsid w:val="00F80AC6"/>
    <w:rsid w:val="00F85225"/>
    <w:rsid w:val="00F872B9"/>
    <w:rsid w:val="00F92139"/>
    <w:rsid w:val="00F92D9F"/>
    <w:rsid w:val="00FA0CB8"/>
    <w:rsid w:val="00FA0DE0"/>
    <w:rsid w:val="00FA2E1F"/>
    <w:rsid w:val="00FB3477"/>
    <w:rsid w:val="00FB4BE6"/>
    <w:rsid w:val="00FB4C0E"/>
    <w:rsid w:val="00FC58FD"/>
    <w:rsid w:val="00FD144A"/>
    <w:rsid w:val="00FF0899"/>
    <w:rsid w:val="00FF6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6E4D"/>
  <w15:chartTrackingRefBased/>
  <w15:docId w15:val="{79A59BEF-B41B-44C1-877A-EF788A2E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4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5"/>
    <w:pPr>
      <w:tabs>
        <w:tab w:val="center" w:pos="4153"/>
        <w:tab w:val="right" w:pos="8306"/>
      </w:tabs>
      <w:spacing w:after="0" w:line="240" w:lineRule="auto"/>
    </w:pPr>
  </w:style>
  <w:style w:type="character" w:customStyle="1" w:styleId="a4">
    <w:name w:val="כותרת עליונה תו"/>
    <w:basedOn w:val="a0"/>
    <w:link w:val="a3"/>
    <w:uiPriority w:val="99"/>
    <w:rsid w:val="00524CF5"/>
  </w:style>
  <w:style w:type="paragraph" w:styleId="a5">
    <w:name w:val="footer"/>
    <w:basedOn w:val="a"/>
    <w:link w:val="a6"/>
    <w:uiPriority w:val="99"/>
    <w:unhideWhenUsed/>
    <w:rsid w:val="00524CF5"/>
    <w:pPr>
      <w:tabs>
        <w:tab w:val="center" w:pos="4153"/>
        <w:tab w:val="right" w:pos="8306"/>
      </w:tabs>
      <w:spacing w:after="0" w:line="240" w:lineRule="auto"/>
    </w:pPr>
  </w:style>
  <w:style w:type="character" w:customStyle="1" w:styleId="a6">
    <w:name w:val="כותרת תחתונה תו"/>
    <w:basedOn w:val="a0"/>
    <w:link w:val="a5"/>
    <w:uiPriority w:val="99"/>
    <w:rsid w:val="00524CF5"/>
  </w:style>
  <w:style w:type="paragraph" w:styleId="a7">
    <w:name w:val="List Paragraph"/>
    <w:basedOn w:val="a"/>
    <w:uiPriority w:val="34"/>
    <w:qFormat/>
    <w:rsid w:val="00D9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832">
      <w:bodyDiv w:val="1"/>
      <w:marLeft w:val="0"/>
      <w:marRight w:val="0"/>
      <w:marTop w:val="0"/>
      <w:marBottom w:val="0"/>
      <w:divBdr>
        <w:top w:val="none" w:sz="0" w:space="0" w:color="auto"/>
        <w:left w:val="none" w:sz="0" w:space="0" w:color="auto"/>
        <w:bottom w:val="none" w:sz="0" w:space="0" w:color="auto"/>
        <w:right w:val="none" w:sz="0" w:space="0" w:color="auto"/>
      </w:divBdr>
    </w:div>
    <w:div w:id="2006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AA3068-2E05-4D52-810A-34F7101A051E}"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pPr rtl="1"/>
          <a:endParaRPr lang="he-IL"/>
        </a:p>
      </dgm:t>
    </dgm:pt>
    <dgm:pt modelId="{90696736-077C-4752-84C0-8F6023ACE9DA}">
      <dgm:prSet phldrT="[טקסט]" custT="1"/>
      <dgm:spPr/>
      <dgm:t>
        <a:bodyPr/>
        <a:lstStyle/>
        <a:p>
          <a:pPr rtl="1"/>
          <a:r>
            <a:rPr lang="he-IL" sz="1200">
              <a:latin typeface="David" panose="020E0502060401010101" pitchFamily="34" charset="-79"/>
              <a:cs typeface="David" panose="020E0502060401010101" pitchFamily="34" charset="-79"/>
            </a:rPr>
            <a:t>קליטת תיק מיחידה חוקרת או יחידת תביעה מחוזית </a:t>
          </a:r>
        </a:p>
      </dgm:t>
    </dgm:pt>
    <dgm:pt modelId="{ECF06FE9-EEE9-4E69-BFBF-E11EE49F34D1}" type="parTrans" cxnId="{DCC558B3-E88A-4BA7-93BC-857E280E1CB0}">
      <dgm:prSet/>
      <dgm:spPr/>
      <dgm:t>
        <a:bodyPr/>
        <a:lstStyle/>
        <a:p>
          <a:pPr rtl="1"/>
          <a:endParaRPr lang="he-IL"/>
        </a:p>
      </dgm:t>
    </dgm:pt>
    <dgm:pt modelId="{E102882D-C440-4F41-B770-1F9FC5E3A8AA}" type="sibTrans" cxnId="{DCC558B3-E88A-4BA7-93BC-857E280E1CB0}">
      <dgm:prSet/>
      <dgm:spPr/>
      <dgm:t>
        <a:bodyPr/>
        <a:lstStyle/>
        <a:p>
          <a:pPr rtl="1"/>
          <a:endParaRPr lang="he-IL"/>
        </a:p>
      </dgm:t>
    </dgm:pt>
    <dgm:pt modelId="{EF0B6EA6-F908-4D49-92C5-553BF95E4BC3}">
      <dgm:prSet phldrT="[טקסט]" custT="1"/>
      <dgm:spPr/>
      <dgm:t>
        <a:bodyPr/>
        <a:lstStyle/>
        <a:p>
          <a:pPr rtl="1"/>
          <a:r>
            <a:rPr lang="he-IL" sz="1200">
              <a:latin typeface="David" panose="020E0502060401010101" pitchFamily="34" charset="-79"/>
              <a:cs typeface="David" panose="020E0502060401010101" pitchFamily="34" charset="-79"/>
            </a:rPr>
            <a:t>עיון והמלצת תובע </a:t>
          </a:r>
        </a:p>
      </dgm:t>
    </dgm:pt>
    <dgm:pt modelId="{9DA84408-45CD-46A6-8A14-609F7A89C445}" type="parTrans" cxnId="{3A1AA4EF-C3BC-4109-BC67-E0F362A2912E}">
      <dgm:prSet/>
      <dgm:spPr/>
      <dgm:t>
        <a:bodyPr/>
        <a:lstStyle/>
        <a:p>
          <a:pPr rtl="1"/>
          <a:endParaRPr lang="he-IL"/>
        </a:p>
      </dgm:t>
    </dgm:pt>
    <dgm:pt modelId="{1F711811-1CA0-4FC6-83F0-939F6CAD51CD}" type="sibTrans" cxnId="{3A1AA4EF-C3BC-4109-BC67-E0F362A2912E}">
      <dgm:prSet/>
      <dgm:spPr/>
      <dgm:t>
        <a:bodyPr/>
        <a:lstStyle/>
        <a:p>
          <a:pPr rtl="1"/>
          <a:endParaRPr lang="he-IL"/>
        </a:p>
      </dgm:t>
    </dgm:pt>
    <dgm:pt modelId="{274C864C-B620-4DDA-8D25-3D14ECAEB5FE}">
      <dgm:prSet phldrT="[טקסט]" custT="1"/>
      <dgm:spPr/>
      <dgm:t>
        <a:bodyPr/>
        <a:lstStyle/>
        <a:p>
          <a:pPr rtl="1"/>
          <a:r>
            <a:rPr lang="he-IL" sz="1200">
              <a:latin typeface="David" panose="020E0502060401010101" pitchFamily="34" charset="-79"/>
              <a:cs typeface="David" panose="020E0502060401010101" pitchFamily="34" charset="-79"/>
            </a:rPr>
            <a:t>אישור בעל סמכות - הגשת כ"א לבית המשפט, סגירת תיק או הסדר מותנה</a:t>
          </a:r>
        </a:p>
      </dgm:t>
    </dgm:pt>
    <dgm:pt modelId="{C21664B6-7E95-4E75-ADCB-5AA4B9BF0944}" type="parTrans" cxnId="{120E092D-56C9-42B9-A7A1-50C9BFB4771E}">
      <dgm:prSet/>
      <dgm:spPr/>
      <dgm:t>
        <a:bodyPr/>
        <a:lstStyle/>
        <a:p>
          <a:pPr rtl="1"/>
          <a:endParaRPr lang="he-IL"/>
        </a:p>
      </dgm:t>
    </dgm:pt>
    <dgm:pt modelId="{A9252F7D-038E-4F46-9801-0517983A2A91}" type="sibTrans" cxnId="{120E092D-56C9-42B9-A7A1-50C9BFB4771E}">
      <dgm:prSet/>
      <dgm:spPr/>
      <dgm:t>
        <a:bodyPr/>
        <a:lstStyle/>
        <a:p>
          <a:pPr rtl="1"/>
          <a:endParaRPr lang="he-IL"/>
        </a:p>
      </dgm:t>
    </dgm:pt>
    <dgm:pt modelId="{80B7B182-C592-43F3-80EE-30DDB3BCFCDA}">
      <dgm:prSet custT="1"/>
      <dgm:spPr/>
      <dgm:t>
        <a:bodyPr/>
        <a:lstStyle/>
        <a:p>
          <a:pPr rtl="1"/>
          <a:r>
            <a:rPr lang="he-IL" sz="1200">
              <a:latin typeface="David" panose="020E0502060401010101" pitchFamily="34" charset="-79"/>
              <a:cs typeface="David" panose="020E0502060401010101" pitchFamily="34" charset="-79"/>
            </a:rPr>
            <a:t>הפקת מכתב הצעה לחשוד</a:t>
          </a:r>
        </a:p>
      </dgm:t>
    </dgm:pt>
    <dgm:pt modelId="{F0A2BC34-6C9F-4AE4-BE1C-42769D83B9E4}" type="parTrans" cxnId="{B8CDA534-A378-4DD4-B167-1A0D4B5EF960}">
      <dgm:prSet/>
      <dgm:spPr/>
      <dgm:t>
        <a:bodyPr/>
        <a:lstStyle/>
        <a:p>
          <a:pPr rtl="1"/>
          <a:endParaRPr lang="he-IL"/>
        </a:p>
      </dgm:t>
    </dgm:pt>
    <dgm:pt modelId="{CA6B482C-25BE-4FFF-8AAC-2662FBDA0D1A}" type="sibTrans" cxnId="{B8CDA534-A378-4DD4-B167-1A0D4B5EF960}">
      <dgm:prSet/>
      <dgm:spPr/>
      <dgm:t>
        <a:bodyPr/>
        <a:lstStyle/>
        <a:p>
          <a:pPr rtl="1"/>
          <a:endParaRPr lang="he-IL"/>
        </a:p>
      </dgm:t>
    </dgm:pt>
    <dgm:pt modelId="{F434E2D4-0137-4381-9CF9-BCD6F92F4C77}">
      <dgm:prSet custT="1"/>
      <dgm:spPr/>
      <dgm:t>
        <a:bodyPr/>
        <a:lstStyle/>
        <a:p>
          <a:pPr rtl="1"/>
          <a:r>
            <a:rPr lang="he-IL" sz="1200">
              <a:latin typeface="David" panose="020E0502060401010101" pitchFamily="34" charset="-79"/>
              <a:cs typeface="David" panose="020E0502060401010101" pitchFamily="34" charset="-79"/>
            </a:rPr>
            <a:t>פגישה עם החשוד וחתימה על הסדר מותנה</a:t>
          </a:r>
        </a:p>
      </dgm:t>
    </dgm:pt>
    <dgm:pt modelId="{103A7410-499B-44B7-9C94-38C4D959B082}" type="parTrans" cxnId="{2D9CF3D7-E757-4EB8-9AE6-85D42795863C}">
      <dgm:prSet/>
      <dgm:spPr/>
      <dgm:t>
        <a:bodyPr/>
        <a:lstStyle/>
        <a:p>
          <a:pPr rtl="1"/>
          <a:endParaRPr lang="he-IL"/>
        </a:p>
      </dgm:t>
    </dgm:pt>
    <dgm:pt modelId="{3181190E-123D-4E47-83F3-056BD8E285DE}" type="sibTrans" cxnId="{2D9CF3D7-E757-4EB8-9AE6-85D42795863C}">
      <dgm:prSet/>
      <dgm:spPr/>
      <dgm:t>
        <a:bodyPr/>
        <a:lstStyle/>
        <a:p>
          <a:pPr rtl="1"/>
          <a:endParaRPr lang="he-IL"/>
        </a:p>
      </dgm:t>
    </dgm:pt>
    <dgm:pt modelId="{4C69E2FC-C7A3-4833-94E4-2B2ACBD021C5}">
      <dgm:prSet custT="1"/>
      <dgm:spPr/>
      <dgm:t>
        <a:bodyPr/>
        <a:lstStyle/>
        <a:p>
          <a:pPr rtl="1"/>
          <a:r>
            <a:rPr lang="he-IL" sz="1200">
              <a:latin typeface="David" panose="020E0502060401010101" pitchFamily="34" charset="-79"/>
              <a:cs typeface="David" panose="020E0502060401010101" pitchFamily="34" charset="-79"/>
            </a:rPr>
            <a:t>מעקב אחר ביצוע תנאי ההסדר</a:t>
          </a:r>
        </a:p>
      </dgm:t>
    </dgm:pt>
    <dgm:pt modelId="{0F07177A-61C1-4458-98AF-889C6A4FE9E9}" type="parTrans" cxnId="{4A89747A-A0C5-44C6-94F1-C13309615392}">
      <dgm:prSet/>
      <dgm:spPr/>
      <dgm:t>
        <a:bodyPr/>
        <a:lstStyle/>
        <a:p>
          <a:pPr rtl="1"/>
          <a:endParaRPr lang="he-IL"/>
        </a:p>
      </dgm:t>
    </dgm:pt>
    <dgm:pt modelId="{EB625FE3-80AF-4E2A-BC64-4125841DB36A}" type="sibTrans" cxnId="{4A89747A-A0C5-44C6-94F1-C13309615392}">
      <dgm:prSet/>
      <dgm:spPr/>
      <dgm:t>
        <a:bodyPr/>
        <a:lstStyle/>
        <a:p>
          <a:pPr rtl="1"/>
          <a:endParaRPr lang="he-IL"/>
        </a:p>
      </dgm:t>
    </dgm:pt>
    <dgm:pt modelId="{A2579280-538F-4C32-BA58-643BC2B5E762}">
      <dgm:prSet custT="1"/>
      <dgm:spPr/>
      <dgm:t>
        <a:bodyPr/>
        <a:lstStyle/>
        <a:p>
          <a:pPr rtl="1"/>
          <a:r>
            <a:rPr lang="he-IL" sz="1200">
              <a:latin typeface="David" panose="020E0502060401010101" pitchFamily="34" charset="-79"/>
              <a:cs typeface="David" panose="020E0502060401010101" pitchFamily="34" charset="-79"/>
            </a:rPr>
            <a:t>סגירת תיק בעילת הסדר מותנה</a:t>
          </a:r>
        </a:p>
      </dgm:t>
    </dgm:pt>
    <dgm:pt modelId="{89337CBA-C337-4018-B287-AAB736F00E7A}" type="parTrans" cxnId="{67E3C4B2-A81B-4AB0-8EBB-49645C1A57CA}">
      <dgm:prSet/>
      <dgm:spPr/>
      <dgm:t>
        <a:bodyPr/>
        <a:lstStyle/>
        <a:p>
          <a:pPr rtl="1"/>
          <a:endParaRPr lang="he-IL"/>
        </a:p>
      </dgm:t>
    </dgm:pt>
    <dgm:pt modelId="{FD1CE5C5-898F-4C0A-AACF-771C43924CC3}" type="sibTrans" cxnId="{67E3C4B2-A81B-4AB0-8EBB-49645C1A57CA}">
      <dgm:prSet/>
      <dgm:spPr/>
      <dgm:t>
        <a:bodyPr/>
        <a:lstStyle/>
        <a:p>
          <a:pPr rtl="1"/>
          <a:endParaRPr lang="he-IL"/>
        </a:p>
      </dgm:t>
    </dgm:pt>
    <dgm:pt modelId="{E8B52753-AC3A-4D16-9119-87D84B505CA2}">
      <dgm:prSet custT="1"/>
      <dgm:spPr/>
      <dgm:t>
        <a:bodyPr/>
        <a:lstStyle/>
        <a:p>
          <a:pPr rtl="1"/>
          <a:r>
            <a:rPr lang="he-IL" sz="1200">
              <a:latin typeface="David" panose="020E0502060401010101" pitchFamily="34" charset="-79"/>
              <a:cs typeface="David" panose="020E0502060401010101" pitchFamily="34" charset="-79"/>
            </a:rPr>
            <a:t>פרסום התיק באינטרנט</a:t>
          </a:r>
        </a:p>
      </dgm:t>
    </dgm:pt>
    <dgm:pt modelId="{F43DE0E6-22CE-4E5E-BDE4-B51926C4F709}" type="parTrans" cxnId="{0B151593-177A-437E-B084-1B3DE59CF431}">
      <dgm:prSet/>
      <dgm:spPr/>
      <dgm:t>
        <a:bodyPr/>
        <a:lstStyle/>
        <a:p>
          <a:pPr rtl="1"/>
          <a:endParaRPr lang="he-IL"/>
        </a:p>
      </dgm:t>
    </dgm:pt>
    <dgm:pt modelId="{B01D7056-DF24-4500-BDF0-B958003E7455}" type="sibTrans" cxnId="{0B151593-177A-437E-B084-1B3DE59CF431}">
      <dgm:prSet/>
      <dgm:spPr/>
      <dgm:t>
        <a:bodyPr/>
        <a:lstStyle/>
        <a:p>
          <a:pPr rtl="1"/>
          <a:endParaRPr lang="he-IL"/>
        </a:p>
      </dgm:t>
    </dgm:pt>
    <dgm:pt modelId="{56231EC6-2797-417D-82F1-05E9DFBD364F}" type="pres">
      <dgm:prSet presAssocID="{69AA3068-2E05-4D52-810A-34F7101A051E}" presName="Name0" presStyleCnt="0">
        <dgm:presLayoutVars>
          <dgm:dir/>
          <dgm:animLvl val="lvl"/>
          <dgm:resizeHandles val="exact"/>
        </dgm:presLayoutVars>
      </dgm:prSet>
      <dgm:spPr/>
    </dgm:pt>
    <dgm:pt modelId="{392AF602-8776-4F50-9B45-6E4441043966}" type="pres">
      <dgm:prSet presAssocID="{E8B52753-AC3A-4D16-9119-87D84B505CA2}" presName="boxAndChildren" presStyleCnt="0"/>
      <dgm:spPr/>
    </dgm:pt>
    <dgm:pt modelId="{552CA299-AC29-4A74-8647-204FE27D23C7}" type="pres">
      <dgm:prSet presAssocID="{E8B52753-AC3A-4D16-9119-87D84B505CA2}" presName="parentTextBox" presStyleLbl="node1" presStyleIdx="0" presStyleCnt="8"/>
      <dgm:spPr/>
    </dgm:pt>
    <dgm:pt modelId="{18927C6B-AE03-4E17-901E-5E8A7C9DFCCD}" type="pres">
      <dgm:prSet presAssocID="{FD1CE5C5-898F-4C0A-AACF-771C43924CC3}" presName="sp" presStyleCnt="0"/>
      <dgm:spPr/>
    </dgm:pt>
    <dgm:pt modelId="{8186E5A8-6B1C-4A68-8CED-EAD3F91BEA15}" type="pres">
      <dgm:prSet presAssocID="{A2579280-538F-4C32-BA58-643BC2B5E762}" presName="arrowAndChildren" presStyleCnt="0"/>
      <dgm:spPr/>
    </dgm:pt>
    <dgm:pt modelId="{7AFBFF72-84C2-4D5F-B95C-F5AE29327C3F}" type="pres">
      <dgm:prSet presAssocID="{A2579280-538F-4C32-BA58-643BC2B5E762}" presName="parentTextArrow" presStyleLbl="node1" presStyleIdx="1" presStyleCnt="8"/>
      <dgm:spPr/>
    </dgm:pt>
    <dgm:pt modelId="{55026BED-2C9E-4852-8C48-7FA0D2B45744}" type="pres">
      <dgm:prSet presAssocID="{EB625FE3-80AF-4E2A-BC64-4125841DB36A}" presName="sp" presStyleCnt="0"/>
      <dgm:spPr/>
    </dgm:pt>
    <dgm:pt modelId="{863F7F9B-646D-40D9-B731-CEF991CBB7B6}" type="pres">
      <dgm:prSet presAssocID="{4C69E2FC-C7A3-4833-94E4-2B2ACBD021C5}" presName="arrowAndChildren" presStyleCnt="0"/>
      <dgm:spPr/>
    </dgm:pt>
    <dgm:pt modelId="{AEE27F82-E5E2-4A74-AE21-2732085E4CCD}" type="pres">
      <dgm:prSet presAssocID="{4C69E2FC-C7A3-4833-94E4-2B2ACBD021C5}" presName="parentTextArrow" presStyleLbl="node1" presStyleIdx="2" presStyleCnt="8"/>
      <dgm:spPr/>
    </dgm:pt>
    <dgm:pt modelId="{0B78FD21-13AC-43BB-B802-EF525B828EA2}" type="pres">
      <dgm:prSet presAssocID="{3181190E-123D-4E47-83F3-056BD8E285DE}" presName="sp" presStyleCnt="0"/>
      <dgm:spPr/>
    </dgm:pt>
    <dgm:pt modelId="{2C6788EE-CD93-48C0-9523-38689F95BA20}" type="pres">
      <dgm:prSet presAssocID="{F434E2D4-0137-4381-9CF9-BCD6F92F4C77}" presName="arrowAndChildren" presStyleCnt="0"/>
      <dgm:spPr/>
    </dgm:pt>
    <dgm:pt modelId="{DF845326-E06C-4772-ADDB-D83FAC2E48AE}" type="pres">
      <dgm:prSet presAssocID="{F434E2D4-0137-4381-9CF9-BCD6F92F4C77}" presName="parentTextArrow" presStyleLbl="node1" presStyleIdx="3" presStyleCnt="8"/>
      <dgm:spPr/>
    </dgm:pt>
    <dgm:pt modelId="{740C181F-0AE4-4B2C-80A4-F1053AE3CFE6}" type="pres">
      <dgm:prSet presAssocID="{CA6B482C-25BE-4FFF-8AAC-2662FBDA0D1A}" presName="sp" presStyleCnt="0"/>
      <dgm:spPr/>
    </dgm:pt>
    <dgm:pt modelId="{15063496-07AB-47FD-95E8-7C45DCFB02A7}" type="pres">
      <dgm:prSet presAssocID="{80B7B182-C592-43F3-80EE-30DDB3BCFCDA}" presName="arrowAndChildren" presStyleCnt="0"/>
      <dgm:spPr/>
    </dgm:pt>
    <dgm:pt modelId="{A25FCF70-A548-405B-BAAE-B1CF9B849D76}" type="pres">
      <dgm:prSet presAssocID="{80B7B182-C592-43F3-80EE-30DDB3BCFCDA}" presName="parentTextArrow" presStyleLbl="node1" presStyleIdx="4" presStyleCnt="8" custLinFactNeighborX="-120" custLinFactNeighborY="-1566"/>
      <dgm:spPr/>
    </dgm:pt>
    <dgm:pt modelId="{D2A9FA6E-D483-491F-A514-BC8A9C067FED}" type="pres">
      <dgm:prSet presAssocID="{A9252F7D-038E-4F46-9801-0517983A2A91}" presName="sp" presStyleCnt="0"/>
      <dgm:spPr/>
    </dgm:pt>
    <dgm:pt modelId="{BDA4FF5C-D8C0-40F3-AEC8-23AF7294E170}" type="pres">
      <dgm:prSet presAssocID="{274C864C-B620-4DDA-8D25-3D14ECAEB5FE}" presName="arrowAndChildren" presStyleCnt="0"/>
      <dgm:spPr/>
    </dgm:pt>
    <dgm:pt modelId="{59307CA8-AB4C-4B31-8AE9-D086F988BE38}" type="pres">
      <dgm:prSet presAssocID="{274C864C-B620-4DDA-8D25-3D14ECAEB5FE}" presName="parentTextArrow" presStyleLbl="node1" presStyleIdx="5" presStyleCnt="8"/>
      <dgm:spPr/>
    </dgm:pt>
    <dgm:pt modelId="{07CBD05D-CA96-48E7-8CEE-7A7122628660}" type="pres">
      <dgm:prSet presAssocID="{1F711811-1CA0-4FC6-83F0-939F6CAD51CD}" presName="sp" presStyleCnt="0"/>
      <dgm:spPr/>
    </dgm:pt>
    <dgm:pt modelId="{F4853026-BC66-4F4C-9CE3-A932B9233654}" type="pres">
      <dgm:prSet presAssocID="{EF0B6EA6-F908-4D49-92C5-553BF95E4BC3}" presName="arrowAndChildren" presStyleCnt="0"/>
      <dgm:spPr/>
    </dgm:pt>
    <dgm:pt modelId="{6E41EF76-F237-4C3D-92C1-FB02A50E353D}" type="pres">
      <dgm:prSet presAssocID="{EF0B6EA6-F908-4D49-92C5-553BF95E4BC3}" presName="parentTextArrow" presStyleLbl="node1" presStyleIdx="6" presStyleCnt="8"/>
      <dgm:spPr/>
    </dgm:pt>
    <dgm:pt modelId="{7A70F970-21B7-4690-B29E-83DC659CD198}" type="pres">
      <dgm:prSet presAssocID="{E102882D-C440-4F41-B770-1F9FC5E3A8AA}" presName="sp" presStyleCnt="0"/>
      <dgm:spPr/>
    </dgm:pt>
    <dgm:pt modelId="{0331CC69-94D0-4F4D-8E3A-AA4AC439CCA2}" type="pres">
      <dgm:prSet presAssocID="{90696736-077C-4752-84C0-8F6023ACE9DA}" presName="arrowAndChildren" presStyleCnt="0"/>
      <dgm:spPr/>
    </dgm:pt>
    <dgm:pt modelId="{1E54F522-745C-4F3C-A727-4A1C1AA2D1BC}" type="pres">
      <dgm:prSet presAssocID="{90696736-077C-4752-84C0-8F6023ACE9DA}" presName="parentTextArrow" presStyleLbl="node1" presStyleIdx="7" presStyleCnt="8" custLinFactNeighborX="-1204" custLinFactNeighborY="-277"/>
      <dgm:spPr/>
    </dgm:pt>
  </dgm:ptLst>
  <dgm:cxnLst>
    <dgm:cxn modelId="{F9DB7E02-BDBD-4F1D-84D8-DD98C1B52200}" type="presOf" srcId="{4C69E2FC-C7A3-4833-94E4-2B2ACBD021C5}" destId="{AEE27F82-E5E2-4A74-AE21-2732085E4CCD}" srcOrd="0" destOrd="0" presId="urn:microsoft.com/office/officeart/2005/8/layout/process4"/>
    <dgm:cxn modelId="{20394C0C-B89A-4F9F-A3E9-79178B64CB2C}" type="presOf" srcId="{A2579280-538F-4C32-BA58-643BC2B5E762}" destId="{7AFBFF72-84C2-4D5F-B95C-F5AE29327C3F}" srcOrd="0" destOrd="0" presId="urn:microsoft.com/office/officeart/2005/8/layout/process4"/>
    <dgm:cxn modelId="{120E092D-56C9-42B9-A7A1-50C9BFB4771E}" srcId="{69AA3068-2E05-4D52-810A-34F7101A051E}" destId="{274C864C-B620-4DDA-8D25-3D14ECAEB5FE}" srcOrd="2" destOrd="0" parTransId="{C21664B6-7E95-4E75-ADCB-5AA4B9BF0944}" sibTransId="{A9252F7D-038E-4F46-9801-0517983A2A91}"/>
    <dgm:cxn modelId="{B8CDA534-A378-4DD4-B167-1A0D4B5EF960}" srcId="{69AA3068-2E05-4D52-810A-34F7101A051E}" destId="{80B7B182-C592-43F3-80EE-30DDB3BCFCDA}" srcOrd="3" destOrd="0" parTransId="{F0A2BC34-6C9F-4AE4-BE1C-42769D83B9E4}" sibTransId="{CA6B482C-25BE-4FFF-8AAC-2662FBDA0D1A}"/>
    <dgm:cxn modelId="{2CDAA73D-5CB8-4C75-ACF8-1FEE47EEA93F}" type="presOf" srcId="{EF0B6EA6-F908-4D49-92C5-553BF95E4BC3}" destId="{6E41EF76-F237-4C3D-92C1-FB02A50E353D}" srcOrd="0" destOrd="0" presId="urn:microsoft.com/office/officeart/2005/8/layout/process4"/>
    <dgm:cxn modelId="{AA294642-7A3C-4377-A23B-31E36C56F384}" type="presOf" srcId="{69AA3068-2E05-4D52-810A-34F7101A051E}" destId="{56231EC6-2797-417D-82F1-05E9DFBD364F}" srcOrd="0" destOrd="0" presId="urn:microsoft.com/office/officeart/2005/8/layout/process4"/>
    <dgm:cxn modelId="{2AFD7647-33C2-4CC3-B192-9034C60F02AD}" type="presOf" srcId="{274C864C-B620-4DDA-8D25-3D14ECAEB5FE}" destId="{59307CA8-AB4C-4B31-8AE9-D086F988BE38}" srcOrd="0" destOrd="0" presId="urn:microsoft.com/office/officeart/2005/8/layout/process4"/>
    <dgm:cxn modelId="{952A8E74-8476-4F91-B0BD-EE4CFA4CC3C3}" type="presOf" srcId="{80B7B182-C592-43F3-80EE-30DDB3BCFCDA}" destId="{A25FCF70-A548-405B-BAAE-B1CF9B849D76}" srcOrd="0" destOrd="0" presId="urn:microsoft.com/office/officeart/2005/8/layout/process4"/>
    <dgm:cxn modelId="{4A89747A-A0C5-44C6-94F1-C13309615392}" srcId="{69AA3068-2E05-4D52-810A-34F7101A051E}" destId="{4C69E2FC-C7A3-4833-94E4-2B2ACBD021C5}" srcOrd="5" destOrd="0" parTransId="{0F07177A-61C1-4458-98AF-889C6A4FE9E9}" sibTransId="{EB625FE3-80AF-4E2A-BC64-4125841DB36A}"/>
    <dgm:cxn modelId="{800A408D-F983-40EE-85E9-36171EABFC3C}" type="presOf" srcId="{F434E2D4-0137-4381-9CF9-BCD6F92F4C77}" destId="{DF845326-E06C-4772-ADDB-D83FAC2E48AE}" srcOrd="0" destOrd="0" presId="urn:microsoft.com/office/officeart/2005/8/layout/process4"/>
    <dgm:cxn modelId="{0B151593-177A-437E-B084-1B3DE59CF431}" srcId="{69AA3068-2E05-4D52-810A-34F7101A051E}" destId="{E8B52753-AC3A-4D16-9119-87D84B505CA2}" srcOrd="7" destOrd="0" parTransId="{F43DE0E6-22CE-4E5E-BDE4-B51926C4F709}" sibTransId="{B01D7056-DF24-4500-BDF0-B958003E7455}"/>
    <dgm:cxn modelId="{192278A5-010E-46D2-AAEF-7A13C90C1235}" type="presOf" srcId="{90696736-077C-4752-84C0-8F6023ACE9DA}" destId="{1E54F522-745C-4F3C-A727-4A1C1AA2D1BC}" srcOrd="0" destOrd="0" presId="urn:microsoft.com/office/officeart/2005/8/layout/process4"/>
    <dgm:cxn modelId="{67E3C4B2-A81B-4AB0-8EBB-49645C1A57CA}" srcId="{69AA3068-2E05-4D52-810A-34F7101A051E}" destId="{A2579280-538F-4C32-BA58-643BC2B5E762}" srcOrd="6" destOrd="0" parTransId="{89337CBA-C337-4018-B287-AAB736F00E7A}" sibTransId="{FD1CE5C5-898F-4C0A-AACF-771C43924CC3}"/>
    <dgm:cxn modelId="{DCC558B3-E88A-4BA7-93BC-857E280E1CB0}" srcId="{69AA3068-2E05-4D52-810A-34F7101A051E}" destId="{90696736-077C-4752-84C0-8F6023ACE9DA}" srcOrd="0" destOrd="0" parTransId="{ECF06FE9-EEE9-4E69-BFBF-E11EE49F34D1}" sibTransId="{E102882D-C440-4F41-B770-1F9FC5E3A8AA}"/>
    <dgm:cxn modelId="{5FF8C8BB-958A-4EFD-B059-0627C6965941}" type="presOf" srcId="{E8B52753-AC3A-4D16-9119-87D84B505CA2}" destId="{552CA299-AC29-4A74-8647-204FE27D23C7}" srcOrd="0" destOrd="0" presId="urn:microsoft.com/office/officeart/2005/8/layout/process4"/>
    <dgm:cxn modelId="{2D9CF3D7-E757-4EB8-9AE6-85D42795863C}" srcId="{69AA3068-2E05-4D52-810A-34F7101A051E}" destId="{F434E2D4-0137-4381-9CF9-BCD6F92F4C77}" srcOrd="4" destOrd="0" parTransId="{103A7410-499B-44B7-9C94-38C4D959B082}" sibTransId="{3181190E-123D-4E47-83F3-056BD8E285DE}"/>
    <dgm:cxn modelId="{3A1AA4EF-C3BC-4109-BC67-E0F362A2912E}" srcId="{69AA3068-2E05-4D52-810A-34F7101A051E}" destId="{EF0B6EA6-F908-4D49-92C5-553BF95E4BC3}" srcOrd="1" destOrd="0" parTransId="{9DA84408-45CD-46A6-8A14-609F7A89C445}" sibTransId="{1F711811-1CA0-4FC6-83F0-939F6CAD51CD}"/>
    <dgm:cxn modelId="{77E07CE0-6034-4792-8643-04A544D2476D}" type="presParOf" srcId="{56231EC6-2797-417D-82F1-05E9DFBD364F}" destId="{392AF602-8776-4F50-9B45-6E4441043966}" srcOrd="0" destOrd="0" presId="urn:microsoft.com/office/officeart/2005/8/layout/process4"/>
    <dgm:cxn modelId="{A65EC7AB-A1CC-4DB8-A93E-C3A1244BC94C}" type="presParOf" srcId="{392AF602-8776-4F50-9B45-6E4441043966}" destId="{552CA299-AC29-4A74-8647-204FE27D23C7}" srcOrd="0" destOrd="0" presId="urn:microsoft.com/office/officeart/2005/8/layout/process4"/>
    <dgm:cxn modelId="{8CB52822-59B0-4BB6-A8D9-139A5A45F71B}" type="presParOf" srcId="{56231EC6-2797-417D-82F1-05E9DFBD364F}" destId="{18927C6B-AE03-4E17-901E-5E8A7C9DFCCD}" srcOrd="1" destOrd="0" presId="urn:microsoft.com/office/officeart/2005/8/layout/process4"/>
    <dgm:cxn modelId="{F2282FC4-99BF-444E-8FD8-2DD3F95128C6}" type="presParOf" srcId="{56231EC6-2797-417D-82F1-05E9DFBD364F}" destId="{8186E5A8-6B1C-4A68-8CED-EAD3F91BEA15}" srcOrd="2" destOrd="0" presId="urn:microsoft.com/office/officeart/2005/8/layout/process4"/>
    <dgm:cxn modelId="{375E7BD3-DECD-4231-A157-90FB7A0D3D32}" type="presParOf" srcId="{8186E5A8-6B1C-4A68-8CED-EAD3F91BEA15}" destId="{7AFBFF72-84C2-4D5F-B95C-F5AE29327C3F}" srcOrd="0" destOrd="0" presId="urn:microsoft.com/office/officeart/2005/8/layout/process4"/>
    <dgm:cxn modelId="{EEE268F8-0D1E-419D-BBE4-21C8965135F2}" type="presParOf" srcId="{56231EC6-2797-417D-82F1-05E9DFBD364F}" destId="{55026BED-2C9E-4852-8C48-7FA0D2B45744}" srcOrd="3" destOrd="0" presId="urn:microsoft.com/office/officeart/2005/8/layout/process4"/>
    <dgm:cxn modelId="{3F6BD01E-E0DB-422A-B896-CD08861ACDD8}" type="presParOf" srcId="{56231EC6-2797-417D-82F1-05E9DFBD364F}" destId="{863F7F9B-646D-40D9-B731-CEF991CBB7B6}" srcOrd="4" destOrd="0" presId="urn:microsoft.com/office/officeart/2005/8/layout/process4"/>
    <dgm:cxn modelId="{1FD0FAC7-6B2E-427C-BF14-61AA702484D5}" type="presParOf" srcId="{863F7F9B-646D-40D9-B731-CEF991CBB7B6}" destId="{AEE27F82-E5E2-4A74-AE21-2732085E4CCD}" srcOrd="0" destOrd="0" presId="urn:microsoft.com/office/officeart/2005/8/layout/process4"/>
    <dgm:cxn modelId="{C03F987E-8C56-45AB-8E5E-FB5C266A4B9D}" type="presParOf" srcId="{56231EC6-2797-417D-82F1-05E9DFBD364F}" destId="{0B78FD21-13AC-43BB-B802-EF525B828EA2}" srcOrd="5" destOrd="0" presId="urn:microsoft.com/office/officeart/2005/8/layout/process4"/>
    <dgm:cxn modelId="{992693E2-11F2-4F46-B4ED-FD24F963788C}" type="presParOf" srcId="{56231EC6-2797-417D-82F1-05E9DFBD364F}" destId="{2C6788EE-CD93-48C0-9523-38689F95BA20}" srcOrd="6" destOrd="0" presId="urn:microsoft.com/office/officeart/2005/8/layout/process4"/>
    <dgm:cxn modelId="{881C2A61-DAA6-486E-973C-7E65D965B255}" type="presParOf" srcId="{2C6788EE-CD93-48C0-9523-38689F95BA20}" destId="{DF845326-E06C-4772-ADDB-D83FAC2E48AE}" srcOrd="0" destOrd="0" presId="urn:microsoft.com/office/officeart/2005/8/layout/process4"/>
    <dgm:cxn modelId="{9CC92AEA-DF7B-43E5-B623-577E4500B860}" type="presParOf" srcId="{56231EC6-2797-417D-82F1-05E9DFBD364F}" destId="{740C181F-0AE4-4B2C-80A4-F1053AE3CFE6}" srcOrd="7" destOrd="0" presId="urn:microsoft.com/office/officeart/2005/8/layout/process4"/>
    <dgm:cxn modelId="{8D708C1B-61A5-4641-A344-BF08002D351D}" type="presParOf" srcId="{56231EC6-2797-417D-82F1-05E9DFBD364F}" destId="{15063496-07AB-47FD-95E8-7C45DCFB02A7}" srcOrd="8" destOrd="0" presId="urn:microsoft.com/office/officeart/2005/8/layout/process4"/>
    <dgm:cxn modelId="{FE00A0BA-933D-47CF-846F-4891636E3679}" type="presParOf" srcId="{15063496-07AB-47FD-95E8-7C45DCFB02A7}" destId="{A25FCF70-A548-405B-BAAE-B1CF9B849D76}" srcOrd="0" destOrd="0" presId="urn:microsoft.com/office/officeart/2005/8/layout/process4"/>
    <dgm:cxn modelId="{A762BD30-FA15-4505-87B6-5D318C23E42F}" type="presParOf" srcId="{56231EC6-2797-417D-82F1-05E9DFBD364F}" destId="{D2A9FA6E-D483-491F-A514-BC8A9C067FED}" srcOrd="9" destOrd="0" presId="urn:microsoft.com/office/officeart/2005/8/layout/process4"/>
    <dgm:cxn modelId="{B8F6F69A-D594-442E-A651-8FA970E1A941}" type="presParOf" srcId="{56231EC6-2797-417D-82F1-05E9DFBD364F}" destId="{BDA4FF5C-D8C0-40F3-AEC8-23AF7294E170}" srcOrd="10" destOrd="0" presId="urn:microsoft.com/office/officeart/2005/8/layout/process4"/>
    <dgm:cxn modelId="{B348225B-E8FA-449E-B897-9682B5A982FD}" type="presParOf" srcId="{BDA4FF5C-D8C0-40F3-AEC8-23AF7294E170}" destId="{59307CA8-AB4C-4B31-8AE9-D086F988BE38}" srcOrd="0" destOrd="0" presId="urn:microsoft.com/office/officeart/2005/8/layout/process4"/>
    <dgm:cxn modelId="{2E638C5F-5AD4-4824-AA46-BB8401714878}" type="presParOf" srcId="{56231EC6-2797-417D-82F1-05E9DFBD364F}" destId="{07CBD05D-CA96-48E7-8CEE-7A7122628660}" srcOrd="11" destOrd="0" presId="urn:microsoft.com/office/officeart/2005/8/layout/process4"/>
    <dgm:cxn modelId="{3C76D9A9-D0F0-498B-99AA-6E9A67F14D88}" type="presParOf" srcId="{56231EC6-2797-417D-82F1-05E9DFBD364F}" destId="{F4853026-BC66-4F4C-9CE3-A932B9233654}" srcOrd="12" destOrd="0" presId="urn:microsoft.com/office/officeart/2005/8/layout/process4"/>
    <dgm:cxn modelId="{9A767D4A-AF12-4DCE-8E40-9F30D511E6D1}" type="presParOf" srcId="{F4853026-BC66-4F4C-9CE3-A932B9233654}" destId="{6E41EF76-F237-4C3D-92C1-FB02A50E353D}" srcOrd="0" destOrd="0" presId="urn:microsoft.com/office/officeart/2005/8/layout/process4"/>
    <dgm:cxn modelId="{5D828880-8509-43BE-839C-483033753B75}" type="presParOf" srcId="{56231EC6-2797-417D-82F1-05E9DFBD364F}" destId="{7A70F970-21B7-4690-B29E-83DC659CD198}" srcOrd="13" destOrd="0" presId="urn:microsoft.com/office/officeart/2005/8/layout/process4"/>
    <dgm:cxn modelId="{81CB66BE-EE19-4978-8DF2-FDAD5B65E34E}" type="presParOf" srcId="{56231EC6-2797-417D-82F1-05E9DFBD364F}" destId="{0331CC69-94D0-4F4D-8E3A-AA4AC439CCA2}" srcOrd="14" destOrd="0" presId="urn:microsoft.com/office/officeart/2005/8/layout/process4"/>
    <dgm:cxn modelId="{4D1813B4-CCC6-4C46-B29B-820D42566C6C}" type="presParOf" srcId="{0331CC69-94D0-4F4D-8E3A-AA4AC439CCA2}" destId="{1E54F522-745C-4F3C-A727-4A1C1AA2D1BC}" srcOrd="0" destOrd="0" presId="urn:microsoft.com/office/officeart/2005/8/layout/process4"/>
  </dgm:cxnLst>
  <dgm:bg>
    <a:solidFill>
      <a:srgbClr val="B4C6E7"/>
    </a:solidFill>
  </dgm:bg>
  <dgm:whole>
    <a:ln>
      <a:solidFill>
        <a:srgbClr val="B6C8E8"/>
      </a:solidFill>
    </a:ln>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52F66E8-689B-4703-A148-E1CFA3C707A4}" type="doc">
      <dgm:prSet loTypeId="urn:microsoft.com/office/officeart/2005/8/layout/radial6" loCatId="cycle" qsTypeId="urn:microsoft.com/office/officeart/2005/8/quickstyle/simple1" qsCatId="simple" csTypeId="urn:microsoft.com/office/officeart/2005/8/colors/accent1_1" csCatId="accent1" phldr="1"/>
      <dgm:spPr/>
      <dgm:t>
        <a:bodyPr/>
        <a:lstStyle/>
        <a:p>
          <a:pPr rtl="1"/>
          <a:endParaRPr lang="he-IL"/>
        </a:p>
      </dgm:t>
    </dgm:pt>
    <dgm:pt modelId="{DDE519F4-0FBD-4B4D-9FA9-B0BC62854C4A}">
      <dgm:prSet phldrT="[טקסט]" custT="1"/>
      <dgm:spPr/>
      <dgm:t>
        <a:bodyPr/>
        <a:lstStyle/>
        <a:p>
          <a:pPr rtl="1"/>
          <a:r>
            <a:rPr lang="he-IL" sz="1200">
              <a:latin typeface="David" panose="020E0502060401010101" pitchFamily="34" charset="-79"/>
              <a:cs typeface="David" panose="020E0502060401010101" pitchFamily="34" charset="-79"/>
            </a:rPr>
            <a:t>מעגל האלימות</a:t>
          </a:r>
        </a:p>
      </dgm:t>
    </dgm:pt>
    <dgm:pt modelId="{AB44D316-6ED3-405F-8DAF-6CB6A631509B}" type="parTrans" cxnId="{834DD7C3-504A-4888-B760-CEA751BACAFF}">
      <dgm:prSet/>
      <dgm:spPr/>
      <dgm:t>
        <a:bodyPr/>
        <a:lstStyle/>
        <a:p>
          <a:pPr rtl="1"/>
          <a:endParaRPr lang="he-IL"/>
        </a:p>
      </dgm:t>
    </dgm:pt>
    <dgm:pt modelId="{17B1FA07-E2BD-44C4-B192-6F65D4B5B3EE}" type="sibTrans" cxnId="{834DD7C3-504A-4888-B760-CEA751BACAFF}">
      <dgm:prSet/>
      <dgm:spPr/>
      <dgm:t>
        <a:bodyPr/>
        <a:lstStyle/>
        <a:p>
          <a:pPr rtl="1"/>
          <a:endParaRPr lang="he-IL"/>
        </a:p>
      </dgm:t>
    </dgm:pt>
    <dgm:pt modelId="{7FF85AD6-49E5-4EEE-AB50-DE29A687A89C}">
      <dgm:prSet phldrT="[טקסט]" custT="1"/>
      <dgm:spPr/>
      <dgm:t>
        <a:bodyPr/>
        <a:lstStyle/>
        <a:p>
          <a:pPr rtl="1"/>
          <a:r>
            <a:rPr lang="he-IL" sz="1200">
              <a:latin typeface="David" panose="020E0502060401010101" pitchFamily="34" charset="-79"/>
              <a:cs typeface="David" panose="020E0502060401010101" pitchFamily="34" charset="-79"/>
            </a:rPr>
            <a:t>בנייית המתח</a:t>
          </a:r>
        </a:p>
      </dgm:t>
    </dgm:pt>
    <dgm:pt modelId="{FFA62D32-2854-4AE4-8CBC-B49B44457039}" type="parTrans" cxnId="{8CAABE4B-076C-4DFF-8223-71F22CFE2476}">
      <dgm:prSet/>
      <dgm:spPr/>
      <dgm:t>
        <a:bodyPr/>
        <a:lstStyle/>
        <a:p>
          <a:pPr rtl="1"/>
          <a:endParaRPr lang="he-IL"/>
        </a:p>
      </dgm:t>
    </dgm:pt>
    <dgm:pt modelId="{1B184249-FB76-4309-AADB-4C7508079B73}" type="sibTrans" cxnId="{8CAABE4B-076C-4DFF-8223-71F22CFE2476}">
      <dgm:prSet/>
      <dgm:spPr/>
      <dgm:t>
        <a:bodyPr/>
        <a:lstStyle/>
        <a:p>
          <a:pPr rtl="1"/>
          <a:endParaRPr lang="he-IL"/>
        </a:p>
      </dgm:t>
    </dgm:pt>
    <dgm:pt modelId="{E88EA27C-62D4-4730-832E-12B80A30CC7A}">
      <dgm:prSet phldrT="[טקסט]" custT="1"/>
      <dgm:spPr/>
      <dgm:t>
        <a:bodyPr/>
        <a:lstStyle/>
        <a:p>
          <a:pPr rtl="1"/>
          <a:r>
            <a:rPr lang="he-IL" sz="1200">
              <a:latin typeface="David" panose="020E0502060401010101" pitchFamily="34" charset="-79"/>
              <a:cs typeface="David" panose="020E0502060401010101" pitchFamily="34" charset="-79"/>
            </a:rPr>
            <a:t>התפתחות אלימה</a:t>
          </a:r>
        </a:p>
      </dgm:t>
    </dgm:pt>
    <dgm:pt modelId="{80366373-5C66-415D-9F2F-33C49D25023B}" type="parTrans" cxnId="{60999ED1-0FC8-4FF6-87C1-201CB4AAFC3F}">
      <dgm:prSet/>
      <dgm:spPr/>
      <dgm:t>
        <a:bodyPr/>
        <a:lstStyle/>
        <a:p>
          <a:pPr rtl="1"/>
          <a:endParaRPr lang="he-IL"/>
        </a:p>
      </dgm:t>
    </dgm:pt>
    <dgm:pt modelId="{CBA68B55-D61A-4626-A8F4-4B92C5245C41}" type="sibTrans" cxnId="{60999ED1-0FC8-4FF6-87C1-201CB4AAFC3F}">
      <dgm:prSet/>
      <dgm:spPr/>
      <dgm:t>
        <a:bodyPr/>
        <a:lstStyle/>
        <a:p>
          <a:pPr rtl="1"/>
          <a:endParaRPr lang="he-IL"/>
        </a:p>
      </dgm:t>
    </dgm:pt>
    <dgm:pt modelId="{6BA5CF77-46B0-4A9D-8811-8F5DE8B5EF57}">
      <dgm:prSet phldrT="[טקסט]" custT="1"/>
      <dgm:spPr/>
      <dgm:t>
        <a:bodyPr/>
        <a:lstStyle/>
        <a:p>
          <a:pPr rtl="1"/>
          <a:r>
            <a:rPr lang="he-IL" sz="1200">
              <a:latin typeface="David" panose="020E0502060401010101" pitchFamily="34" charset="-79"/>
              <a:cs typeface="David" panose="020E0502060401010101" pitchFamily="34" charset="-79"/>
            </a:rPr>
            <a:t>חרטה - "ירח דבש"</a:t>
          </a:r>
        </a:p>
      </dgm:t>
    </dgm:pt>
    <dgm:pt modelId="{1BDF43A7-CDB3-41E3-A414-B420B4CD7E64}" type="parTrans" cxnId="{FB103E4E-9413-4757-84B4-2C4871240527}">
      <dgm:prSet/>
      <dgm:spPr/>
      <dgm:t>
        <a:bodyPr/>
        <a:lstStyle/>
        <a:p>
          <a:pPr rtl="1"/>
          <a:endParaRPr lang="he-IL"/>
        </a:p>
      </dgm:t>
    </dgm:pt>
    <dgm:pt modelId="{F33FCAF3-CF38-42FE-B659-6DCC0D5D0BBD}" type="sibTrans" cxnId="{FB103E4E-9413-4757-84B4-2C4871240527}">
      <dgm:prSet/>
      <dgm:spPr/>
      <dgm:t>
        <a:bodyPr/>
        <a:lstStyle/>
        <a:p>
          <a:pPr rtl="1"/>
          <a:endParaRPr lang="he-IL"/>
        </a:p>
      </dgm:t>
    </dgm:pt>
    <dgm:pt modelId="{163D9190-232B-4A06-99C5-D7D6E9D88EF1}" type="pres">
      <dgm:prSet presAssocID="{452F66E8-689B-4703-A148-E1CFA3C707A4}" presName="Name0" presStyleCnt="0">
        <dgm:presLayoutVars>
          <dgm:chMax val="1"/>
          <dgm:dir/>
          <dgm:animLvl val="ctr"/>
          <dgm:resizeHandles val="exact"/>
        </dgm:presLayoutVars>
      </dgm:prSet>
      <dgm:spPr/>
    </dgm:pt>
    <dgm:pt modelId="{459B7F3A-E88E-42E3-B13A-444253398740}" type="pres">
      <dgm:prSet presAssocID="{DDE519F4-0FBD-4B4D-9FA9-B0BC62854C4A}" presName="centerShape" presStyleLbl="node0" presStyleIdx="0" presStyleCnt="1"/>
      <dgm:spPr/>
    </dgm:pt>
    <dgm:pt modelId="{49ED0B3D-E647-474D-AC97-D5BDD1DE504C}" type="pres">
      <dgm:prSet presAssocID="{7FF85AD6-49E5-4EEE-AB50-DE29A687A89C}" presName="node" presStyleLbl="node1" presStyleIdx="0" presStyleCnt="3" custScaleX="121895" custScaleY="115592" custRadScaleRad="92079" custRadScaleInc="-5653">
        <dgm:presLayoutVars>
          <dgm:bulletEnabled val="1"/>
        </dgm:presLayoutVars>
      </dgm:prSet>
      <dgm:spPr/>
    </dgm:pt>
    <dgm:pt modelId="{EF111D1F-CAB6-47B1-A323-50F9DC068A87}" type="pres">
      <dgm:prSet presAssocID="{7FF85AD6-49E5-4EEE-AB50-DE29A687A89C}" presName="dummy" presStyleCnt="0"/>
      <dgm:spPr/>
    </dgm:pt>
    <dgm:pt modelId="{FC38DE6A-6348-436B-860B-ADF37A1CA1C2}" type="pres">
      <dgm:prSet presAssocID="{1B184249-FB76-4309-AADB-4C7508079B73}" presName="sibTrans" presStyleLbl="sibTrans2D1" presStyleIdx="0" presStyleCnt="3"/>
      <dgm:spPr/>
    </dgm:pt>
    <dgm:pt modelId="{E7096091-8471-413A-B20C-623C947E3D7C}" type="pres">
      <dgm:prSet presAssocID="{E88EA27C-62D4-4730-832E-12B80A30CC7A}" presName="node" presStyleLbl="node1" presStyleIdx="1" presStyleCnt="3" custScaleX="121890" custScaleY="119158">
        <dgm:presLayoutVars>
          <dgm:bulletEnabled val="1"/>
        </dgm:presLayoutVars>
      </dgm:prSet>
      <dgm:spPr/>
    </dgm:pt>
    <dgm:pt modelId="{0D52C8B0-40AE-4E65-B434-4331E7D459A3}" type="pres">
      <dgm:prSet presAssocID="{E88EA27C-62D4-4730-832E-12B80A30CC7A}" presName="dummy" presStyleCnt="0"/>
      <dgm:spPr/>
    </dgm:pt>
    <dgm:pt modelId="{CE848653-E400-4BB7-B8EA-CF675DD9352A}" type="pres">
      <dgm:prSet presAssocID="{CBA68B55-D61A-4626-A8F4-4B92C5245C41}" presName="sibTrans" presStyleLbl="sibTrans2D1" presStyleIdx="1" presStyleCnt="3"/>
      <dgm:spPr/>
    </dgm:pt>
    <dgm:pt modelId="{A228C10B-FA0A-494D-929F-E28DC355757E}" type="pres">
      <dgm:prSet presAssocID="{6BA5CF77-46B0-4A9D-8811-8F5DE8B5EF57}" presName="node" presStyleLbl="node1" presStyleIdx="2" presStyleCnt="3" custScaleX="112748" custScaleY="107601">
        <dgm:presLayoutVars>
          <dgm:bulletEnabled val="1"/>
        </dgm:presLayoutVars>
      </dgm:prSet>
      <dgm:spPr/>
    </dgm:pt>
    <dgm:pt modelId="{CB52F0A8-1CB6-4494-AF1D-B5FB353D305D}" type="pres">
      <dgm:prSet presAssocID="{6BA5CF77-46B0-4A9D-8811-8F5DE8B5EF57}" presName="dummy" presStyleCnt="0"/>
      <dgm:spPr/>
    </dgm:pt>
    <dgm:pt modelId="{AE40BDA7-D6D1-4358-95D0-868642DFB0CD}" type="pres">
      <dgm:prSet presAssocID="{F33FCAF3-CF38-42FE-B659-6DCC0D5D0BBD}" presName="sibTrans" presStyleLbl="sibTrans2D1" presStyleIdx="2" presStyleCnt="3"/>
      <dgm:spPr/>
    </dgm:pt>
  </dgm:ptLst>
  <dgm:cxnLst>
    <dgm:cxn modelId="{12F0FF2A-7C97-4538-A0B1-52AFB5991D9C}" type="presOf" srcId="{F33FCAF3-CF38-42FE-B659-6DCC0D5D0BBD}" destId="{AE40BDA7-D6D1-4358-95D0-868642DFB0CD}" srcOrd="0" destOrd="0" presId="urn:microsoft.com/office/officeart/2005/8/layout/radial6"/>
    <dgm:cxn modelId="{8CAABE4B-076C-4DFF-8223-71F22CFE2476}" srcId="{DDE519F4-0FBD-4B4D-9FA9-B0BC62854C4A}" destId="{7FF85AD6-49E5-4EEE-AB50-DE29A687A89C}" srcOrd="0" destOrd="0" parTransId="{FFA62D32-2854-4AE4-8CBC-B49B44457039}" sibTransId="{1B184249-FB76-4309-AADB-4C7508079B73}"/>
    <dgm:cxn modelId="{FB103E4E-9413-4757-84B4-2C4871240527}" srcId="{DDE519F4-0FBD-4B4D-9FA9-B0BC62854C4A}" destId="{6BA5CF77-46B0-4A9D-8811-8F5DE8B5EF57}" srcOrd="2" destOrd="0" parTransId="{1BDF43A7-CDB3-41E3-A414-B420B4CD7E64}" sibTransId="{F33FCAF3-CF38-42FE-B659-6DCC0D5D0BBD}"/>
    <dgm:cxn modelId="{C030899F-E8B7-4F56-935E-A74E1974010F}" type="presOf" srcId="{1B184249-FB76-4309-AADB-4C7508079B73}" destId="{FC38DE6A-6348-436B-860B-ADF37A1CA1C2}" srcOrd="0" destOrd="0" presId="urn:microsoft.com/office/officeart/2005/8/layout/radial6"/>
    <dgm:cxn modelId="{445767AE-2A9C-4E28-8710-EE38182C27B7}" type="presOf" srcId="{6BA5CF77-46B0-4A9D-8811-8F5DE8B5EF57}" destId="{A228C10B-FA0A-494D-929F-E28DC355757E}" srcOrd="0" destOrd="0" presId="urn:microsoft.com/office/officeart/2005/8/layout/radial6"/>
    <dgm:cxn modelId="{834DD7C3-504A-4888-B760-CEA751BACAFF}" srcId="{452F66E8-689B-4703-A148-E1CFA3C707A4}" destId="{DDE519F4-0FBD-4B4D-9FA9-B0BC62854C4A}" srcOrd="0" destOrd="0" parTransId="{AB44D316-6ED3-405F-8DAF-6CB6A631509B}" sibTransId="{17B1FA07-E2BD-44C4-B192-6F65D4B5B3EE}"/>
    <dgm:cxn modelId="{427FE1C8-303A-4BDC-9843-53716B16D059}" type="presOf" srcId="{DDE519F4-0FBD-4B4D-9FA9-B0BC62854C4A}" destId="{459B7F3A-E88E-42E3-B13A-444253398740}" srcOrd="0" destOrd="0" presId="urn:microsoft.com/office/officeart/2005/8/layout/radial6"/>
    <dgm:cxn modelId="{60999ED1-0FC8-4FF6-87C1-201CB4AAFC3F}" srcId="{DDE519F4-0FBD-4B4D-9FA9-B0BC62854C4A}" destId="{E88EA27C-62D4-4730-832E-12B80A30CC7A}" srcOrd="1" destOrd="0" parTransId="{80366373-5C66-415D-9F2F-33C49D25023B}" sibTransId="{CBA68B55-D61A-4626-A8F4-4B92C5245C41}"/>
    <dgm:cxn modelId="{F058F4DF-559D-42BD-9FAA-696A3FDB390F}" type="presOf" srcId="{452F66E8-689B-4703-A148-E1CFA3C707A4}" destId="{163D9190-232B-4A06-99C5-D7D6E9D88EF1}" srcOrd="0" destOrd="0" presId="urn:microsoft.com/office/officeart/2005/8/layout/radial6"/>
    <dgm:cxn modelId="{A22B5CE0-5E0F-4AFE-80E3-97A382DB3A0A}" type="presOf" srcId="{CBA68B55-D61A-4626-A8F4-4B92C5245C41}" destId="{CE848653-E400-4BB7-B8EA-CF675DD9352A}" srcOrd="0" destOrd="0" presId="urn:microsoft.com/office/officeart/2005/8/layout/radial6"/>
    <dgm:cxn modelId="{98289CE5-B8DA-44C9-8974-BA95948A9BBB}" type="presOf" srcId="{7FF85AD6-49E5-4EEE-AB50-DE29A687A89C}" destId="{49ED0B3D-E647-474D-AC97-D5BDD1DE504C}" srcOrd="0" destOrd="0" presId="urn:microsoft.com/office/officeart/2005/8/layout/radial6"/>
    <dgm:cxn modelId="{44B3B4F5-A1DF-4043-852F-6CDBEE695327}" type="presOf" srcId="{E88EA27C-62D4-4730-832E-12B80A30CC7A}" destId="{E7096091-8471-413A-B20C-623C947E3D7C}" srcOrd="0" destOrd="0" presId="urn:microsoft.com/office/officeart/2005/8/layout/radial6"/>
    <dgm:cxn modelId="{5FE504DA-BBBD-4E3E-8E56-46F806FEA17A}" type="presParOf" srcId="{163D9190-232B-4A06-99C5-D7D6E9D88EF1}" destId="{459B7F3A-E88E-42E3-B13A-444253398740}" srcOrd="0" destOrd="0" presId="urn:microsoft.com/office/officeart/2005/8/layout/radial6"/>
    <dgm:cxn modelId="{B6DED057-C0C6-4882-AE0B-7DC216AED3FE}" type="presParOf" srcId="{163D9190-232B-4A06-99C5-D7D6E9D88EF1}" destId="{49ED0B3D-E647-474D-AC97-D5BDD1DE504C}" srcOrd="1" destOrd="0" presId="urn:microsoft.com/office/officeart/2005/8/layout/radial6"/>
    <dgm:cxn modelId="{5F46D666-36FB-4396-BE7E-6DA206C402C2}" type="presParOf" srcId="{163D9190-232B-4A06-99C5-D7D6E9D88EF1}" destId="{EF111D1F-CAB6-47B1-A323-50F9DC068A87}" srcOrd="2" destOrd="0" presId="urn:microsoft.com/office/officeart/2005/8/layout/radial6"/>
    <dgm:cxn modelId="{A10F81AA-E516-4C5C-B487-F08E102B8E32}" type="presParOf" srcId="{163D9190-232B-4A06-99C5-D7D6E9D88EF1}" destId="{FC38DE6A-6348-436B-860B-ADF37A1CA1C2}" srcOrd="3" destOrd="0" presId="urn:microsoft.com/office/officeart/2005/8/layout/radial6"/>
    <dgm:cxn modelId="{8CE561AE-74F4-4430-92A9-3246CF3F5B49}" type="presParOf" srcId="{163D9190-232B-4A06-99C5-D7D6E9D88EF1}" destId="{E7096091-8471-413A-B20C-623C947E3D7C}" srcOrd="4" destOrd="0" presId="urn:microsoft.com/office/officeart/2005/8/layout/radial6"/>
    <dgm:cxn modelId="{2D96F20A-4FE9-4799-900B-81F43C68407E}" type="presParOf" srcId="{163D9190-232B-4A06-99C5-D7D6E9D88EF1}" destId="{0D52C8B0-40AE-4E65-B434-4331E7D459A3}" srcOrd="5" destOrd="0" presId="urn:microsoft.com/office/officeart/2005/8/layout/radial6"/>
    <dgm:cxn modelId="{D736652E-4FF3-4F16-BB76-C4383DE01E65}" type="presParOf" srcId="{163D9190-232B-4A06-99C5-D7D6E9D88EF1}" destId="{CE848653-E400-4BB7-B8EA-CF675DD9352A}" srcOrd="6" destOrd="0" presId="urn:microsoft.com/office/officeart/2005/8/layout/radial6"/>
    <dgm:cxn modelId="{D6CE4F2D-2113-48C2-894E-89F0B0A97DC0}" type="presParOf" srcId="{163D9190-232B-4A06-99C5-D7D6E9D88EF1}" destId="{A228C10B-FA0A-494D-929F-E28DC355757E}" srcOrd="7" destOrd="0" presId="urn:microsoft.com/office/officeart/2005/8/layout/radial6"/>
    <dgm:cxn modelId="{8A809CD1-AA77-40AA-BE70-13D831E03E55}" type="presParOf" srcId="{163D9190-232B-4A06-99C5-D7D6E9D88EF1}" destId="{CB52F0A8-1CB6-4494-AF1D-B5FB353D305D}" srcOrd="8" destOrd="0" presId="urn:microsoft.com/office/officeart/2005/8/layout/radial6"/>
    <dgm:cxn modelId="{1641DEEF-A770-40C6-929F-72F2ABA387EB}" type="presParOf" srcId="{163D9190-232B-4A06-99C5-D7D6E9D88EF1}" destId="{AE40BDA7-D6D1-4358-95D0-868642DFB0CD}" srcOrd="9"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2CA299-AC29-4A74-8647-204FE27D23C7}">
      <dsp:nvSpPr>
        <dsp:cNvPr id="0" name=""/>
        <dsp:cNvSpPr/>
      </dsp:nvSpPr>
      <dsp:spPr>
        <a:xfrm>
          <a:off x="0" y="1938736"/>
          <a:ext cx="4564966" cy="18178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פרסום התיק באינטרנט</a:t>
          </a:r>
        </a:p>
      </dsp:txBody>
      <dsp:txXfrm>
        <a:off x="0" y="1938736"/>
        <a:ext cx="4564966" cy="181780"/>
      </dsp:txXfrm>
    </dsp:sp>
    <dsp:sp modelId="{7AFBFF72-84C2-4D5F-B95C-F5AE29327C3F}">
      <dsp:nvSpPr>
        <dsp:cNvPr id="0" name=""/>
        <dsp:cNvSpPr/>
      </dsp:nvSpPr>
      <dsp:spPr>
        <a:xfrm rot="10800000">
          <a:off x="0" y="1661884"/>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סגירת תיק בעילת הסדר מותנה</a:t>
          </a:r>
        </a:p>
      </dsp:txBody>
      <dsp:txXfrm rot="10800000">
        <a:off x="0" y="1661884"/>
        <a:ext cx="4564966" cy="181661"/>
      </dsp:txXfrm>
    </dsp:sp>
    <dsp:sp modelId="{AEE27F82-E5E2-4A74-AE21-2732085E4CCD}">
      <dsp:nvSpPr>
        <dsp:cNvPr id="0" name=""/>
        <dsp:cNvSpPr/>
      </dsp:nvSpPr>
      <dsp:spPr>
        <a:xfrm rot="10800000">
          <a:off x="0" y="1385032"/>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מעקב אחר ביצוע תנאי ההסדר</a:t>
          </a:r>
        </a:p>
      </dsp:txBody>
      <dsp:txXfrm rot="10800000">
        <a:off x="0" y="1385032"/>
        <a:ext cx="4564966" cy="181661"/>
      </dsp:txXfrm>
    </dsp:sp>
    <dsp:sp modelId="{DF845326-E06C-4772-ADDB-D83FAC2E48AE}">
      <dsp:nvSpPr>
        <dsp:cNvPr id="0" name=""/>
        <dsp:cNvSpPr/>
      </dsp:nvSpPr>
      <dsp:spPr>
        <a:xfrm rot="10800000">
          <a:off x="0" y="1108181"/>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פגישה עם החשוד וחתימה על הסדר מותנה</a:t>
          </a:r>
        </a:p>
      </dsp:txBody>
      <dsp:txXfrm rot="10800000">
        <a:off x="0" y="1108181"/>
        <a:ext cx="4564966" cy="181661"/>
      </dsp:txXfrm>
    </dsp:sp>
    <dsp:sp modelId="{A25FCF70-A548-405B-BAAE-B1CF9B849D76}">
      <dsp:nvSpPr>
        <dsp:cNvPr id="0" name=""/>
        <dsp:cNvSpPr/>
      </dsp:nvSpPr>
      <dsp:spPr>
        <a:xfrm rot="10800000">
          <a:off x="0" y="826951"/>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הפקת מכתב הצעה לחשוד</a:t>
          </a:r>
        </a:p>
      </dsp:txBody>
      <dsp:txXfrm rot="10800000">
        <a:off x="0" y="826951"/>
        <a:ext cx="4564966" cy="181661"/>
      </dsp:txXfrm>
    </dsp:sp>
    <dsp:sp modelId="{59307CA8-AB4C-4B31-8AE9-D086F988BE38}">
      <dsp:nvSpPr>
        <dsp:cNvPr id="0" name=""/>
        <dsp:cNvSpPr/>
      </dsp:nvSpPr>
      <dsp:spPr>
        <a:xfrm rot="10800000">
          <a:off x="0" y="554477"/>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אישור בעל סמכות - הגשת כ"א לבית המשפט, סגירת תיק או הסדר מותנה</a:t>
          </a:r>
        </a:p>
      </dsp:txBody>
      <dsp:txXfrm rot="10800000">
        <a:off x="0" y="554477"/>
        <a:ext cx="4564966" cy="181661"/>
      </dsp:txXfrm>
    </dsp:sp>
    <dsp:sp modelId="{6E41EF76-F237-4C3D-92C1-FB02A50E353D}">
      <dsp:nvSpPr>
        <dsp:cNvPr id="0" name=""/>
        <dsp:cNvSpPr/>
      </dsp:nvSpPr>
      <dsp:spPr>
        <a:xfrm rot="10800000">
          <a:off x="0" y="277625"/>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עיון והמלצת תובע </a:t>
          </a:r>
        </a:p>
      </dsp:txBody>
      <dsp:txXfrm rot="10800000">
        <a:off x="0" y="277625"/>
        <a:ext cx="4564966" cy="181661"/>
      </dsp:txXfrm>
    </dsp:sp>
    <dsp:sp modelId="{1E54F522-745C-4F3C-A727-4A1C1AA2D1BC}">
      <dsp:nvSpPr>
        <dsp:cNvPr id="0" name=""/>
        <dsp:cNvSpPr/>
      </dsp:nvSpPr>
      <dsp:spPr>
        <a:xfrm rot="10800000">
          <a:off x="0" y="0"/>
          <a:ext cx="4564966" cy="279578"/>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קליטת תיק מיחידה חוקרת או יחידת תביעה מחוזית </a:t>
          </a:r>
        </a:p>
      </dsp:txBody>
      <dsp:txXfrm rot="10800000">
        <a:off x="0" y="0"/>
        <a:ext cx="4564966" cy="181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0BDA7-D6D1-4358-95D0-868642DFB0CD}">
      <dsp:nvSpPr>
        <dsp:cNvPr id="0" name=""/>
        <dsp:cNvSpPr/>
      </dsp:nvSpPr>
      <dsp:spPr>
        <a:xfrm>
          <a:off x="1081288" y="447666"/>
          <a:ext cx="2240660" cy="2240660"/>
        </a:xfrm>
        <a:prstGeom prst="blockArc">
          <a:avLst>
            <a:gd name="adj1" fmla="val 9298558"/>
            <a:gd name="adj2" fmla="val 1593698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848653-E400-4BB7-B8EA-CF675DD9352A}">
      <dsp:nvSpPr>
        <dsp:cNvPr id="0" name=""/>
        <dsp:cNvSpPr/>
      </dsp:nvSpPr>
      <dsp:spPr>
        <a:xfrm>
          <a:off x="1037400" y="363401"/>
          <a:ext cx="2240660" cy="2240660"/>
        </a:xfrm>
        <a:prstGeom prst="blockArc">
          <a:avLst>
            <a:gd name="adj1" fmla="val 1800000"/>
            <a:gd name="adj2" fmla="val 90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38DE6A-6348-436B-860B-ADF37A1CA1C2}">
      <dsp:nvSpPr>
        <dsp:cNvPr id="0" name=""/>
        <dsp:cNvSpPr/>
      </dsp:nvSpPr>
      <dsp:spPr>
        <a:xfrm>
          <a:off x="992031" y="450853"/>
          <a:ext cx="2240660" cy="2240660"/>
        </a:xfrm>
        <a:prstGeom prst="blockArc">
          <a:avLst>
            <a:gd name="adj1" fmla="val 16217632"/>
            <a:gd name="adj2" fmla="val 1490402"/>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9B7F3A-E88E-42E3-B13A-444253398740}">
      <dsp:nvSpPr>
        <dsp:cNvPr id="0" name=""/>
        <dsp:cNvSpPr/>
      </dsp:nvSpPr>
      <dsp:spPr>
        <a:xfrm>
          <a:off x="1641773" y="967774"/>
          <a:ext cx="1031914" cy="103191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מעגל האלימות</a:t>
          </a:r>
        </a:p>
      </dsp:txBody>
      <dsp:txXfrm>
        <a:off x="1792893" y="1118894"/>
        <a:ext cx="729674" cy="729674"/>
      </dsp:txXfrm>
    </dsp:sp>
    <dsp:sp modelId="{49ED0B3D-E647-474D-AC97-D5BDD1DE504C}">
      <dsp:nvSpPr>
        <dsp:cNvPr id="0" name=""/>
        <dsp:cNvSpPr/>
      </dsp:nvSpPr>
      <dsp:spPr>
        <a:xfrm>
          <a:off x="1677725" y="59388"/>
          <a:ext cx="880496" cy="834967"/>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בנייית המתח</a:t>
          </a:r>
        </a:p>
      </dsp:txBody>
      <dsp:txXfrm>
        <a:off x="1806671" y="181666"/>
        <a:ext cx="622604" cy="590411"/>
      </dsp:txXfrm>
    </dsp:sp>
    <dsp:sp modelId="{E7096091-8471-413A-B20C-623C947E3D7C}">
      <dsp:nvSpPr>
        <dsp:cNvPr id="0" name=""/>
        <dsp:cNvSpPr/>
      </dsp:nvSpPr>
      <dsp:spPr>
        <a:xfrm>
          <a:off x="2665214" y="1600531"/>
          <a:ext cx="880460" cy="860726"/>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התפתחות אלימה</a:t>
          </a:r>
        </a:p>
      </dsp:txBody>
      <dsp:txXfrm>
        <a:off x="2794154" y="1726581"/>
        <a:ext cx="622580" cy="608626"/>
      </dsp:txXfrm>
    </dsp:sp>
    <dsp:sp modelId="{A228C10B-FA0A-494D-929F-E28DC355757E}">
      <dsp:nvSpPr>
        <dsp:cNvPr id="0" name=""/>
        <dsp:cNvSpPr/>
      </dsp:nvSpPr>
      <dsp:spPr>
        <a:xfrm>
          <a:off x="802804" y="1642272"/>
          <a:ext cx="814424" cy="77724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חרטה - "ירח דבש"</a:t>
          </a:r>
        </a:p>
      </dsp:txBody>
      <dsp:txXfrm>
        <a:off x="922074" y="1756097"/>
        <a:ext cx="575884" cy="549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1974</TotalTime>
  <Pages>23</Pages>
  <Words>7739</Words>
  <Characters>38697</Characters>
  <Application>Microsoft Office Word</Application>
  <DocSecurity>0</DocSecurity>
  <Lines>322</Lines>
  <Paragraphs>92</Paragraphs>
  <ScaleCrop>false</ScaleCrop>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bitoun</dc:creator>
  <cp:keywords/>
  <dc:description/>
  <cp:lastModifiedBy>noya bitoun</cp:lastModifiedBy>
  <cp:revision>501</cp:revision>
  <dcterms:created xsi:type="dcterms:W3CDTF">2023-02-04T09:21:00Z</dcterms:created>
  <dcterms:modified xsi:type="dcterms:W3CDTF">2023-02-06T13:28:00Z</dcterms:modified>
</cp:coreProperties>
</file>